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0048FD">
      <w:pPr>
        <w:spacing w:line="360" w:lineRule="auto"/>
        <w:ind w:firstLine="160" w:firstLineChars="50"/>
        <w:rPr>
          <w:rFonts w:hint="eastAsia" w:ascii="宋体" w:hAnsi="宋体" w:cs="CESI黑体-GB2312"/>
          <w:color w:val="auto"/>
          <w:sz w:val="32"/>
          <w:szCs w:val="32"/>
          <w:highlight w:val="none"/>
        </w:rPr>
      </w:pPr>
    </w:p>
    <w:p w14:paraId="7B6FD9B3">
      <w:pPr>
        <w:spacing w:line="360" w:lineRule="auto"/>
        <w:ind w:firstLine="300" w:firstLineChars="50"/>
        <w:rPr>
          <w:rFonts w:hint="eastAsia" w:ascii="宋体" w:hAnsi="宋体"/>
          <w:color w:val="auto"/>
          <w:sz w:val="60"/>
          <w:szCs w:val="60"/>
          <w:highlight w:val="none"/>
        </w:rPr>
      </w:pPr>
    </w:p>
    <w:p w14:paraId="61C9BB2F">
      <w:pPr>
        <w:spacing w:line="360" w:lineRule="auto"/>
        <w:ind w:firstLine="300" w:firstLineChars="50"/>
        <w:rPr>
          <w:rFonts w:hint="eastAsia" w:ascii="宋体" w:hAnsi="宋体"/>
          <w:color w:val="auto"/>
          <w:sz w:val="60"/>
          <w:szCs w:val="60"/>
          <w:highlight w:val="none"/>
        </w:rPr>
      </w:pPr>
    </w:p>
    <w:p w14:paraId="501BFDB6">
      <w:pPr>
        <w:jc w:val="center"/>
        <w:rPr>
          <w:rFonts w:hint="eastAsia" w:ascii="宋体" w:hAnsi="宋体"/>
          <w:b/>
          <w:bCs/>
          <w:color w:val="auto"/>
          <w:sz w:val="60"/>
          <w:szCs w:val="60"/>
          <w:highlight w:val="none"/>
        </w:rPr>
      </w:pPr>
      <w:r>
        <w:rPr>
          <w:rFonts w:ascii="宋体" w:hAnsi="宋体"/>
          <w:b/>
          <w:bCs/>
          <w:color w:val="auto"/>
          <w:sz w:val="60"/>
          <w:szCs w:val="60"/>
          <w:highlight w:val="none"/>
        </w:rPr>
        <w:t>北京市政府采购项目</w:t>
      </w:r>
    </w:p>
    <w:p w14:paraId="4F6345FB">
      <w:pPr>
        <w:jc w:val="center"/>
        <w:rPr>
          <w:rFonts w:hint="eastAsia" w:ascii="宋体" w:hAnsi="宋体"/>
          <w:b/>
          <w:bCs/>
          <w:color w:val="auto"/>
          <w:sz w:val="60"/>
          <w:szCs w:val="60"/>
          <w:highlight w:val="none"/>
        </w:rPr>
      </w:pPr>
      <w:r>
        <w:rPr>
          <w:rFonts w:ascii="宋体" w:hAnsi="宋体"/>
          <w:b/>
          <w:bCs/>
          <w:color w:val="auto"/>
          <w:sz w:val="60"/>
          <w:szCs w:val="60"/>
          <w:highlight w:val="none"/>
        </w:rPr>
        <w:t>竞争性磋商文件示范文本</w:t>
      </w:r>
    </w:p>
    <w:p w14:paraId="16E6984A">
      <w:pPr>
        <w:jc w:val="center"/>
        <w:rPr>
          <w:rFonts w:hint="eastAsia" w:ascii="宋体" w:hAnsi="宋体"/>
          <w:b/>
          <w:bCs/>
          <w:color w:val="auto"/>
          <w:sz w:val="60"/>
          <w:szCs w:val="60"/>
          <w:highlight w:val="none"/>
        </w:rPr>
      </w:pPr>
      <w:r>
        <w:rPr>
          <w:rFonts w:hint="eastAsia" w:ascii="宋体" w:hAnsi="宋体"/>
          <w:b/>
          <w:bCs/>
          <w:color w:val="auto"/>
          <w:sz w:val="60"/>
          <w:szCs w:val="60"/>
          <w:highlight w:val="none"/>
        </w:rPr>
        <w:t>（2024年版）</w:t>
      </w:r>
    </w:p>
    <w:p w14:paraId="11205153">
      <w:pPr>
        <w:spacing w:line="360" w:lineRule="auto"/>
        <w:jc w:val="center"/>
        <w:rPr>
          <w:rFonts w:hint="eastAsia" w:ascii="宋体" w:hAnsi="宋体"/>
          <w:b/>
          <w:bCs/>
          <w:color w:val="auto"/>
          <w:sz w:val="60"/>
          <w:szCs w:val="60"/>
          <w:highlight w:val="none"/>
        </w:rPr>
      </w:pPr>
    </w:p>
    <w:p w14:paraId="16152041">
      <w:pPr>
        <w:spacing w:line="360" w:lineRule="auto"/>
        <w:jc w:val="center"/>
        <w:rPr>
          <w:rFonts w:hint="eastAsia" w:ascii="宋体" w:hAnsi="宋体"/>
          <w:b/>
          <w:bCs/>
          <w:color w:val="auto"/>
          <w:sz w:val="60"/>
          <w:szCs w:val="60"/>
          <w:highlight w:val="none"/>
        </w:rPr>
      </w:pPr>
    </w:p>
    <w:p w14:paraId="5BFCED65">
      <w:pPr>
        <w:spacing w:line="360" w:lineRule="auto"/>
        <w:jc w:val="center"/>
        <w:rPr>
          <w:rFonts w:hint="eastAsia" w:ascii="宋体" w:hAnsi="宋体"/>
          <w:b/>
          <w:bCs/>
          <w:color w:val="auto"/>
          <w:sz w:val="60"/>
          <w:szCs w:val="60"/>
          <w:highlight w:val="none"/>
        </w:rPr>
      </w:pPr>
    </w:p>
    <w:p w14:paraId="6D60630E">
      <w:pPr>
        <w:spacing w:line="360" w:lineRule="auto"/>
        <w:jc w:val="center"/>
        <w:rPr>
          <w:rFonts w:hint="eastAsia" w:ascii="宋体" w:hAnsi="宋体"/>
          <w:b/>
          <w:bCs/>
          <w:color w:val="auto"/>
          <w:sz w:val="60"/>
          <w:szCs w:val="60"/>
          <w:highlight w:val="none"/>
        </w:rPr>
      </w:pPr>
    </w:p>
    <w:p w14:paraId="43C0731A">
      <w:pPr>
        <w:tabs>
          <w:tab w:val="left" w:pos="5609"/>
        </w:tabs>
        <w:spacing w:line="360" w:lineRule="auto"/>
        <w:ind w:left="2403" w:leftChars="442" w:right="934" w:rightChars="445" w:hanging="1475" w:hangingChars="461"/>
        <w:jc w:val="left"/>
        <w:rPr>
          <w:rFonts w:hint="eastAsia" w:ascii="宋体" w:hAnsi="宋体"/>
          <w:bCs/>
          <w:color w:val="auto"/>
          <w:sz w:val="32"/>
          <w:szCs w:val="32"/>
          <w:highlight w:val="none"/>
        </w:rPr>
      </w:pPr>
      <w:r>
        <w:rPr>
          <w:rFonts w:ascii="宋体" w:hAnsi="宋体"/>
          <w:bCs/>
          <w:color w:val="auto"/>
          <w:sz w:val="32"/>
          <w:szCs w:val="32"/>
          <w:highlight w:val="none"/>
        </w:rPr>
        <w:t>项目名称：</w:t>
      </w:r>
      <w:r>
        <w:rPr>
          <w:rFonts w:hint="eastAsia" w:ascii="宋体" w:hAnsi="宋体"/>
          <w:bCs/>
          <w:color w:val="auto"/>
          <w:sz w:val="32"/>
          <w:szCs w:val="32"/>
          <w:highlight w:val="none"/>
        </w:rPr>
        <w:t>基建-教育系统消防改造-顺义区仁和中学(教学楼)</w:t>
      </w:r>
    </w:p>
    <w:p w14:paraId="2B1E8E9A">
      <w:pPr>
        <w:tabs>
          <w:tab w:val="left" w:pos="5609"/>
        </w:tabs>
        <w:spacing w:line="360" w:lineRule="auto"/>
        <w:ind w:left="2621" w:leftChars="444" w:right="708" w:rightChars="337" w:hanging="1689" w:hangingChars="528"/>
        <w:jc w:val="left"/>
        <w:rPr>
          <w:rFonts w:hint="eastAsia" w:ascii="宋体" w:hAnsi="宋体" w:eastAsia="微软雅黑"/>
          <w:bCs/>
          <w:color w:val="auto"/>
          <w:sz w:val="32"/>
          <w:szCs w:val="32"/>
          <w:highlight w:val="none"/>
        </w:rPr>
      </w:pPr>
      <w:r>
        <w:rPr>
          <w:rFonts w:ascii="宋体" w:hAnsi="宋体"/>
          <w:bCs/>
          <w:color w:val="auto"/>
          <w:sz w:val="32"/>
          <w:szCs w:val="32"/>
          <w:highlight w:val="none"/>
        </w:rPr>
        <w:t>项目编号</w:t>
      </w:r>
      <w:r>
        <w:rPr>
          <w:rFonts w:hint="eastAsia" w:ascii="宋体" w:hAnsi="宋体"/>
          <w:bCs/>
          <w:color w:val="auto"/>
          <w:sz w:val="32"/>
          <w:szCs w:val="32"/>
          <w:highlight w:val="none"/>
        </w:rPr>
        <w:t>：11011325210200023421-XM001</w:t>
      </w:r>
    </w:p>
    <w:p w14:paraId="0BE6B9FA">
      <w:pPr>
        <w:tabs>
          <w:tab w:val="left" w:pos="5609"/>
        </w:tabs>
        <w:spacing w:line="360" w:lineRule="auto"/>
        <w:ind w:left="2558" w:leftChars="444" w:right="708" w:rightChars="337" w:hanging="1626" w:hangingChars="528"/>
        <w:jc w:val="left"/>
        <w:rPr>
          <w:rFonts w:hint="eastAsia" w:ascii="宋体" w:hAnsi="宋体"/>
          <w:bCs/>
          <w:color w:val="auto"/>
          <w:spacing w:val="-6"/>
          <w:sz w:val="32"/>
          <w:szCs w:val="32"/>
          <w:highlight w:val="none"/>
        </w:rPr>
      </w:pPr>
      <w:r>
        <w:rPr>
          <w:rFonts w:ascii="宋体" w:hAnsi="宋体"/>
          <w:bCs/>
          <w:color w:val="auto"/>
          <w:spacing w:val="-6"/>
          <w:sz w:val="32"/>
          <w:szCs w:val="32"/>
          <w:highlight w:val="none"/>
        </w:rPr>
        <w:t>采 购 人：</w:t>
      </w:r>
      <w:r>
        <w:rPr>
          <w:rFonts w:hint="eastAsia" w:ascii="宋体" w:hAnsi="宋体"/>
          <w:bCs/>
          <w:color w:val="auto"/>
          <w:spacing w:val="-6"/>
          <w:sz w:val="32"/>
          <w:szCs w:val="32"/>
          <w:highlight w:val="none"/>
        </w:rPr>
        <w:t xml:space="preserve">北京市顺义区仁和中学 </w:t>
      </w:r>
    </w:p>
    <w:p w14:paraId="63DABF58">
      <w:pPr>
        <w:tabs>
          <w:tab w:val="left" w:pos="5609"/>
        </w:tabs>
        <w:spacing w:line="360" w:lineRule="auto"/>
        <w:ind w:left="2621" w:leftChars="444" w:right="708" w:rightChars="337" w:hanging="1689" w:hangingChars="528"/>
        <w:jc w:val="left"/>
        <w:rPr>
          <w:rFonts w:hint="eastAsia" w:ascii="宋体" w:hAnsi="宋体"/>
          <w:bCs/>
          <w:color w:val="auto"/>
          <w:sz w:val="32"/>
          <w:szCs w:val="32"/>
          <w:highlight w:val="none"/>
        </w:rPr>
      </w:pPr>
      <w:r>
        <w:rPr>
          <w:rFonts w:hint="eastAsia" w:ascii="宋体" w:hAnsi="宋体"/>
          <w:bCs/>
          <w:color w:val="auto"/>
          <w:sz w:val="32"/>
          <w:szCs w:val="32"/>
          <w:highlight w:val="none"/>
        </w:rPr>
        <w:t>采购</w:t>
      </w:r>
      <w:r>
        <w:rPr>
          <w:rFonts w:ascii="宋体" w:hAnsi="宋体"/>
          <w:bCs/>
          <w:color w:val="auto"/>
          <w:sz w:val="32"/>
          <w:szCs w:val="32"/>
          <w:highlight w:val="none"/>
        </w:rPr>
        <w:t>代理机构：</w:t>
      </w:r>
      <w:r>
        <w:rPr>
          <w:rFonts w:hint="eastAsia" w:ascii="宋体" w:hAnsi="宋体"/>
          <w:bCs/>
          <w:color w:val="auto"/>
          <w:sz w:val="32"/>
          <w:szCs w:val="32"/>
          <w:highlight w:val="none"/>
        </w:rPr>
        <w:t>北京博睿丰工程咨询有限公司</w:t>
      </w:r>
    </w:p>
    <w:p w14:paraId="695E9E59">
      <w:pPr>
        <w:widowControl/>
        <w:jc w:val="left"/>
        <w:rPr>
          <w:rFonts w:hint="eastAsia" w:ascii="宋体" w:hAnsi="宋体"/>
          <w:color w:val="auto"/>
          <w:kern w:val="0"/>
          <w:sz w:val="24"/>
          <w:highlight w:val="none"/>
        </w:rPr>
      </w:pPr>
      <w:r>
        <w:rPr>
          <w:rFonts w:ascii="宋体" w:hAnsi="宋体"/>
          <w:b/>
          <w:bCs/>
          <w:color w:val="auto"/>
          <w:sz w:val="44"/>
          <w:highlight w:val="none"/>
        </w:rPr>
        <w:br w:type="page"/>
      </w:r>
    </w:p>
    <w:p w14:paraId="2F90ECA0">
      <w:pPr>
        <w:pStyle w:val="196"/>
        <w:spacing w:line="360" w:lineRule="auto"/>
        <w:rPr>
          <w:rFonts w:hint="eastAsia" w:ascii="宋体" w:hAnsi="宋体" w:cs="Times New Roman"/>
          <w:color w:val="auto"/>
          <w:highlight w:val="none"/>
        </w:rPr>
      </w:pPr>
    </w:p>
    <w:p w14:paraId="2D9F9D24">
      <w:pPr>
        <w:spacing w:line="360" w:lineRule="auto"/>
        <w:jc w:val="center"/>
        <w:outlineLvl w:val="0"/>
        <w:rPr>
          <w:rFonts w:hint="eastAsia" w:ascii="宋体" w:hAnsi="宋体"/>
          <w:b/>
          <w:color w:val="auto"/>
          <w:sz w:val="44"/>
          <w:szCs w:val="44"/>
          <w:highlight w:val="none"/>
        </w:rPr>
      </w:pPr>
      <w:bookmarkStart w:id="0" w:name="_Toc170718520"/>
      <w:bookmarkStart w:id="1" w:name="_Toc22204"/>
      <w:bookmarkStart w:id="2" w:name="_Toc148453431"/>
      <w:bookmarkStart w:id="3" w:name="_Toc104476748"/>
      <w:bookmarkStart w:id="4" w:name="_Toc29477"/>
      <w:r>
        <w:rPr>
          <w:rFonts w:hint="eastAsia" w:ascii="宋体" w:hAnsi="宋体"/>
          <w:b/>
          <w:color w:val="auto"/>
          <w:sz w:val="44"/>
          <w:szCs w:val="44"/>
          <w:highlight w:val="none"/>
        </w:rPr>
        <w:t>目</w:t>
      </w:r>
      <w:r>
        <w:rPr>
          <w:rFonts w:ascii="宋体" w:hAnsi="宋体"/>
          <w:b/>
          <w:color w:val="auto"/>
          <w:sz w:val="44"/>
          <w:szCs w:val="44"/>
          <w:highlight w:val="none"/>
        </w:rPr>
        <w:t xml:space="preserve">   </w:t>
      </w:r>
      <w:r>
        <w:rPr>
          <w:rFonts w:hint="eastAsia" w:ascii="宋体" w:hAnsi="宋体"/>
          <w:b/>
          <w:color w:val="auto"/>
          <w:sz w:val="44"/>
          <w:szCs w:val="44"/>
          <w:highlight w:val="none"/>
        </w:rPr>
        <w:t>录</w:t>
      </w:r>
      <w:bookmarkEnd w:id="0"/>
      <w:bookmarkEnd w:id="1"/>
      <w:bookmarkEnd w:id="2"/>
      <w:bookmarkEnd w:id="3"/>
      <w:bookmarkEnd w:id="4"/>
    </w:p>
    <w:p w14:paraId="6AB579FE">
      <w:pPr>
        <w:pStyle w:val="36"/>
        <w:tabs>
          <w:tab w:val="right" w:leader="dot" w:pos="8307"/>
          <w:tab w:val="clear" w:pos="1050"/>
          <w:tab w:val="clear" w:pos="8937"/>
        </w:tabs>
        <w:spacing w:line="360" w:lineRule="auto"/>
        <w:rPr>
          <w:rFonts w:hint="eastAsia"/>
          <w:color w:val="auto"/>
          <w:highlight w:val="none"/>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"_Toc25284" </w:instrText>
      </w:r>
      <w:r>
        <w:rPr>
          <w:color w:val="auto"/>
          <w:highlight w:val="none"/>
        </w:rPr>
        <w:fldChar w:fldCharType="separate"/>
      </w:r>
      <w:r>
        <w:rPr>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_Toc25284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24DE4ED">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"_Toc3220" </w:instrText>
      </w:r>
      <w:r>
        <w:rPr>
          <w:color w:val="auto"/>
          <w:highlight w:val="none"/>
        </w:rPr>
        <w:fldChar w:fldCharType="separate"/>
      </w:r>
      <w:r>
        <w:rPr>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_Toc3220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740C533">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"_Toc25761" </w:instrText>
      </w:r>
      <w:r>
        <w:rPr>
          <w:color w:val="auto"/>
          <w:highlight w:val="none"/>
        </w:rPr>
        <w:fldChar w:fldCharType="separate"/>
      </w:r>
      <w:r>
        <w:rPr>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_Toc25761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D0695E0">
      <w:pPr>
        <w:pStyle w:val="36"/>
        <w:tabs>
          <w:tab w:val="right" w:leader="dot" w:pos="8307"/>
          <w:tab w:val="clear" w:pos="1050"/>
          <w:tab w:val="clear" w:pos="893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"_Toc24175" </w:instrText>
      </w:r>
      <w:r>
        <w:rPr>
          <w:color w:val="auto"/>
          <w:highlight w:val="none"/>
        </w:rPr>
        <w:fldChar w:fldCharType="separate"/>
      </w:r>
      <w:r>
        <w:rPr>
          <w:color w:val="auto"/>
          <w:szCs w:val="36"/>
          <w:highlight w:val="none"/>
        </w:rPr>
        <w:t>第四章   采购需求</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3</w:t>
      </w:r>
    </w:p>
    <w:p w14:paraId="388ED752">
      <w:pPr>
        <w:pStyle w:val="36"/>
        <w:tabs>
          <w:tab w:val="right" w:leader="dot" w:pos="8307"/>
          <w:tab w:val="clear" w:pos="1050"/>
          <w:tab w:val="clear" w:pos="893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"_Toc9169" </w:instrText>
      </w:r>
      <w:r>
        <w:rPr>
          <w:color w:val="auto"/>
          <w:highlight w:val="none"/>
        </w:rPr>
        <w:fldChar w:fldCharType="separate"/>
      </w:r>
      <w:r>
        <w:rPr>
          <w:color w:val="auto"/>
          <w:szCs w:val="36"/>
          <w:highlight w:val="none"/>
        </w:rPr>
        <w:t>第五章   合同草案条款</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0</w:t>
      </w:r>
    </w:p>
    <w:p w14:paraId="2653FE4E">
      <w:pPr>
        <w:pStyle w:val="36"/>
        <w:tabs>
          <w:tab w:val="right" w:leader="dot" w:pos="8307"/>
          <w:tab w:val="clear" w:pos="1050"/>
          <w:tab w:val="clear" w:pos="8937"/>
        </w:tabs>
        <w:spacing w:line="36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"_Toc20791" </w:instrText>
      </w:r>
      <w:r>
        <w:rPr>
          <w:color w:val="auto"/>
          <w:highlight w:val="none"/>
        </w:rPr>
        <w:fldChar w:fldCharType="separate"/>
      </w:r>
      <w:r>
        <w:rPr>
          <w:color w:val="auto"/>
          <w:szCs w:val="36"/>
          <w:highlight w:val="none"/>
        </w:rPr>
        <w:t>第</w:t>
      </w:r>
      <w:r>
        <w:rPr>
          <w:rFonts w:hint="eastAsia"/>
          <w:color w:val="auto"/>
          <w:szCs w:val="36"/>
          <w:highlight w:val="none"/>
        </w:rPr>
        <w:t>六</w:t>
      </w:r>
      <w:r>
        <w:rPr>
          <w:color w:val="auto"/>
          <w:szCs w:val="36"/>
          <w:highlight w:val="none"/>
        </w:rPr>
        <w:t xml:space="preserve">章   </w:t>
      </w:r>
      <w:r>
        <w:rPr>
          <w:rFonts w:hint="eastAsia"/>
          <w:color w:val="auto"/>
          <w:szCs w:val="36"/>
          <w:highlight w:val="none"/>
        </w:rPr>
        <w:t>工程量清单</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38</w:t>
      </w:r>
    </w:p>
    <w:p w14:paraId="1090CB8B">
      <w:pPr>
        <w:pStyle w:val="36"/>
        <w:tabs>
          <w:tab w:val="right" w:leader="dot" w:pos="8307"/>
          <w:tab w:val="clear" w:pos="1050"/>
          <w:tab w:val="clear" w:pos="8937"/>
        </w:tabs>
        <w:spacing w:line="36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"_Toc20120" </w:instrText>
      </w:r>
      <w:r>
        <w:rPr>
          <w:color w:val="auto"/>
          <w:highlight w:val="none"/>
        </w:rPr>
        <w:fldChar w:fldCharType="separate"/>
      </w:r>
      <w:r>
        <w:rPr>
          <w:color w:val="auto"/>
          <w:szCs w:val="36"/>
          <w:highlight w:val="none"/>
        </w:rPr>
        <w:t>第</w:t>
      </w:r>
      <w:r>
        <w:rPr>
          <w:rFonts w:hint="eastAsia"/>
          <w:color w:val="auto"/>
          <w:szCs w:val="36"/>
          <w:highlight w:val="none"/>
        </w:rPr>
        <w:t>七</w:t>
      </w:r>
      <w:r>
        <w:rPr>
          <w:color w:val="auto"/>
          <w:szCs w:val="36"/>
          <w:highlight w:val="none"/>
        </w:rPr>
        <w:t>章   响应文件格式</w:t>
      </w:r>
      <w:r>
        <w:rPr>
          <w:color w:val="auto"/>
          <w:highlight w:val="none"/>
        </w:rPr>
        <w:tab/>
      </w:r>
      <w:r>
        <w:rPr>
          <w:color w:val="auto"/>
          <w:highlight w:val="none"/>
        </w:rPr>
        <w:fldChar w:fldCharType="end"/>
      </w:r>
      <w:r>
        <w:rPr>
          <w:rFonts w:hint="eastAsia"/>
          <w:color w:val="auto"/>
          <w:highlight w:val="none"/>
          <w:lang w:val="en-US" w:eastAsia="zh-CN"/>
        </w:rPr>
        <w:t>146</w:t>
      </w:r>
    </w:p>
    <w:p w14:paraId="78E493C1">
      <w:pPr>
        <w:pStyle w:val="36"/>
        <w:spacing w:line="360" w:lineRule="auto"/>
        <w:rPr>
          <w:rFonts w:hint="eastAsia"/>
          <w:b w:val="0"/>
          <w:color w:val="auto"/>
          <w:highlight w:val="none"/>
        </w:rPr>
      </w:pPr>
      <w:r>
        <w:rPr>
          <w:color w:val="auto"/>
          <w:highlight w:val="none"/>
        </w:rPr>
        <w:fldChar w:fldCharType="end"/>
      </w:r>
    </w:p>
    <w:p w14:paraId="37F674BA">
      <w:pPr>
        <w:spacing w:line="360" w:lineRule="auto"/>
        <w:ind w:left="424" w:hanging="424" w:hangingChars="202"/>
        <w:rPr>
          <w:color w:val="auto"/>
          <w:highlight w:val="none"/>
        </w:rPr>
      </w:pPr>
      <w:r>
        <w:rPr>
          <w:rFonts w:hint="eastAsia"/>
          <w:color w:val="auto"/>
          <w:highlight w:val="none"/>
        </w:rPr>
        <w:t>注：采购文件条款中以 “■”形式标记的内容适用于本项目，以“□”形式标记的内容不适用于本项目。</w:t>
      </w:r>
    </w:p>
    <w:p w14:paraId="3E2FE063">
      <w:pPr>
        <w:spacing w:line="360" w:lineRule="auto"/>
        <w:jc w:val="center"/>
        <w:outlineLvl w:val="0"/>
        <w:rPr>
          <w:rFonts w:hint="eastAsia" w:ascii="宋体" w:hAnsi="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0FC6BE4C">
      <w:pPr>
        <w:spacing w:line="360" w:lineRule="auto"/>
        <w:jc w:val="center"/>
        <w:outlineLvl w:val="0"/>
        <w:rPr>
          <w:rFonts w:hint="eastAsia" w:ascii="宋体" w:hAnsi="宋体"/>
          <w:b/>
          <w:color w:val="auto"/>
          <w:sz w:val="36"/>
          <w:szCs w:val="36"/>
          <w:highlight w:val="none"/>
        </w:rPr>
      </w:pPr>
      <w:bookmarkStart w:id="5" w:name="_Toc25284"/>
      <w:r>
        <w:rPr>
          <w:rFonts w:ascii="宋体" w:hAnsi="宋体"/>
          <w:b/>
          <w:color w:val="auto"/>
          <w:sz w:val="36"/>
          <w:szCs w:val="36"/>
          <w:highlight w:val="none"/>
        </w:rPr>
        <w:t xml:space="preserve">第一章   </w:t>
      </w:r>
      <w:bookmarkStart w:id="6" w:name="_Hlk105077144"/>
      <w:r>
        <w:rPr>
          <w:rFonts w:ascii="宋体" w:hAnsi="宋体"/>
          <w:b/>
          <w:color w:val="auto"/>
          <w:sz w:val="36"/>
          <w:szCs w:val="36"/>
          <w:highlight w:val="none"/>
        </w:rPr>
        <w:t>采购邀请</w:t>
      </w:r>
      <w:bookmarkEnd w:id="5"/>
      <w:bookmarkStart w:id="7" w:name="_Toc28359002"/>
      <w:bookmarkStart w:id="8" w:name="_Toc28359079"/>
      <w:bookmarkStart w:id="9" w:name="_Toc35393621"/>
      <w:bookmarkStart w:id="10" w:name="_Toc35393790"/>
      <w:bookmarkStart w:id="11" w:name="_Hlk24379207"/>
    </w:p>
    <w:p w14:paraId="3B581608">
      <w:pPr>
        <w:pStyle w:val="3"/>
        <w:spacing w:before="0"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一、项目基本情况</w:t>
      </w:r>
      <w:bookmarkEnd w:id="7"/>
      <w:bookmarkEnd w:id="8"/>
      <w:bookmarkEnd w:id="9"/>
      <w:bookmarkEnd w:id="10"/>
    </w:p>
    <w:p w14:paraId="296107F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1.项目编号：</w:t>
      </w:r>
    </w:p>
    <w:p w14:paraId="0DB4C57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rPr>
        <w:t>基建-教育系统消防改造-顺义区仁和中学(教学楼)</w:t>
      </w:r>
    </w:p>
    <w:p w14:paraId="57304A4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3.采购方式：竞争性磋商</w:t>
      </w:r>
    </w:p>
    <w:bookmarkEnd w:id="11"/>
    <w:p w14:paraId="11EE915F">
      <w:pPr>
        <w:spacing w:line="360" w:lineRule="auto"/>
        <w:ind w:left="210" w:leftChars="100" w:firstLine="240" w:firstLineChars="100"/>
        <w:rPr>
          <w:rFonts w:hint="eastAsia" w:ascii="宋体" w:hAnsi="宋体"/>
          <w:color w:val="auto"/>
          <w:sz w:val="24"/>
          <w:highlight w:val="none"/>
        </w:rPr>
      </w:pPr>
      <w:r>
        <w:rPr>
          <w:rFonts w:ascii="宋体" w:hAnsi="宋体"/>
          <w:color w:val="auto"/>
          <w:sz w:val="24"/>
          <w:highlight w:val="none"/>
        </w:rPr>
        <w:t>4.项目预算金额：</w:t>
      </w:r>
      <w:r>
        <w:rPr>
          <w:rFonts w:hint="eastAsia" w:ascii="宋体" w:hAnsi="宋体"/>
          <w:bCs/>
          <w:color w:val="auto"/>
          <w:sz w:val="24"/>
          <w:highlight w:val="none"/>
        </w:rPr>
        <w:t>325.512731</w:t>
      </w:r>
      <w:r>
        <w:rPr>
          <w:rFonts w:ascii="宋体" w:hAnsi="宋体"/>
          <w:color w:val="auto"/>
          <w:sz w:val="24"/>
          <w:highlight w:val="none"/>
        </w:rPr>
        <w:t>万元，项目最高限价：</w:t>
      </w:r>
      <w:r>
        <w:rPr>
          <w:rFonts w:hint="eastAsia" w:ascii="宋体" w:hAnsi="宋体"/>
          <w:bCs/>
          <w:color w:val="auto"/>
          <w:sz w:val="24"/>
          <w:highlight w:val="none"/>
        </w:rPr>
        <w:t>325.512731</w:t>
      </w:r>
      <w:r>
        <w:rPr>
          <w:rFonts w:hint="eastAsia" w:ascii="宋体" w:hAnsi="宋体"/>
          <w:color w:val="auto"/>
          <w:sz w:val="24"/>
          <w:highlight w:val="none"/>
        </w:rPr>
        <w:t>万元</w:t>
      </w:r>
    </w:p>
    <w:p w14:paraId="47AA2E9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5.采购需求：</w:t>
      </w:r>
    </w:p>
    <w:tbl>
      <w:tblPr>
        <w:tblStyle w:val="53"/>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42"/>
        <w:gridCol w:w="851"/>
        <w:gridCol w:w="3719"/>
      </w:tblGrid>
      <w:tr w14:paraId="6050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54" w:type="dxa"/>
            <w:vAlign w:val="center"/>
          </w:tcPr>
          <w:p w14:paraId="5E214AEA">
            <w:pPr>
              <w:jc w:val="center"/>
              <w:rPr>
                <w:rFonts w:hint="eastAsia" w:ascii="宋体" w:hAnsi="宋体" w:cs="宋体"/>
                <w:bCs/>
                <w:color w:val="auto"/>
                <w:szCs w:val="21"/>
                <w:highlight w:val="none"/>
              </w:rPr>
            </w:pPr>
            <w:r>
              <w:rPr>
                <w:rFonts w:hint="eastAsia" w:ascii="宋体" w:hAnsi="宋体" w:cs="宋体"/>
                <w:bCs/>
                <w:color w:val="auto"/>
                <w:szCs w:val="21"/>
                <w:highlight w:val="none"/>
              </w:rPr>
              <w:t>标的名称</w:t>
            </w:r>
          </w:p>
        </w:tc>
        <w:tc>
          <w:tcPr>
            <w:tcW w:w="1842" w:type="dxa"/>
            <w:vAlign w:val="center"/>
          </w:tcPr>
          <w:p w14:paraId="68B1419D">
            <w:pPr>
              <w:jc w:val="center"/>
              <w:rPr>
                <w:rFonts w:hint="eastAsia" w:ascii="宋体" w:hAnsi="宋体" w:cs="宋体"/>
                <w:bCs/>
                <w:color w:val="auto"/>
                <w:szCs w:val="21"/>
                <w:highlight w:val="none"/>
              </w:rPr>
            </w:pPr>
            <w:r>
              <w:rPr>
                <w:rFonts w:hint="eastAsia" w:ascii="宋体" w:hAnsi="宋体" w:cs="宋体"/>
                <w:bCs/>
                <w:color w:val="auto"/>
                <w:szCs w:val="21"/>
                <w:highlight w:val="none"/>
              </w:rPr>
              <w:t>采购包预算金额</w:t>
            </w:r>
          </w:p>
          <w:p w14:paraId="1C8F807E">
            <w:pPr>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851" w:type="dxa"/>
            <w:vAlign w:val="center"/>
          </w:tcPr>
          <w:p w14:paraId="639FB158">
            <w:pPr>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3719" w:type="dxa"/>
            <w:vAlign w:val="center"/>
          </w:tcPr>
          <w:p w14:paraId="3BC975A2">
            <w:pPr>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简要技术需求或服务要求</w:t>
            </w:r>
          </w:p>
        </w:tc>
      </w:tr>
      <w:tr w14:paraId="597E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54" w:type="dxa"/>
            <w:vAlign w:val="center"/>
          </w:tcPr>
          <w:p w14:paraId="09BE43BB">
            <w:pPr>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房屋修缮工程</w:t>
            </w:r>
          </w:p>
        </w:tc>
        <w:tc>
          <w:tcPr>
            <w:tcW w:w="1842" w:type="dxa"/>
            <w:vAlign w:val="center"/>
          </w:tcPr>
          <w:p w14:paraId="562A1EF1">
            <w:pPr>
              <w:jc w:val="center"/>
              <w:rPr>
                <w:rFonts w:hint="eastAsia" w:ascii="宋体" w:hAnsi="宋体" w:cs="宋体"/>
                <w:bCs/>
                <w:color w:val="auto"/>
                <w:szCs w:val="21"/>
                <w:highlight w:val="none"/>
              </w:rPr>
            </w:pPr>
            <w:r>
              <w:rPr>
                <w:rFonts w:hint="eastAsia" w:ascii="宋体" w:hAnsi="宋体" w:cs="宋体"/>
                <w:bCs/>
                <w:color w:val="auto"/>
                <w:szCs w:val="21"/>
                <w:highlight w:val="none"/>
              </w:rPr>
              <w:t>325.512731</w:t>
            </w:r>
          </w:p>
        </w:tc>
        <w:tc>
          <w:tcPr>
            <w:tcW w:w="851" w:type="dxa"/>
            <w:vAlign w:val="center"/>
          </w:tcPr>
          <w:p w14:paraId="3A681A72">
            <w:pPr>
              <w:jc w:val="center"/>
              <w:rPr>
                <w:rFonts w:hint="eastAsia" w:ascii="宋体" w:hAnsi="宋体" w:cs="宋体"/>
                <w:bCs/>
                <w:color w:val="auto"/>
                <w:szCs w:val="21"/>
                <w:highlight w:val="none"/>
              </w:rPr>
            </w:pPr>
            <w:r>
              <w:rPr>
                <w:rFonts w:hint="eastAsia" w:ascii="宋体" w:hAnsi="宋体" w:cs="宋体"/>
                <w:bCs/>
                <w:color w:val="auto"/>
                <w:szCs w:val="21"/>
                <w:highlight w:val="none"/>
              </w:rPr>
              <w:t>1项</w:t>
            </w:r>
          </w:p>
        </w:tc>
        <w:tc>
          <w:tcPr>
            <w:tcW w:w="3719" w:type="dxa"/>
            <w:vAlign w:val="center"/>
          </w:tcPr>
          <w:p w14:paraId="278D21A5">
            <w:pPr>
              <w:rPr>
                <w:rFonts w:hint="eastAsia" w:ascii="宋体" w:hAnsi="宋体" w:cs="宋体"/>
                <w:bCs/>
                <w:color w:val="auto"/>
                <w:szCs w:val="21"/>
                <w:highlight w:val="none"/>
              </w:rPr>
            </w:pPr>
            <w:r>
              <w:rPr>
                <w:rFonts w:hint="eastAsia" w:ascii="宋体" w:hAnsi="宋体" w:cs="宋体"/>
                <w:bCs/>
                <w:color w:val="auto"/>
                <w:szCs w:val="21"/>
                <w:highlight w:val="none"/>
              </w:rPr>
              <w:t>（1）施工范围：本项目设计图纸及工程量清单范围内的消防设施改造维修及其附属等全部施工；</w:t>
            </w:r>
          </w:p>
          <w:p w14:paraId="05BB358C">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（2）建设规模：总建筑面积为27865平方米，其中科技楼为13545平方米，教学楼为14320平方米；</w:t>
            </w:r>
            <w:r>
              <w:rPr>
                <w:rFonts w:hint="eastAsia" w:ascii="宋体" w:hAnsi="宋体" w:cs="宋体"/>
                <w:bCs/>
                <w:color w:val="auto"/>
                <w:szCs w:val="21"/>
                <w:highlight w:val="none"/>
                <w:lang w:eastAsia="zh-CN"/>
              </w:rPr>
              <w:t>改造涉及面积14595平方米；</w:t>
            </w:r>
          </w:p>
          <w:p w14:paraId="791BF1F7">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（3）建设地点：北京市顺义区站前东街6号；</w:t>
            </w:r>
          </w:p>
          <w:p w14:paraId="2E938CD0">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14B6B03D">
            <w:pPr>
              <w:jc w:val="left"/>
              <w:rPr>
                <w:rFonts w:hint="eastAsia" w:ascii="宋体" w:hAnsi="宋体" w:cs="宋体"/>
                <w:bCs/>
                <w:color w:val="auto"/>
                <w:szCs w:val="21"/>
                <w:highlight w:val="none"/>
              </w:rPr>
            </w:pPr>
            <w:r>
              <w:rPr>
                <w:rFonts w:hint="eastAsia" w:ascii="宋体" w:hAnsi="宋体" w:cs="宋体"/>
                <w:bCs/>
                <w:color w:val="auto"/>
                <w:szCs w:val="21"/>
                <w:highlight w:val="none"/>
              </w:rPr>
              <w:t>（5）安全生产标准化管理目标等级:达标；</w:t>
            </w:r>
          </w:p>
          <w:p w14:paraId="086ECCF6">
            <w:pPr>
              <w:jc w:val="left"/>
              <w:rPr>
                <w:rFonts w:hint="eastAsia" w:ascii="宋体" w:hAnsi="宋体" w:cs="宋体"/>
                <w:bCs/>
                <w:color w:val="auto"/>
                <w:szCs w:val="21"/>
                <w:highlight w:val="none"/>
              </w:rPr>
            </w:pPr>
            <w:r>
              <w:rPr>
                <w:rFonts w:hint="eastAsia" w:ascii="宋体" w:hAnsi="宋体" w:cs="宋体"/>
                <w:bCs/>
                <w:color w:val="auto"/>
                <w:szCs w:val="21"/>
                <w:highlight w:val="none"/>
              </w:rPr>
              <w:t>具体内容详见“第四章采购需求”。</w:t>
            </w:r>
          </w:p>
        </w:tc>
      </w:tr>
    </w:tbl>
    <w:p w14:paraId="76E13811">
      <w:pPr>
        <w:spacing w:before="24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6</w:t>
      </w:r>
      <w:r>
        <w:rPr>
          <w:rFonts w:ascii="宋体" w:hAnsi="宋体"/>
          <w:color w:val="auto"/>
          <w:sz w:val="24"/>
          <w:highlight w:val="none"/>
        </w:rPr>
        <w:t>.合同履行期限</w:t>
      </w:r>
      <w:r>
        <w:rPr>
          <w:rFonts w:hint="eastAsia" w:ascii="宋体" w:hAnsi="宋体"/>
          <w:color w:val="auto"/>
          <w:sz w:val="24"/>
          <w:highlight w:val="none"/>
        </w:rPr>
        <w:t>（工期）</w:t>
      </w:r>
      <w:r>
        <w:rPr>
          <w:rFonts w:ascii="宋体" w:hAnsi="宋体"/>
          <w:color w:val="auto"/>
          <w:sz w:val="24"/>
          <w:highlight w:val="none"/>
        </w:rPr>
        <w:t>：</w:t>
      </w:r>
      <w:r>
        <w:rPr>
          <w:rFonts w:hint="eastAsia" w:ascii="宋体" w:hAnsi="宋体"/>
          <w:color w:val="auto"/>
          <w:sz w:val="24"/>
          <w:highlight w:val="none"/>
        </w:rPr>
        <w:t>91日历天。</w:t>
      </w:r>
    </w:p>
    <w:p w14:paraId="42D0BD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.本项目是否接受联合体：</w:t>
      </w:r>
      <w:r>
        <w:rPr>
          <w:rFonts w:hint="eastAsia" w:ascii="宋体" w:hAnsi="宋体"/>
          <w:color w:val="auto"/>
          <w:sz w:val="24"/>
          <w:highlight w:val="none"/>
        </w:rPr>
        <w:t>□</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14:paraId="42E9133D">
      <w:pPr>
        <w:pStyle w:val="3"/>
        <w:spacing w:before="0" w:line="360" w:lineRule="auto"/>
        <w:jc w:val="left"/>
        <w:rPr>
          <w:rFonts w:hint="eastAsia" w:ascii="宋体" w:hAnsi="宋体" w:eastAsia="宋体"/>
          <w:color w:val="auto"/>
          <w:sz w:val="24"/>
          <w:szCs w:val="24"/>
          <w:highlight w:val="none"/>
        </w:rPr>
      </w:pPr>
      <w:bookmarkStart w:id="12" w:name="_Toc28359003"/>
      <w:bookmarkStart w:id="13" w:name="_Toc35393622"/>
      <w:bookmarkStart w:id="14" w:name="_Toc35393791"/>
      <w:bookmarkStart w:id="15" w:name="_Toc28359080"/>
      <w:r>
        <w:rPr>
          <w:rFonts w:ascii="宋体" w:hAnsi="宋体" w:eastAsia="宋体"/>
          <w:color w:val="auto"/>
          <w:sz w:val="24"/>
          <w:szCs w:val="24"/>
          <w:highlight w:val="none"/>
        </w:rPr>
        <w:t>二、申请人的资格要求（须同时满足）</w:t>
      </w:r>
      <w:bookmarkEnd w:id="12"/>
      <w:bookmarkEnd w:id="13"/>
      <w:bookmarkEnd w:id="14"/>
      <w:bookmarkEnd w:id="15"/>
    </w:p>
    <w:p w14:paraId="2BD6F3A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1.满足《中华人民共和国政府采购法》第二十二条规定；</w:t>
      </w:r>
    </w:p>
    <w:p w14:paraId="3A41967A">
      <w:pPr>
        <w:spacing w:line="360" w:lineRule="auto"/>
        <w:ind w:firstLine="480" w:firstLineChars="200"/>
        <w:rPr>
          <w:rFonts w:hint="eastAsia" w:ascii="宋体" w:hAnsi="宋体"/>
          <w:color w:val="auto"/>
          <w:sz w:val="24"/>
          <w:highlight w:val="none"/>
        </w:rPr>
      </w:pPr>
      <w:bookmarkStart w:id="16" w:name="_Toc28359004"/>
      <w:bookmarkStart w:id="17" w:name="_Toc28359081"/>
      <w:r>
        <w:rPr>
          <w:rFonts w:ascii="宋体" w:hAnsi="宋体"/>
          <w:color w:val="auto"/>
          <w:sz w:val="24"/>
          <w:highlight w:val="none"/>
        </w:rPr>
        <w:t>2.落实政府采购政策需满足的资格要求：</w:t>
      </w:r>
    </w:p>
    <w:p w14:paraId="5EF77BB9">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2.1 中小企业政策</w:t>
      </w:r>
      <w:r>
        <w:rPr>
          <w:rFonts w:hint="eastAsia" w:ascii="宋体" w:hAnsi="宋体"/>
          <w:color w:val="auto"/>
          <w:sz w:val="24"/>
          <w:highlight w:val="none"/>
        </w:rPr>
        <w:t>：</w:t>
      </w:r>
    </w:p>
    <w:p w14:paraId="691872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本项目不专门面向中小企业预留采购份额。</w:t>
      </w:r>
    </w:p>
    <w:p w14:paraId="46C70AC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本项目专门面向 </w:t>
      </w:r>
      <w:r>
        <w:rPr>
          <w:rFonts w:hint="eastAsia" w:ascii="宋体" w:hAnsi="宋体"/>
          <w:color w:val="auto"/>
          <w:sz w:val="24"/>
          <w:highlight w:val="none"/>
        </w:rPr>
        <w:t>■</w:t>
      </w:r>
      <w:r>
        <w:rPr>
          <w:rFonts w:ascii="宋体" w:hAnsi="宋体"/>
          <w:color w:val="auto"/>
          <w:sz w:val="24"/>
          <w:highlight w:val="none"/>
        </w:rPr>
        <w:t xml:space="preserve"> 中小</w:t>
      </w:r>
      <w:r>
        <w:rPr>
          <w:rFonts w:hint="eastAsia" w:ascii="宋体" w:hAnsi="宋体"/>
          <w:color w:val="auto"/>
          <w:sz w:val="24"/>
          <w:highlight w:val="none"/>
        </w:rPr>
        <w:t xml:space="preserve">  □</w:t>
      </w:r>
      <w:r>
        <w:rPr>
          <w:rFonts w:ascii="宋体" w:hAnsi="宋体"/>
          <w:color w:val="auto"/>
          <w:sz w:val="24"/>
          <w:highlight w:val="none"/>
        </w:rPr>
        <w:t>小微企业  采购。即：提供的</w:t>
      </w:r>
      <w:r>
        <w:rPr>
          <w:rFonts w:hint="eastAsia" w:ascii="宋体" w:hAnsi="宋体"/>
          <w:color w:val="auto"/>
          <w:sz w:val="24"/>
          <w:highlight w:val="none"/>
        </w:rPr>
        <w:t>工程全部由中小企业承建</w:t>
      </w:r>
      <w:r>
        <w:rPr>
          <w:rFonts w:ascii="宋体" w:hAnsi="宋体"/>
          <w:color w:val="auto"/>
          <w:sz w:val="24"/>
          <w:highlight w:val="none"/>
        </w:rPr>
        <w:t>。</w:t>
      </w:r>
    </w:p>
    <w:p w14:paraId="2B07F4D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□本项目预留部分采购项目预算专门面向中小企业采购。对于预留份额，提供的工程由符合政策要求的中小企业承建。预留份额通过以下措施进行</w:t>
      </w:r>
      <w:r>
        <w:rPr>
          <w:rFonts w:hint="eastAsia"/>
          <w:color w:val="auto"/>
          <w:highlight w:val="none"/>
        </w:rPr>
        <w:t>：/</w:t>
      </w:r>
    </w:p>
    <w:p w14:paraId="171C241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 其它落实政府采购政策的资格要求（如有）：</w:t>
      </w:r>
      <w:r>
        <w:rPr>
          <w:rFonts w:ascii="宋体" w:hAnsi="宋体"/>
          <w:color w:val="auto"/>
          <w:sz w:val="24"/>
          <w:highlight w:val="none"/>
          <w:u w:val="single"/>
        </w:rPr>
        <w:t xml:space="preserve">   /   </w:t>
      </w:r>
      <w:r>
        <w:rPr>
          <w:rFonts w:hint="eastAsia" w:ascii="宋体" w:hAnsi="宋体"/>
          <w:color w:val="auto"/>
          <w:sz w:val="24"/>
          <w:highlight w:val="none"/>
        </w:rPr>
        <w:t>。</w:t>
      </w:r>
    </w:p>
    <w:p w14:paraId="56A6580F">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3.本项目的特定资格要求：</w:t>
      </w:r>
      <w:r>
        <w:rPr>
          <w:rFonts w:hint="eastAsia" w:ascii="宋体" w:hAnsi="宋体"/>
          <w:color w:val="auto"/>
          <w:sz w:val="24"/>
          <w:highlight w:val="none"/>
        </w:rPr>
        <w:t xml:space="preserve"> </w:t>
      </w:r>
    </w:p>
    <w:p w14:paraId="5D120A36">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本项目是否属于政府购买服务：</w:t>
      </w:r>
    </w:p>
    <w:p w14:paraId="5AA74607">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p w14:paraId="59C5A806">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是，公益一类事业单位、使用事业编制且由财政拨款保障的群团组织，不得作为承接主体；</w:t>
      </w:r>
    </w:p>
    <w:p w14:paraId="784000D9">
      <w:pPr>
        <w:pStyle w:val="269"/>
        <w:spacing w:before="0" w:beforeAutospacing="0" w:after="0" w:afterAutospacing="0" w:line="360" w:lineRule="auto"/>
        <w:ind w:firstLine="480" w:firstLineChars="200"/>
        <w:rPr>
          <w:rFonts w:hint="eastAsia"/>
          <w:color w:val="auto"/>
          <w:highlight w:val="none"/>
        </w:rPr>
      </w:pPr>
      <w:r>
        <w:rPr>
          <w:color w:val="auto"/>
          <w:highlight w:val="none"/>
        </w:rPr>
        <w:t>3.</w:t>
      </w:r>
      <w:r>
        <w:rPr>
          <w:rFonts w:hint="eastAsia"/>
          <w:color w:val="auto"/>
          <w:highlight w:val="none"/>
        </w:rPr>
        <w:t>2</w:t>
      </w:r>
      <w:r>
        <w:rPr>
          <w:color w:val="auto"/>
          <w:highlight w:val="none"/>
        </w:rPr>
        <w:t>其他特定资格要求：</w:t>
      </w:r>
    </w:p>
    <w:p w14:paraId="70A29501">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（1）供应商须具备建设行政主管部门核发的有效的消防设施工程专业承包二级（含）以上资质；</w:t>
      </w:r>
    </w:p>
    <w:p w14:paraId="50A99F00">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（2）具有有效的《安全生产许可证》，且未被北京市住房城乡建设主管部门</w:t>
      </w:r>
      <w:bookmarkStart w:id="18" w:name="OLE_LINK4"/>
      <w:r>
        <w:rPr>
          <w:rFonts w:hint="eastAsia" w:cs="Times New Roman"/>
          <w:color w:val="auto"/>
          <w:kern w:val="2"/>
          <w:highlight w:val="none"/>
          <w:u w:val="single"/>
        </w:rPr>
        <w:t>暂扣</w:t>
      </w:r>
      <w:bookmarkEnd w:id="18"/>
      <w:r>
        <w:rPr>
          <w:rFonts w:hint="eastAsia" w:cs="Times New Roman"/>
          <w:color w:val="auto"/>
          <w:kern w:val="2"/>
          <w:highlight w:val="none"/>
          <w:u w:val="single"/>
        </w:rPr>
        <w:t>；</w:t>
      </w:r>
    </w:p>
    <w:p w14:paraId="4C0B69F1">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（3）不存在被北京市住房城乡建设主管部门标注资质（本项目所涉及资质）异常且未完成整改情形；</w:t>
      </w:r>
    </w:p>
    <w:p w14:paraId="2446502E">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（4）未被北京市住房城乡建设主管部门警示为施工安全风险企业；</w:t>
      </w:r>
    </w:p>
    <w:p w14:paraId="3A20C8B3">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（5）拟派项目经理须具备机电工程专业二级（含）以上注册建造师执业资格，具备有效的安全生产考核合格证书（B本），且在确定成交人时不得担任其他在施建设工程项目的项目经理。</w:t>
      </w:r>
    </w:p>
    <w:bookmarkEnd w:id="16"/>
    <w:bookmarkEnd w:id="17"/>
    <w:p w14:paraId="4E2E5DDD">
      <w:pPr>
        <w:pStyle w:val="3"/>
        <w:widowControl/>
        <w:spacing w:before="0" w:line="360" w:lineRule="auto"/>
        <w:jc w:val="left"/>
        <w:rPr>
          <w:rFonts w:hint="eastAsia" w:ascii="宋体" w:hAnsi="宋体" w:eastAsia="宋体"/>
          <w:color w:val="auto"/>
          <w:sz w:val="24"/>
          <w:szCs w:val="24"/>
          <w:highlight w:val="none"/>
        </w:rPr>
      </w:pPr>
      <w:bookmarkStart w:id="19" w:name="_Toc35393792"/>
      <w:bookmarkStart w:id="20" w:name="_Toc35393623"/>
      <w:r>
        <w:rPr>
          <w:rFonts w:ascii="宋体" w:hAnsi="宋体" w:eastAsia="宋体"/>
          <w:color w:val="auto"/>
          <w:sz w:val="24"/>
          <w:szCs w:val="24"/>
          <w:highlight w:val="none"/>
        </w:rPr>
        <w:t>三、获取采购文件</w:t>
      </w:r>
      <w:bookmarkEnd w:id="19"/>
      <w:bookmarkEnd w:id="20"/>
    </w:p>
    <w:p w14:paraId="3FDDCC14">
      <w:pPr>
        <w:adjustRightInd w:val="0"/>
        <w:snapToGrid w:val="0"/>
        <w:spacing w:line="360" w:lineRule="auto"/>
        <w:ind w:firstLine="480" w:firstLineChars="200"/>
        <w:rPr>
          <w:rFonts w:hint="eastAsia" w:ascii="宋体" w:hAnsi="宋体"/>
          <w:color w:val="auto"/>
          <w:sz w:val="24"/>
          <w:highlight w:val="none"/>
          <w:lang w:bidi="ar"/>
        </w:rPr>
      </w:pPr>
      <w:r>
        <w:rPr>
          <w:rFonts w:ascii="宋体" w:hAnsi="宋体"/>
          <w:color w:val="auto"/>
          <w:sz w:val="24"/>
          <w:highlight w:val="none"/>
          <w:lang w:bidi="ar"/>
        </w:rPr>
        <w:t>1.时间：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lang w:val="en-US" w:eastAsia="zh-CN" w:bidi="ar"/>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14</w:t>
      </w:r>
      <w:r>
        <w:rPr>
          <w:rFonts w:ascii="宋体" w:hAnsi="宋体"/>
          <w:color w:val="auto"/>
          <w:sz w:val="24"/>
          <w:highlight w:val="none"/>
          <w:lang w:bidi="ar"/>
        </w:rPr>
        <w:t>日至</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21</w:t>
      </w:r>
      <w:r>
        <w:rPr>
          <w:rFonts w:ascii="宋体" w:hAnsi="宋体"/>
          <w:color w:val="auto"/>
          <w:sz w:val="24"/>
          <w:highlight w:val="none"/>
          <w:lang w:bidi="ar"/>
        </w:rPr>
        <w:t>日，每天上午</w:t>
      </w:r>
      <w:r>
        <w:rPr>
          <w:rFonts w:ascii="宋体" w:hAnsi="宋体"/>
          <w:color w:val="auto"/>
          <w:sz w:val="24"/>
          <w:highlight w:val="none"/>
          <w:u w:val="single"/>
        </w:rPr>
        <w:t>09:00</w:t>
      </w:r>
      <w:r>
        <w:rPr>
          <w:rFonts w:ascii="宋体" w:hAnsi="宋体"/>
          <w:color w:val="auto"/>
          <w:sz w:val="24"/>
          <w:highlight w:val="none"/>
          <w:lang w:bidi="ar"/>
        </w:rPr>
        <w:t>至</w:t>
      </w:r>
      <w:r>
        <w:rPr>
          <w:rFonts w:ascii="宋体" w:hAnsi="宋体"/>
          <w:color w:val="auto"/>
          <w:sz w:val="24"/>
          <w:highlight w:val="none"/>
          <w:u w:val="single"/>
        </w:rPr>
        <w:t>12:00</w:t>
      </w:r>
      <w:r>
        <w:rPr>
          <w:rFonts w:ascii="宋体" w:hAnsi="宋体"/>
          <w:color w:val="auto"/>
          <w:sz w:val="24"/>
          <w:highlight w:val="none"/>
          <w:lang w:bidi="ar"/>
        </w:rPr>
        <w:t>，下午</w:t>
      </w:r>
      <w:r>
        <w:rPr>
          <w:rFonts w:ascii="宋体" w:hAnsi="宋体"/>
          <w:color w:val="auto"/>
          <w:sz w:val="24"/>
          <w:highlight w:val="none"/>
          <w:u w:val="single"/>
        </w:rPr>
        <w:t>12:00</w:t>
      </w:r>
      <w:r>
        <w:rPr>
          <w:rFonts w:ascii="宋体" w:hAnsi="宋体"/>
          <w:color w:val="auto"/>
          <w:sz w:val="24"/>
          <w:highlight w:val="none"/>
          <w:lang w:bidi="ar"/>
        </w:rPr>
        <w:t>至</w:t>
      </w:r>
      <w:r>
        <w:rPr>
          <w:rFonts w:ascii="宋体" w:hAnsi="宋体"/>
          <w:color w:val="auto"/>
          <w:sz w:val="24"/>
          <w:highlight w:val="none"/>
          <w:u w:val="single"/>
        </w:rPr>
        <w:t>17:00</w:t>
      </w:r>
      <w:r>
        <w:rPr>
          <w:rFonts w:ascii="宋体" w:hAnsi="宋体"/>
          <w:color w:val="auto"/>
          <w:sz w:val="24"/>
          <w:highlight w:val="none"/>
          <w:lang w:bidi="ar"/>
        </w:rPr>
        <w:t>（北京时间，法定节假日除外）。</w:t>
      </w:r>
    </w:p>
    <w:p w14:paraId="0E305225">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lang w:bidi="ar"/>
        </w:rPr>
        <w:t>2.地点：</w:t>
      </w:r>
      <w:r>
        <w:rPr>
          <w:rFonts w:hint="eastAsia" w:ascii="宋体" w:hAnsi="宋体"/>
          <w:color w:val="auto"/>
          <w:sz w:val="24"/>
          <w:highlight w:val="none"/>
          <w:lang w:bidi="ar"/>
        </w:rPr>
        <w:t>北京市政府采购电子交易平台</w:t>
      </w:r>
    </w:p>
    <w:p w14:paraId="04522711">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3.方式：供应商使用CA数字证书或电子营业执照登录北京市政府采购电子交易平台</w:t>
      </w:r>
      <w:r>
        <w:rPr>
          <w:rFonts w:hint="eastAsia" w:ascii="宋体" w:hAnsi="宋体"/>
          <w:color w:val="auto"/>
          <w:spacing w:val="-6"/>
          <w:sz w:val="24"/>
          <w:highlight w:val="none"/>
          <w:lang w:bidi="ar"/>
        </w:rPr>
        <w:t>（http://zbcg-bjzc.zhongcy.com/bjczj-portal-site/index.html#/home）</w:t>
      </w:r>
      <w:r>
        <w:rPr>
          <w:rFonts w:ascii="宋体" w:hAnsi="宋体"/>
          <w:color w:val="auto"/>
          <w:sz w:val="24"/>
          <w:highlight w:val="none"/>
          <w:lang w:bidi="ar"/>
        </w:rPr>
        <w:t>获取电子版竞争性磋商文件。</w:t>
      </w:r>
    </w:p>
    <w:p w14:paraId="57245AB1">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lang w:bidi="ar"/>
        </w:rPr>
        <w:t>4.售价：0元。</w:t>
      </w:r>
    </w:p>
    <w:p w14:paraId="1F1A3234">
      <w:pPr>
        <w:pStyle w:val="3"/>
        <w:widowControl/>
        <w:spacing w:before="0" w:line="360" w:lineRule="auto"/>
        <w:jc w:val="left"/>
        <w:rPr>
          <w:rFonts w:hint="eastAsia" w:ascii="宋体" w:hAnsi="宋体" w:eastAsia="宋体"/>
          <w:color w:val="auto"/>
          <w:sz w:val="24"/>
          <w:szCs w:val="24"/>
          <w:highlight w:val="none"/>
        </w:rPr>
      </w:pPr>
      <w:bookmarkStart w:id="21" w:name="_Toc35393793"/>
      <w:bookmarkStart w:id="22" w:name="_Toc28359082"/>
      <w:bookmarkStart w:id="23" w:name="_Toc28359005"/>
      <w:bookmarkStart w:id="24" w:name="_Toc35393624"/>
      <w:r>
        <w:rPr>
          <w:rFonts w:ascii="宋体" w:hAnsi="宋体" w:eastAsia="宋体"/>
          <w:color w:val="auto"/>
          <w:sz w:val="24"/>
          <w:szCs w:val="24"/>
          <w:highlight w:val="none"/>
        </w:rPr>
        <w:t>四、</w:t>
      </w:r>
      <w:bookmarkEnd w:id="21"/>
      <w:bookmarkEnd w:id="22"/>
      <w:bookmarkEnd w:id="23"/>
      <w:bookmarkEnd w:id="24"/>
      <w:r>
        <w:rPr>
          <w:rFonts w:ascii="宋体" w:hAnsi="宋体" w:eastAsia="宋体"/>
          <w:color w:val="auto"/>
          <w:sz w:val="24"/>
          <w:szCs w:val="24"/>
          <w:highlight w:val="none"/>
        </w:rPr>
        <w:t>响应文件提交</w:t>
      </w:r>
    </w:p>
    <w:p w14:paraId="43E82674">
      <w:pPr>
        <w:spacing w:line="360" w:lineRule="auto"/>
        <w:ind w:firstLine="480" w:firstLineChars="200"/>
        <w:rPr>
          <w:rFonts w:hint="eastAsia" w:ascii="宋体" w:hAnsi="宋体"/>
          <w:bCs/>
          <w:color w:val="auto"/>
          <w:sz w:val="24"/>
          <w:highlight w:val="none"/>
          <w:u w:val="single"/>
        </w:rPr>
      </w:pPr>
      <w:r>
        <w:rPr>
          <w:rFonts w:ascii="宋体" w:hAnsi="宋体"/>
          <w:color w:val="auto"/>
          <w:sz w:val="24"/>
          <w:highlight w:val="none"/>
          <w:lang w:bidi="ar"/>
        </w:rPr>
        <w:t>截止时间：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24</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w:t>
      </w:r>
      <w:r>
        <w:rPr>
          <w:rFonts w:ascii="宋体" w:hAnsi="宋体"/>
          <w:bCs/>
          <w:color w:val="auto"/>
          <w:sz w:val="24"/>
          <w:highlight w:val="none"/>
          <w:lang w:bidi="ar"/>
        </w:rPr>
        <w:t>（北京时间）</w:t>
      </w:r>
      <w:r>
        <w:rPr>
          <w:rFonts w:ascii="宋体" w:hAnsi="宋体"/>
          <w:iCs/>
          <w:color w:val="auto"/>
          <w:sz w:val="24"/>
          <w:highlight w:val="none"/>
          <w:lang w:bidi="ar"/>
        </w:rPr>
        <w:t>。</w:t>
      </w:r>
    </w:p>
    <w:p w14:paraId="18A46DBC">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北京市政府采购电子交易平台</w:t>
      </w:r>
      <w:r>
        <w:rPr>
          <w:rFonts w:hint="eastAsia" w:ascii="宋体" w:hAnsi="宋体"/>
          <w:color w:val="auto"/>
          <w:sz w:val="24"/>
          <w:highlight w:val="none"/>
          <w:lang w:bidi="ar"/>
        </w:rPr>
        <w:t>（http://zbcg-bjzc.zhongcy.com/bjczj-portal-site/index.html#/home）</w:t>
      </w:r>
    </w:p>
    <w:p w14:paraId="73147C8D">
      <w:pPr>
        <w:pStyle w:val="3"/>
        <w:spacing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五、开启</w:t>
      </w:r>
    </w:p>
    <w:p w14:paraId="4A3F3359">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24</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分（北京时间）。</w:t>
      </w:r>
    </w:p>
    <w:p w14:paraId="63FAB651">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北京市顺义区复兴东街3号院顺义区政务服务中心6号电梯厅二层（以屏幕显示标室为准）</w:t>
      </w:r>
    </w:p>
    <w:p w14:paraId="52711A99">
      <w:pPr>
        <w:pStyle w:val="3"/>
        <w:spacing w:line="360" w:lineRule="auto"/>
        <w:jc w:val="left"/>
        <w:rPr>
          <w:rFonts w:hint="eastAsia" w:ascii="宋体" w:hAnsi="宋体" w:eastAsia="宋体"/>
          <w:color w:val="auto"/>
          <w:sz w:val="24"/>
          <w:szCs w:val="24"/>
          <w:highlight w:val="none"/>
        </w:rPr>
      </w:pPr>
      <w:bookmarkStart w:id="25" w:name="_Toc35393625"/>
      <w:bookmarkStart w:id="26" w:name="_Toc35393794"/>
      <w:bookmarkStart w:id="27" w:name="_Toc28359007"/>
      <w:bookmarkStart w:id="28" w:name="_Toc28359084"/>
      <w:r>
        <w:rPr>
          <w:rFonts w:ascii="宋体" w:hAnsi="宋体" w:eastAsia="宋体"/>
          <w:color w:val="auto"/>
          <w:sz w:val="24"/>
          <w:szCs w:val="24"/>
          <w:highlight w:val="none"/>
        </w:rPr>
        <w:t>六、公告期限</w:t>
      </w:r>
      <w:bookmarkEnd w:id="25"/>
      <w:bookmarkEnd w:id="26"/>
      <w:bookmarkEnd w:id="27"/>
      <w:bookmarkEnd w:id="28"/>
    </w:p>
    <w:p w14:paraId="7575D588">
      <w:pPr>
        <w:spacing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自本公告发布之日起3个工作日。</w:t>
      </w:r>
    </w:p>
    <w:p w14:paraId="175A8561">
      <w:pPr>
        <w:pStyle w:val="3"/>
        <w:spacing w:line="360" w:lineRule="auto"/>
        <w:jc w:val="left"/>
        <w:rPr>
          <w:rFonts w:hint="eastAsia" w:ascii="宋体" w:hAnsi="宋体" w:eastAsia="宋体"/>
          <w:color w:val="auto"/>
          <w:sz w:val="24"/>
          <w:szCs w:val="24"/>
          <w:highlight w:val="none"/>
        </w:rPr>
      </w:pPr>
      <w:bookmarkStart w:id="29" w:name="_Toc35393626"/>
      <w:bookmarkStart w:id="30" w:name="_Toc35393795"/>
      <w:r>
        <w:rPr>
          <w:rFonts w:ascii="宋体" w:hAnsi="宋体" w:eastAsia="宋体"/>
          <w:color w:val="auto"/>
          <w:sz w:val="24"/>
          <w:szCs w:val="24"/>
          <w:highlight w:val="none"/>
        </w:rPr>
        <w:t>七、其他补充事宜</w:t>
      </w:r>
      <w:bookmarkEnd w:id="29"/>
      <w:bookmarkEnd w:id="30"/>
    </w:p>
    <w:p w14:paraId="471FCF1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lang w:bidi="ar"/>
        </w:rPr>
        <w:t>本项目需要落实</w:t>
      </w:r>
      <w:r>
        <w:rPr>
          <w:rFonts w:hint="eastAsia" w:ascii="宋体" w:hAnsi="宋体"/>
          <w:color w:val="auto"/>
          <w:sz w:val="24"/>
          <w:highlight w:val="none"/>
          <w:u w:val="single"/>
          <w:lang w:bidi="ar"/>
        </w:rPr>
        <w:t>促进中小企业、监狱企业及残疾人福利性单位发展、节能环保</w:t>
      </w:r>
      <w:r>
        <w:rPr>
          <w:rFonts w:hint="eastAsia" w:ascii="宋体" w:hAnsi="宋体"/>
          <w:color w:val="auto"/>
          <w:sz w:val="24"/>
          <w:highlight w:val="none"/>
          <w:lang w:bidi="ar"/>
        </w:rPr>
        <w:t>等政府采购政策（具体要求见竞争性磋商文件）</w:t>
      </w:r>
      <w:r>
        <w:rPr>
          <w:rFonts w:ascii="宋体" w:hAnsi="宋体"/>
          <w:color w:val="auto"/>
          <w:sz w:val="24"/>
          <w:highlight w:val="none"/>
          <w:lang w:bidi="ar"/>
        </w:rPr>
        <w:t>。</w:t>
      </w:r>
    </w:p>
    <w:p w14:paraId="6AF39FEE">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5C1662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CA数字证书服务热线010-58511086</w:t>
      </w:r>
    </w:p>
    <w:p w14:paraId="79393C6E">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电子营业执照服务热线 400-699-7000</w:t>
      </w:r>
    </w:p>
    <w:p w14:paraId="48C5BB0E">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技术支持服务热线 010-86483801</w:t>
      </w:r>
    </w:p>
    <w:p w14:paraId="4C2DC3F6">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2.1 办理CA数字证书或电子营业执照</w:t>
      </w:r>
    </w:p>
    <w:p w14:paraId="0477E98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供应商登录北京市政府采购电子交易平台查阅“用户指南”—“操作指南”—“市场主体CA办理操作流程指引”/“电子营业执照使用指南”，按照程序要求办理。</w:t>
      </w:r>
    </w:p>
    <w:p w14:paraId="31C3579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2.2 注册</w:t>
      </w:r>
    </w:p>
    <w:p w14:paraId="1AB0C173">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供应商登录北京市政府采购电子交易平台“用户指南”—“操作指南”—“市场主体注册入库操作流程指引”进行自助注册绑定。</w:t>
      </w:r>
    </w:p>
    <w:p w14:paraId="6CF2D336">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2.3 驱动、客户端下载</w:t>
      </w:r>
    </w:p>
    <w:p w14:paraId="343DB29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供应商登录北京市政府采购电子交易平台“用户指南”—“工具下载”—“招标采购系统文件驱动安装包”下载相关驱动。 </w:t>
      </w:r>
    </w:p>
    <w:p w14:paraId="4226DC6D">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供应商登录北京市政府采购电子交易平台“用户指南”—“工具下载”—“投标文件编制工具”下载相关客户端。</w:t>
      </w:r>
    </w:p>
    <w:p w14:paraId="35F49967">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2.4 获取电子竞争性磋商文件</w:t>
      </w:r>
    </w:p>
    <w:p w14:paraId="2F4A6C95">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供应商使用CA数字证书或电子营业执照登录北京市政府采购电子交易平台获取电子竞争性磋商文件。</w:t>
      </w:r>
    </w:p>
    <w:p w14:paraId="086A12CA">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30019F">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2.5 编制电子响应文件 </w:t>
      </w:r>
    </w:p>
    <w:p w14:paraId="7AB10E73">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3C61A16">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2.6 提交电子响应文件</w:t>
      </w:r>
    </w:p>
    <w:p w14:paraId="26B50F1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供应商应于响应文件提交截止时间前在平台提交电子响应文件，上传电子响应文件过程中请保持与互联网的连接畅通。</w:t>
      </w:r>
    </w:p>
    <w:p w14:paraId="695EF11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2.7 开启响应文件 </w:t>
      </w:r>
    </w:p>
    <w:p w14:paraId="2C62D6D8">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5AC9B275">
      <w:pPr>
        <w:spacing w:line="360" w:lineRule="auto"/>
        <w:ind w:firstLine="480" w:firstLineChars="200"/>
        <w:rPr>
          <w:rFonts w:hint="eastAsia" w:ascii="宋体" w:hAnsi="宋体"/>
          <w:color w:val="auto"/>
          <w:sz w:val="24"/>
          <w:highlight w:val="none"/>
          <w:lang w:val="en" w:bidi="ar"/>
        </w:rPr>
      </w:pPr>
      <w:r>
        <w:rPr>
          <w:rFonts w:hint="eastAsia" w:ascii="宋体" w:hAnsi="宋体"/>
          <w:color w:val="auto"/>
          <w:sz w:val="24"/>
          <w:highlight w:val="none"/>
          <w:lang w:bidi="ar"/>
        </w:rPr>
        <w:t>3.</w:t>
      </w:r>
      <w:r>
        <w:rPr>
          <w:rFonts w:hint="eastAsia" w:ascii="宋体" w:hAnsi="宋体"/>
          <w:color w:val="auto"/>
          <w:sz w:val="24"/>
          <w:highlight w:val="none"/>
          <w:lang w:val="en" w:bidi="ar"/>
        </w:rPr>
        <w:t>公告媒体：本公告在中国政府采购网、北京市政府采购网发布。</w:t>
      </w:r>
    </w:p>
    <w:p w14:paraId="74A570C2">
      <w:pPr>
        <w:pStyle w:val="3"/>
        <w:spacing w:before="0" w:line="360" w:lineRule="auto"/>
        <w:jc w:val="left"/>
        <w:rPr>
          <w:rFonts w:hint="eastAsia" w:ascii="宋体" w:hAnsi="宋体" w:eastAsia="宋体"/>
          <w:color w:val="auto"/>
          <w:sz w:val="24"/>
          <w:szCs w:val="24"/>
          <w:highlight w:val="none"/>
        </w:rPr>
      </w:pPr>
      <w:bookmarkStart w:id="31" w:name="_Toc35393627"/>
      <w:bookmarkStart w:id="32" w:name="_Toc35393796"/>
      <w:bookmarkStart w:id="33" w:name="_Toc28359008"/>
      <w:bookmarkStart w:id="34" w:name="_Toc28359085"/>
      <w:r>
        <w:rPr>
          <w:rFonts w:ascii="宋体" w:hAnsi="宋体" w:eastAsia="宋体"/>
          <w:color w:val="auto"/>
          <w:sz w:val="24"/>
          <w:szCs w:val="24"/>
          <w:highlight w:val="none"/>
        </w:rPr>
        <w:t>八、对本项目提出询问，请按以下方式联系。</w:t>
      </w:r>
      <w:bookmarkEnd w:id="31"/>
      <w:bookmarkEnd w:id="32"/>
      <w:bookmarkEnd w:id="33"/>
      <w:bookmarkEnd w:id="34"/>
    </w:p>
    <w:p w14:paraId="14311860">
      <w:pPr>
        <w:widowControl/>
        <w:spacing w:line="360" w:lineRule="auto"/>
        <w:jc w:val="left"/>
        <w:rPr>
          <w:rFonts w:hint="eastAsia" w:ascii="宋体" w:hAnsi="宋体"/>
          <w:b/>
          <w:color w:val="auto"/>
          <w:sz w:val="24"/>
          <w:highlight w:val="none"/>
        </w:rPr>
      </w:pPr>
      <w:r>
        <w:rPr>
          <w:rFonts w:ascii="宋体" w:hAnsi="宋体"/>
          <w:color w:val="auto"/>
          <w:sz w:val="24"/>
          <w:highlight w:val="none"/>
        </w:rPr>
        <w:t>　　　</w:t>
      </w:r>
      <w:r>
        <w:rPr>
          <w:rFonts w:ascii="宋体" w:hAnsi="宋体"/>
          <w:b/>
          <w:color w:val="auto"/>
          <w:sz w:val="24"/>
          <w:highlight w:val="none"/>
        </w:rPr>
        <w:t>1.采购人信息</w:t>
      </w:r>
    </w:p>
    <w:p w14:paraId="65898DB6">
      <w:pPr>
        <w:spacing w:line="360" w:lineRule="auto"/>
        <w:ind w:left="1076" w:leftChars="371" w:hanging="297" w:hangingChars="124"/>
        <w:jc w:val="left"/>
        <w:rPr>
          <w:rFonts w:hint="eastAsia" w:ascii="宋体" w:hAnsi="宋体"/>
          <w:color w:val="auto"/>
          <w:sz w:val="24"/>
          <w:highlight w:val="none"/>
        </w:rPr>
      </w:pPr>
      <w:bookmarkStart w:id="35" w:name="_Toc28359086"/>
      <w:bookmarkStart w:id="36" w:name="_Toc28359009"/>
      <w:r>
        <w:rPr>
          <w:rFonts w:hint="eastAsia" w:ascii="宋体" w:hAnsi="宋体"/>
          <w:color w:val="auto"/>
          <w:sz w:val="24"/>
          <w:highlight w:val="none"/>
        </w:rPr>
        <w:t>名    称：</w:t>
      </w:r>
      <w:r>
        <w:rPr>
          <w:rFonts w:hint="eastAsia" w:ascii="宋体" w:hAnsi="宋体"/>
          <w:color w:val="auto"/>
          <w:sz w:val="24"/>
          <w:highlight w:val="none"/>
          <w:u w:val="single"/>
        </w:rPr>
        <w:t>北京市顺义区仁和中学</w:t>
      </w:r>
    </w:p>
    <w:p w14:paraId="632CC2A8">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北京市顺义区站前东街6号</w:t>
      </w:r>
    </w:p>
    <w:p w14:paraId="68AEA17E">
      <w:pPr>
        <w:spacing w:line="360" w:lineRule="auto"/>
        <w:ind w:left="1076" w:leftChars="371" w:hanging="297" w:hangingChars="124"/>
        <w:jc w:val="left"/>
        <w:rPr>
          <w:rFonts w:hint="eastAsia" w:ascii="宋体" w:hAnsi="宋体" w:eastAsia="宋体"/>
          <w:color w:val="auto"/>
          <w:sz w:val="24"/>
          <w:highlight w:val="none"/>
          <w:lang w:eastAsia="zh-CN"/>
        </w:rPr>
      </w:pPr>
      <w:r>
        <w:rPr>
          <w:rFonts w:hint="eastAsia" w:ascii="宋体" w:hAnsi="宋体"/>
          <w:color w:val="auto"/>
          <w:sz w:val="24"/>
          <w:highlight w:val="none"/>
        </w:rPr>
        <w:t>联系方式：</w:t>
      </w:r>
      <w:r>
        <w:rPr>
          <w:rFonts w:hint="eastAsia" w:ascii="宋体" w:hAnsi="宋体"/>
          <w:color w:val="auto"/>
          <w:sz w:val="24"/>
          <w:highlight w:val="none"/>
          <w:u w:val="single"/>
        </w:rPr>
        <w:t>韩建龙</w:t>
      </w:r>
      <w:r>
        <w:rPr>
          <w:rFonts w:hint="eastAsia" w:ascii="宋体" w:hAnsi="宋体"/>
          <w:color w:val="auto"/>
          <w:sz w:val="24"/>
          <w:highlight w:val="none"/>
          <w:u w:val="single"/>
          <w:lang w:eastAsia="zh-CN"/>
        </w:rPr>
        <w:t>，010-89493698</w:t>
      </w:r>
    </w:p>
    <w:p w14:paraId="24090568">
      <w:pPr>
        <w:spacing w:line="360" w:lineRule="auto"/>
        <w:ind w:left="1078" w:leftChars="371" w:hanging="299" w:hangingChars="124"/>
        <w:jc w:val="left"/>
        <w:rPr>
          <w:rFonts w:hint="eastAsia" w:ascii="宋体" w:hAnsi="宋体"/>
          <w:b/>
          <w:color w:val="auto"/>
          <w:sz w:val="24"/>
          <w:highlight w:val="none"/>
        </w:rPr>
      </w:pPr>
      <w:r>
        <w:rPr>
          <w:rFonts w:ascii="宋体" w:hAnsi="宋体"/>
          <w:b/>
          <w:color w:val="auto"/>
          <w:sz w:val="24"/>
          <w:highlight w:val="none"/>
        </w:rPr>
        <w:t>2.采购代理机构信息</w:t>
      </w:r>
      <w:bookmarkEnd w:id="35"/>
      <w:bookmarkEnd w:id="36"/>
      <w:r>
        <w:rPr>
          <w:rFonts w:hint="eastAsia" w:ascii="宋体" w:hAnsi="宋体"/>
          <w:b/>
          <w:color w:val="auto"/>
          <w:sz w:val="24"/>
          <w:highlight w:val="none"/>
        </w:rPr>
        <w:t xml:space="preserve"> </w:t>
      </w:r>
    </w:p>
    <w:p w14:paraId="1E7C3547">
      <w:pPr>
        <w:spacing w:line="360" w:lineRule="auto"/>
        <w:ind w:left="1076" w:leftChars="371" w:hanging="297" w:hangingChars="124"/>
        <w:jc w:val="left"/>
        <w:rPr>
          <w:rFonts w:hint="eastAsia" w:ascii="宋体" w:hAnsi="宋体"/>
          <w:color w:val="auto"/>
          <w:sz w:val="24"/>
          <w:highlight w:val="none"/>
        </w:rPr>
      </w:pPr>
      <w:bookmarkStart w:id="37" w:name="_Toc28359010"/>
      <w:bookmarkStart w:id="38" w:name="_Toc28359087"/>
      <w:r>
        <w:rPr>
          <w:rFonts w:hint="eastAsia" w:ascii="宋体" w:hAnsi="宋体"/>
          <w:color w:val="auto"/>
          <w:sz w:val="24"/>
          <w:highlight w:val="none"/>
        </w:rPr>
        <w:t xml:space="preserve">名 </w:t>
      </w:r>
      <w:r>
        <w:rPr>
          <w:rFonts w:ascii="宋体" w:hAnsi="宋体"/>
          <w:color w:val="auto"/>
          <w:sz w:val="24"/>
          <w:highlight w:val="none"/>
        </w:rPr>
        <w:t xml:space="preserve">   </w:t>
      </w:r>
      <w:r>
        <w:rPr>
          <w:rFonts w:hint="eastAsia" w:ascii="宋体" w:hAnsi="宋体"/>
          <w:color w:val="auto"/>
          <w:sz w:val="24"/>
          <w:highlight w:val="none"/>
        </w:rPr>
        <w:t>称：</w:t>
      </w:r>
      <w:r>
        <w:rPr>
          <w:rFonts w:hint="eastAsia" w:ascii="宋体" w:hAnsi="宋体"/>
          <w:color w:val="auto"/>
          <w:sz w:val="24"/>
          <w:highlight w:val="none"/>
          <w:u w:val="single"/>
        </w:rPr>
        <w:t>北京博睿丰工程咨询有限公司</w:t>
      </w:r>
    </w:p>
    <w:p w14:paraId="5D1A3999">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u w:val="single"/>
        </w:rPr>
        <w:t>北京市顺义区林河南大街9号院9号楼2层262室</w:t>
      </w:r>
    </w:p>
    <w:p w14:paraId="09093D53">
      <w:pPr>
        <w:pStyle w:val="19"/>
        <w:spacing w:line="360" w:lineRule="auto"/>
        <w:ind w:firstLine="720" w:firstLineChars="300"/>
        <w:rPr>
          <w:rFonts w:hint="eastAsia" w:ascii="宋体" w:hAnsi="宋体"/>
          <w:color w:val="auto"/>
          <w:sz w:val="24"/>
          <w:highlight w:val="none"/>
          <w:u w:val="single"/>
        </w:rPr>
      </w:pPr>
      <w:r>
        <w:rPr>
          <w:rFonts w:hint="eastAsia" w:ascii="宋体" w:hAnsi="宋体"/>
          <w:color w:val="auto"/>
          <w:sz w:val="24"/>
          <w:highlight w:val="none"/>
        </w:rPr>
        <w:t>联系方式：</w:t>
      </w:r>
      <w:r>
        <w:rPr>
          <w:rFonts w:hint="eastAsia" w:ascii="宋体" w:hAnsi="宋体"/>
          <w:color w:val="auto"/>
          <w:spacing w:val="-6"/>
          <w:sz w:val="24"/>
          <w:highlight w:val="none"/>
          <w:u w:val="single"/>
        </w:rPr>
        <w:t>郭大龙、赵毛鹅、路璐、孙萌、于辉、王鑫磊、金文玲、王海霞、赵星梅</w:t>
      </w:r>
      <w:r>
        <w:rPr>
          <w:rFonts w:hint="eastAsia" w:ascii="宋体" w:hAnsi="宋体"/>
          <w:color w:val="auto"/>
          <w:sz w:val="24"/>
          <w:highlight w:val="none"/>
          <w:u w:val="single"/>
        </w:rPr>
        <w:t>010-61409078、13716552263</w:t>
      </w:r>
    </w:p>
    <w:p w14:paraId="7ACF1872">
      <w:pPr>
        <w:spacing w:line="360" w:lineRule="auto"/>
        <w:ind w:left="1078" w:leftChars="371" w:hanging="299" w:hangingChars="124"/>
        <w:rPr>
          <w:rFonts w:hint="eastAsia" w:ascii="宋体" w:hAnsi="宋体"/>
          <w:b/>
          <w:color w:val="auto"/>
          <w:sz w:val="24"/>
          <w:highlight w:val="none"/>
          <w:u w:val="single"/>
        </w:rPr>
      </w:pPr>
      <w:r>
        <w:rPr>
          <w:rFonts w:ascii="宋体" w:hAnsi="宋体"/>
          <w:b/>
          <w:color w:val="auto"/>
          <w:sz w:val="24"/>
          <w:highlight w:val="none"/>
        </w:rPr>
        <w:t>3.项目联系方式</w:t>
      </w:r>
      <w:bookmarkEnd w:id="37"/>
      <w:bookmarkEnd w:id="38"/>
    </w:p>
    <w:p w14:paraId="047AC80C">
      <w:pPr>
        <w:pStyle w:val="19"/>
        <w:spacing w:line="360" w:lineRule="auto"/>
        <w:ind w:firstLine="654" w:firstLineChars="300"/>
        <w:rPr>
          <w:rFonts w:hint="eastAsia" w:ascii="宋体" w:hAnsi="宋体"/>
          <w:color w:val="auto"/>
          <w:sz w:val="24"/>
          <w:highlight w:val="none"/>
        </w:rPr>
      </w:pPr>
      <w:r>
        <w:rPr>
          <w:rFonts w:hint="eastAsia" w:ascii="宋体" w:hAnsi="宋体"/>
          <w:color w:val="auto"/>
          <w:spacing w:val="-11"/>
          <w:sz w:val="24"/>
          <w:highlight w:val="none"/>
        </w:rPr>
        <w:t>项目联系人：</w:t>
      </w:r>
      <w:r>
        <w:rPr>
          <w:rFonts w:hint="eastAsia" w:ascii="宋体" w:hAnsi="宋体"/>
          <w:color w:val="auto"/>
          <w:spacing w:val="-6"/>
          <w:sz w:val="24"/>
          <w:highlight w:val="none"/>
          <w:u w:val="single"/>
        </w:rPr>
        <w:t>郭大龙、赵毛鹅、路璐、孙萌、于辉、王鑫磊、金文玲、王海霞、赵星梅</w:t>
      </w:r>
    </w:p>
    <w:p w14:paraId="645D498E">
      <w:pPr>
        <w:spacing w:line="360" w:lineRule="auto"/>
        <w:ind w:left="1076" w:leftChars="371" w:hanging="297" w:hangingChars="124"/>
        <w:jc w:val="left"/>
        <w:rPr>
          <w:rFonts w:hint="eastAsia" w:ascii="宋体" w:hAnsi="宋体"/>
          <w:color w:val="auto"/>
          <w:sz w:val="24"/>
          <w:highlight w:val="none"/>
          <w:u w:val="single"/>
        </w:rPr>
      </w:pPr>
      <w:r>
        <w:rPr>
          <w:rFonts w:hint="eastAsia" w:ascii="宋体" w:hAnsi="宋体"/>
          <w:color w:val="auto"/>
          <w:sz w:val="24"/>
          <w:highlight w:val="none"/>
        </w:rPr>
        <w:t xml:space="preserve">电     </w:t>
      </w:r>
      <w:r>
        <w:rPr>
          <w:rFonts w:ascii="宋体" w:hAnsi="宋体"/>
          <w:color w:val="auto"/>
          <w:sz w:val="24"/>
          <w:highlight w:val="none"/>
        </w:rPr>
        <w:t xml:space="preserve"> </w:t>
      </w:r>
      <w:r>
        <w:rPr>
          <w:rFonts w:hint="eastAsia" w:ascii="宋体" w:hAnsi="宋体"/>
          <w:color w:val="auto"/>
          <w:sz w:val="24"/>
          <w:highlight w:val="none"/>
        </w:rPr>
        <w:t>话：</w:t>
      </w:r>
      <w:r>
        <w:rPr>
          <w:rFonts w:hint="eastAsia" w:ascii="宋体" w:hAnsi="宋体"/>
          <w:color w:val="auto"/>
          <w:sz w:val="24"/>
          <w:highlight w:val="none"/>
          <w:u w:val="single"/>
        </w:rPr>
        <w:t>010-61409078、13716552263</w:t>
      </w:r>
    </w:p>
    <w:bookmarkEnd w:id="6"/>
    <w:p w14:paraId="3F50F9DD">
      <w:pPr>
        <w:spacing w:line="360" w:lineRule="auto"/>
        <w:jc w:val="center"/>
        <w:outlineLvl w:val="0"/>
        <w:rPr>
          <w:rFonts w:hint="eastAsia" w:ascii="宋体" w:hAnsi="宋体"/>
          <w:b/>
          <w:color w:val="auto"/>
          <w:sz w:val="36"/>
          <w:szCs w:val="36"/>
          <w:highlight w:val="none"/>
        </w:rPr>
        <w:sectPr>
          <w:footerReference r:id="rId9" w:type="first"/>
          <w:footerReference r:id="rId8" w:type="default"/>
          <w:type w:val="nextColumn"/>
          <w:pgSz w:w="11907" w:h="16840"/>
          <w:pgMar w:top="1440" w:right="1800" w:bottom="567" w:left="1800" w:header="851" w:footer="851" w:gutter="0"/>
          <w:pgNumType w:fmt="decimal" w:start="1"/>
          <w:cols w:space="720" w:num="1"/>
          <w:titlePg/>
          <w:docGrid w:linePitch="462" w:charSpace="0"/>
        </w:sectPr>
      </w:pPr>
      <w:bookmarkStart w:id="39" w:name="_Toc127151777"/>
      <w:bookmarkStart w:id="40" w:name="_Toc127161488"/>
      <w:bookmarkStart w:id="41" w:name="_Toc150774783"/>
      <w:bookmarkStart w:id="42" w:name="_Toc353825548"/>
      <w:bookmarkStart w:id="43" w:name="_Toc353873938"/>
      <w:bookmarkStart w:id="44" w:name="_Toc226965856"/>
      <w:bookmarkStart w:id="45" w:name="_Toc265228423"/>
      <w:bookmarkStart w:id="46" w:name="_Toc512937850"/>
      <w:bookmarkStart w:id="47" w:name="_Toc264969275"/>
      <w:bookmarkStart w:id="48" w:name="_Toc305158854"/>
      <w:bookmarkStart w:id="49" w:name="_Toc305158928"/>
      <w:bookmarkStart w:id="50" w:name="_Toc195842950"/>
    </w:p>
    <w:p w14:paraId="2C77B261">
      <w:pPr>
        <w:spacing w:line="360" w:lineRule="auto"/>
        <w:jc w:val="center"/>
        <w:outlineLvl w:val="0"/>
        <w:rPr>
          <w:rFonts w:hint="eastAsia" w:ascii="宋体" w:hAnsi="宋体"/>
          <w:b/>
          <w:color w:val="auto"/>
          <w:sz w:val="32"/>
          <w:szCs w:val="32"/>
          <w:highlight w:val="none"/>
        </w:rPr>
      </w:pPr>
      <w:bookmarkStart w:id="51" w:name="_Toc3220"/>
      <w:r>
        <w:rPr>
          <w:rFonts w:hint="eastAsia" w:ascii="宋体" w:hAnsi="宋体"/>
          <w:b/>
          <w:color w:val="auto"/>
          <w:sz w:val="36"/>
          <w:szCs w:val="36"/>
          <w:highlight w:val="none"/>
          <w:lang w:val="en-US" w:eastAsia="zh-CN"/>
        </w:rPr>
        <w:t xml:space="preserve"> </w:t>
      </w:r>
      <w:r>
        <w:rPr>
          <w:rFonts w:ascii="宋体" w:hAnsi="宋体"/>
          <w:b/>
          <w:color w:val="auto"/>
          <w:sz w:val="36"/>
          <w:szCs w:val="36"/>
          <w:highlight w:val="none"/>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7BA89F77">
      <w:pPr>
        <w:pStyle w:val="3"/>
        <w:tabs>
          <w:tab w:val="center" w:pos="4592"/>
          <w:tab w:val="left" w:pos="7860"/>
        </w:tabs>
        <w:spacing w:before="0" w:line="360" w:lineRule="auto"/>
        <w:rPr>
          <w:rFonts w:hint="eastAsia" w:ascii="宋体" w:hAnsi="宋体" w:eastAsia="宋体"/>
          <w:b w:val="0"/>
          <w:color w:val="auto"/>
          <w:sz w:val="28"/>
          <w:highlight w:val="none"/>
        </w:rPr>
      </w:pPr>
      <w:bookmarkStart w:id="52" w:name="_Toc127151519"/>
      <w:bookmarkStart w:id="53" w:name="_Toc149720812"/>
      <w:bookmarkStart w:id="54" w:name="_Toc164351613"/>
      <w:bookmarkStart w:id="55" w:name="_Toc226337215"/>
      <w:bookmarkStart w:id="56" w:name="_Toc164229360"/>
      <w:bookmarkStart w:id="57" w:name="_Toc151193617"/>
      <w:bookmarkStart w:id="58" w:name="_Toc226309763"/>
      <w:bookmarkStart w:id="59" w:name="_Toc127151720"/>
      <w:bookmarkStart w:id="60" w:name="_Toc195842884"/>
      <w:bookmarkStart w:id="61" w:name="_Toc142311021"/>
      <w:bookmarkStart w:id="62" w:name="_Toc151193833"/>
      <w:bookmarkStart w:id="63" w:name="_Toc150774724"/>
      <w:bookmarkStart w:id="64" w:name="_Toc226965792"/>
      <w:bookmarkStart w:id="65" w:name="_Toc151193907"/>
      <w:bookmarkStart w:id="66" w:name="_Toc150774619"/>
      <w:bookmarkStart w:id="67" w:name="_Toc151190146"/>
      <w:bookmarkStart w:id="68" w:name="_Toc164608788"/>
      <w:bookmarkStart w:id="69" w:name="_Toc226965709"/>
      <w:bookmarkStart w:id="70" w:name="_Toc164608633"/>
      <w:bookmarkStart w:id="71" w:name="_Toc151193689"/>
      <w:bookmarkStart w:id="72" w:name="_Toc127161433"/>
      <w:bookmarkStart w:id="73" w:name="_Toc150509270"/>
      <w:bookmarkStart w:id="74" w:name="_Toc520356144"/>
      <w:bookmarkStart w:id="75" w:name="_Toc151193761"/>
      <w:bookmarkStart w:id="76" w:name="_Toc164229214"/>
      <w:bookmarkStart w:id="77" w:name="_Toc150480757"/>
      <w:r>
        <w:rPr>
          <w:rFonts w:ascii="宋体" w:hAnsi="宋体" w:eastAsia="宋体"/>
          <w:color w:val="auto"/>
          <w:sz w:val="28"/>
          <w:highlight w:val="none"/>
        </w:rPr>
        <w:t>供应商须知资料表</w:t>
      </w:r>
    </w:p>
    <w:p w14:paraId="759893B9">
      <w:pPr>
        <w:jc w:val="center"/>
        <w:rPr>
          <w:rFonts w:hint="eastAsia" w:ascii="宋体" w:hAnsi="宋体"/>
          <w:b/>
          <w:color w:val="auto"/>
          <w:sz w:val="10"/>
          <w:szCs w:val="10"/>
          <w:highlight w:val="none"/>
        </w:rPr>
      </w:pPr>
    </w:p>
    <w:p w14:paraId="5D6C915C">
      <w:pPr>
        <w:spacing w:line="360" w:lineRule="auto"/>
        <w:ind w:firstLine="480"/>
        <w:rPr>
          <w:rFonts w:hint="eastAsia" w:ascii="宋体" w:hAnsi="宋体"/>
          <w:color w:val="auto"/>
          <w:sz w:val="24"/>
          <w:highlight w:val="none"/>
        </w:rPr>
      </w:pPr>
      <w:r>
        <w:rPr>
          <w:rFonts w:ascii="宋体" w:hAnsi="宋体"/>
          <w:color w:val="auto"/>
          <w:sz w:val="24"/>
          <w:highlight w:val="none"/>
        </w:rPr>
        <w:t>本表是对供应商须知的具体补充和修改，如有矛盾，均以本资料表为准。标记“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w:t>
      </w:r>
      <w:r>
        <w:rPr>
          <w:rFonts w:ascii="宋体" w:hAnsi="宋体"/>
          <w:color w:val="auto"/>
          <w:highlight w:val="none"/>
        </w:rPr>
        <w:t>□</w:t>
      </w:r>
      <w:r>
        <w:rPr>
          <w:rFonts w:ascii="宋体" w:hAnsi="宋体"/>
          <w:color w:val="auto"/>
          <w:sz w:val="24"/>
          <w:highlight w:val="none"/>
        </w:rPr>
        <w:t>”的选项意为不适用于本项目。</w:t>
      </w:r>
    </w:p>
    <w:tbl>
      <w:tblPr>
        <w:tblStyle w:val="5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5"/>
        <w:gridCol w:w="7366"/>
      </w:tblGrid>
      <w:tr w14:paraId="0055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993" w:type="dxa"/>
            <w:vAlign w:val="center"/>
          </w:tcPr>
          <w:p w14:paraId="7BE72FCF">
            <w:pPr>
              <w:jc w:val="center"/>
              <w:rPr>
                <w:rFonts w:hint="eastAsia" w:ascii="宋体" w:hAnsi="宋体"/>
                <w:b/>
                <w:bCs/>
                <w:color w:val="auto"/>
                <w:sz w:val="24"/>
                <w:highlight w:val="none"/>
              </w:rPr>
            </w:pPr>
            <w:r>
              <w:rPr>
                <w:rFonts w:ascii="宋体" w:hAnsi="宋体"/>
                <w:b/>
                <w:color w:val="auto"/>
                <w:sz w:val="24"/>
                <w:highlight w:val="none"/>
              </w:rPr>
              <w:t>条款号</w:t>
            </w:r>
          </w:p>
        </w:tc>
        <w:tc>
          <w:tcPr>
            <w:tcW w:w="1555" w:type="dxa"/>
            <w:vAlign w:val="center"/>
          </w:tcPr>
          <w:p w14:paraId="5924C4C1">
            <w:pPr>
              <w:jc w:val="center"/>
              <w:rPr>
                <w:rFonts w:hint="eastAsia" w:ascii="宋体" w:hAnsi="宋体"/>
                <w:b/>
                <w:bCs/>
                <w:color w:val="auto"/>
                <w:sz w:val="24"/>
                <w:highlight w:val="none"/>
              </w:rPr>
            </w:pPr>
            <w:r>
              <w:rPr>
                <w:rFonts w:ascii="宋体" w:hAnsi="宋体"/>
                <w:b/>
                <w:bCs/>
                <w:color w:val="auto"/>
                <w:sz w:val="24"/>
                <w:highlight w:val="none"/>
              </w:rPr>
              <w:t>条目</w:t>
            </w:r>
          </w:p>
        </w:tc>
        <w:tc>
          <w:tcPr>
            <w:tcW w:w="7366" w:type="dxa"/>
            <w:vAlign w:val="center"/>
          </w:tcPr>
          <w:p w14:paraId="3E60A37A">
            <w:pPr>
              <w:jc w:val="center"/>
              <w:rPr>
                <w:rFonts w:hint="eastAsia" w:ascii="宋体" w:hAnsi="宋体"/>
                <w:b/>
                <w:bCs/>
                <w:color w:val="auto"/>
                <w:sz w:val="24"/>
                <w:highlight w:val="none"/>
              </w:rPr>
            </w:pPr>
            <w:r>
              <w:rPr>
                <w:rFonts w:ascii="宋体" w:hAnsi="宋体"/>
                <w:b/>
                <w:bCs/>
                <w:color w:val="auto"/>
                <w:sz w:val="24"/>
                <w:highlight w:val="none"/>
              </w:rPr>
              <w:t>内容</w:t>
            </w:r>
          </w:p>
        </w:tc>
      </w:tr>
      <w:tr w14:paraId="7131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C6531C8">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2.2</w:t>
            </w:r>
          </w:p>
        </w:tc>
        <w:tc>
          <w:tcPr>
            <w:tcW w:w="1555" w:type="dxa"/>
            <w:vAlign w:val="center"/>
          </w:tcPr>
          <w:p w14:paraId="02FBE672">
            <w:pPr>
              <w:jc w:val="center"/>
              <w:rPr>
                <w:rFonts w:hint="eastAsia" w:ascii="宋体" w:hAnsi="宋体"/>
                <w:color w:val="auto"/>
                <w:sz w:val="24"/>
                <w:highlight w:val="none"/>
              </w:rPr>
            </w:pPr>
            <w:r>
              <w:rPr>
                <w:rFonts w:ascii="宋体" w:hAnsi="宋体"/>
                <w:color w:val="auto"/>
                <w:sz w:val="24"/>
                <w:highlight w:val="none"/>
              </w:rPr>
              <w:t>项目属性</w:t>
            </w:r>
          </w:p>
        </w:tc>
        <w:tc>
          <w:tcPr>
            <w:tcW w:w="7366" w:type="dxa"/>
            <w:vAlign w:val="center"/>
          </w:tcPr>
          <w:p w14:paraId="752E172F">
            <w:pPr>
              <w:jc w:val="left"/>
              <w:rPr>
                <w:rFonts w:hint="eastAsia" w:ascii="宋体" w:hAnsi="宋体"/>
                <w:color w:val="auto"/>
                <w:sz w:val="24"/>
                <w:highlight w:val="none"/>
              </w:rPr>
            </w:pPr>
            <w:r>
              <w:rPr>
                <w:rFonts w:ascii="宋体" w:hAnsi="宋体"/>
                <w:color w:val="auto"/>
                <w:sz w:val="24"/>
                <w:highlight w:val="none"/>
              </w:rPr>
              <w:t>项目属性：</w:t>
            </w:r>
          </w:p>
          <w:p w14:paraId="0BC66950">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服务</w:t>
            </w:r>
          </w:p>
          <w:p w14:paraId="29C089BD">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货物</w:t>
            </w:r>
          </w:p>
          <w:p w14:paraId="0545D202">
            <w:pPr>
              <w:jc w:val="left"/>
              <w:rPr>
                <w:rFonts w:hint="eastAsia" w:ascii="宋体" w:hAnsi="宋体"/>
                <w:color w:val="auto"/>
                <w:sz w:val="24"/>
                <w:highlight w:val="none"/>
                <w:u w:val="single"/>
              </w:rPr>
            </w:pPr>
            <w:r>
              <w:rPr>
                <w:rFonts w:hint="eastAsia" w:ascii="宋体" w:hAnsi="宋体"/>
                <w:color w:val="auto"/>
                <w:sz w:val="24"/>
                <w:highlight w:val="none"/>
              </w:rPr>
              <w:t>■工程</w:t>
            </w:r>
          </w:p>
        </w:tc>
      </w:tr>
      <w:tr w14:paraId="7E7D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83BAE78">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w:t>
            </w:r>
          </w:p>
        </w:tc>
        <w:tc>
          <w:tcPr>
            <w:tcW w:w="1555" w:type="dxa"/>
            <w:vAlign w:val="center"/>
          </w:tcPr>
          <w:p w14:paraId="299B10EE">
            <w:pPr>
              <w:jc w:val="center"/>
              <w:rPr>
                <w:rFonts w:hint="eastAsia" w:ascii="宋体" w:hAnsi="宋体"/>
                <w:color w:val="auto"/>
                <w:sz w:val="24"/>
                <w:highlight w:val="none"/>
              </w:rPr>
            </w:pPr>
            <w:r>
              <w:rPr>
                <w:rFonts w:ascii="宋体" w:hAnsi="宋体"/>
                <w:color w:val="auto"/>
                <w:sz w:val="24"/>
                <w:highlight w:val="none"/>
              </w:rPr>
              <w:t>科研仪器设备</w:t>
            </w:r>
          </w:p>
        </w:tc>
        <w:tc>
          <w:tcPr>
            <w:tcW w:w="7366" w:type="dxa"/>
            <w:vAlign w:val="center"/>
          </w:tcPr>
          <w:p w14:paraId="0A8D42AB">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53D8ACEC">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7CD14896">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tc>
      </w:tr>
      <w:tr w14:paraId="3C03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192CCE3E">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3.1</w:t>
            </w:r>
          </w:p>
        </w:tc>
        <w:tc>
          <w:tcPr>
            <w:tcW w:w="1555" w:type="dxa"/>
            <w:vAlign w:val="center"/>
          </w:tcPr>
          <w:p w14:paraId="27291EDC">
            <w:pPr>
              <w:jc w:val="center"/>
              <w:rPr>
                <w:rFonts w:hint="eastAsia" w:ascii="宋体" w:hAnsi="宋体"/>
                <w:color w:val="auto"/>
                <w:sz w:val="24"/>
                <w:highlight w:val="none"/>
              </w:rPr>
            </w:pPr>
            <w:r>
              <w:rPr>
                <w:rFonts w:ascii="宋体" w:hAnsi="宋体"/>
                <w:color w:val="auto"/>
                <w:sz w:val="24"/>
                <w:highlight w:val="none"/>
              </w:rPr>
              <w:t>现场考察</w:t>
            </w:r>
          </w:p>
        </w:tc>
        <w:tc>
          <w:tcPr>
            <w:tcW w:w="7366" w:type="dxa"/>
            <w:vAlign w:val="center"/>
          </w:tcPr>
          <w:p w14:paraId="684F0C7E">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不组织</w:t>
            </w:r>
          </w:p>
          <w:p w14:paraId="2E048F66">
            <w:pPr>
              <w:jc w:val="left"/>
              <w:rPr>
                <w:rFonts w:hint="eastAsia" w:ascii="宋体" w:hAnsi="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组织，考察时间：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3618E589">
            <w:pPr>
              <w:pStyle w:val="28"/>
              <w:adjustRightInd w:val="0"/>
              <w:snapToGrid w:val="0"/>
              <w:rPr>
                <w:rFonts w:hAnsi="宋体"/>
                <w:color w:val="auto"/>
                <w:sz w:val="24"/>
                <w:szCs w:val="24"/>
                <w:highlight w:val="none"/>
              </w:rPr>
            </w:pPr>
            <w:r>
              <w:rPr>
                <w:rFonts w:hint="default" w:hAnsi="宋体"/>
                <w:color w:val="auto"/>
                <w:sz w:val="24"/>
                <w:highlight w:val="none"/>
              </w:rPr>
              <w:t>考察地点：</w:t>
            </w:r>
            <w:r>
              <w:rPr>
                <w:rFonts w:hint="default" w:hAnsi="宋体"/>
                <w:color w:val="auto"/>
                <w:sz w:val="24"/>
                <w:highlight w:val="none"/>
                <w:u w:val="single"/>
              </w:rPr>
              <w:t xml:space="preserve">    /    </w:t>
            </w:r>
            <w:r>
              <w:rPr>
                <w:rFonts w:hAnsi="宋体"/>
                <w:color w:val="auto"/>
                <w:sz w:val="24"/>
                <w:highlight w:val="none"/>
              </w:rPr>
              <w:t>。</w:t>
            </w:r>
          </w:p>
        </w:tc>
      </w:tr>
      <w:tr w14:paraId="4F1D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4BF96CDF">
            <w:pPr>
              <w:pStyle w:val="28"/>
              <w:adjustRightInd w:val="0"/>
              <w:snapToGrid w:val="0"/>
              <w:jc w:val="center"/>
              <w:rPr>
                <w:rFonts w:hAnsi="宋体"/>
                <w:color w:val="auto"/>
                <w:sz w:val="24"/>
                <w:szCs w:val="24"/>
                <w:highlight w:val="none"/>
              </w:rPr>
            </w:pPr>
          </w:p>
        </w:tc>
        <w:tc>
          <w:tcPr>
            <w:tcW w:w="1555" w:type="dxa"/>
            <w:vAlign w:val="center"/>
          </w:tcPr>
          <w:p w14:paraId="6C061742">
            <w:pPr>
              <w:jc w:val="center"/>
              <w:rPr>
                <w:rFonts w:hint="eastAsia" w:ascii="宋体" w:hAnsi="宋体"/>
                <w:color w:val="auto"/>
                <w:sz w:val="24"/>
                <w:highlight w:val="none"/>
              </w:rPr>
            </w:pPr>
            <w:r>
              <w:rPr>
                <w:rFonts w:ascii="宋体" w:hAnsi="宋体"/>
                <w:color w:val="auto"/>
                <w:sz w:val="24"/>
                <w:highlight w:val="none"/>
              </w:rPr>
              <w:t>磋商前答疑会</w:t>
            </w:r>
          </w:p>
        </w:tc>
        <w:tc>
          <w:tcPr>
            <w:tcW w:w="7366" w:type="dxa"/>
            <w:vAlign w:val="center"/>
          </w:tcPr>
          <w:p w14:paraId="6FBE010D">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不召开</w:t>
            </w:r>
          </w:p>
          <w:p w14:paraId="444CE72E">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召开，召开时间：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638A6635">
            <w:pPr>
              <w:jc w:val="left"/>
              <w:rPr>
                <w:rFonts w:hint="eastAsia" w:ascii="宋体" w:hAnsi="宋体"/>
                <w:color w:val="auto"/>
                <w:sz w:val="24"/>
                <w:highlight w:val="none"/>
              </w:rPr>
            </w:pPr>
            <w:r>
              <w:rPr>
                <w:rFonts w:ascii="宋体" w:hAnsi="宋体"/>
                <w:color w:val="auto"/>
                <w:sz w:val="24"/>
                <w:highlight w:val="none"/>
              </w:rPr>
              <w:t>召开地点：</w:t>
            </w:r>
            <w:r>
              <w:rPr>
                <w:rFonts w:ascii="宋体" w:hAnsi="宋体"/>
                <w:color w:val="auto"/>
                <w:sz w:val="24"/>
                <w:highlight w:val="none"/>
                <w:u w:val="single"/>
              </w:rPr>
              <w:t xml:space="preserve">    /    </w:t>
            </w:r>
            <w:r>
              <w:rPr>
                <w:rFonts w:hint="eastAsia" w:ascii="宋体" w:hAnsi="宋体"/>
                <w:color w:val="auto"/>
                <w:sz w:val="24"/>
                <w:highlight w:val="none"/>
              </w:rPr>
              <w:t>。</w:t>
            </w:r>
          </w:p>
        </w:tc>
      </w:tr>
      <w:tr w14:paraId="66FF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3" w:type="dxa"/>
            <w:vAlign w:val="center"/>
          </w:tcPr>
          <w:p w14:paraId="7F2615A9">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4.2.5</w:t>
            </w:r>
          </w:p>
        </w:tc>
        <w:tc>
          <w:tcPr>
            <w:tcW w:w="1555" w:type="dxa"/>
            <w:vAlign w:val="center"/>
          </w:tcPr>
          <w:p w14:paraId="3E62E993">
            <w:pPr>
              <w:jc w:val="center"/>
              <w:rPr>
                <w:rFonts w:hint="eastAsia" w:ascii="宋体" w:hAnsi="宋体"/>
                <w:color w:val="auto"/>
                <w:sz w:val="24"/>
                <w:highlight w:val="none"/>
              </w:rPr>
            </w:pPr>
            <w:r>
              <w:rPr>
                <w:rFonts w:ascii="宋体" w:hAnsi="宋体"/>
                <w:color w:val="auto"/>
                <w:sz w:val="24"/>
                <w:highlight w:val="none"/>
              </w:rPr>
              <w:t>标的所属行业</w:t>
            </w:r>
          </w:p>
        </w:tc>
        <w:tc>
          <w:tcPr>
            <w:tcW w:w="7366" w:type="dxa"/>
            <w:vAlign w:val="center"/>
          </w:tcPr>
          <w:p w14:paraId="753846E5">
            <w:pPr>
              <w:jc w:val="left"/>
              <w:rPr>
                <w:rFonts w:hint="eastAsia"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53"/>
              <w:tblW w:w="7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3751"/>
            </w:tblGrid>
            <w:tr w14:paraId="0381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4620427D">
                  <w:pPr>
                    <w:jc w:val="center"/>
                    <w:rPr>
                      <w:rFonts w:hint="eastAsia" w:ascii="宋体" w:hAnsi="宋体"/>
                      <w:bCs/>
                      <w:color w:val="auto"/>
                      <w:sz w:val="24"/>
                      <w:highlight w:val="none"/>
                    </w:rPr>
                  </w:pPr>
                  <w:r>
                    <w:rPr>
                      <w:rFonts w:ascii="宋体" w:hAnsi="宋体"/>
                      <w:bCs/>
                      <w:color w:val="auto"/>
                      <w:sz w:val="24"/>
                      <w:highlight w:val="none"/>
                    </w:rPr>
                    <w:t>标的名称</w:t>
                  </w:r>
                </w:p>
              </w:tc>
              <w:tc>
                <w:tcPr>
                  <w:tcW w:w="2639" w:type="pct"/>
                  <w:tcBorders>
                    <w:top w:val="single" w:color="auto" w:sz="4" w:space="0"/>
                    <w:left w:val="single" w:color="auto" w:sz="4" w:space="0"/>
                    <w:bottom w:val="single" w:color="auto" w:sz="4" w:space="0"/>
                    <w:right w:val="single" w:color="auto" w:sz="4" w:space="0"/>
                  </w:tcBorders>
                  <w:vAlign w:val="center"/>
                </w:tcPr>
                <w:p w14:paraId="627E3B55">
                  <w:pPr>
                    <w:jc w:val="center"/>
                    <w:rPr>
                      <w:rFonts w:hint="eastAsia" w:ascii="宋体" w:hAnsi="宋体"/>
                      <w:color w:val="auto"/>
                      <w:sz w:val="24"/>
                      <w:highlight w:val="none"/>
                    </w:rPr>
                  </w:pPr>
                  <w:r>
                    <w:rPr>
                      <w:rFonts w:ascii="宋体" w:hAnsi="宋体"/>
                      <w:color w:val="auto"/>
                      <w:sz w:val="24"/>
                      <w:highlight w:val="none"/>
                    </w:rPr>
                    <w:t>中小企业划分标准所属行业</w:t>
                  </w:r>
                </w:p>
              </w:tc>
            </w:tr>
            <w:tr w14:paraId="6A3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715D48D0">
                  <w:pPr>
                    <w:jc w:val="center"/>
                    <w:rPr>
                      <w:rFonts w:hint="eastAsia" w:ascii="宋体" w:hAnsi="宋体"/>
                      <w:bCs/>
                      <w:color w:val="auto"/>
                      <w:sz w:val="24"/>
                      <w:highlight w:val="none"/>
                    </w:rPr>
                  </w:pPr>
                  <w:r>
                    <w:rPr>
                      <w:rFonts w:hint="eastAsia" w:ascii="宋体" w:hAnsi="宋体" w:cs="宋体"/>
                      <w:bCs/>
                      <w:color w:val="auto"/>
                      <w:sz w:val="24"/>
                      <w:highlight w:val="none"/>
                    </w:rPr>
                    <w:t>房屋修缮工程</w:t>
                  </w:r>
                </w:p>
              </w:tc>
              <w:tc>
                <w:tcPr>
                  <w:tcW w:w="2639" w:type="pct"/>
                  <w:tcBorders>
                    <w:top w:val="single" w:color="auto" w:sz="4" w:space="0"/>
                    <w:left w:val="single" w:color="auto" w:sz="4" w:space="0"/>
                    <w:bottom w:val="single" w:color="auto" w:sz="4" w:space="0"/>
                    <w:right w:val="single" w:color="auto" w:sz="4" w:space="0"/>
                  </w:tcBorders>
                  <w:vAlign w:val="center"/>
                </w:tcPr>
                <w:p w14:paraId="527997AC">
                  <w:pPr>
                    <w:jc w:val="center"/>
                    <w:rPr>
                      <w:rFonts w:hint="eastAsia" w:ascii="宋体" w:hAnsi="宋体"/>
                      <w:color w:val="auto"/>
                      <w:kern w:val="0"/>
                      <w:sz w:val="24"/>
                      <w:highlight w:val="none"/>
                    </w:rPr>
                  </w:pPr>
                  <w:r>
                    <w:rPr>
                      <w:rFonts w:hint="eastAsia" w:ascii="宋体" w:hAnsi="宋体"/>
                      <w:color w:val="auto"/>
                      <w:kern w:val="0"/>
                      <w:sz w:val="24"/>
                      <w:highlight w:val="none"/>
                    </w:rPr>
                    <w:t>建筑业</w:t>
                  </w:r>
                </w:p>
              </w:tc>
            </w:tr>
          </w:tbl>
          <w:p w14:paraId="711076A3">
            <w:pPr>
              <w:jc w:val="left"/>
              <w:rPr>
                <w:rFonts w:hint="eastAsia" w:ascii="宋体" w:hAnsi="宋体"/>
                <w:color w:val="auto"/>
                <w:sz w:val="24"/>
                <w:highlight w:val="none"/>
              </w:rPr>
            </w:pPr>
          </w:p>
        </w:tc>
      </w:tr>
      <w:tr w14:paraId="7F83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93" w:type="dxa"/>
            <w:vAlign w:val="center"/>
          </w:tcPr>
          <w:p w14:paraId="6A03D328">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10.2</w:t>
            </w:r>
          </w:p>
        </w:tc>
        <w:tc>
          <w:tcPr>
            <w:tcW w:w="1555" w:type="dxa"/>
            <w:vAlign w:val="center"/>
          </w:tcPr>
          <w:p w14:paraId="10E922B7">
            <w:pPr>
              <w:jc w:val="center"/>
              <w:rPr>
                <w:rFonts w:hint="eastAsia" w:ascii="宋体" w:hAnsi="宋体"/>
                <w:color w:val="auto"/>
                <w:sz w:val="24"/>
                <w:highlight w:val="none"/>
              </w:rPr>
            </w:pPr>
            <w:r>
              <w:rPr>
                <w:rFonts w:ascii="宋体" w:hAnsi="宋体"/>
                <w:color w:val="auto"/>
                <w:sz w:val="24"/>
                <w:highlight w:val="none"/>
              </w:rPr>
              <w:t>报价</w:t>
            </w:r>
          </w:p>
        </w:tc>
        <w:tc>
          <w:tcPr>
            <w:tcW w:w="7366" w:type="dxa"/>
            <w:vAlign w:val="center"/>
          </w:tcPr>
          <w:p w14:paraId="12C0FBF7">
            <w:pPr>
              <w:jc w:val="left"/>
              <w:rPr>
                <w:rFonts w:hint="eastAsia" w:ascii="宋体" w:hAnsi="宋体"/>
                <w:color w:val="auto"/>
                <w:sz w:val="24"/>
                <w:highlight w:val="none"/>
              </w:rPr>
            </w:pPr>
            <w:r>
              <w:rPr>
                <w:rFonts w:ascii="宋体" w:hAnsi="宋体"/>
                <w:color w:val="auto"/>
                <w:sz w:val="24"/>
                <w:highlight w:val="none"/>
              </w:rPr>
              <w:t>报价的特殊规定：</w:t>
            </w:r>
          </w:p>
          <w:p w14:paraId="031F9B38">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74ED4CA9">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有，具体情形：</w:t>
            </w:r>
            <w:r>
              <w:rPr>
                <w:rFonts w:hint="eastAsia" w:ascii="宋体" w:hAnsi="宋体"/>
                <w:color w:val="auto"/>
                <w:sz w:val="24"/>
                <w:highlight w:val="none"/>
                <w:u w:val="single"/>
              </w:rPr>
              <w:t>按照第六章《工程量清单》要求报价</w:t>
            </w:r>
            <w:r>
              <w:rPr>
                <w:rFonts w:ascii="宋体" w:hAnsi="宋体"/>
                <w:color w:val="auto"/>
                <w:sz w:val="24"/>
                <w:highlight w:val="none"/>
              </w:rPr>
              <w:t>。</w:t>
            </w:r>
          </w:p>
        </w:tc>
      </w:tr>
      <w:tr w14:paraId="7461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A1D82D6">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11.1</w:t>
            </w:r>
          </w:p>
        </w:tc>
        <w:tc>
          <w:tcPr>
            <w:tcW w:w="1555" w:type="dxa"/>
            <w:vMerge w:val="restart"/>
            <w:vAlign w:val="center"/>
          </w:tcPr>
          <w:p w14:paraId="63FEFC30">
            <w:pPr>
              <w:jc w:val="center"/>
              <w:rPr>
                <w:rFonts w:hint="eastAsia" w:ascii="宋体" w:hAnsi="宋体"/>
                <w:color w:val="auto"/>
                <w:sz w:val="24"/>
                <w:highlight w:val="none"/>
              </w:rPr>
            </w:pPr>
            <w:r>
              <w:rPr>
                <w:rFonts w:ascii="宋体" w:hAnsi="宋体"/>
                <w:color w:val="auto"/>
                <w:sz w:val="24"/>
                <w:highlight w:val="none"/>
              </w:rPr>
              <w:t>磋商保证金</w:t>
            </w:r>
          </w:p>
        </w:tc>
        <w:tc>
          <w:tcPr>
            <w:tcW w:w="7366" w:type="dxa"/>
            <w:vAlign w:val="center"/>
          </w:tcPr>
          <w:p w14:paraId="0D466ECA">
            <w:pPr>
              <w:pStyle w:val="28"/>
              <w:adjustRightInd w:val="0"/>
              <w:snapToGrid w:val="0"/>
              <w:rPr>
                <w:rFonts w:hAnsi="宋体"/>
                <w:color w:val="auto"/>
                <w:sz w:val="24"/>
                <w:szCs w:val="24"/>
                <w:highlight w:val="none"/>
              </w:rPr>
            </w:pPr>
            <w:r>
              <w:rPr>
                <w:rFonts w:hint="default" w:hAnsi="宋体"/>
                <w:color w:val="auto"/>
                <w:sz w:val="24"/>
                <w:szCs w:val="24"/>
                <w:highlight w:val="none"/>
              </w:rPr>
              <w:t>磋商保证金金额：</w:t>
            </w:r>
            <w:r>
              <w:rPr>
                <w:rFonts w:hAnsi="宋体"/>
                <w:color w:val="auto"/>
                <w:sz w:val="24"/>
                <w:szCs w:val="24"/>
                <w:highlight w:val="none"/>
                <w:u w:val="single"/>
              </w:rPr>
              <w:t xml:space="preserve">  /  </w:t>
            </w:r>
            <w:r>
              <w:rPr>
                <w:rFonts w:hAnsi="宋体"/>
                <w:color w:val="auto"/>
                <w:sz w:val="24"/>
                <w:szCs w:val="24"/>
                <w:highlight w:val="none"/>
              </w:rPr>
              <w:t>元</w:t>
            </w:r>
            <w:r>
              <w:rPr>
                <w:rFonts w:hAnsi="宋体"/>
                <w:color w:val="auto"/>
                <w:sz w:val="24"/>
                <w:highlight w:val="none"/>
              </w:rPr>
              <w:t>。</w:t>
            </w:r>
          </w:p>
          <w:p w14:paraId="335733F1">
            <w:pPr>
              <w:jc w:val="left"/>
              <w:rPr>
                <w:rFonts w:hint="eastAsia" w:ascii="宋体" w:hAnsi="宋体"/>
                <w:color w:val="auto"/>
                <w:sz w:val="24"/>
                <w:highlight w:val="none"/>
                <w:u w:val="single"/>
              </w:rPr>
            </w:pPr>
            <w:r>
              <w:rPr>
                <w:rFonts w:hint="eastAsia" w:ascii="宋体" w:hAnsi="宋体"/>
                <w:color w:val="auto"/>
                <w:sz w:val="24"/>
                <w:highlight w:val="none"/>
              </w:rPr>
              <w:t>磋商</w:t>
            </w:r>
            <w:r>
              <w:rPr>
                <w:rFonts w:ascii="宋体" w:hAnsi="宋体"/>
                <w:color w:val="auto"/>
                <w:sz w:val="24"/>
                <w:highlight w:val="none"/>
              </w:rPr>
              <w:t>保证金收受人信息：</w:t>
            </w:r>
            <w:r>
              <w:rPr>
                <w:rFonts w:hint="eastAsia" w:hAnsi="宋体"/>
                <w:color w:val="auto"/>
                <w:sz w:val="24"/>
                <w:highlight w:val="none"/>
                <w:u w:val="single"/>
              </w:rPr>
              <w:t xml:space="preserve">  /  </w:t>
            </w:r>
            <w:r>
              <w:rPr>
                <w:rFonts w:hAnsi="宋体"/>
                <w:color w:val="auto"/>
                <w:sz w:val="24"/>
                <w:highlight w:val="none"/>
              </w:rPr>
              <w:t>。</w:t>
            </w:r>
          </w:p>
        </w:tc>
      </w:tr>
      <w:tr w14:paraId="32B8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2BC0E3E">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w:t>
            </w:r>
            <w:r>
              <w:rPr>
                <w:rFonts w:hAnsi="宋体"/>
                <w:color w:val="auto"/>
                <w:sz w:val="24"/>
                <w:szCs w:val="24"/>
                <w:highlight w:val="none"/>
              </w:rPr>
              <w:t>8</w:t>
            </w:r>
            <w:r>
              <w:rPr>
                <w:rFonts w:hint="default" w:hAnsi="宋体"/>
                <w:color w:val="auto"/>
                <w:sz w:val="24"/>
                <w:szCs w:val="24"/>
                <w:highlight w:val="none"/>
              </w:rPr>
              <w:t>.5</w:t>
            </w:r>
          </w:p>
        </w:tc>
        <w:tc>
          <w:tcPr>
            <w:tcW w:w="1555" w:type="dxa"/>
            <w:vMerge w:val="continue"/>
            <w:vAlign w:val="center"/>
          </w:tcPr>
          <w:p w14:paraId="1A40AD98">
            <w:pPr>
              <w:jc w:val="center"/>
              <w:rPr>
                <w:rFonts w:hint="eastAsia" w:ascii="宋体" w:hAnsi="宋体"/>
                <w:color w:val="auto"/>
                <w:sz w:val="24"/>
                <w:highlight w:val="none"/>
              </w:rPr>
            </w:pPr>
          </w:p>
        </w:tc>
        <w:tc>
          <w:tcPr>
            <w:tcW w:w="7366" w:type="dxa"/>
            <w:vAlign w:val="center"/>
          </w:tcPr>
          <w:p w14:paraId="76D3CC60">
            <w:pPr>
              <w:jc w:val="left"/>
              <w:rPr>
                <w:rFonts w:hint="eastAsia" w:ascii="宋体" w:hAnsi="宋体"/>
                <w:color w:val="auto"/>
                <w:sz w:val="24"/>
                <w:highlight w:val="none"/>
              </w:rPr>
            </w:pPr>
            <w:r>
              <w:rPr>
                <w:rFonts w:ascii="宋体" w:hAnsi="宋体"/>
                <w:color w:val="auto"/>
                <w:sz w:val="24"/>
                <w:highlight w:val="none"/>
              </w:rPr>
              <w:t>磋商保证金不予退还的其他情形：</w:t>
            </w:r>
          </w:p>
          <w:p w14:paraId="477D8329">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322542C1">
            <w:pPr>
              <w:pStyle w:val="28"/>
              <w:adjustRightInd w:val="0"/>
              <w:snapToGrid w:val="0"/>
              <w:rPr>
                <w:rFonts w:hAnsi="宋体"/>
                <w:color w:val="auto"/>
                <w:sz w:val="24"/>
                <w:szCs w:val="24"/>
                <w:highlight w:val="none"/>
              </w:rPr>
            </w:pPr>
            <w:r>
              <w:rPr>
                <w:rFonts w:hAnsi="宋体"/>
                <w:color w:val="auto"/>
                <w:sz w:val="24"/>
                <w:highlight w:val="none"/>
              </w:rPr>
              <w:t>□</w:t>
            </w:r>
            <w:r>
              <w:rPr>
                <w:rFonts w:hint="default" w:hAnsi="宋体"/>
                <w:color w:val="auto"/>
                <w:sz w:val="24"/>
                <w:highlight w:val="none"/>
              </w:rPr>
              <w:t>有，具体情形：</w:t>
            </w:r>
            <w:r>
              <w:rPr>
                <w:rFonts w:hint="default" w:hAnsi="宋体"/>
                <w:color w:val="auto"/>
                <w:sz w:val="24"/>
                <w:highlight w:val="none"/>
                <w:u w:val="single"/>
              </w:rPr>
              <w:t xml:space="preserve">    /    </w:t>
            </w:r>
            <w:r>
              <w:rPr>
                <w:rFonts w:hint="default" w:hAnsi="宋体"/>
                <w:color w:val="auto"/>
                <w:sz w:val="24"/>
                <w:highlight w:val="none"/>
              </w:rPr>
              <w:t>。</w:t>
            </w:r>
          </w:p>
        </w:tc>
      </w:tr>
      <w:tr w14:paraId="630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30EEDDE">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12.1</w:t>
            </w:r>
          </w:p>
        </w:tc>
        <w:tc>
          <w:tcPr>
            <w:tcW w:w="1555" w:type="dxa"/>
            <w:vAlign w:val="center"/>
          </w:tcPr>
          <w:p w14:paraId="0F1C5A85">
            <w:pPr>
              <w:jc w:val="center"/>
              <w:rPr>
                <w:rFonts w:hint="eastAsia" w:ascii="宋体" w:hAnsi="宋体"/>
                <w:color w:val="auto"/>
                <w:sz w:val="24"/>
                <w:highlight w:val="none"/>
              </w:rPr>
            </w:pPr>
            <w:r>
              <w:rPr>
                <w:rFonts w:ascii="宋体" w:hAnsi="宋体"/>
                <w:color w:val="auto"/>
                <w:sz w:val="24"/>
                <w:highlight w:val="none"/>
              </w:rPr>
              <w:t>响应有效期</w:t>
            </w:r>
          </w:p>
        </w:tc>
        <w:tc>
          <w:tcPr>
            <w:tcW w:w="7366" w:type="dxa"/>
            <w:vAlign w:val="center"/>
          </w:tcPr>
          <w:p w14:paraId="3719F48D">
            <w:pPr>
              <w:jc w:val="left"/>
              <w:rPr>
                <w:rFonts w:hint="eastAsia" w:ascii="宋体" w:hAnsi="宋体"/>
                <w:color w:val="auto"/>
                <w:sz w:val="24"/>
                <w:highlight w:val="none"/>
              </w:rPr>
            </w:pPr>
            <w:r>
              <w:rPr>
                <w:rFonts w:ascii="宋体" w:hAnsi="宋体"/>
                <w:color w:val="auto"/>
                <w:sz w:val="24"/>
                <w:highlight w:val="none"/>
              </w:rPr>
              <w:t>自响应文件提交截止之日起算</w:t>
            </w:r>
            <w:r>
              <w:rPr>
                <w:rFonts w:ascii="宋体" w:hAnsi="宋体"/>
                <w:color w:val="auto"/>
                <w:sz w:val="24"/>
                <w:highlight w:val="none"/>
                <w:u w:val="single"/>
              </w:rPr>
              <w:t xml:space="preserve">  </w:t>
            </w:r>
            <w:r>
              <w:rPr>
                <w:rFonts w:hint="eastAsia" w:ascii="宋体" w:hAnsi="宋体"/>
                <w:color w:val="auto"/>
                <w:sz w:val="24"/>
                <w:highlight w:val="none"/>
                <w:u w:val="single"/>
              </w:rPr>
              <w:t>90</w:t>
            </w:r>
            <w:r>
              <w:rPr>
                <w:rFonts w:ascii="宋体" w:hAnsi="宋体"/>
                <w:color w:val="auto"/>
                <w:sz w:val="24"/>
                <w:highlight w:val="none"/>
                <w:u w:val="single"/>
              </w:rPr>
              <w:t xml:space="preserve">  </w:t>
            </w:r>
            <w:r>
              <w:rPr>
                <w:rFonts w:ascii="宋体" w:hAnsi="宋体"/>
                <w:color w:val="auto"/>
                <w:sz w:val="24"/>
                <w:highlight w:val="none"/>
              </w:rPr>
              <w:t>日历天。</w:t>
            </w:r>
          </w:p>
        </w:tc>
      </w:tr>
      <w:tr w14:paraId="7FAD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C06ECE2">
            <w:pPr>
              <w:pStyle w:val="28"/>
              <w:adjustRightInd w:val="0"/>
              <w:snapToGrid w:val="0"/>
              <w:jc w:val="center"/>
              <w:rPr>
                <w:rFonts w:hAnsi="宋体"/>
                <w:color w:val="auto"/>
                <w:sz w:val="24"/>
                <w:szCs w:val="24"/>
                <w:highlight w:val="none"/>
              </w:rPr>
            </w:pPr>
            <w:r>
              <w:rPr>
                <w:rFonts w:hAnsi="宋体"/>
                <w:color w:val="auto"/>
                <w:sz w:val="24"/>
                <w:szCs w:val="24"/>
                <w:highlight w:val="none"/>
              </w:rPr>
              <w:t>17.1</w:t>
            </w:r>
          </w:p>
        </w:tc>
        <w:tc>
          <w:tcPr>
            <w:tcW w:w="1555" w:type="dxa"/>
            <w:vAlign w:val="center"/>
          </w:tcPr>
          <w:p w14:paraId="6315BA60">
            <w:pPr>
              <w:jc w:val="center"/>
              <w:rPr>
                <w:rFonts w:hint="eastAsia" w:ascii="宋体" w:hAnsi="宋体"/>
                <w:color w:val="auto"/>
                <w:sz w:val="24"/>
                <w:highlight w:val="none"/>
              </w:rPr>
            </w:pPr>
            <w:r>
              <w:rPr>
                <w:rFonts w:hint="eastAsia" w:ascii="宋体" w:hAnsi="宋体"/>
                <w:color w:val="auto"/>
                <w:sz w:val="24"/>
                <w:highlight w:val="none"/>
              </w:rPr>
              <w:t>响应文件的解密与开启</w:t>
            </w:r>
          </w:p>
        </w:tc>
        <w:tc>
          <w:tcPr>
            <w:tcW w:w="7366" w:type="dxa"/>
            <w:vAlign w:val="center"/>
          </w:tcPr>
          <w:p w14:paraId="6CDC96A3">
            <w:pPr>
              <w:jc w:val="left"/>
              <w:rPr>
                <w:rFonts w:hint="eastAsia" w:ascii="宋体" w:hAnsi="宋体"/>
                <w:color w:val="auto"/>
                <w:sz w:val="24"/>
                <w:highlight w:val="none"/>
              </w:rPr>
            </w:pPr>
            <w:r>
              <w:rPr>
                <w:rFonts w:ascii="宋体" w:hAnsi="宋体"/>
                <w:color w:val="auto"/>
                <w:sz w:val="24"/>
                <w:highlight w:val="none"/>
              </w:rPr>
              <w:t>采购人或采购代理机构将按</w:t>
            </w:r>
            <w:r>
              <w:rPr>
                <w:rFonts w:hint="eastAsia" w:ascii="宋体" w:hAnsi="宋体"/>
                <w:color w:val="auto"/>
                <w:sz w:val="24"/>
                <w:highlight w:val="none"/>
              </w:rPr>
              <w:t>竞争性</w:t>
            </w:r>
            <w:r>
              <w:rPr>
                <w:rFonts w:ascii="宋体" w:hAnsi="宋体"/>
                <w:color w:val="auto"/>
                <w:sz w:val="24"/>
                <w:highlight w:val="none"/>
              </w:rPr>
              <w:t>磋商文件的规定，在提交</w:t>
            </w:r>
            <w:r>
              <w:rPr>
                <w:rFonts w:hint="eastAsia" w:ascii="宋体" w:hAnsi="宋体"/>
                <w:color w:val="auto"/>
                <w:sz w:val="24"/>
                <w:highlight w:val="none"/>
              </w:rPr>
              <w:t>响应文件</w:t>
            </w:r>
            <w:r>
              <w:rPr>
                <w:rFonts w:ascii="宋体" w:hAnsi="宋体"/>
                <w:color w:val="auto"/>
                <w:sz w:val="24"/>
                <w:highlight w:val="none"/>
              </w:rPr>
              <w:t>截止时间的同一时间和</w:t>
            </w:r>
            <w:r>
              <w:rPr>
                <w:rFonts w:hint="eastAsia" w:ascii="宋体" w:hAnsi="宋体"/>
                <w:color w:val="auto"/>
                <w:sz w:val="24"/>
                <w:highlight w:val="none"/>
              </w:rPr>
              <w:t>竞争性</w:t>
            </w:r>
            <w:r>
              <w:rPr>
                <w:rFonts w:ascii="宋体" w:hAnsi="宋体"/>
                <w:color w:val="auto"/>
                <w:sz w:val="24"/>
                <w:highlight w:val="none"/>
              </w:rPr>
              <w:t>磋商文件预先确定的地点组织</w:t>
            </w:r>
            <w:r>
              <w:rPr>
                <w:rFonts w:hint="eastAsia" w:ascii="宋体" w:hAnsi="宋体"/>
                <w:color w:val="auto"/>
                <w:sz w:val="24"/>
                <w:highlight w:val="none"/>
              </w:rPr>
              <w:t>磋商</w:t>
            </w:r>
            <w:r>
              <w:rPr>
                <w:rFonts w:ascii="宋体" w:hAnsi="宋体"/>
                <w:color w:val="auto"/>
                <w:sz w:val="24"/>
                <w:highlight w:val="none"/>
              </w:rPr>
              <w:t>。</w:t>
            </w:r>
            <w:r>
              <w:rPr>
                <w:rFonts w:hint="eastAsia" w:ascii="宋体" w:hAnsi="宋体"/>
                <w:color w:val="auto"/>
                <w:sz w:val="24"/>
                <w:highlight w:val="none"/>
              </w:rPr>
              <w:t>磋商时邀请所有供应商授权代表、采购人代表参加。</w:t>
            </w:r>
          </w:p>
          <w:p w14:paraId="2F60EBE4">
            <w:pPr>
              <w:jc w:val="left"/>
              <w:rPr>
                <w:rFonts w:hint="eastAsia" w:ascii="宋体" w:hAnsi="宋体"/>
                <w:b/>
                <w:color w:val="auto"/>
                <w:sz w:val="24"/>
                <w:highlight w:val="none"/>
              </w:rPr>
            </w:pPr>
            <w:r>
              <w:rPr>
                <w:rFonts w:hint="eastAsia"/>
                <w:color w:val="auto"/>
                <w:sz w:val="24"/>
                <w:highlight w:val="none"/>
              </w:rPr>
              <w:t>供应商所委派的磋商代表与响应文件中授权代表不一致时，供应商需单独提供磋商代表的授权委托书原件。供应商所委派的磋商代表与响应文件中授权的代理人相同时，可不单独提供授权委托书。</w:t>
            </w:r>
          </w:p>
        </w:tc>
      </w:tr>
      <w:tr w14:paraId="7A54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BFB48FC">
            <w:pPr>
              <w:pStyle w:val="28"/>
              <w:adjustRightInd w:val="0"/>
              <w:snapToGrid w:val="0"/>
              <w:jc w:val="center"/>
              <w:rPr>
                <w:rFonts w:hAnsi="宋体"/>
                <w:color w:val="auto"/>
                <w:sz w:val="24"/>
                <w:szCs w:val="24"/>
                <w:highlight w:val="none"/>
              </w:rPr>
            </w:pPr>
            <w:r>
              <w:rPr>
                <w:rFonts w:hAnsi="宋体"/>
                <w:color w:val="auto"/>
                <w:sz w:val="24"/>
                <w:szCs w:val="24"/>
                <w:highlight w:val="none"/>
              </w:rPr>
              <w:t>17.2</w:t>
            </w:r>
          </w:p>
        </w:tc>
        <w:tc>
          <w:tcPr>
            <w:tcW w:w="1555" w:type="dxa"/>
            <w:vAlign w:val="center"/>
          </w:tcPr>
          <w:p w14:paraId="06192BBB">
            <w:pPr>
              <w:jc w:val="center"/>
              <w:rPr>
                <w:rFonts w:hint="eastAsia" w:ascii="宋体" w:hAnsi="宋体"/>
                <w:color w:val="auto"/>
                <w:sz w:val="24"/>
                <w:highlight w:val="none"/>
              </w:rPr>
            </w:pPr>
            <w:r>
              <w:rPr>
                <w:rFonts w:hint="eastAsia" w:ascii="宋体" w:hAnsi="宋体"/>
                <w:color w:val="auto"/>
                <w:sz w:val="24"/>
                <w:highlight w:val="none"/>
              </w:rPr>
              <w:t>解密时间</w:t>
            </w:r>
          </w:p>
        </w:tc>
        <w:tc>
          <w:tcPr>
            <w:tcW w:w="7366" w:type="dxa"/>
            <w:vAlign w:val="center"/>
          </w:tcPr>
          <w:p w14:paraId="0BE0F0EF">
            <w:pPr>
              <w:jc w:val="left"/>
              <w:rPr>
                <w:rFonts w:hint="eastAsia" w:ascii="宋体" w:hAnsi="宋体"/>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 xml:space="preserve">  10  </w:t>
            </w:r>
            <w:r>
              <w:rPr>
                <w:rFonts w:hint="eastAsia" w:ascii="宋体" w:hAnsi="宋体"/>
                <w:color w:val="auto"/>
                <w:sz w:val="24"/>
                <w:highlight w:val="none"/>
              </w:rPr>
              <w:t>分钟。</w:t>
            </w:r>
          </w:p>
        </w:tc>
      </w:tr>
      <w:tr w14:paraId="28BB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8A12D45">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20.1</w:t>
            </w:r>
          </w:p>
        </w:tc>
        <w:tc>
          <w:tcPr>
            <w:tcW w:w="1555" w:type="dxa"/>
            <w:vAlign w:val="center"/>
          </w:tcPr>
          <w:p w14:paraId="0C7B627F">
            <w:pPr>
              <w:jc w:val="center"/>
              <w:rPr>
                <w:rFonts w:hint="eastAsia" w:ascii="宋体" w:hAnsi="宋体"/>
                <w:color w:val="auto"/>
                <w:sz w:val="24"/>
                <w:highlight w:val="none"/>
              </w:rPr>
            </w:pPr>
            <w:r>
              <w:rPr>
                <w:rFonts w:ascii="宋体" w:hAnsi="宋体"/>
                <w:color w:val="auto"/>
                <w:sz w:val="24"/>
                <w:highlight w:val="none"/>
              </w:rPr>
              <w:t>确认成交供应商</w:t>
            </w:r>
          </w:p>
        </w:tc>
        <w:tc>
          <w:tcPr>
            <w:tcW w:w="7366" w:type="dxa"/>
            <w:vAlign w:val="center"/>
          </w:tcPr>
          <w:p w14:paraId="2433419D">
            <w:pPr>
              <w:pStyle w:val="28"/>
              <w:adjustRightInd w:val="0"/>
              <w:snapToGrid w:val="0"/>
              <w:rPr>
                <w:rFonts w:hAnsi="宋体"/>
                <w:color w:val="auto"/>
                <w:sz w:val="24"/>
                <w:highlight w:val="none"/>
              </w:rPr>
            </w:pPr>
            <w:r>
              <w:rPr>
                <w:rFonts w:hint="default" w:hAnsi="宋体"/>
                <w:color w:val="auto"/>
                <w:sz w:val="24"/>
                <w:highlight w:val="none"/>
              </w:rPr>
              <w:t>采购人是否授权磋商小组直接确定成交供应商：</w:t>
            </w:r>
          </w:p>
          <w:p w14:paraId="5B0A3E64">
            <w:pPr>
              <w:pStyle w:val="28"/>
              <w:adjustRightInd w:val="0"/>
              <w:snapToGrid w:val="0"/>
              <w:rPr>
                <w:rFonts w:hAnsi="宋体"/>
                <w:color w:val="auto"/>
                <w:sz w:val="24"/>
                <w:highlight w:val="none"/>
              </w:rPr>
            </w:pPr>
            <w:r>
              <w:rPr>
                <w:rFonts w:hAnsi="宋体"/>
                <w:color w:val="auto"/>
                <w:sz w:val="24"/>
                <w:highlight w:val="none"/>
              </w:rPr>
              <w:t>■</w:t>
            </w:r>
            <w:r>
              <w:rPr>
                <w:rFonts w:hint="default" w:hAnsi="宋体"/>
                <w:color w:val="auto"/>
                <w:sz w:val="24"/>
                <w:highlight w:val="none"/>
              </w:rPr>
              <w:t>否</w:t>
            </w:r>
          </w:p>
          <w:p w14:paraId="5C9FC135">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00F55D6F">
            <w:pPr>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成交候选人并列的，按照以下方式确定成交供应商：</w:t>
            </w:r>
            <w:r>
              <w:rPr>
                <w:rFonts w:hint="eastAsia" w:ascii="宋体" w:hAnsi="宋体"/>
                <w:color w:val="auto"/>
                <w:sz w:val="24"/>
                <w:highlight w:val="none"/>
                <w:u w:val="single"/>
              </w:rPr>
              <w:t>得分相同，以响应报价较低的优先；得分且响应报价均相同的，以技术部分评审得分高者为成交供应商；技术部分评审也相同的，以技术部分中的“施工方案与技术措施”评审得分高者为成交供应商</w:t>
            </w:r>
            <w:r>
              <w:rPr>
                <w:rFonts w:ascii="宋体" w:hAnsi="宋体"/>
                <w:color w:val="auto"/>
                <w:sz w:val="24"/>
                <w:highlight w:val="none"/>
              </w:rPr>
              <w:t>。</w:t>
            </w:r>
          </w:p>
          <w:p w14:paraId="03B8FE1E">
            <w:pPr>
              <w:pStyle w:val="269"/>
              <w:spacing w:before="0" w:beforeAutospacing="0" w:after="0" w:afterAutospacing="0"/>
              <w:rPr>
                <w:rFonts w:hint="eastAsia" w:cs="Times New Roman"/>
                <w:color w:val="auto"/>
                <w:kern w:val="2"/>
                <w:highlight w:val="none"/>
              </w:rPr>
            </w:pPr>
            <w:r>
              <w:rPr>
                <w:rFonts w:cs="Times New Roman"/>
                <w:color w:val="auto"/>
                <w:kern w:val="2"/>
                <w:highlight w:val="none"/>
              </w:rPr>
              <w:t>（2）采购人根据磋商小组推荐的有排序的成交候选人情况，确定排名第一的成交候选人为成交人。排名第一的成交候选人发生如下情形导致不符合成交条件的，采购人可以按照磋商小组提出的成交候选人名单排序依次确定其他成交候选人为成交人：</w:t>
            </w:r>
          </w:p>
          <w:p w14:paraId="52E31ABA">
            <w:pPr>
              <w:jc w:val="left"/>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u w:val="single"/>
              </w:rPr>
              <w:t>放弃成交的</w:t>
            </w:r>
            <w:r>
              <w:rPr>
                <w:rFonts w:hint="eastAsia" w:ascii="宋体" w:hAnsi="宋体"/>
                <w:color w:val="auto"/>
                <w:sz w:val="24"/>
                <w:highlight w:val="none"/>
              </w:rPr>
              <w:t>；</w:t>
            </w:r>
          </w:p>
          <w:p w14:paraId="51164BC7">
            <w:pPr>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拟派项目经理担任其他在施建设工程项目的项目经理的</w:t>
            </w:r>
            <w:r>
              <w:rPr>
                <w:rFonts w:hint="eastAsia" w:ascii="宋体" w:hAnsi="宋体"/>
                <w:color w:val="auto"/>
                <w:sz w:val="24"/>
                <w:highlight w:val="none"/>
              </w:rPr>
              <w:t>；</w:t>
            </w:r>
          </w:p>
          <w:p w14:paraId="2CE47DC2">
            <w:pPr>
              <w:jc w:val="left"/>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因不可抗力提出不能履行合同的</w:t>
            </w:r>
            <w:r>
              <w:rPr>
                <w:rFonts w:hint="eastAsia" w:ascii="宋体" w:hAnsi="宋体"/>
                <w:color w:val="auto"/>
                <w:sz w:val="24"/>
                <w:highlight w:val="none"/>
              </w:rPr>
              <w:t>；</w:t>
            </w:r>
          </w:p>
          <w:p w14:paraId="6E81AC07">
            <w:pPr>
              <w:jc w:val="left"/>
              <w:rPr>
                <w:rFonts w:hint="eastAsia"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被标示为施工安全风险企业的</w:t>
            </w:r>
            <w:r>
              <w:rPr>
                <w:rFonts w:hint="eastAsia" w:ascii="宋体" w:hAnsi="宋体"/>
                <w:color w:val="auto"/>
                <w:sz w:val="24"/>
                <w:highlight w:val="none"/>
              </w:rPr>
              <w:t>；</w:t>
            </w:r>
          </w:p>
          <w:p w14:paraId="12F6202A">
            <w:pPr>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u w:val="single"/>
              </w:rPr>
              <w:t>被北京市住房城乡建设主管部门暂扣安全生产许可证的</w:t>
            </w:r>
            <w:r>
              <w:rPr>
                <w:rFonts w:hint="eastAsia" w:ascii="宋体" w:hAnsi="宋体"/>
                <w:color w:val="auto"/>
                <w:sz w:val="24"/>
                <w:highlight w:val="none"/>
              </w:rPr>
              <w:t>；</w:t>
            </w:r>
          </w:p>
          <w:p w14:paraId="030DC340">
            <w:pPr>
              <w:pStyle w:val="269"/>
              <w:spacing w:before="0" w:beforeAutospacing="0" w:after="0" w:afterAutospacing="0"/>
              <w:rPr>
                <w:rFonts w:hint="eastAsia" w:cs="Times New Roman"/>
                <w:color w:val="auto"/>
                <w:kern w:val="2"/>
                <w:highlight w:val="none"/>
              </w:rPr>
            </w:pPr>
            <w:r>
              <w:rPr>
                <w:rFonts w:hint="eastAsia"/>
                <w:color w:val="auto"/>
                <w:highlight w:val="none"/>
              </w:rPr>
              <w:t>6）</w:t>
            </w:r>
            <w:r>
              <w:rPr>
                <w:rFonts w:hint="eastAsia" w:cs="Times New Roman"/>
                <w:color w:val="auto"/>
                <w:kern w:val="2"/>
                <w:highlight w:val="none"/>
                <w:u w:val="single"/>
              </w:rPr>
              <w:t>不存在被北京市住房城乡建设主管部门标注资质（本项目所涉及资质）异常且未完成整改情形</w:t>
            </w:r>
            <w:r>
              <w:rPr>
                <w:rFonts w:hint="eastAsia"/>
                <w:color w:val="auto"/>
                <w:highlight w:val="none"/>
              </w:rPr>
              <w:t>。</w:t>
            </w:r>
          </w:p>
        </w:tc>
      </w:tr>
      <w:tr w14:paraId="206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75E22B2">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23.5</w:t>
            </w:r>
          </w:p>
        </w:tc>
        <w:tc>
          <w:tcPr>
            <w:tcW w:w="1555" w:type="dxa"/>
            <w:vAlign w:val="center"/>
          </w:tcPr>
          <w:p w14:paraId="013C226F">
            <w:pPr>
              <w:jc w:val="center"/>
              <w:rPr>
                <w:rFonts w:hint="eastAsia" w:ascii="宋体" w:hAnsi="宋体"/>
                <w:color w:val="auto"/>
                <w:sz w:val="24"/>
                <w:highlight w:val="none"/>
              </w:rPr>
            </w:pPr>
            <w:r>
              <w:rPr>
                <w:rFonts w:ascii="宋体" w:hAnsi="宋体"/>
                <w:color w:val="auto"/>
                <w:sz w:val="24"/>
                <w:highlight w:val="none"/>
              </w:rPr>
              <w:t>分包</w:t>
            </w:r>
          </w:p>
        </w:tc>
        <w:tc>
          <w:tcPr>
            <w:tcW w:w="7366" w:type="dxa"/>
            <w:vAlign w:val="center"/>
          </w:tcPr>
          <w:p w14:paraId="534FEFA9">
            <w:pPr>
              <w:jc w:val="left"/>
              <w:rPr>
                <w:rFonts w:hint="eastAsia" w:ascii="宋体" w:hAnsi="宋体"/>
                <w:color w:val="auto"/>
                <w:sz w:val="24"/>
                <w:highlight w:val="none"/>
              </w:rPr>
            </w:pPr>
            <w:r>
              <w:rPr>
                <w:rFonts w:ascii="宋体" w:hAnsi="宋体"/>
                <w:color w:val="auto"/>
                <w:sz w:val="24"/>
                <w:highlight w:val="none"/>
              </w:rPr>
              <w:t xml:space="preserve">本项目是否允许分包： </w:t>
            </w:r>
          </w:p>
          <w:p w14:paraId="34A2BFA3">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不允许</w:t>
            </w:r>
          </w:p>
          <w:p w14:paraId="7D9BBABF">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允许，具体要求：</w:t>
            </w:r>
            <w:r>
              <w:rPr>
                <w:rFonts w:ascii="宋体" w:hAnsi="宋体"/>
                <w:color w:val="auto"/>
                <w:sz w:val="24"/>
                <w:highlight w:val="none"/>
                <w:u w:val="single"/>
              </w:rPr>
              <w:t xml:space="preserve">  /  </w:t>
            </w:r>
            <w:r>
              <w:rPr>
                <w:rFonts w:ascii="宋体" w:hAnsi="宋体"/>
                <w:color w:val="auto"/>
                <w:sz w:val="24"/>
                <w:highlight w:val="none"/>
              </w:rPr>
              <w:t>。</w:t>
            </w:r>
          </w:p>
          <w:p w14:paraId="3441EADD">
            <w:pPr>
              <w:jc w:val="left"/>
              <w:rPr>
                <w:rFonts w:hint="eastAsia" w:ascii="宋体" w:hAnsi="宋体"/>
                <w:color w:val="auto"/>
                <w:sz w:val="24"/>
                <w:highlight w:val="none"/>
              </w:rPr>
            </w:pPr>
            <w:r>
              <w:rPr>
                <w:rFonts w:hint="eastAsia" w:ascii="宋体" w:hAnsi="宋体"/>
                <w:color w:val="auto"/>
                <w:sz w:val="24"/>
                <w:highlight w:val="none"/>
              </w:rPr>
              <w:t>（1）可以分包履行的具体内容：</w:t>
            </w:r>
            <w:r>
              <w:rPr>
                <w:rFonts w:hint="eastAsia" w:ascii="宋体" w:hAnsi="宋体"/>
                <w:color w:val="auto"/>
                <w:sz w:val="24"/>
                <w:highlight w:val="none"/>
                <w:u w:val="single"/>
              </w:rPr>
              <w:t>本项目配套实施等非主体、非关键性内容</w:t>
            </w:r>
            <w:r>
              <w:rPr>
                <w:rFonts w:hint="eastAsia" w:ascii="宋体" w:hAnsi="宋体"/>
                <w:color w:val="auto"/>
                <w:sz w:val="24"/>
                <w:highlight w:val="none"/>
              </w:rPr>
              <w:t>；</w:t>
            </w:r>
          </w:p>
          <w:p w14:paraId="7C4860AA">
            <w:pPr>
              <w:jc w:val="left"/>
              <w:rPr>
                <w:rFonts w:hint="eastAsia" w:ascii="宋体" w:hAnsi="宋体"/>
                <w:color w:val="auto"/>
                <w:sz w:val="24"/>
                <w:highlight w:val="none"/>
              </w:rPr>
            </w:pPr>
            <w:r>
              <w:rPr>
                <w:rFonts w:hint="eastAsia" w:ascii="宋体" w:hAnsi="宋体"/>
                <w:color w:val="auto"/>
                <w:sz w:val="24"/>
                <w:highlight w:val="none"/>
              </w:rPr>
              <w:t>（2）允许分包的金额或者比例：/；</w:t>
            </w:r>
          </w:p>
          <w:p w14:paraId="6AD0F5E7">
            <w:pPr>
              <w:jc w:val="left"/>
              <w:rPr>
                <w:rFonts w:hint="eastAsia" w:ascii="宋体" w:hAnsi="宋体"/>
                <w:color w:val="auto"/>
                <w:sz w:val="24"/>
                <w:highlight w:val="none"/>
              </w:rPr>
            </w:pPr>
            <w:r>
              <w:rPr>
                <w:rFonts w:hint="eastAsia" w:ascii="宋体" w:hAnsi="宋体"/>
                <w:color w:val="auto"/>
                <w:sz w:val="24"/>
                <w:highlight w:val="none"/>
              </w:rPr>
              <w:t>（3）其他要求：/</w:t>
            </w:r>
          </w:p>
        </w:tc>
      </w:tr>
      <w:tr w14:paraId="1B28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99DF3B5">
            <w:pPr>
              <w:pStyle w:val="28"/>
              <w:adjustRightInd w:val="0"/>
              <w:snapToGrid w:val="0"/>
              <w:jc w:val="center"/>
              <w:rPr>
                <w:rFonts w:hAnsi="宋体"/>
                <w:color w:val="auto"/>
                <w:sz w:val="24"/>
                <w:szCs w:val="24"/>
                <w:highlight w:val="none"/>
              </w:rPr>
            </w:pPr>
            <w:r>
              <w:rPr>
                <w:rFonts w:hAnsi="宋体"/>
                <w:color w:val="auto"/>
                <w:sz w:val="24"/>
                <w:szCs w:val="24"/>
                <w:highlight w:val="none"/>
              </w:rPr>
              <w:t>23.6</w:t>
            </w:r>
          </w:p>
        </w:tc>
        <w:tc>
          <w:tcPr>
            <w:tcW w:w="1555" w:type="dxa"/>
            <w:vAlign w:val="center"/>
          </w:tcPr>
          <w:p w14:paraId="111AFF93">
            <w:pPr>
              <w:jc w:val="center"/>
              <w:rPr>
                <w:rFonts w:hint="eastAsia" w:ascii="宋体" w:hAnsi="宋体"/>
                <w:color w:val="auto"/>
                <w:sz w:val="24"/>
                <w:highlight w:val="none"/>
              </w:rPr>
            </w:pPr>
            <w:r>
              <w:rPr>
                <w:rFonts w:hint="eastAsia" w:ascii="宋体" w:hAnsi="宋体"/>
                <w:color w:val="auto"/>
                <w:sz w:val="24"/>
                <w:highlight w:val="none"/>
              </w:rPr>
              <w:t>政采贷</w:t>
            </w:r>
          </w:p>
        </w:tc>
        <w:tc>
          <w:tcPr>
            <w:tcW w:w="7366" w:type="dxa"/>
            <w:vAlign w:val="center"/>
          </w:tcPr>
          <w:p w14:paraId="0E584039">
            <w:pPr>
              <w:rPr>
                <w:rFonts w:hint="eastAsia" w:ascii="宋体" w:hAnsi="宋体"/>
                <w:color w:val="auto"/>
                <w:sz w:val="24"/>
                <w:highlight w:val="none"/>
              </w:rPr>
            </w:pPr>
            <w:r>
              <w:rPr>
                <w:rFonts w:hint="eastAsia" w:ascii="宋体" w:hAnsi="宋体"/>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A4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95483B2">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24.1.1</w:t>
            </w:r>
          </w:p>
        </w:tc>
        <w:tc>
          <w:tcPr>
            <w:tcW w:w="1555" w:type="dxa"/>
            <w:vAlign w:val="center"/>
          </w:tcPr>
          <w:p w14:paraId="5F278971">
            <w:pPr>
              <w:jc w:val="center"/>
              <w:rPr>
                <w:rFonts w:hint="eastAsia" w:ascii="宋体" w:hAnsi="宋体"/>
                <w:color w:val="auto"/>
                <w:sz w:val="24"/>
                <w:highlight w:val="none"/>
              </w:rPr>
            </w:pPr>
            <w:r>
              <w:rPr>
                <w:rFonts w:ascii="宋体" w:hAnsi="宋体"/>
                <w:color w:val="auto"/>
                <w:sz w:val="24"/>
                <w:highlight w:val="none"/>
              </w:rPr>
              <w:t>询问</w:t>
            </w:r>
          </w:p>
        </w:tc>
        <w:tc>
          <w:tcPr>
            <w:tcW w:w="7366" w:type="dxa"/>
            <w:vAlign w:val="center"/>
          </w:tcPr>
          <w:p w14:paraId="4C18628A">
            <w:pPr>
              <w:jc w:val="left"/>
              <w:rPr>
                <w:rFonts w:hint="eastAsia" w:ascii="宋体" w:hAnsi="宋体"/>
                <w:color w:val="auto"/>
                <w:sz w:val="24"/>
                <w:highlight w:val="none"/>
              </w:rPr>
            </w:pPr>
            <w:r>
              <w:rPr>
                <w:rFonts w:ascii="宋体" w:hAnsi="宋体"/>
                <w:color w:val="auto"/>
                <w:sz w:val="24"/>
                <w:highlight w:val="none"/>
              </w:rPr>
              <w:t>询问提出形式：</w:t>
            </w:r>
            <w:r>
              <w:rPr>
                <w:rFonts w:hint="eastAsia" w:ascii="宋体" w:hAnsi="宋体"/>
                <w:color w:val="auto"/>
                <w:sz w:val="24"/>
                <w:highlight w:val="none"/>
                <w:u w:val="single"/>
              </w:rPr>
              <w:t>书面形式（传真、电子邮件、加盖公章的纸质文件等）</w:t>
            </w:r>
            <w:r>
              <w:rPr>
                <w:rFonts w:ascii="宋体" w:hAnsi="宋体"/>
                <w:color w:val="auto"/>
                <w:sz w:val="24"/>
                <w:highlight w:val="none"/>
              </w:rPr>
              <w:t>。</w:t>
            </w:r>
          </w:p>
        </w:tc>
      </w:tr>
      <w:tr w14:paraId="1A3E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AA2B514">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24.3</w:t>
            </w:r>
          </w:p>
        </w:tc>
        <w:tc>
          <w:tcPr>
            <w:tcW w:w="1555" w:type="dxa"/>
            <w:vAlign w:val="center"/>
          </w:tcPr>
          <w:p w14:paraId="26579205">
            <w:pPr>
              <w:jc w:val="center"/>
              <w:rPr>
                <w:rFonts w:hint="eastAsia" w:ascii="宋体" w:hAnsi="宋体"/>
                <w:color w:val="auto"/>
                <w:sz w:val="24"/>
                <w:highlight w:val="none"/>
              </w:rPr>
            </w:pPr>
            <w:r>
              <w:rPr>
                <w:rFonts w:ascii="宋体" w:hAnsi="宋体"/>
                <w:color w:val="auto"/>
                <w:sz w:val="24"/>
                <w:highlight w:val="none"/>
              </w:rPr>
              <w:t>联系方式</w:t>
            </w:r>
          </w:p>
        </w:tc>
        <w:tc>
          <w:tcPr>
            <w:tcW w:w="7366" w:type="dxa"/>
            <w:vAlign w:val="center"/>
          </w:tcPr>
          <w:p w14:paraId="0AC58DCB">
            <w:pPr>
              <w:jc w:val="left"/>
              <w:rPr>
                <w:rFonts w:hint="eastAsia" w:ascii="宋体" w:hAnsi="宋体"/>
                <w:color w:val="auto"/>
                <w:sz w:val="24"/>
                <w:highlight w:val="none"/>
              </w:rPr>
            </w:pPr>
            <w:r>
              <w:rPr>
                <w:rFonts w:ascii="宋体" w:hAnsi="宋体"/>
                <w:color w:val="auto"/>
                <w:sz w:val="24"/>
                <w:highlight w:val="none"/>
              </w:rPr>
              <w:t>接收询问和质疑的联系方式</w:t>
            </w:r>
          </w:p>
          <w:p w14:paraId="1A012325">
            <w:pPr>
              <w:jc w:val="left"/>
              <w:rPr>
                <w:rFonts w:hint="eastAsia" w:ascii="宋体" w:hAnsi="宋体"/>
                <w:color w:val="auto"/>
                <w:sz w:val="24"/>
                <w:highlight w:val="none"/>
                <w:u w:val="single"/>
              </w:rPr>
            </w:pPr>
            <w:r>
              <w:rPr>
                <w:rFonts w:ascii="宋体" w:hAnsi="宋体"/>
                <w:color w:val="auto"/>
                <w:sz w:val="24"/>
                <w:highlight w:val="none"/>
              </w:rPr>
              <w:t>联系部门：</w:t>
            </w:r>
            <w:r>
              <w:rPr>
                <w:rFonts w:hint="eastAsia" w:ascii="宋体" w:hAnsi="宋体"/>
                <w:color w:val="auto"/>
                <w:sz w:val="24"/>
                <w:highlight w:val="none"/>
                <w:u w:val="single"/>
              </w:rPr>
              <w:t>北京博睿丰工程咨询有限公司</w:t>
            </w:r>
          </w:p>
          <w:p w14:paraId="54AA6B76">
            <w:pPr>
              <w:jc w:val="left"/>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010-61409078、13716552263</w:t>
            </w:r>
            <w:r>
              <w:rPr>
                <w:rFonts w:ascii="宋体" w:hAnsi="宋体"/>
                <w:color w:val="auto"/>
                <w:sz w:val="24"/>
                <w:highlight w:val="none"/>
              </w:rPr>
              <w:t>；</w:t>
            </w:r>
          </w:p>
          <w:p w14:paraId="1E437C98">
            <w:pPr>
              <w:jc w:val="left"/>
              <w:rPr>
                <w:rFonts w:hint="eastAsia" w:ascii="宋体" w:hAnsi="宋体"/>
                <w:color w:val="auto"/>
                <w:sz w:val="24"/>
                <w:highlight w:val="none"/>
              </w:rPr>
            </w:pPr>
            <w:r>
              <w:rPr>
                <w:rFonts w:ascii="宋体" w:hAnsi="宋体"/>
                <w:color w:val="auto"/>
                <w:sz w:val="24"/>
                <w:highlight w:val="none"/>
              </w:rPr>
              <w:t>通讯地址：</w:t>
            </w:r>
            <w:r>
              <w:rPr>
                <w:rFonts w:hint="eastAsia" w:ascii="宋体" w:hAnsi="宋体"/>
                <w:color w:val="auto"/>
                <w:sz w:val="24"/>
                <w:highlight w:val="none"/>
                <w:u w:val="single"/>
              </w:rPr>
              <w:t>北京市顺义区林河南大街9号院9号楼2层262室</w:t>
            </w:r>
            <w:r>
              <w:rPr>
                <w:rFonts w:ascii="宋体" w:hAnsi="宋体"/>
                <w:color w:val="auto"/>
                <w:sz w:val="24"/>
                <w:highlight w:val="none"/>
              </w:rPr>
              <w:t>。</w:t>
            </w:r>
          </w:p>
        </w:tc>
      </w:tr>
      <w:tr w14:paraId="0B7A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93" w:type="dxa"/>
            <w:vAlign w:val="center"/>
          </w:tcPr>
          <w:p w14:paraId="1FF899F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25</w:t>
            </w:r>
          </w:p>
        </w:tc>
        <w:tc>
          <w:tcPr>
            <w:tcW w:w="1555" w:type="dxa"/>
            <w:vAlign w:val="center"/>
          </w:tcPr>
          <w:p w14:paraId="67ADD6EC">
            <w:pPr>
              <w:jc w:val="center"/>
              <w:rPr>
                <w:rFonts w:hint="eastAsia" w:ascii="宋体" w:hAnsi="宋体"/>
                <w:color w:val="auto"/>
                <w:sz w:val="24"/>
                <w:highlight w:val="none"/>
              </w:rPr>
            </w:pPr>
            <w:r>
              <w:rPr>
                <w:rFonts w:ascii="宋体" w:hAnsi="宋体"/>
                <w:color w:val="auto"/>
                <w:sz w:val="24"/>
                <w:highlight w:val="none"/>
              </w:rPr>
              <w:t>代理费</w:t>
            </w:r>
          </w:p>
        </w:tc>
        <w:tc>
          <w:tcPr>
            <w:tcW w:w="7366" w:type="dxa"/>
            <w:vAlign w:val="center"/>
          </w:tcPr>
          <w:p w14:paraId="267F63BA">
            <w:pPr>
              <w:jc w:val="left"/>
              <w:rPr>
                <w:rFonts w:hint="eastAsia" w:ascii="宋体" w:hAnsi="宋体"/>
                <w:color w:val="auto"/>
                <w:sz w:val="24"/>
                <w:highlight w:val="none"/>
              </w:rPr>
            </w:pPr>
            <w:r>
              <w:rPr>
                <w:rFonts w:hint="eastAsia" w:ascii="宋体" w:hAnsi="宋体"/>
                <w:color w:val="auto"/>
                <w:sz w:val="24"/>
                <w:highlight w:val="none"/>
              </w:rPr>
              <w:t>1.代理费收费对象：</w:t>
            </w:r>
          </w:p>
          <w:p w14:paraId="0221CE80">
            <w:pPr>
              <w:jc w:val="left"/>
              <w:rPr>
                <w:rFonts w:hint="eastAsia" w:ascii="宋体" w:hAnsi="宋体"/>
                <w:color w:val="auto"/>
                <w:sz w:val="24"/>
                <w:highlight w:val="none"/>
              </w:rPr>
            </w:pPr>
            <w:r>
              <w:rPr>
                <w:rFonts w:hint="eastAsia" w:ascii="宋体" w:hAnsi="宋体"/>
                <w:color w:val="auto"/>
                <w:sz w:val="24"/>
                <w:highlight w:val="none"/>
              </w:rPr>
              <w:t>■采购人</w:t>
            </w:r>
          </w:p>
          <w:p w14:paraId="0EBEFA39">
            <w:pPr>
              <w:jc w:val="left"/>
              <w:rPr>
                <w:rFonts w:hint="eastAsia" w:ascii="宋体" w:hAnsi="宋体"/>
                <w:color w:val="auto"/>
                <w:sz w:val="24"/>
                <w:highlight w:val="none"/>
              </w:rPr>
            </w:pPr>
            <w:r>
              <w:rPr>
                <w:rFonts w:hint="eastAsia" w:ascii="宋体" w:hAnsi="宋体"/>
                <w:color w:val="auto"/>
                <w:sz w:val="24"/>
                <w:highlight w:val="none"/>
              </w:rPr>
              <w:t>□成交供应商</w:t>
            </w:r>
          </w:p>
          <w:p w14:paraId="64EC9BB3">
            <w:pPr>
              <w:jc w:val="left"/>
              <w:rPr>
                <w:color w:val="auto"/>
                <w:kern w:val="0"/>
                <w:sz w:val="24"/>
                <w:highlight w:val="none"/>
                <w:u w:val="single"/>
              </w:rPr>
            </w:pPr>
            <w:r>
              <w:rPr>
                <w:rFonts w:hint="eastAsia" w:ascii="宋体" w:hAnsi="宋体"/>
                <w:color w:val="auto"/>
                <w:sz w:val="24"/>
                <w:highlight w:val="none"/>
              </w:rPr>
              <w:t>收费标准：</w:t>
            </w:r>
            <w:r>
              <w:rPr>
                <w:rFonts w:hint="eastAsia"/>
                <w:color w:val="auto"/>
                <w:kern w:val="0"/>
                <w:sz w:val="24"/>
                <w:highlight w:val="none"/>
                <w:u w:val="single"/>
              </w:rPr>
              <w:t>按照项目类别以差额定率累进法规定下浮21%计取。分标段采购的，以各标段为单元分别计算。</w:t>
            </w:r>
          </w:p>
          <w:p w14:paraId="4D7D3886">
            <w:pPr>
              <w:jc w:val="left"/>
              <w:rPr>
                <w:color w:val="auto"/>
                <w:highlight w:val="none"/>
              </w:rPr>
            </w:pPr>
            <w:r>
              <w:rPr>
                <w:rFonts w:hint="eastAsia" w:ascii="宋体" w:hAnsi="宋体"/>
                <w:color w:val="auto"/>
                <w:sz w:val="24"/>
                <w:highlight w:val="none"/>
              </w:rPr>
              <w:t>详见下表：</w:t>
            </w:r>
          </w:p>
          <w:p w14:paraId="720B5D91">
            <w:pPr>
              <w:ind w:firstLine="2891" w:firstLineChars="1200"/>
              <w:jc w:val="left"/>
              <w:rPr>
                <w:rFonts w:hint="eastAsia" w:ascii="宋体" w:hAnsi="宋体" w:cs="宋体"/>
                <w:b/>
                <w:bCs/>
                <w:color w:val="auto"/>
                <w:sz w:val="24"/>
                <w:highlight w:val="none"/>
              </w:rPr>
            </w:pPr>
            <w:r>
              <w:rPr>
                <w:rFonts w:hint="eastAsia" w:ascii="宋体" w:hAnsi="宋体" w:cs="宋体"/>
                <w:b/>
                <w:bCs/>
                <w:color w:val="auto"/>
                <w:sz w:val="24"/>
                <w:highlight w:val="none"/>
              </w:rPr>
              <w:t>代理服务收费标准</w:t>
            </w:r>
          </w:p>
          <w:tbl>
            <w:tblPr>
              <w:tblStyle w:val="53"/>
              <w:tblW w:w="672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46"/>
              <w:gridCol w:w="1289"/>
              <w:gridCol w:w="1139"/>
              <w:gridCol w:w="1354"/>
            </w:tblGrid>
            <w:tr w14:paraId="2D8009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2946" w:type="dxa"/>
                  <w:vMerge w:val="restart"/>
                  <w:tcBorders>
                    <w:top w:val="outset" w:color="auto" w:sz="6" w:space="0"/>
                    <w:left w:val="outset" w:color="auto" w:sz="6" w:space="0"/>
                    <w:right w:val="outset" w:color="auto" w:sz="6" w:space="0"/>
                    <w:tl2br w:val="outset" w:color="auto" w:sz="6" w:space="0"/>
                  </w:tcBorders>
                  <w:vAlign w:val="center"/>
                </w:tcPr>
                <w:p w14:paraId="49177F55">
                  <w:pPr>
                    <w:widowControl/>
                    <w:tabs>
                      <w:tab w:val="left" w:pos="2520"/>
                      <w:tab w:val="left" w:pos="2730"/>
                    </w:tabs>
                    <w:jc w:val="center"/>
                    <w:rPr>
                      <w:rFonts w:hint="eastAsia" w:ascii="宋体" w:hAnsi="宋体" w:cs="宋体"/>
                      <w:color w:val="auto"/>
                      <w:sz w:val="24"/>
                      <w:highlight w:val="none"/>
                    </w:rPr>
                  </w:pPr>
                  <w:r>
                    <w:rPr>
                      <w:rFonts w:hint="eastAsia" w:ascii="宋体" w:hAnsi="宋体" w:cs="宋体"/>
                      <w:color w:val="auto"/>
                      <w:sz w:val="24"/>
                      <w:highlight w:val="none"/>
                    </w:rPr>
                    <w:t xml:space="preserve">               项目类别</w:t>
                  </w:r>
                </w:p>
                <w:p w14:paraId="5D692828">
                  <w:pPr>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成交金额(万元)</w:t>
                  </w:r>
                </w:p>
              </w:tc>
              <w:tc>
                <w:tcPr>
                  <w:tcW w:w="3782" w:type="dxa"/>
                  <w:gridSpan w:val="3"/>
                  <w:tcBorders>
                    <w:top w:val="outset" w:color="auto" w:sz="6" w:space="0"/>
                    <w:left w:val="outset" w:color="auto" w:sz="6" w:space="0"/>
                    <w:bottom w:val="outset" w:color="auto" w:sz="6" w:space="0"/>
                    <w:right w:val="outset" w:color="auto" w:sz="6" w:space="0"/>
                  </w:tcBorders>
                  <w:vAlign w:val="center"/>
                </w:tcPr>
                <w:p w14:paraId="1D0B1891">
                  <w:pPr>
                    <w:widowControl/>
                    <w:jc w:val="center"/>
                    <w:rPr>
                      <w:rFonts w:hint="eastAsia" w:ascii="宋体" w:hAnsi="宋体" w:cs="宋体"/>
                      <w:color w:val="auto"/>
                      <w:sz w:val="24"/>
                      <w:highlight w:val="none"/>
                    </w:rPr>
                  </w:pPr>
                  <w:r>
                    <w:rPr>
                      <w:rFonts w:hint="eastAsia" w:ascii="宋体" w:hAnsi="宋体" w:cs="宋体"/>
                      <w:color w:val="auto"/>
                      <w:sz w:val="24"/>
                      <w:highlight w:val="none"/>
                    </w:rPr>
                    <w:t>标准费率（%）</w:t>
                  </w:r>
                </w:p>
              </w:tc>
            </w:tr>
            <w:tr w14:paraId="031E24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946" w:type="dxa"/>
                  <w:vMerge w:val="continue"/>
                  <w:tcBorders>
                    <w:left w:val="outset" w:color="auto" w:sz="6" w:space="0"/>
                    <w:bottom w:val="outset" w:color="auto" w:sz="6" w:space="0"/>
                    <w:right w:val="outset" w:color="auto" w:sz="6" w:space="0"/>
                    <w:tl2br w:val="outset" w:color="auto" w:sz="6" w:space="0"/>
                  </w:tcBorders>
                  <w:vAlign w:val="center"/>
                </w:tcPr>
                <w:p w14:paraId="096A6F1C">
                  <w:pPr>
                    <w:widowControl/>
                    <w:jc w:val="center"/>
                    <w:rPr>
                      <w:rFonts w:hint="eastAsia" w:ascii="宋体" w:hAnsi="宋体" w:cs="宋体"/>
                      <w:color w:val="auto"/>
                      <w:sz w:val="24"/>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14:paraId="78B8762B">
                  <w:pPr>
                    <w:widowControl/>
                    <w:spacing w:before="100" w:beforeAutospacing="1" w:after="100" w:afterAutospacing="1"/>
                    <w:jc w:val="center"/>
                    <w:rPr>
                      <w:rFonts w:hint="eastAsia" w:ascii="宋体" w:hAnsi="宋体" w:cs="宋体"/>
                      <w:color w:val="auto"/>
                      <w:sz w:val="24"/>
                      <w:highlight w:val="none"/>
                    </w:rPr>
                  </w:pPr>
                  <w:r>
                    <w:rPr>
                      <w:rFonts w:hint="eastAsia" w:ascii="宋体" w:hAnsi="宋体" w:cs="宋体"/>
                      <w:color w:val="auto"/>
                      <w:sz w:val="24"/>
                      <w:highlight w:val="none"/>
                    </w:rPr>
                    <w:t>货物</w:t>
                  </w:r>
                </w:p>
              </w:tc>
              <w:tc>
                <w:tcPr>
                  <w:tcW w:w="1139" w:type="dxa"/>
                  <w:tcBorders>
                    <w:top w:val="outset" w:color="auto" w:sz="6" w:space="0"/>
                    <w:left w:val="outset" w:color="auto" w:sz="6" w:space="0"/>
                    <w:bottom w:val="outset" w:color="auto" w:sz="6" w:space="0"/>
                    <w:right w:val="outset" w:color="auto" w:sz="6" w:space="0"/>
                  </w:tcBorders>
                  <w:vAlign w:val="center"/>
                </w:tcPr>
                <w:p w14:paraId="2C7F105D">
                  <w:pPr>
                    <w:widowControl/>
                    <w:jc w:val="center"/>
                    <w:rPr>
                      <w:rFonts w:hint="eastAsia" w:ascii="宋体" w:hAnsi="宋体" w:cs="宋体"/>
                      <w:color w:val="auto"/>
                      <w:sz w:val="24"/>
                      <w:highlight w:val="none"/>
                    </w:rPr>
                  </w:pPr>
                  <w:r>
                    <w:rPr>
                      <w:rFonts w:hint="eastAsia" w:ascii="宋体" w:hAnsi="宋体" w:cs="宋体"/>
                      <w:color w:val="auto"/>
                      <w:sz w:val="24"/>
                      <w:highlight w:val="none"/>
                    </w:rPr>
                    <w:t>服务</w:t>
                  </w:r>
                </w:p>
              </w:tc>
              <w:tc>
                <w:tcPr>
                  <w:tcW w:w="1354" w:type="dxa"/>
                  <w:tcBorders>
                    <w:top w:val="outset" w:color="auto" w:sz="6" w:space="0"/>
                    <w:left w:val="outset" w:color="auto" w:sz="6" w:space="0"/>
                    <w:bottom w:val="outset" w:color="auto" w:sz="6" w:space="0"/>
                    <w:right w:val="outset" w:color="auto" w:sz="6" w:space="0"/>
                  </w:tcBorders>
                  <w:vAlign w:val="center"/>
                </w:tcPr>
                <w:p w14:paraId="52A95D44">
                  <w:pPr>
                    <w:widowControl/>
                    <w:jc w:val="center"/>
                    <w:rPr>
                      <w:rFonts w:hint="eastAsia" w:ascii="宋体" w:hAnsi="宋体" w:cs="宋体"/>
                      <w:color w:val="auto"/>
                      <w:sz w:val="24"/>
                      <w:highlight w:val="none"/>
                    </w:rPr>
                  </w:pPr>
                  <w:r>
                    <w:rPr>
                      <w:rFonts w:hint="eastAsia" w:ascii="宋体" w:hAnsi="宋体" w:cs="宋体"/>
                      <w:color w:val="auto"/>
                      <w:sz w:val="24"/>
                      <w:highlight w:val="none"/>
                    </w:rPr>
                    <w:t>工程</w:t>
                  </w:r>
                </w:p>
              </w:tc>
            </w:tr>
            <w:tr w14:paraId="7456D8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66F7BDC3">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100以下</w:t>
                  </w:r>
                </w:p>
              </w:tc>
              <w:tc>
                <w:tcPr>
                  <w:tcW w:w="1289" w:type="dxa"/>
                  <w:tcBorders>
                    <w:top w:val="outset" w:color="auto" w:sz="6" w:space="0"/>
                    <w:left w:val="outset" w:color="auto" w:sz="6" w:space="0"/>
                    <w:bottom w:val="outset" w:color="auto" w:sz="6" w:space="0"/>
                    <w:right w:val="outset" w:color="auto" w:sz="6" w:space="0"/>
                  </w:tcBorders>
                  <w:vAlign w:val="center"/>
                </w:tcPr>
                <w:p w14:paraId="1DA7425E">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139" w:type="dxa"/>
                  <w:tcBorders>
                    <w:top w:val="outset" w:color="auto" w:sz="6" w:space="0"/>
                    <w:left w:val="outset" w:color="auto" w:sz="6" w:space="0"/>
                    <w:bottom w:val="outset" w:color="auto" w:sz="6" w:space="0"/>
                    <w:right w:val="outset" w:color="auto" w:sz="6" w:space="0"/>
                  </w:tcBorders>
                  <w:vAlign w:val="center"/>
                </w:tcPr>
                <w:p w14:paraId="40D0209F">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354" w:type="dxa"/>
                  <w:tcBorders>
                    <w:top w:val="outset" w:color="auto" w:sz="6" w:space="0"/>
                    <w:left w:val="outset" w:color="auto" w:sz="6" w:space="0"/>
                    <w:bottom w:val="outset" w:color="auto" w:sz="6" w:space="0"/>
                    <w:right w:val="outset" w:color="auto" w:sz="6" w:space="0"/>
                  </w:tcBorders>
                  <w:vAlign w:val="center"/>
                </w:tcPr>
                <w:p w14:paraId="092A9EC4">
                  <w:pPr>
                    <w:widowControl/>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14:paraId="69F15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62487E1F">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100—500</w:t>
                  </w:r>
                </w:p>
              </w:tc>
              <w:tc>
                <w:tcPr>
                  <w:tcW w:w="1289" w:type="dxa"/>
                  <w:tcBorders>
                    <w:top w:val="outset" w:color="auto" w:sz="6" w:space="0"/>
                    <w:left w:val="outset" w:color="auto" w:sz="6" w:space="0"/>
                    <w:bottom w:val="outset" w:color="auto" w:sz="6" w:space="0"/>
                    <w:right w:val="outset" w:color="auto" w:sz="6" w:space="0"/>
                  </w:tcBorders>
                  <w:vAlign w:val="center"/>
                </w:tcPr>
                <w:p w14:paraId="30F1FAC0">
                  <w:pPr>
                    <w:widowControl/>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139" w:type="dxa"/>
                  <w:tcBorders>
                    <w:top w:val="outset" w:color="auto" w:sz="6" w:space="0"/>
                    <w:left w:val="outset" w:color="auto" w:sz="6" w:space="0"/>
                    <w:bottom w:val="outset" w:color="auto" w:sz="6" w:space="0"/>
                    <w:right w:val="outset" w:color="auto" w:sz="6" w:space="0"/>
                  </w:tcBorders>
                  <w:vAlign w:val="center"/>
                </w:tcPr>
                <w:p w14:paraId="5B611634">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354" w:type="dxa"/>
                  <w:tcBorders>
                    <w:top w:val="outset" w:color="auto" w:sz="6" w:space="0"/>
                    <w:left w:val="outset" w:color="auto" w:sz="6" w:space="0"/>
                    <w:bottom w:val="outset" w:color="auto" w:sz="6" w:space="0"/>
                    <w:right w:val="outset" w:color="auto" w:sz="6" w:space="0"/>
                  </w:tcBorders>
                  <w:vAlign w:val="center"/>
                </w:tcPr>
                <w:p w14:paraId="0A36EEE1">
                  <w:pPr>
                    <w:widowControl/>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14:paraId="4BCEEF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CD930BB">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500—1000</w:t>
                  </w:r>
                </w:p>
              </w:tc>
              <w:tc>
                <w:tcPr>
                  <w:tcW w:w="1289" w:type="dxa"/>
                  <w:tcBorders>
                    <w:top w:val="outset" w:color="auto" w:sz="6" w:space="0"/>
                    <w:left w:val="outset" w:color="auto" w:sz="6" w:space="0"/>
                    <w:bottom w:val="outset" w:color="auto" w:sz="6" w:space="0"/>
                    <w:right w:val="outset" w:color="auto" w:sz="6" w:space="0"/>
                  </w:tcBorders>
                  <w:vAlign w:val="center"/>
                </w:tcPr>
                <w:p w14:paraId="33956D46">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139" w:type="dxa"/>
                  <w:tcBorders>
                    <w:top w:val="outset" w:color="auto" w:sz="6" w:space="0"/>
                    <w:left w:val="outset" w:color="auto" w:sz="6" w:space="0"/>
                    <w:bottom w:val="outset" w:color="auto" w:sz="6" w:space="0"/>
                    <w:right w:val="outset" w:color="auto" w:sz="6" w:space="0"/>
                  </w:tcBorders>
                  <w:vAlign w:val="center"/>
                </w:tcPr>
                <w:p w14:paraId="2638E8E6">
                  <w:pPr>
                    <w:widowControl/>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354" w:type="dxa"/>
                  <w:tcBorders>
                    <w:top w:val="outset" w:color="auto" w:sz="6" w:space="0"/>
                    <w:left w:val="outset" w:color="auto" w:sz="6" w:space="0"/>
                    <w:bottom w:val="outset" w:color="auto" w:sz="6" w:space="0"/>
                    <w:right w:val="outset" w:color="auto" w:sz="6" w:space="0"/>
                  </w:tcBorders>
                  <w:vAlign w:val="center"/>
                </w:tcPr>
                <w:p w14:paraId="781F9538">
                  <w:pPr>
                    <w:widowControl/>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14:paraId="4824DC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64C132B9">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1000—5000</w:t>
                  </w:r>
                </w:p>
              </w:tc>
              <w:tc>
                <w:tcPr>
                  <w:tcW w:w="1289" w:type="dxa"/>
                  <w:tcBorders>
                    <w:top w:val="outset" w:color="auto" w:sz="6" w:space="0"/>
                    <w:left w:val="outset" w:color="auto" w:sz="6" w:space="0"/>
                    <w:bottom w:val="outset" w:color="auto" w:sz="6" w:space="0"/>
                    <w:right w:val="outset" w:color="auto" w:sz="6" w:space="0"/>
                  </w:tcBorders>
                  <w:vAlign w:val="center"/>
                </w:tcPr>
                <w:p w14:paraId="023F9EE8">
                  <w:pPr>
                    <w:widowControl/>
                    <w:jc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139" w:type="dxa"/>
                  <w:tcBorders>
                    <w:top w:val="outset" w:color="auto" w:sz="6" w:space="0"/>
                    <w:left w:val="outset" w:color="auto" w:sz="6" w:space="0"/>
                    <w:bottom w:val="outset" w:color="auto" w:sz="6" w:space="0"/>
                    <w:right w:val="outset" w:color="auto" w:sz="6" w:space="0"/>
                  </w:tcBorders>
                  <w:vAlign w:val="center"/>
                </w:tcPr>
                <w:p w14:paraId="68A20D61">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354" w:type="dxa"/>
                  <w:tcBorders>
                    <w:top w:val="outset" w:color="auto" w:sz="6" w:space="0"/>
                    <w:left w:val="outset" w:color="auto" w:sz="6" w:space="0"/>
                    <w:bottom w:val="outset" w:color="auto" w:sz="6" w:space="0"/>
                    <w:right w:val="outset" w:color="auto" w:sz="6" w:space="0"/>
                  </w:tcBorders>
                  <w:vAlign w:val="center"/>
                </w:tcPr>
                <w:p w14:paraId="1FB6CFAA">
                  <w:pPr>
                    <w:widowControl/>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14:paraId="614FCC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35DE3934">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5000—10000</w:t>
                  </w:r>
                </w:p>
              </w:tc>
              <w:tc>
                <w:tcPr>
                  <w:tcW w:w="1289" w:type="dxa"/>
                  <w:tcBorders>
                    <w:top w:val="outset" w:color="auto" w:sz="6" w:space="0"/>
                    <w:left w:val="outset" w:color="auto" w:sz="6" w:space="0"/>
                    <w:bottom w:val="outset" w:color="auto" w:sz="6" w:space="0"/>
                    <w:right w:val="outset" w:color="auto" w:sz="6" w:space="0"/>
                  </w:tcBorders>
                  <w:vAlign w:val="center"/>
                </w:tcPr>
                <w:p w14:paraId="55DE223E">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139" w:type="dxa"/>
                  <w:tcBorders>
                    <w:top w:val="outset" w:color="auto" w:sz="6" w:space="0"/>
                    <w:left w:val="outset" w:color="auto" w:sz="6" w:space="0"/>
                    <w:bottom w:val="outset" w:color="auto" w:sz="6" w:space="0"/>
                    <w:right w:val="outset" w:color="auto" w:sz="6" w:space="0"/>
                  </w:tcBorders>
                  <w:vAlign w:val="center"/>
                </w:tcPr>
                <w:p w14:paraId="660CF0FD">
                  <w:pPr>
                    <w:widowControl/>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354" w:type="dxa"/>
                  <w:tcBorders>
                    <w:top w:val="outset" w:color="auto" w:sz="6" w:space="0"/>
                    <w:left w:val="outset" w:color="auto" w:sz="6" w:space="0"/>
                    <w:bottom w:val="outset" w:color="auto" w:sz="6" w:space="0"/>
                    <w:right w:val="outset" w:color="auto" w:sz="6" w:space="0"/>
                  </w:tcBorders>
                  <w:vAlign w:val="center"/>
                </w:tcPr>
                <w:p w14:paraId="61C9C2E9">
                  <w:pPr>
                    <w:widowControl/>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14:paraId="70D3A5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3BE2F5A4">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10000—50000</w:t>
                  </w:r>
                </w:p>
              </w:tc>
              <w:tc>
                <w:tcPr>
                  <w:tcW w:w="1289" w:type="dxa"/>
                  <w:tcBorders>
                    <w:top w:val="outset" w:color="auto" w:sz="6" w:space="0"/>
                    <w:left w:val="outset" w:color="auto" w:sz="6" w:space="0"/>
                    <w:bottom w:val="outset" w:color="auto" w:sz="6" w:space="0"/>
                    <w:right w:val="outset" w:color="auto" w:sz="6" w:space="0"/>
                  </w:tcBorders>
                  <w:vAlign w:val="center"/>
                </w:tcPr>
                <w:p w14:paraId="6407F3B7">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139" w:type="dxa"/>
                  <w:tcBorders>
                    <w:top w:val="outset" w:color="auto" w:sz="6" w:space="0"/>
                    <w:left w:val="outset" w:color="auto" w:sz="6" w:space="0"/>
                    <w:bottom w:val="outset" w:color="auto" w:sz="6" w:space="0"/>
                    <w:right w:val="outset" w:color="auto" w:sz="6" w:space="0"/>
                  </w:tcBorders>
                  <w:vAlign w:val="center"/>
                </w:tcPr>
                <w:p w14:paraId="3A807555">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354" w:type="dxa"/>
                  <w:tcBorders>
                    <w:top w:val="outset" w:color="auto" w:sz="6" w:space="0"/>
                    <w:left w:val="outset" w:color="auto" w:sz="6" w:space="0"/>
                    <w:bottom w:val="outset" w:color="auto" w:sz="6" w:space="0"/>
                    <w:right w:val="outset" w:color="auto" w:sz="6" w:space="0"/>
                  </w:tcBorders>
                  <w:vAlign w:val="center"/>
                </w:tcPr>
                <w:p w14:paraId="0D5C606C">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14:paraId="60B21F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D55712F">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50000—8000000</w:t>
                  </w:r>
                </w:p>
              </w:tc>
              <w:tc>
                <w:tcPr>
                  <w:tcW w:w="1289" w:type="dxa"/>
                  <w:tcBorders>
                    <w:top w:val="outset" w:color="auto" w:sz="6" w:space="0"/>
                    <w:left w:val="outset" w:color="auto" w:sz="6" w:space="0"/>
                    <w:bottom w:val="outset" w:color="auto" w:sz="6" w:space="0"/>
                    <w:right w:val="outset" w:color="auto" w:sz="6" w:space="0"/>
                  </w:tcBorders>
                  <w:vAlign w:val="center"/>
                </w:tcPr>
                <w:p w14:paraId="78222BDC">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139" w:type="dxa"/>
                  <w:tcBorders>
                    <w:top w:val="outset" w:color="auto" w:sz="6" w:space="0"/>
                    <w:left w:val="outset" w:color="auto" w:sz="6" w:space="0"/>
                    <w:bottom w:val="outset" w:color="auto" w:sz="6" w:space="0"/>
                    <w:right w:val="outset" w:color="auto" w:sz="6" w:space="0"/>
                  </w:tcBorders>
                  <w:vAlign w:val="center"/>
                </w:tcPr>
                <w:p w14:paraId="58D5AF0A">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354" w:type="dxa"/>
                  <w:tcBorders>
                    <w:top w:val="outset" w:color="auto" w:sz="6" w:space="0"/>
                    <w:left w:val="outset" w:color="auto" w:sz="6" w:space="0"/>
                    <w:bottom w:val="outset" w:color="auto" w:sz="6" w:space="0"/>
                    <w:right w:val="outset" w:color="auto" w:sz="6" w:space="0"/>
                  </w:tcBorders>
                  <w:vAlign w:val="center"/>
                </w:tcPr>
                <w:p w14:paraId="12933B84">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r>
          </w:tbl>
          <w:p w14:paraId="37FDB6E1">
            <w:pPr>
              <w:pStyle w:val="209"/>
              <w:rPr>
                <w:color w:val="auto"/>
                <w:highlight w:val="none"/>
                <w:lang w:bidi="ar"/>
              </w:rPr>
            </w:pPr>
          </w:p>
          <w:p w14:paraId="33BB2110">
            <w:pPr>
              <w:jc w:val="left"/>
              <w:rPr>
                <w:color w:val="auto"/>
                <w:highlight w:val="none"/>
              </w:rPr>
            </w:pPr>
            <w:r>
              <w:rPr>
                <w:rFonts w:hint="eastAsia" w:ascii="宋体" w:hAnsi="宋体"/>
                <w:color w:val="auto"/>
                <w:sz w:val="24"/>
                <w:highlight w:val="none"/>
              </w:rPr>
              <w:t>2.缴纳时间：</w:t>
            </w:r>
            <w:r>
              <w:rPr>
                <w:rFonts w:hint="eastAsia" w:ascii="宋体" w:hAnsi="宋体" w:eastAsia="宋体" w:cs="Times New Roman"/>
                <w:color w:val="auto"/>
                <w:kern w:val="0"/>
                <w:sz w:val="24"/>
                <w:szCs w:val="24"/>
                <w:highlight w:val="none"/>
              </w:rPr>
              <w:t>在</w:t>
            </w:r>
            <w:r>
              <w:rPr>
                <w:rFonts w:hint="eastAsia" w:ascii="宋体" w:hAnsi="宋体" w:eastAsia="宋体" w:cs="Times New Roman"/>
                <w:color w:val="auto"/>
                <w:kern w:val="0"/>
                <w:sz w:val="24"/>
                <w:szCs w:val="24"/>
                <w:highlight w:val="none"/>
                <w:u w:val="none"/>
                <w:lang w:val="en-US" w:eastAsia="zh-CN"/>
              </w:rPr>
              <w:t>本</w:t>
            </w:r>
            <w:r>
              <w:rPr>
                <w:rFonts w:hint="eastAsia" w:ascii="宋体" w:hAnsi="宋体" w:eastAsia="宋体" w:cs="Times New Roman"/>
                <w:color w:val="auto"/>
                <w:kern w:val="0"/>
                <w:sz w:val="24"/>
                <w:szCs w:val="24"/>
                <w:highlight w:val="none"/>
                <w:u w:val="none"/>
              </w:rPr>
              <w:t>项目</w:t>
            </w:r>
            <w:bookmarkStart w:id="78" w:name="_Hlk152912029"/>
            <w:r>
              <w:rPr>
                <w:rFonts w:hint="eastAsia" w:ascii="宋体" w:hAnsi="宋体" w:eastAsia="宋体" w:cs="Times New Roman"/>
                <w:color w:val="auto"/>
                <w:kern w:val="0"/>
                <w:sz w:val="24"/>
                <w:szCs w:val="24"/>
                <w:highlight w:val="none"/>
              </w:rPr>
              <w:t>经财政结算评审完成、本项目工程施工采购代理服务报酬</w:t>
            </w:r>
            <w:bookmarkStart w:id="79" w:name="_Hlk152783587"/>
            <w:r>
              <w:rPr>
                <w:rFonts w:hint="eastAsia" w:ascii="宋体" w:hAnsi="宋体" w:eastAsia="宋体" w:cs="Times New Roman"/>
                <w:color w:val="auto"/>
                <w:kern w:val="0"/>
                <w:sz w:val="24"/>
                <w:szCs w:val="24"/>
                <w:highlight w:val="none"/>
              </w:rPr>
              <w:t>经财政结算评审完成</w:t>
            </w:r>
            <w:bookmarkEnd w:id="79"/>
            <w:r>
              <w:rPr>
                <w:rFonts w:hint="eastAsia" w:ascii="宋体" w:hAnsi="宋体" w:eastAsia="宋体"/>
                <w:color w:val="auto"/>
                <w:kern w:val="0"/>
                <w:sz w:val="24"/>
                <w:szCs w:val="24"/>
                <w:highlight w:val="none"/>
              </w:rPr>
              <w:t>且相应财政资金</w:t>
            </w:r>
            <w:bookmarkStart w:id="80" w:name="_Hlk152783612"/>
            <w:r>
              <w:rPr>
                <w:rFonts w:hint="eastAsia" w:ascii="宋体" w:hAnsi="宋体" w:eastAsia="宋体"/>
                <w:color w:val="auto"/>
                <w:kern w:val="0"/>
                <w:sz w:val="24"/>
                <w:szCs w:val="24"/>
                <w:highlight w:val="none"/>
              </w:rPr>
              <w:t>经审批通过并</w:t>
            </w:r>
            <w:bookmarkEnd w:id="80"/>
            <w:r>
              <w:rPr>
                <w:rFonts w:hint="eastAsia" w:ascii="宋体" w:hAnsi="宋体" w:eastAsia="宋体"/>
                <w:color w:val="auto"/>
                <w:kern w:val="0"/>
                <w:sz w:val="24"/>
                <w:szCs w:val="24"/>
                <w:highlight w:val="none"/>
              </w:rPr>
              <w:t>到位后，</w:t>
            </w:r>
            <w:bookmarkEnd w:id="78"/>
            <w:r>
              <w:rPr>
                <w:rFonts w:hint="eastAsia" w:ascii="宋体" w:hAnsi="宋体" w:eastAsia="宋体"/>
                <w:color w:val="auto"/>
                <w:kern w:val="0"/>
                <w:sz w:val="24"/>
                <w:szCs w:val="24"/>
                <w:highlight w:val="none"/>
              </w:rPr>
              <w:t>由</w:t>
            </w:r>
            <w:r>
              <w:rPr>
                <w:rFonts w:hint="eastAsia" w:ascii="宋体" w:hAnsi="宋体" w:eastAsia="宋体"/>
                <w:color w:val="auto"/>
                <w:kern w:val="0"/>
                <w:sz w:val="24"/>
                <w:szCs w:val="24"/>
                <w:highlight w:val="none"/>
                <w:lang w:val="en-US" w:eastAsia="zh-CN"/>
              </w:rPr>
              <w:t>委托人</w:t>
            </w:r>
            <w:r>
              <w:rPr>
                <w:rFonts w:hint="eastAsia" w:ascii="宋体" w:hAnsi="宋体" w:eastAsia="宋体"/>
                <w:color w:val="auto"/>
                <w:kern w:val="0"/>
                <w:sz w:val="24"/>
                <w:szCs w:val="24"/>
                <w:highlight w:val="none"/>
              </w:rPr>
              <w:t>一次性付清。</w:t>
            </w:r>
          </w:p>
        </w:tc>
      </w:tr>
      <w:tr w14:paraId="5BCA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6E744BD1">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26</w:t>
            </w:r>
          </w:p>
        </w:tc>
        <w:tc>
          <w:tcPr>
            <w:tcW w:w="1555" w:type="dxa"/>
            <w:vAlign w:val="center"/>
          </w:tcPr>
          <w:p w14:paraId="3ECE971E">
            <w:pPr>
              <w:pStyle w:val="28"/>
              <w:adjustRightInd w:val="0"/>
              <w:snapToGrid w:val="0"/>
              <w:jc w:val="center"/>
              <w:rPr>
                <w:rFonts w:hAnsi="宋体"/>
                <w:color w:val="auto"/>
                <w:sz w:val="24"/>
                <w:szCs w:val="24"/>
                <w:highlight w:val="none"/>
              </w:rPr>
            </w:pPr>
            <w:r>
              <w:rPr>
                <w:rFonts w:hAnsi="宋体"/>
                <w:color w:val="auto"/>
                <w:sz w:val="24"/>
                <w:szCs w:val="24"/>
                <w:highlight w:val="none"/>
              </w:rPr>
              <w:t>其他补充</w:t>
            </w:r>
          </w:p>
          <w:p w14:paraId="5B6838CC">
            <w:pPr>
              <w:pStyle w:val="28"/>
              <w:adjustRightInd w:val="0"/>
              <w:snapToGrid w:val="0"/>
              <w:jc w:val="center"/>
              <w:rPr>
                <w:rFonts w:hAnsi="宋体"/>
                <w:color w:val="auto"/>
                <w:sz w:val="24"/>
                <w:szCs w:val="24"/>
                <w:highlight w:val="none"/>
              </w:rPr>
            </w:pPr>
            <w:r>
              <w:rPr>
                <w:rFonts w:hAnsi="宋体"/>
                <w:color w:val="auto"/>
                <w:sz w:val="24"/>
                <w:szCs w:val="24"/>
                <w:highlight w:val="none"/>
              </w:rPr>
              <w:t>内容</w:t>
            </w:r>
          </w:p>
        </w:tc>
        <w:tc>
          <w:tcPr>
            <w:tcW w:w="7366" w:type="dxa"/>
            <w:vAlign w:val="center"/>
          </w:tcPr>
          <w:p w14:paraId="69D35FD1">
            <w:pPr>
              <w:jc w:val="left"/>
              <w:rPr>
                <w:rFonts w:hint="eastAsia" w:ascii="宋体" w:hAnsi="宋体" w:cs="宋体"/>
                <w:bCs/>
                <w:color w:val="auto"/>
                <w:sz w:val="24"/>
                <w:highlight w:val="none"/>
              </w:rPr>
            </w:pPr>
            <w:r>
              <w:rPr>
                <w:rFonts w:hint="eastAsia" w:ascii="宋体" w:hAnsi="宋体" w:cs="宋体"/>
                <w:bCs/>
                <w:color w:val="auto"/>
                <w:sz w:val="24"/>
                <w:highlight w:val="none"/>
              </w:rPr>
              <w:t>1.本项目最高限价为：</w:t>
            </w:r>
            <w:r>
              <w:rPr>
                <w:rFonts w:hint="eastAsia" w:ascii="宋体" w:hAnsi="宋体" w:cs="宋体"/>
                <w:bCs/>
                <w:color w:val="auto"/>
                <w:sz w:val="24"/>
                <w:highlight w:val="none"/>
                <w:u w:val="single"/>
              </w:rPr>
              <w:t xml:space="preserve">3255127. 31 </w:t>
            </w:r>
            <w:r>
              <w:rPr>
                <w:rFonts w:hint="eastAsia" w:ascii="宋体" w:hAnsi="宋体" w:cs="宋体"/>
                <w:bCs/>
                <w:color w:val="auto"/>
                <w:sz w:val="24"/>
                <w:highlight w:val="none"/>
              </w:rPr>
              <w:t>元。</w:t>
            </w:r>
          </w:p>
          <w:p w14:paraId="6DC0FDC2">
            <w:pPr>
              <w:ind w:firstLine="240" w:firstLineChars="100"/>
              <w:jc w:val="left"/>
              <w:rPr>
                <w:rFonts w:hint="eastAsia" w:ascii="宋体" w:hAnsi="宋体" w:cs="宋体"/>
                <w:bCs/>
                <w:color w:val="auto"/>
                <w:sz w:val="24"/>
                <w:highlight w:val="none"/>
              </w:rPr>
            </w:pPr>
            <w:r>
              <w:rPr>
                <w:rFonts w:hint="eastAsia" w:ascii="宋体" w:hAnsi="宋体" w:cs="宋体"/>
                <w:bCs/>
                <w:color w:val="auto"/>
                <w:sz w:val="24"/>
                <w:highlight w:val="none"/>
              </w:rPr>
              <w:t>其中：单位工程的分部分项工程合价为：</w:t>
            </w:r>
            <w:r>
              <w:rPr>
                <w:rFonts w:hint="eastAsia" w:ascii="宋体" w:hAnsi="宋体" w:cs="宋体"/>
                <w:bCs/>
                <w:color w:val="auto"/>
                <w:sz w:val="24"/>
                <w:highlight w:val="none"/>
                <w:u w:val="single"/>
              </w:rPr>
              <w:t>2587901.4</w:t>
            </w:r>
            <w:r>
              <w:rPr>
                <w:rFonts w:hint="eastAsia" w:ascii="宋体" w:hAnsi="宋体" w:cs="宋体"/>
                <w:bCs/>
                <w:color w:val="auto"/>
                <w:sz w:val="24"/>
                <w:highlight w:val="none"/>
              </w:rPr>
              <w:t>元；</w:t>
            </w:r>
          </w:p>
          <w:p w14:paraId="1F3AEAD1">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措施项目合价为：</w:t>
            </w:r>
            <w:r>
              <w:rPr>
                <w:rFonts w:hint="eastAsia" w:ascii="宋体" w:hAnsi="宋体" w:cs="宋体"/>
                <w:bCs/>
                <w:color w:val="auto"/>
                <w:sz w:val="24"/>
                <w:highlight w:val="none"/>
                <w:u w:val="single"/>
              </w:rPr>
              <w:t xml:space="preserve">398453.93 </w:t>
            </w:r>
            <w:r>
              <w:rPr>
                <w:rFonts w:hint="eastAsia" w:ascii="宋体" w:hAnsi="宋体" w:cs="宋体"/>
                <w:bCs/>
                <w:color w:val="auto"/>
                <w:sz w:val="24"/>
                <w:highlight w:val="none"/>
              </w:rPr>
              <w:t>元；</w:t>
            </w:r>
          </w:p>
          <w:p w14:paraId="5021408C">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其他项目合价为：</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77583A6E">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增值税的合价为：</w:t>
            </w:r>
            <w:r>
              <w:rPr>
                <w:rFonts w:hint="eastAsia" w:ascii="宋体" w:hAnsi="宋体" w:cs="宋体"/>
                <w:bCs/>
                <w:color w:val="auto"/>
                <w:sz w:val="24"/>
                <w:highlight w:val="none"/>
                <w:u w:val="single"/>
              </w:rPr>
              <w:t xml:space="preserve"> 268771.98 </w:t>
            </w:r>
            <w:r>
              <w:rPr>
                <w:rFonts w:hint="eastAsia" w:ascii="宋体" w:hAnsi="宋体" w:cs="宋体"/>
                <w:bCs/>
                <w:color w:val="auto"/>
                <w:sz w:val="24"/>
                <w:highlight w:val="none"/>
              </w:rPr>
              <w:t>元。</w:t>
            </w:r>
          </w:p>
          <w:p w14:paraId="106AB454">
            <w:pPr>
              <w:ind w:firstLine="240" w:firstLineChars="10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其他说明： </w:t>
            </w:r>
          </w:p>
          <w:p w14:paraId="16F33141">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专业工程暂估价(含税)合计金额：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37100C55">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材料暂估价（含税）合计金额</w:t>
            </w:r>
            <w:r>
              <w:rPr>
                <w:rFonts w:hint="eastAsia" w:ascii="宋体" w:hAnsi="宋体" w:cs="宋体"/>
                <w:bCs/>
                <w:color w:val="auto"/>
                <w:sz w:val="24"/>
                <w:highlight w:val="none"/>
              </w:rPr>
              <w:t>：</w:t>
            </w:r>
            <w:r>
              <w:rPr>
                <w:rFonts w:hint="eastAsia" w:ascii="宋体" w:hAnsi="宋体" w:cs="宋体"/>
                <w:bCs/>
                <w:color w:val="auto"/>
                <w:sz w:val="24"/>
                <w:highlight w:val="none"/>
                <w:u w:val="single"/>
              </w:rPr>
              <w:t>54122.85</w:t>
            </w:r>
            <w:r>
              <w:rPr>
                <w:rFonts w:hint="eastAsia" w:ascii="宋体" w:hAnsi="宋体" w:cs="宋体"/>
                <w:bCs/>
                <w:color w:val="auto"/>
                <w:sz w:val="24"/>
                <w:highlight w:val="none"/>
              </w:rPr>
              <w:t>元；</w:t>
            </w:r>
          </w:p>
          <w:p w14:paraId="0C16C8A6">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暂列金额（不含计日工）（含税）合计金额：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722B3157">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安全生产标准化措施费（含税）合计金额：</w:t>
            </w:r>
            <w:r>
              <w:rPr>
                <w:rFonts w:hint="eastAsia" w:ascii="宋体" w:hAnsi="宋体" w:cs="宋体"/>
                <w:bCs/>
                <w:color w:val="auto"/>
                <w:sz w:val="24"/>
                <w:highlight w:val="none"/>
                <w:u w:val="single"/>
              </w:rPr>
              <w:t>133557.76</w:t>
            </w:r>
            <w:r>
              <w:rPr>
                <w:rFonts w:hint="eastAsia" w:ascii="宋体" w:hAnsi="宋体" w:cs="宋体"/>
                <w:bCs/>
                <w:color w:val="auto"/>
                <w:sz w:val="24"/>
                <w:highlight w:val="none"/>
              </w:rPr>
              <w:t>元；</w:t>
            </w:r>
          </w:p>
          <w:p w14:paraId="3477CDAB">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赶工增加</w:t>
            </w:r>
            <w:bookmarkStart w:id="978" w:name="_GoBack"/>
            <w:bookmarkEnd w:id="978"/>
            <w:r>
              <w:rPr>
                <w:rFonts w:hint="eastAsia" w:ascii="宋体" w:hAnsi="宋体" w:cs="宋体"/>
                <w:bCs/>
                <w:color w:val="auto"/>
                <w:sz w:val="24"/>
                <w:highlight w:val="none"/>
              </w:rPr>
              <w:t>费（含税）合计金额（如有）：</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5E3E5A6C">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如磋商后报价进行调整，供应商磋商后须按磋商小组要求提交与最后报价一览表对应的已标价工程量清单。</w:t>
            </w:r>
          </w:p>
          <w:p w14:paraId="616C4370">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评审专家劳务费：评审劳务费按500元/4小时/人标准计，由采购人支付，最终以实际发生为准。</w:t>
            </w:r>
          </w:p>
        </w:tc>
      </w:tr>
    </w:tbl>
    <w:p w14:paraId="751EC1BC">
      <w:pPr>
        <w:tabs>
          <w:tab w:val="left" w:pos="5580"/>
        </w:tabs>
        <w:adjustRightInd w:val="0"/>
        <w:spacing w:line="360" w:lineRule="auto"/>
        <w:jc w:val="distribute"/>
        <w:rPr>
          <w:rFonts w:hint="eastAsia" w:ascii="宋体" w:hAnsi="宋体"/>
          <w:color w:val="auto"/>
          <w:sz w:val="24"/>
          <w:highlight w:val="none"/>
        </w:rPr>
        <w:sectPr>
          <w:type w:val="nextColumn"/>
          <w:pgSz w:w="11907" w:h="16840"/>
          <w:pgMar w:top="1440" w:right="1800" w:bottom="1440" w:left="1800" w:header="851" w:footer="851" w:gutter="0"/>
          <w:pgNumType w:fmt="decimal"/>
          <w:cols w:space="720" w:num="1"/>
          <w:titlePg/>
          <w:docGrid w:linePitch="462" w:charSpace="0"/>
        </w:sectPr>
      </w:pPr>
    </w:p>
    <w:p w14:paraId="14B0EC6A">
      <w:pPr>
        <w:spacing w:before="240" w:beforeLines="100" w:after="240"/>
        <w:jc w:val="center"/>
        <w:rPr>
          <w:rFonts w:hint="eastAsia" w:ascii="宋体" w:hAnsi="宋体"/>
          <w:b/>
          <w:color w:val="auto"/>
          <w:sz w:val="28"/>
          <w:szCs w:val="28"/>
          <w:highlight w:val="none"/>
        </w:rPr>
      </w:pPr>
      <w:r>
        <w:rPr>
          <w:rFonts w:ascii="宋体" w:hAnsi="宋体"/>
          <w:b/>
          <w:color w:val="auto"/>
          <w:sz w:val="28"/>
          <w:szCs w:val="28"/>
          <w:highlight w:val="none"/>
        </w:rPr>
        <w:t>供应商须知</w:t>
      </w:r>
    </w:p>
    <w:p w14:paraId="254B9B26">
      <w:pPr>
        <w:pStyle w:val="3"/>
        <w:tabs>
          <w:tab w:val="center" w:pos="4592"/>
          <w:tab w:val="left" w:pos="7860"/>
        </w:tabs>
        <w:spacing w:before="0" w:line="360" w:lineRule="auto"/>
        <w:rPr>
          <w:rFonts w:hint="eastAsia" w:ascii="宋体" w:hAnsi="宋体" w:eastAsia="宋体"/>
          <w:color w:val="auto"/>
          <w:sz w:val="28"/>
          <w:highlight w:val="none"/>
        </w:rPr>
      </w:pPr>
      <w:bookmarkStart w:id="81" w:name="_Toc195842883"/>
      <w:bookmarkStart w:id="82" w:name="_Toc142311020"/>
      <w:bookmarkStart w:id="83" w:name="_Toc151193832"/>
      <w:bookmarkStart w:id="84" w:name="_Toc150480756"/>
      <w:bookmarkStart w:id="85" w:name="_Toc520356143"/>
      <w:bookmarkStart w:id="86" w:name="_Toc305158786"/>
      <w:bookmarkStart w:id="87" w:name="_Toc150509269"/>
      <w:bookmarkStart w:id="88" w:name="_Toc305158860"/>
      <w:bookmarkStart w:id="89" w:name="_Toc150774618"/>
      <w:bookmarkStart w:id="90" w:name="_Toc127151518"/>
      <w:bookmarkStart w:id="91" w:name="_Toc265228356"/>
      <w:bookmarkStart w:id="92" w:name="_Toc226965708"/>
      <w:bookmarkStart w:id="93" w:name="_Toc151190145"/>
      <w:bookmarkStart w:id="94" w:name="_Toc150774723"/>
      <w:bookmarkStart w:id="95" w:name="_Toc151193760"/>
      <w:bookmarkStart w:id="96" w:name="_Toc264969208"/>
      <w:bookmarkStart w:id="97" w:name="_Toc151193906"/>
      <w:bookmarkStart w:id="98" w:name="_Toc151193688"/>
      <w:bookmarkStart w:id="99" w:name="_Toc226309762"/>
      <w:bookmarkStart w:id="100" w:name="_Toc151193616"/>
      <w:bookmarkStart w:id="101" w:name="_Toc226337214"/>
      <w:bookmarkStart w:id="102" w:name="_Toc226965791"/>
      <w:r>
        <w:rPr>
          <w:rFonts w:ascii="宋体" w:hAnsi="宋体" w:eastAsia="宋体"/>
          <w:color w:val="auto"/>
          <w:sz w:val="28"/>
          <w:highlight w:val="none"/>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99187A9">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3" w:name="_Toc305158787"/>
      <w:bookmarkStart w:id="104" w:name="_Toc305158861"/>
      <w:bookmarkStart w:id="105" w:name="_Toc264969209"/>
      <w:bookmarkStart w:id="106" w:name="_Toc265228357"/>
      <w:r>
        <w:rPr>
          <w:rFonts w:ascii="宋体" w:hAnsi="宋体"/>
          <w:color w:val="auto"/>
          <w:sz w:val="24"/>
          <w:highlight w:val="none"/>
        </w:rPr>
        <w:t>采购人、采购代理机构、供应商</w:t>
      </w:r>
      <w:bookmarkEnd w:id="103"/>
      <w:bookmarkEnd w:id="104"/>
      <w:bookmarkEnd w:id="105"/>
      <w:bookmarkEnd w:id="106"/>
      <w:r>
        <w:rPr>
          <w:rFonts w:ascii="宋体" w:hAnsi="宋体"/>
          <w:color w:val="auto"/>
          <w:sz w:val="24"/>
          <w:highlight w:val="none"/>
        </w:rPr>
        <w:t>、联合体</w:t>
      </w:r>
    </w:p>
    <w:p w14:paraId="48DE8860">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采购人、采购代理机构：指依法进行政府采购的国家机关、事业单位、团体组织，及其委托的采购代理机构。本项目采购人、采购代理机构见第一章《采购邀请》。</w:t>
      </w:r>
    </w:p>
    <w:p w14:paraId="141128CC">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供应商（也称“申请人”）：指向采购人提供货物、工程或者服务的法人、其他组织或者自然人。</w:t>
      </w:r>
    </w:p>
    <w:p w14:paraId="627CD756">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联合体：指两个以上的自然人、法人或者其他组织组成一个联合体，以一个供应商的身份共同参加政府采购。</w:t>
      </w:r>
    </w:p>
    <w:p w14:paraId="18F770D4">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7" w:name="_Toc265228358"/>
      <w:bookmarkStart w:id="108" w:name="_Toc150774725"/>
      <w:bookmarkStart w:id="109" w:name="_Toc164229215"/>
      <w:bookmarkStart w:id="110" w:name="_Toc127151520"/>
      <w:bookmarkStart w:id="111" w:name="_Toc150509271"/>
      <w:bookmarkStart w:id="112" w:name="_Toc150480758"/>
      <w:bookmarkStart w:id="113" w:name="_Toc195842885"/>
      <w:bookmarkStart w:id="114" w:name="_Toc142311022"/>
      <w:bookmarkStart w:id="115" w:name="_Toc264969210"/>
      <w:bookmarkStart w:id="116" w:name="_Toc151190147"/>
      <w:bookmarkStart w:id="117" w:name="_Toc305158788"/>
      <w:bookmarkStart w:id="118" w:name="_Toc305158862"/>
      <w:bookmarkStart w:id="119" w:name="_Toc151193834"/>
      <w:bookmarkStart w:id="120" w:name="_Toc151193762"/>
      <w:bookmarkStart w:id="121" w:name="_Toc164608789"/>
      <w:bookmarkStart w:id="122" w:name="_Toc151193690"/>
      <w:bookmarkStart w:id="123" w:name="_Toc226965793"/>
      <w:bookmarkStart w:id="124" w:name="_Toc150774620"/>
      <w:bookmarkStart w:id="125" w:name="_Toc164351614"/>
      <w:bookmarkStart w:id="126" w:name="_Toc127161434"/>
      <w:bookmarkStart w:id="127" w:name="_Toc226309764"/>
      <w:bookmarkStart w:id="128" w:name="_Toc226965710"/>
      <w:bookmarkStart w:id="129" w:name="_Toc149720813"/>
      <w:bookmarkStart w:id="130" w:name="_Toc151193908"/>
      <w:bookmarkStart w:id="131" w:name="_Toc127151721"/>
      <w:bookmarkStart w:id="132" w:name="_Toc164608634"/>
      <w:bookmarkStart w:id="133" w:name="_Toc226337216"/>
      <w:bookmarkStart w:id="134" w:name="_Toc151193618"/>
      <w:bookmarkStart w:id="135" w:name="_Toc164229361"/>
      <w:r>
        <w:rPr>
          <w:rFonts w:ascii="宋体" w:hAnsi="宋体"/>
          <w:color w:val="auto"/>
          <w:sz w:val="24"/>
          <w:highlight w:val="none"/>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hAnsi="宋体"/>
          <w:color w:val="auto"/>
          <w:sz w:val="24"/>
          <w:highlight w:val="none"/>
        </w:rPr>
        <w:t>、项目属性、科研仪器设备采购</w:t>
      </w:r>
    </w:p>
    <w:p w14:paraId="5C27404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14:paraId="6A797450">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项目属性见《供应商须知资料表》。</w:t>
      </w:r>
    </w:p>
    <w:p w14:paraId="11420B11">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是否属于科研仪器设备采购见《供应商须知资料表》。</w:t>
      </w:r>
    </w:p>
    <w:p w14:paraId="2E3533FC">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现场考察、磋商前答疑会</w:t>
      </w:r>
    </w:p>
    <w:p w14:paraId="2BDB71DB">
      <w:pPr>
        <w:numPr>
          <w:ilvl w:val="1"/>
          <w:numId w:val="9"/>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若《供应商须知资料表》中规定了组织现场考察、召开磋商前答疑会，则供应商应按要求在规定的时间和地点参加。</w:t>
      </w:r>
      <w:bookmarkStart w:id="136" w:name="_Toc265228360"/>
      <w:bookmarkStart w:id="137" w:name="_Toc127151522"/>
      <w:bookmarkStart w:id="138" w:name="_Toc142311024"/>
      <w:bookmarkStart w:id="139" w:name="_Toc226337218"/>
      <w:bookmarkStart w:id="140" w:name="_Toc151193764"/>
      <w:bookmarkStart w:id="141" w:name="_Toc150480760"/>
      <w:bookmarkStart w:id="142" w:name="_Toc305158864"/>
      <w:bookmarkStart w:id="143" w:name="_Toc151193910"/>
      <w:bookmarkStart w:id="144" w:name="_Toc226965712"/>
      <w:bookmarkStart w:id="145" w:name="_Toc195842887"/>
      <w:bookmarkStart w:id="146" w:name="_Toc226965795"/>
      <w:bookmarkStart w:id="147" w:name="_Toc151193620"/>
      <w:bookmarkStart w:id="148" w:name="_Toc150774622"/>
      <w:bookmarkStart w:id="149" w:name="_Toc150774727"/>
      <w:bookmarkStart w:id="150" w:name="_Toc226309766"/>
      <w:bookmarkStart w:id="151" w:name="_Toc151193692"/>
      <w:bookmarkStart w:id="152" w:name="_Toc305158790"/>
      <w:bookmarkStart w:id="153" w:name="_Toc520356146"/>
      <w:bookmarkStart w:id="154" w:name="_Toc151193836"/>
      <w:bookmarkStart w:id="155" w:name="_Toc264969212"/>
      <w:bookmarkStart w:id="156" w:name="_Toc151190149"/>
      <w:bookmarkStart w:id="157" w:name="_Toc150509273"/>
    </w:p>
    <w:p w14:paraId="05839ABF">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0F94F351">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14:paraId="41A9AA47">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采购本国货物、工程和服务</w:t>
      </w:r>
    </w:p>
    <w:p w14:paraId="5C2D3D6C">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w:t>
      </w:r>
      <w:r>
        <w:rPr>
          <w:rFonts w:hint="eastAsia" w:ascii="宋体" w:hAnsi="宋体"/>
          <w:b/>
          <w:bCs/>
          <w:color w:val="auto"/>
          <w:sz w:val="24"/>
          <w:highlight w:val="none"/>
        </w:rPr>
        <w:t>中华人民共和国政府采购法</w:t>
      </w:r>
      <w:r>
        <w:rPr>
          <w:rFonts w:hint="eastAsia" w:ascii="宋体" w:hAnsi="宋体"/>
          <w:color w:val="auto"/>
          <w:sz w:val="24"/>
          <w:highlight w:val="none"/>
        </w:rPr>
        <w:t>》第十条规定情形的除外。</w:t>
      </w:r>
    </w:p>
    <w:p w14:paraId="1BE92840">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本项目如接受非本国货物、工程、服务参与投标，则具体要求见第四章《采购需求》。</w:t>
      </w:r>
    </w:p>
    <w:p w14:paraId="52F9173D">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17817E">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14:paraId="0EFAF70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14:paraId="2C2AB4A0">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5D41B04C">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41EE4762">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1CE99A5A">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40EE323A">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7690E5FE">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1D4E3C2A">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09FB3B8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中小企业是指在中华人民共和国境内依法设立，依据国务院</w:t>
      </w:r>
      <w:r>
        <w:rPr>
          <w:rFonts w:hint="eastAsia" w:ascii="宋体" w:hAnsi="宋体"/>
          <w:color w:val="auto"/>
          <w:sz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4A505D8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供应商提供的货物、工程或者服务符合下列情形的，享受中小企业扶持政策：</w:t>
      </w:r>
    </w:p>
    <w:p w14:paraId="006D39B0">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14:paraId="68A85C3D">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14:paraId="15AAEE3A">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（3）在服务采购项目中，服务由中小企业承接，即提供服务的人员为中小企业依照《中华人民共和国劳动合同法》订立劳动合同的从业人员。</w:t>
      </w:r>
    </w:p>
    <w:p w14:paraId="233C6DE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p>
    <w:p w14:paraId="5B7226B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30125DE7">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D61E9">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21879">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039412A5">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25C4D5D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安置的残疾人占本单位在职职工人数的比例不低于25%（含25%），并且安置的残疾人人数不少于10 人（含10 人）；</w:t>
      </w:r>
    </w:p>
    <w:p w14:paraId="1927D0F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依法与安置的每位残疾人签订了一年以上（含一年）的劳动合同或服务协议；</w:t>
      </w:r>
    </w:p>
    <w:p w14:paraId="19D11B2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为安置的每位残疾人按月足额缴纳了基本养老保险、基本医疗保险、失业保险、工伤保险和生育保险等社会保险费；</w:t>
      </w:r>
    </w:p>
    <w:p w14:paraId="116A5CC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通过银行等金融机构向安置的每位残疾人，按月支付了不低于单位所在区县适用的经省级人民政府批准的月最低工资标准的工资；</w:t>
      </w:r>
    </w:p>
    <w:p w14:paraId="0F5E5C4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14:paraId="0FBAC03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CAE8CE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本项目是否专门面向中小企业预留采购份额见第一章《采购邀请》。</w:t>
      </w:r>
    </w:p>
    <w:p w14:paraId="50330A8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采购标的对应的中小企业划分标准所属行业见《供应商须知资料表》。</w:t>
      </w:r>
    </w:p>
    <w:p w14:paraId="51E4E623">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小微企业价格评审优惠的政策调整：见第三章《评审方法和评审标准》。</w:t>
      </w:r>
    </w:p>
    <w:p w14:paraId="62E5CCE8">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14:paraId="44B32C45">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21B0B1">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9DC01B">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w:t>
      </w:r>
    </w:p>
    <w:p w14:paraId="5C77D4C2">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非政府强制采购的节能产品或环境标志产品，依据品目清单和认证证书实施政府优先采购。优先采购的具体规定见第三章《评审方法和评审标准》（如涉及）。</w:t>
      </w:r>
    </w:p>
    <w:p w14:paraId="66D3BDEE">
      <w:pPr>
        <w:numPr>
          <w:ilvl w:val="1"/>
          <w:numId w:val="9"/>
        </w:numPr>
        <w:snapToGrid w:val="0"/>
        <w:spacing w:line="360" w:lineRule="auto"/>
        <w:rPr>
          <w:rFonts w:hint="eastAsia" w:ascii="宋体" w:hAnsi="宋体"/>
          <w:color w:val="auto"/>
          <w:sz w:val="24"/>
          <w:highlight w:val="none"/>
        </w:rPr>
      </w:pPr>
      <w:r>
        <w:rPr>
          <w:rFonts w:ascii="宋体" w:hAnsi="宋体"/>
          <w:color w:val="auto"/>
          <w:sz w:val="24"/>
          <w:highlight w:val="none"/>
        </w:rPr>
        <w:t>正版软件</w:t>
      </w:r>
    </w:p>
    <w:p w14:paraId="673C512A">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456033">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网络安全专用产品</w:t>
      </w:r>
    </w:p>
    <w:p w14:paraId="2BCCAD92">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7D4369A">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14:paraId="6C89328C">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；属于推荐性标准的，优先采购，具体见第三章《评审方法和评审标准》。</w:t>
      </w:r>
    </w:p>
    <w:p w14:paraId="332425EB">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14:paraId="6F7AF8CD">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商品包装、快递包装政府采购需求标准（试行）</w:t>
      </w:r>
    </w:p>
    <w:p w14:paraId="03B6C5FC">
      <w:pPr>
        <w:tabs>
          <w:tab w:val="left" w:pos="900"/>
        </w:tabs>
        <w:snapToGrid w:val="0"/>
        <w:spacing w:line="360" w:lineRule="auto"/>
        <w:ind w:left="1950"/>
        <w:rPr>
          <w:rFonts w:hint="eastAsia" w:ascii="宋体" w:hAnsi="宋体"/>
          <w:color w:val="auto"/>
          <w:sz w:val="24"/>
          <w:highlight w:val="none"/>
        </w:rPr>
      </w:pPr>
      <w:r>
        <w:rPr>
          <w:rFonts w:hint="eastAsia" w:ascii="宋体" w:hAnsi="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FDD7F0D">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其他政府采购需求标准</w:t>
      </w:r>
    </w:p>
    <w:p w14:paraId="45F1068C">
      <w:pPr>
        <w:pStyle w:val="112"/>
        <w:tabs>
          <w:tab w:val="left" w:pos="900"/>
          <w:tab w:val="left" w:pos="1980"/>
        </w:tabs>
        <w:snapToGrid w:val="0"/>
        <w:spacing w:line="360" w:lineRule="auto"/>
        <w:ind w:left="1980" w:firstLine="0" w:firstLineChars="0"/>
        <w:rPr>
          <w:rFonts w:hint="eastAsia" w:ascii="宋体" w:hAnsi="宋体"/>
          <w:color w:val="auto"/>
          <w:sz w:val="24"/>
          <w:highlight w:val="none"/>
        </w:rPr>
      </w:pPr>
      <w:r>
        <w:rPr>
          <w:rFonts w:hint="eastAsia" w:ascii="宋体" w:hAnsi="宋体"/>
          <w:color w:val="auto"/>
          <w:sz w:val="24"/>
          <w:szCs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197C74EE">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响应费用</w:t>
      </w:r>
    </w:p>
    <w:p w14:paraId="1F1C0DB4">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供应商应自行承担所有与准备和参加磋商有关的费用，无论磋商的结果如何，采购人或采购代理机构在任何情况下均无承担这些费用的义务和责任。</w:t>
      </w:r>
      <w:bookmarkStart w:id="158" w:name="_1.8_计量单位"/>
      <w:bookmarkEnd w:id="158"/>
    </w:p>
    <w:p w14:paraId="057D55D2">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3D6E07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159" w:name="_Toc149720816"/>
      <w:bookmarkStart w:id="160" w:name="_Toc265228361"/>
      <w:bookmarkStart w:id="161" w:name="_Toc520356147"/>
      <w:bookmarkStart w:id="162" w:name="_Toc164229218"/>
      <w:bookmarkStart w:id="163" w:name="_Toc150509274"/>
      <w:bookmarkStart w:id="164" w:name="_Toc151193765"/>
      <w:bookmarkStart w:id="165" w:name="_Toc305158791"/>
      <w:bookmarkStart w:id="166" w:name="_Toc127151724"/>
      <w:bookmarkStart w:id="167" w:name="_Toc305158865"/>
      <w:bookmarkStart w:id="168" w:name="_Toc151193621"/>
      <w:bookmarkStart w:id="169" w:name="_Toc164608792"/>
      <w:bookmarkStart w:id="170" w:name="_Toc164608637"/>
      <w:bookmarkStart w:id="171" w:name="_Toc164351617"/>
      <w:bookmarkStart w:id="172" w:name="_Toc151193911"/>
      <w:bookmarkStart w:id="173" w:name="_Toc195842888"/>
      <w:bookmarkStart w:id="174" w:name="_Toc164229364"/>
      <w:bookmarkStart w:id="175" w:name="_Toc151193837"/>
      <w:bookmarkStart w:id="176" w:name="_Toc226965713"/>
      <w:bookmarkStart w:id="177" w:name="_Toc127151523"/>
      <w:bookmarkStart w:id="178" w:name="_Toc226965796"/>
      <w:bookmarkStart w:id="179" w:name="_Toc142311025"/>
      <w:bookmarkStart w:id="180" w:name="_Toc150480761"/>
      <w:bookmarkStart w:id="181" w:name="_Toc264969213"/>
      <w:bookmarkStart w:id="182" w:name="_Toc226337219"/>
      <w:bookmarkStart w:id="183" w:name="_Toc151190150"/>
      <w:bookmarkStart w:id="184" w:name="_Toc150774728"/>
      <w:bookmarkStart w:id="185" w:name="_Toc226309767"/>
      <w:bookmarkStart w:id="186" w:name="_Toc127161437"/>
      <w:bookmarkStart w:id="187" w:name="_Toc151193693"/>
      <w:bookmarkStart w:id="188" w:name="_Toc150774623"/>
      <w:r>
        <w:rPr>
          <w:rFonts w:ascii="宋体" w:hAnsi="宋体"/>
          <w:color w:val="auto"/>
          <w:sz w:val="24"/>
          <w:highlight w:val="none"/>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宋体" w:hAnsi="宋体"/>
          <w:color w:val="auto"/>
          <w:sz w:val="24"/>
          <w:highlight w:val="none"/>
        </w:rPr>
        <w:t>成</w:t>
      </w:r>
    </w:p>
    <w:p w14:paraId="77603745">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竞争性磋商文件包括以下部分：</w:t>
      </w:r>
    </w:p>
    <w:p w14:paraId="6471D2E7">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采购邀请</w:t>
      </w:r>
    </w:p>
    <w:p w14:paraId="3C2A3352">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供应商须知</w:t>
      </w:r>
    </w:p>
    <w:p w14:paraId="4C9393BB">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评审方法和评审标准</w:t>
      </w:r>
    </w:p>
    <w:p w14:paraId="7BDB71CA">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14:paraId="458E4095">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合同草案条款</w:t>
      </w:r>
    </w:p>
    <w:p w14:paraId="385874E1">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响应文件格式</w:t>
      </w:r>
    </w:p>
    <w:p w14:paraId="6C96B446">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highlight w:val="none"/>
        </w:rPr>
        <w:t>响应无效</w:t>
      </w:r>
      <w:r>
        <w:rPr>
          <w:rFonts w:ascii="宋体" w:hAnsi="宋体"/>
          <w:color w:val="auto"/>
          <w:sz w:val="24"/>
          <w:highlight w:val="none"/>
        </w:rPr>
        <w:t>。</w:t>
      </w:r>
    </w:p>
    <w:p w14:paraId="0A1981E2">
      <w:pPr>
        <w:numPr>
          <w:ilvl w:val="0"/>
          <w:numId w:val="9"/>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对竞争性磋商文件的澄清或修改</w:t>
      </w:r>
    </w:p>
    <w:p w14:paraId="584D0B7B">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采购人或采购代理机构对已发出的竞争性磋商文件进行必要澄清或者修改的，</w:t>
      </w:r>
      <w:r>
        <w:rPr>
          <w:rFonts w:hint="eastAsia" w:ascii="宋体" w:hAnsi="宋体"/>
          <w:color w:val="auto"/>
          <w:sz w:val="24"/>
          <w:highlight w:val="none"/>
        </w:rPr>
        <w:t>将</w:t>
      </w:r>
      <w:r>
        <w:rPr>
          <w:rFonts w:ascii="宋体" w:hAnsi="宋体"/>
          <w:color w:val="auto"/>
          <w:sz w:val="24"/>
          <w:highlight w:val="none"/>
        </w:rPr>
        <w:t>以书面形式通知所有获取竞争性磋商文件的潜在供应商。</w:t>
      </w:r>
      <w:r>
        <w:rPr>
          <w:rFonts w:hint="eastAsia" w:ascii="宋体" w:hAnsi="宋体"/>
          <w:color w:val="auto"/>
          <w:sz w:val="24"/>
          <w:highlight w:val="none"/>
        </w:rPr>
        <w:t>采用公告方式邀请供应商参与的，还将</w:t>
      </w:r>
      <w:r>
        <w:rPr>
          <w:rFonts w:ascii="宋体" w:hAnsi="宋体"/>
          <w:color w:val="auto"/>
          <w:sz w:val="24"/>
          <w:highlight w:val="none"/>
        </w:rPr>
        <w:t>在原公告发布媒体上发布更正公告</w:t>
      </w:r>
      <w:r>
        <w:rPr>
          <w:rFonts w:hint="eastAsia" w:ascii="宋体" w:hAnsi="宋体"/>
          <w:color w:val="auto"/>
          <w:sz w:val="24"/>
          <w:highlight w:val="none"/>
        </w:rPr>
        <w:t>。</w:t>
      </w:r>
    </w:p>
    <w:p w14:paraId="4BA19D3C">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49655857">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auto"/>
          <w:sz w:val="24"/>
          <w:highlight w:val="none"/>
        </w:rPr>
        <w:t>以书面形式通知所有获取磋商文件的供应商</w:t>
      </w:r>
      <w:r>
        <w:rPr>
          <w:rFonts w:ascii="宋体" w:hAnsi="宋体"/>
          <w:color w:val="auto"/>
          <w:sz w:val="24"/>
          <w:highlight w:val="none"/>
        </w:rPr>
        <w:t>；不足上述时间的，将顺延提交响应文件的截止时间。</w:t>
      </w:r>
      <w:bookmarkStart w:id="189" w:name="_Toc516367020"/>
      <w:bookmarkStart w:id="190" w:name="_Toc151193696"/>
      <w:bookmarkStart w:id="191" w:name="_Toc520356150"/>
      <w:bookmarkStart w:id="192" w:name="_Toc226309770"/>
      <w:bookmarkStart w:id="193" w:name="_Toc151193768"/>
      <w:bookmarkStart w:id="194" w:name="_Toc195842891"/>
      <w:bookmarkStart w:id="195" w:name="_Toc151193840"/>
      <w:bookmarkStart w:id="196" w:name="_Toc226337222"/>
      <w:bookmarkStart w:id="197" w:name="_Toc226965799"/>
      <w:bookmarkStart w:id="198" w:name="_Toc150774626"/>
      <w:bookmarkStart w:id="199" w:name="_Toc150509277"/>
      <w:bookmarkStart w:id="200" w:name="_Toc305158794"/>
      <w:bookmarkStart w:id="201" w:name="_Toc142311028"/>
      <w:bookmarkStart w:id="202" w:name="_Toc151193624"/>
      <w:bookmarkStart w:id="203" w:name="_Toc226965716"/>
      <w:bookmarkStart w:id="204" w:name="_Toc127151526"/>
      <w:bookmarkStart w:id="205" w:name="_Toc265228364"/>
      <w:bookmarkStart w:id="206" w:name="_Toc150774731"/>
      <w:bookmarkStart w:id="207" w:name="_Toc151193914"/>
      <w:bookmarkStart w:id="208" w:name="_Toc264969216"/>
      <w:bookmarkStart w:id="209" w:name="_Toc151190153"/>
      <w:bookmarkStart w:id="210" w:name="_Toc305158868"/>
      <w:bookmarkStart w:id="211" w:name="_Toc150480764"/>
    </w:p>
    <w:p w14:paraId="74B22105">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响应文件</w:t>
      </w:r>
      <w:bookmarkEnd w:id="189"/>
      <w:r>
        <w:rPr>
          <w:rFonts w:ascii="宋体" w:hAnsi="宋体" w:eastAsia="宋体"/>
          <w:color w:val="auto"/>
          <w:sz w:val="28"/>
          <w:highlight w:val="none"/>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C0D696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12" w:name="_Toc164351621"/>
      <w:bookmarkStart w:id="213" w:name="_Toc127151527"/>
      <w:bookmarkStart w:id="214" w:name="_Toc127161441"/>
      <w:bookmarkStart w:id="215" w:name="_Toc305158869"/>
      <w:bookmarkStart w:id="216" w:name="_Toc164608641"/>
      <w:bookmarkStart w:id="217" w:name="_Toc226965717"/>
      <w:bookmarkStart w:id="218" w:name="_Toc151193915"/>
      <w:bookmarkStart w:id="219" w:name="_Toc265228365"/>
      <w:bookmarkStart w:id="220" w:name="_Toc150774627"/>
      <w:bookmarkStart w:id="221" w:name="_Toc305158795"/>
      <w:bookmarkStart w:id="222" w:name="_Toc516367021"/>
      <w:bookmarkStart w:id="223" w:name="_Toc150774732"/>
      <w:bookmarkStart w:id="224" w:name="_Toc226309771"/>
      <w:bookmarkStart w:id="225" w:name="_Toc151193841"/>
      <w:bookmarkStart w:id="226" w:name="_Toc520356151"/>
      <w:bookmarkStart w:id="227" w:name="_Toc149720820"/>
      <w:bookmarkStart w:id="228" w:name="_Toc164229368"/>
      <w:bookmarkStart w:id="229" w:name="_Toc142311029"/>
      <w:bookmarkStart w:id="230" w:name="_Toc226965800"/>
      <w:bookmarkStart w:id="231" w:name="_Toc151193769"/>
      <w:bookmarkStart w:id="232" w:name="_Toc150480765"/>
      <w:bookmarkStart w:id="233" w:name="_Toc151190154"/>
      <w:bookmarkStart w:id="234" w:name="_Toc151193625"/>
      <w:bookmarkStart w:id="235" w:name="_Toc151193697"/>
      <w:bookmarkStart w:id="236" w:name="_Toc195842892"/>
      <w:bookmarkStart w:id="237" w:name="_Toc127151728"/>
      <w:bookmarkStart w:id="238" w:name="_Toc164608796"/>
      <w:bookmarkStart w:id="239" w:name="_Toc264969217"/>
      <w:bookmarkStart w:id="240" w:name="_Toc226337223"/>
      <w:bookmarkStart w:id="241" w:name="_Toc164229222"/>
      <w:bookmarkStart w:id="242" w:name="_Toc150509278"/>
      <w:r>
        <w:rPr>
          <w:rFonts w:ascii="宋体" w:hAnsi="宋体"/>
          <w:color w:val="auto"/>
          <w:sz w:val="24"/>
          <w:highlight w:val="none"/>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color w:val="auto"/>
          <w:sz w:val="24"/>
          <w:highlight w:val="none"/>
        </w:rPr>
        <w:t>及磋商语言</w:t>
      </w:r>
    </w:p>
    <w:p w14:paraId="1058A48B">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58A518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除竞争性磋商文件有特殊要求外，本项目磋商所使用的计量单位，应采用中华人民共和国法定计量单位。</w:t>
      </w:r>
    </w:p>
    <w:p w14:paraId="2CAEBA93">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3881B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43" w:name="_Ref467306676"/>
      <w:bookmarkStart w:id="244" w:name="_Toc516367022"/>
      <w:bookmarkStart w:id="245" w:name="_Ref467306195"/>
      <w:bookmarkStart w:id="246" w:name="_Toc150774628"/>
      <w:bookmarkStart w:id="247" w:name="_Toc151193916"/>
      <w:bookmarkStart w:id="248" w:name="_Toc151193770"/>
      <w:bookmarkStart w:id="249" w:name="_Toc164229369"/>
      <w:bookmarkStart w:id="250" w:name="_Toc265228366"/>
      <w:bookmarkStart w:id="251" w:name="_Toc164608797"/>
      <w:bookmarkStart w:id="252" w:name="_Toc127161442"/>
      <w:bookmarkStart w:id="253" w:name="_Toc151193698"/>
      <w:bookmarkStart w:id="254" w:name="_Toc164608642"/>
      <w:bookmarkStart w:id="255" w:name="_Toc150509279"/>
      <w:bookmarkStart w:id="256" w:name="_Toc226965718"/>
      <w:bookmarkStart w:id="257" w:name="_Toc164229223"/>
      <w:bookmarkStart w:id="258" w:name="_Toc226337224"/>
      <w:bookmarkStart w:id="259" w:name="_Toc151193626"/>
      <w:bookmarkStart w:id="260" w:name="_Toc150480766"/>
      <w:bookmarkStart w:id="261" w:name="_Toc226965801"/>
      <w:bookmarkStart w:id="262" w:name="_Toc164351622"/>
      <w:bookmarkStart w:id="263" w:name="_Toc127151729"/>
      <w:bookmarkStart w:id="264" w:name="_Toc149720821"/>
      <w:bookmarkStart w:id="265" w:name="_Toc151190155"/>
      <w:bookmarkStart w:id="266" w:name="_Toc195842893"/>
      <w:bookmarkStart w:id="267" w:name="_Toc151193842"/>
      <w:bookmarkStart w:id="268" w:name="_Toc520356152"/>
      <w:bookmarkStart w:id="269" w:name="_Toc305158796"/>
      <w:bookmarkStart w:id="270" w:name="_Toc127151528"/>
      <w:bookmarkStart w:id="271" w:name="_Toc150774733"/>
      <w:bookmarkStart w:id="272" w:name="_Toc142311030"/>
      <w:bookmarkStart w:id="273" w:name="_Toc264969218"/>
      <w:bookmarkStart w:id="274" w:name="_Toc226309772"/>
      <w:bookmarkStart w:id="275" w:name="_Toc305158870"/>
      <w:r>
        <w:rPr>
          <w:rFonts w:ascii="宋体" w:hAnsi="宋体"/>
          <w:color w:val="auto"/>
          <w:sz w:val="24"/>
          <w:highlight w:val="none"/>
        </w:rPr>
        <w:t>响应文件</w:t>
      </w:r>
      <w:bookmarkEnd w:id="243"/>
      <w:bookmarkEnd w:id="244"/>
      <w:bookmarkEnd w:id="245"/>
      <w:r>
        <w:rPr>
          <w:rFonts w:ascii="宋体" w:hAnsi="宋体"/>
          <w:color w:val="auto"/>
          <w:sz w:val="24"/>
          <w:highlight w:val="none"/>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B83AB0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276" w:name="_Ref467052588"/>
      <w:r>
        <w:rPr>
          <w:rFonts w:ascii="宋体" w:hAnsi="宋体"/>
          <w:color w:val="auto"/>
          <w:sz w:val="24"/>
          <w:highlight w:val="none"/>
        </w:rPr>
        <w:t>供应商应当按照竞争性磋商文件的要求编制响应文件，</w:t>
      </w:r>
      <w:r>
        <w:rPr>
          <w:rFonts w:ascii="宋体" w:hAnsi="宋体"/>
          <w:color w:val="auto"/>
          <w:kern w:val="0"/>
          <w:sz w:val="24"/>
          <w:highlight w:val="none"/>
        </w:rPr>
        <w:t>并对其提交的响应文件的真实性、合法性承担法律责任</w:t>
      </w:r>
      <w:r>
        <w:rPr>
          <w:rFonts w:ascii="宋体" w:hAnsi="宋体"/>
          <w:color w:val="auto"/>
          <w:sz w:val="24"/>
          <w:highlight w:val="none"/>
        </w:rPr>
        <w:t>。响应文件的部分格式要求，见第六章《响应文件格式》。</w:t>
      </w:r>
    </w:p>
    <w:p w14:paraId="428DD6F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对于竞争性磋商文件中标记了“实质性格式”文件的，</w:t>
      </w:r>
      <w:r>
        <w:rPr>
          <w:rFonts w:ascii="宋体" w:hAnsi="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6D7C587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第三章《评审方法和评审标准》中涉及的证明文件。</w:t>
      </w:r>
    </w:p>
    <w:p w14:paraId="5A65E9E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4C80F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供应商认为应附的其他材料。</w:t>
      </w:r>
      <w:bookmarkEnd w:id="276"/>
    </w:p>
    <w:p w14:paraId="05C4D81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77" w:name="_Toc150509281"/>
      <w:bookmarkStart w:id="278" w:name="_Toc164229225"/>
      <w:bookmarkStart w:id="279" w:name="_Toc151190157"/>
      <w:bookmarkStart w:id="280" w:name="_Toc142311032"/>
      <w:bookmarkStart w:id="281" w:name="_Toc127151530"/>
      <w:bookmarkStart w:id="282" w:name="_Toc127151731"/>
      <w:bookmarkStart w:id="283" w:name="_Toc151193700"/>
      <w:bookmarkStart w:id="284" w:name="_Toc164351624"/>
      <w:bookmarkStart w:id="285" w:name="_Toc150480768"/>
      <w:bookmarkStart w:id="286" w:name="_Toc164608644"/>
      <w:bookmarkStart w:id="287" w:name="_Toc150774735"/>
      <w:bookmarkStart w:id="288" w:name="_Toc164608799"/>
      <w:bookmarkStart w:id="289" w:name="_Toc151193772"/>
      <w:bookmarkStart w:id="290" w:name="_Toc151193628"/>
      <w:bookmarkStart w:id="291" w:name="_Toc149720823"/>
      <w:bookmarkStart w:id="292" w:name="_Toc195842895"/>
      <w:bookmarkStart w:id="293" w:name="_Toc151193844"/>
      <w:bookmarkStart w:id="294" w:name="_Toc151193918"/>
      <w:bookmarkStart w:id="295" w:name="_Toc164229371"/>
      <w:bookmarkStart w:id="296" w:name="_Toc150774630"/>
      <w:bookmarkStart w:id="297" w:name="_Toc127161444"/>
      <w:bookmarkStart w:id="298" w:name="_Toc520356155"/>
      <w:r>
        <w:rPr>
          <w:rFonts w:ascii="宋体" w:hAnsi="宋体"/>
          <w:color w:val="auto"/>
          <w:sz w:val="24"/>
          <w:highlight w:val="none"/>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1DA9FC4">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所有响应均以人民币</w:t>
      </w:r>
      <w:r>
        <w:rPr>
          <w:rFonts w:hint="eastAsia" w:ascii="宋体" w:hAnsi="宋体"/>
          <w:color w:val="auto"/>
          <w:sz w:val="24"/>
          <w:highlight w:val="none"/>
        </w:rPr>
        <w:t>为计价货币。</w:t>
      </w:r>
    </w:p>
    <w:p w14:paraId="21B5B1C8">
      <w:pPr>
        <w:numPr>
          <w:ilvl w:val="1"/>
          <w:numId w:val="9"/>
        </w:numPr>
        <w:tabs>
          <w:tab w:val="left" w:pos="1080"/>
        </w:tabs>
        <w:snapToGrid w:val="0"/>
        <w:spacing w:line="360" w:lineRule="auto"/>
        <w:rPr>
          <w:rFonts w:hint="eastAsia" w:ascii="宋体" w:hAnsi="宋体"/>
          <w:color w:val="auto"/>
          <w:sz w:val="24"/>
          <w:highlight w:val="none"/>
        </w:rPr>
      </w:pPr>
      <w:r>
        <w:rPr>
          <w:rFonts w:ascii="宋体" w:hAnsi="宋体"/>
          <w:color w:val="auto"/>
          <w:sz w:val="24"/>
          <w:highlight w:val="none"/>
        </w:rPr>
        <w:t>供应商的报价应包括为完成本项目所发生的一切费用和税费，采购人将不再支付报价以外的任何费用。</w:t>
      </w:r>
      <w:r>
        <w:rPr>
          <w:rFonts w:hint="eastAsia" w:ascii="宋体" w:hAnsi="宋体"/>
          <w:color w:val="auto"/>
          <w:sz w:val="24"/>
          <w:highlight w:val="none"/>
        </w:rPr>
        <w:t>供应商的报价应包括但不限于下列内容，《供应商须知资料表》中有特殊规定的，从其规定。</w:t>
      </w:r>
    </w:p>
    <w:p w14:paraId="450BB6CE">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4167CE6">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按照竞争性磋商文件要求完成本项目的全部相关费用。</w:t>
      </w:r>
    </w:p>
    <w:p w14:paraId="64F0DE0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14:paraId="3833361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供应商不能提供任何有选择性或可调整的最后报价（</w:t>
      </w:r>
      <w:r>
        <w:rPr>
          <w:rFonts w:ascii="宋体" w:hAnsi="宋体"/>
          <w:color w:val="auto"/>
          <w:kern w:val="0"/>
          <w:sz w:val="24"/>
          <w:highlight w:val="none"/>
        </w:rPr>
        <w:t>竞争性磋商文件</w:t>
      </w:r>
      <w:r>
        <w:rPr>
          <w:rFonts w:ascii="宋体" w:hAnsi="宋体"/>
          <w:color w:val="auto"/>
          <w:sz w:val="24"/>
          <w:highlight w:val="none"/>
        </w:rPr>
        <w:t>另有规定的除外），否则其</w:t>
      </w:r>
      <w:r>
        <w:rPr>
          <w:rFonts w:ascii="宋体" w:hAnsi="宋体"/>
          <w:b/>
          <w:color w:val="auto"/>
          <w:sz w:val="24"/>
          <w:highlight w:val="none"/>
        </w:rPr>
        <w:t>响应无效</w:t>
      </w:r>
      <w:r>
        <w:rPr>
          <w:rFonts w:ascii="宋体" w:hAnsi="宋体"/>
          <w:color w:val="auto"/>
          <w:sz w:val="24"/>
          <w:highlight w:val="none"/>
        </w:rPr>
        <w:t>。</w:t>
      </w:r>
    </w:p>
    <w:p w14:paraId="0F805E51">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磋商保证金</w:t>
      </w:r>
    </w:p>
    <w:p w14:paraId="290FB85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供应商应按《供应商须知资料表》中规定的金额及要求交纳磋商保证金。供应商自愿超额缴纳磋商保证金的，响应文件不做无效处理。</w:t>
      </w:r>
    </w:p>
    <w:p w14:paraId="7532952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交纳磋商保证金可采用的形式：政府采购法律法规接受的支票、汇票、本票、网上银行支付或者金融机构、担保机构出具的保函等非现金形式。</w:t>
      </w:r>
    </w:p>
    <w:p w14:paraId="5726151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auto"/>
          <w:sz w:val="24"/>
          <w:highlight w:val="none"/>
        </w:rPr>
        <w:t>到账</w:t>
      </w:r>
      <w:r>
        <w:rPr>
          <w:rFonts w:ascii="宋体" w:hAnsi="宋体"/>
          <w:color w:val="auto"/>
          <w:sz w:val="24"/>
          <w:highlight w:val="none"/>
        </w:rPr>
        <w:t>；</w:t>
      </w:r>
      <w:r>
        <w:rPr>
          <w:rFonts w:hint="eastAsia" w:ascii="宋体" w:hAnsi="宋体"/>
          <w:color w:val="auto"/>
          <w:sz w:val="24"/>
          <w:highlight w:val="none"/>
        </w:rPr>
        <w:t>以</w:t>
      </w:r>
      <w:r>
        <w:rPr>
          <w:rFonts w:ascii="宋体" w:hAnsi="宋体"/>
          <w:color w:val="auto"/>
          <w:sz w:val="24"/>
          <w:highlight w:val="none"/>
        </w:rPr>
        <w:t>金融机构、担保机构出具的保函等形式提交</w:t>
      </w:r>
      <w:r>
        <w:rPr>
          <w:rFonts w:hint="eastAsia" w:ascii="宋体" w:hAnsi="宋体"/>
          <w:color w:val="auto"/>
          <w:sz w:val="24"/>
          <w:highlight w:val="none"/>
        </w:rPr>
        <w:t>磋商</w:t>
      </w:r>
      <w:r>
        <w:rPr>
          <w:rFonts w:ascii="宋体" w:hAnsi="宋体"/>
          <w:color w:val="auto"/>
          <w:sz w:val="24"/>
          <w:highlight w:val="none"/>
        </w:rPr>
        <w:t>保证金的，应在首次响应文件</w:t>
      </w:r>
      <w:r>
        <w:rPr>
          <w:rFonts w:hint="eastAsia" w:ascii="宋体" w:hAnsi="宋体"/>
          <w:color w:val="auto"/>
          <w:sz w:val="24"/>
          <w:highlight w:val="none"/>
        </w:rPr>
        <w:t>提交</w:t>
      </w:r>
      <w:r>
        <w:rPr>
          <w:rFonts w:ascii="宋体" w:hAnsi="宋体"/>
          <w:color w:val="auto"/>
          <w:sz w:val="24"/>
          <w:highlight w:val="none"/>
        </w:rPr>
        <w:t>截止时间前将原件提交至采购代理机构；</w:t>
      </w:r>
      <w:r>
        <w:rPr>
          <w:rFonts w:hint="eastAsia" w:ascii="宋体" w:hAnsi="宋体"/>
          <w:color w:val="auto"/>
          <w:sz w:val="24"/>
          <w:highlight w:val="none"/>
        </w:rPr>
        <w:t>以电子保函形式提交磋商保证金的，应在首次响应文件提交截止时间前通过北京市政府采购电子交易平台完成电子保函在线办理。未按上述要求缴纳保证金的，其</w:t>
      </w:r>
      <w:r>
        <w:rPr>
          <w:rFonts w:hint="eastAsia" w:ascii="宋体" w:hAnsi="宋体"/>
          <w:b/>
          <w:color w:val="auto"/>
          <w:sz w:val="24"/>
          <w:highlight w:val="none"/>
        </w:rPr>
        <w:t>响应无效</w:t>
      </w:r>
      <w:r>
        <w:rPr>
          <w:rFonts w:hint="eastAsia" w:ascii="宋体" w:hAnsi="宋体"/>
          <w:color w:val="auto"/>
          <w:sz w:val="24"/>
          <w:highlight w:val="none"/>
        </w:rPr>
        <w:t>。</w:t>
      </w:r>
    </w:p>
    <w:p w14:paraId="44C1529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供应商除需在响应文件中提供“磋商保证金凭证/交款单据电子件”，还需在首次响应文件提交截止时间前，通过电子交易平台上传“磋商保证金凭证/交款单据电子件”。</w:t>
      </w:r>
    </w:p>
    <w:p w14:paraId="1465EB0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磋商保证金（保函）有效期同响应有效期。</w:t>
      </w:r>
    </w:p>
    <w:p w14:paraId="59CFEFC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供应商为联合体的，可以由联合体中的一方或者多方共同交纳磋商保证金，其交纳的保证金对联合体各方均具有约束力。</w:t>
      </w:r>
    </w:p>
    <w:p w14:paraId="4307D61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705893">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highlight w:val="none"/>
        </w:rPr>
        <w:t>；</w:t>
      </w:r>
    </w:p>
    <w:p w14:paraId="42234CB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成交供应商的磋商保证金，在采购合同签订后5个工作日内退还成交供应商；</w:t>
      </w:r>
    </w:p>
    <w:p w14:paraId="40C88D2D">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未成交供应商的磋商保证金，在成交通知书发出后5个工作日内退还</w:t>
      </w:r>
      <w:r>
        <w:rPr>
          <w:rFonts w:hint="eastAsia" w:ascii="宋体" w:hAnsi="宋体"/>
          <w:color w:val="auto"/>
          <w:sz w:val="24"/>
          <w:highlight w:val="none"/>
        </w:rPr>
        <w:t>。</w:t>
      </w:r>
    </w:p>
    <w:p w14:paraId="553383E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有下列情形之一的，采购人或采购代理机构不予退还磋商保证金：</w:t>
      </w:r>
    </w:p>
    <w:p w14:paraId="08135771">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供应商在提交响应文件截止时间后撤回响应文件的；</w:t>
      </w:r>
    </w:p>
    <w:p w14:paraId="68163E03">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供应商在响应文件中提供虚假材料的；</w:t>
      </w:r>
    </w:p>
    <w:p w14:paraId="72C0C739">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除因不可抗力或磋商文件认可的情形以外，成交供应商不与采购人签订合同的；</w:t>
      </w:r>
    </w:p>
    <w:p w14:paraId="5FF2A8F5">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供应商与采购人、其他供应商或者采购代理机构恶意串通的；</w:t>
      </w:r>
    </w:p>
    <w:p w14:paraId="7A52DED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《供应商须知资料表》规定的其他情形。</w:t>
      </w:r>
    </w:p>
    <w:p w14:paraId="53DF8A58">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响应有效期</w:t>
      </w:r>
    </w:p>
    <w:p w14:paraId="6948C3F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响应文件应在本竞争性磋商文件《供应商须知资料表》中规定的响应有效期内保持有效，响应有效期少于竞争性磋商文件规定期限的，其</w:t>
      </w:r>
      <w:r>
        <w:rPr>
          <w:rFonts w:ascii="宋体" w:hAnsi="宋体"/>
          <w:b/>
          <w:color w:val="auto"/>
          <w:sz w:val="24"/>
          <w:highlight w:val="none"/>
        </w:rPr>
        <w:t>响应无效</w:t>
      </w:r>
      <w:r>
        <w:rPr>
          <w:rFonts w:ascii="宋体" w:hAnsi="宋体"/>
          <w:color w:val="auto"/>
          <w:sz w:val="24"/>
          <w:highlight w:val="none"/>
        </w:rPr>
        <w:t>。</w:t>
      </w:r>
    </w:p>
    <w:p w14:paraId="3CFE6F6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99" w:name="_Toc127151533"/>
      <w:bookmarkStart w:id="300" w:name="_Toc226965806"/>
      <w:bookmarkStart w:id="301" w:name="_Toc151193631"/>
      <w:bookmarkStart w:id="302" w:name="_Toc164351627"/>
      <w:bookmarkStart w:id="303" w:name="_Toc142311035"/>
      <w:bookmarkStart w:id="304" w:name="_Toc226309777"/>
      <w:bookmarkStart w:id="305" w:name="_Toc226337229"/>
      <w:bookmarkStart w:id="306" w:name="_Toc164608647"/>
      <w:bookmarkStart w:id="307" w:name="_Toc305158801"/>
      <w:bookmarkStart w:id="308" w:name="_Toc226965723"/>
      <w:bookmarkStart w:id="309" w:name="_Toc195842898"/>
      <w:bookmarkStart w:id="310" w:name="_Toc151193921"/>
      <w:bookmarkStart w:id="311" w:name="_Toc265228371"/>
      <w:bookmarkStart w:id="312" w:name="_Toc151193847"/>
      <w:bookmarkStart w:id="313" w:name="_Toc164229228"/>
      <w:bookmarkStart w:id="314" w:name="_Toc305158875"/>
      <w:bookmarkStart w:id="315" w:name="_Toc127161447"/>
      <w:bookmarkStart w:id="316" w:name="_Toc150774633"/>
      <w:bookmarkStart w:id="317" w:name="_Toc127151734"/>
      <w:bookmarkStart w:id="318" w:name="_Toc151193775"/>
      <w:bookmarkStart w:id="319" w:name="_Toc164229374"/>
      <w:bookmarkStart w:id="320" w:name="_Toc164608802"/>
      <w:bookmarkStart w:id="321" w:name="_Toc149720826"/>
      <w:bookmarkStart w:id="322" w:name="_Toc150480771"/>
      <w:bookmarkStart w:id="323" w:name="_Toc520356158"/>
      <w:bookmarkStart w:id="324" w:name="_Toc151190160"/>
      <w:bookmarkStart w:id="325" w:name="_Toc150774738"/>
      <w:bookmarkStart w:id="326" w:name="_Toc150509284"/>
      <w:bookmarkStart w:id="327" w:name="_Toc264969223"/>
      <w:bookmarkStart w:id="328" w:name="_Toc151193703"/>
      <w:r>
        <w:rPr>
          <w:rFonts w:ascii="宋体" w:hAnsi="宋体"/>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宋体" w:hAnsi="宋体"/>
          <w:color w:val="auto"/>
          <w:sz w:val="24"/>
          <w:highlight w:val="none"/>
        </w:rPr>
        <w:t>、盖章</w:t>
      </w:r>
    </w:p>
    <w:p w14:paraId="702DDFDF">
      <w:pPr>
        <w:numPr>
          <w:ilvl w:val="1"/>
          <w:numId w:val="9"/>
        </w:numPr>
        <w:tabs>
          <w:tab w:val="left" w:pos="1080"/>
        </w:tabs>
        <w:snapToGrid w:val="0"/>
        <w:spacing w:line="360" w:lineRule="auto"/>
        <w:rPr>
          <w:rFonts w:hint="eastAsia" w:ascii="宋体" w:hAnsi="宋体"/>
          <w:color w:val="auto"/>
          <w:sz w:val="24"/>
          <w:highlight w:val="none"/>
        </w:rPr>
      </w:pPr>
      <w:bookmarkStart w:id="329" w:name="_Toc151193848"/>
      <w:bookmarkStart w:id="330" w:name="_Toc151190161"/>
      <w:bookmarkStart w:id="331" w:name="_Toc226965807"/>
      <w:bookmarkStart w:id="332" w:name="_Toc151193776"/>
      <w:bookmarkStart w:id="333" w:name="_Toc226309778"/>
      <w:bookmarkStart w:id="334" w:name="_Toc305158876"/>
      <w:bookmarkStart w:id="335" w:name="_Toc265228372"/>
      <w:bookmarkStart w:id="336" w:name="_Toc151193632"/>
      <w:bookmarkStart w:id="337" w:name="_Toc150774739"/>
      <w:bookmarkStart w:id="338" w:name="_Toc150480772"/>
      <w:bookmarkStart w:id="339" w:name="_Toc142311036"/>
      <w:bookmarkStart w:id="340" w:name="_Toc150509285"/>
      <w:bookmarkStart w:id="341" w:name="_Toc150774634"/>
      <w:bookmarkStart w:id="342" w:name="_Toc151193922"/>
      <w:bookmarkStart w:id="343" w:name="_Toc226965724"/>
      <w:bookmarkStart w:id="344" w:name="_Toc195842899"/>
      <w:bookmarkStart w:id="345" w:name="_Toc226337230"/>
      <w:bookmarkStart w:id="346" w:name="_Toc520356159"/>
      <w:bookmarkStart w:id="347" w:name="_Toc127151534"/>
      <w:bookmarkStart w:id="348" w:name="_Toc151193704"/>
      <w:bookmarkStart w:id="349" w:name="_Toc305158802"/>
      <w:bookmarkStart w:id="350" w:name="_Toc264969224"/>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3C1845A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通过响应文件编制工具加盖电子签章。</w:t>
      </w:r>
    </w:p>
    <w:p w14:paraId="456E5B9A">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DF61CD3">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51" w:name="_Toc265228373"/>
      <w:bookmarkStart w:id="352" w:name="_Toc151190162"/>
      <w:bookmarkStart w:id="353" w:name="_Toc151193633"/>
      <w:bookmarkStart w:id="354" w:name="_Toc226337231"/>
      <w:bookmarkStart w:id="355" w:name="_Toc164608804"/>
      <w:bookmarkStart w:id="356" w:name="_Toc127161449"/>
      <w:bookmarkStart w:id="357" w:name="_Toc305158877"/>
      <w:bookmarkStart w:id="358" w:name="_Toc149720828"/>
      <w:bookmarkStart w:id="359" w:name="_Toc520356160"/>
      <w:bookmarkStart w:id="360" w:name="_Toc151193923"/>
      <w:bookmarkStart w:id="361" w:name="_Toc164608649"/>
      <w:bookmarkStart w:id="362" w:name="_Toc151193777"/>
      <w:bookmarkStart w:id="363" w:name="_Toc164229230"/>
      <w:bookmarkStart w:id="364" w:name="_Toc264969225"/>
      <w:bookmarkStart w:id="365" w:name="_Toc142311037"/>
      <w:bookmarkStart w:id="366" w:name="_Toc151193849"/>
      <w:bookmarkStart w:id="367" w:name="_Toc164351629"/>
      <w:bookmarkStart w:id="368" w:name="_Toc151193705"/>
      <w:bookmarkStart w:id="369" w:name="_Toc127151535"/>
      <w:bookmarkStart w:id="370" w:name="_Toc150480773"/>
      <w:bookmarkStart w:id="371" w:name="_Toc226965808"/>
      <w:bookmarkStart w:id="372" w:name="_Toc305158803"/>
      <w:bookmarkStart w:id="373" w:name="_Toc150509286"/>
      <w:bookmarkStart w:id="374" w:name="_Toc164229376"/>
      <w:bookmarkStart w:id="375" w:name="_Toc226965725"/>
      <w:bookmarkStart w:id="376" w:name="_Toc195842900"/>
      <w:bookmarkStart w:id="377" w:name="_Toc150774635"/>
      <w:bookmarkStart w:id="378" w:name="_Toc226309779"/>
      <w:bookmarkStart w:id="379" w:name="_Toc150774740"/>
      <w:bookmarkStart w:id="380" w:name="_Toc127151736"/>
      <w:r>
        <w:rPr>
          <w:rFonts w:ascii="宋体" w:hAnsi="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olor w:val="auto"/>
          <w:sz w:val="24"/>
          <w:highlight w:val="none"/>
        </w:rPr>
        <w:t>提交</w:t>
      </w:r>
    </w:p>
    <w:p w14:paraId="4F77417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本项目使用</w:t>
      </w:r>
      <w:r>
        <w:rPr>
          <w:rFonts w:hint="eastAsia" w:ascii="宋体" w:hAnsi="宋体"/>
          <w:color w:val="auto"/>
          <w:sz w:val="24"/>
          <w:highlight w:val="none"/>
        </w:rPr>
        <w:t>北京市政府采购电子交易平台</w:t>
      </w:r>
      <w:r>
        <w:rPr>
          <w:rFonts w:ascii="宋体" w:hAnsi="宋体"/>
          <w:color w:val="auto"/>
          <w:sz w:val="24"/>
          <w:highlight w:val="none"/>
        </w:rPr>
        <w:t>。供应商根据竞争性磋商文件及</w:t>
      </w:r>
      <w:r>
        <w:rPr>
          <w:rFonts w:hint="eastAsia" w:ascii="宋体" w:hAnsi="宋体"/>
          <w:color w:val="auto"/>
          <w:sz w:val="24"/>
          <w:highlight w:val="none"/>
        </w:rPr>
        <w:t>电子交易平台</w:t>
      </w:r>
      <w:r>
        <w:rPr>
          <w:rFonts w:ascii="宋体" w:hAnsi="宋体"/>
          <w:color w:val="auto"/>
          <w:sz w:val="24"/>
          <w:highlight w:val="none"/>
        </w:rPr>
        <w:t>供应商操作手册要求编制、生成并提交电子响应文件。</w:t>
      </w:r>
    </w:p>
    <w:p w14:paraId="63DE8D0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采购人及采购代理机构拒绝接受通过电子交易平台以外任何形式提交的首次响应文件，磋商保证金除外</w:t>
      </w:r>
      <w:r>
        <w:rPr>
          <w:rFonts w:ascii="宋体" w:hAnsi="宋体"/>
          <w:color w:val="auto"/>
          <w:sz w:val="24"/>
          <w:highlight w:val="none"/>
        </w:rPr>
        <w:t>。</w:t>
      </w:r>
    </w:p>
    <w:p w14:paraId="66457F9B">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81" w:name="_Toc151193850"/>
      <w:bookmarkStart w:id="382" w:name="_Toc195842901"/>
      <w:bookmarkStart w:id="383" w:name="_Toc305158804"/>
      <w:bookmarkStart w:id="384" w:name="_Toc164351630"/>
      <w:bookmarkStart w:id="385" w:name="_Toc305158878"/>
      <w:bookmarkStart w:id="386" w:name="_Toc164229231"/>
      <w:bookmarkStart w:id="387" w:name="_Toc151193706"/>
      <w:bookmarkStart w:id="388" w:name="_Toc226965809"/>
      <w:bookmarkStart w:id="389" w:name="_Toc151193924"/>
      <w:bookmarkStart w:id="390" w:name="_Toc226965726"/>
      <w:bookmarkStart w:id="391" w:name="_Toc142311038"/>
      <w:bookmarkStart w:id="392" w:name="_Toc226337232"/>
      <w:bookmarkStart w:id="393" w:name="_Toc127161450"/>
      <w:bookmarkStart w:id="394" w:name="_Toc151190163"/>
      <w:bookmarkStart w:id="395" w:name="_Toc150480774"/>
      <w:bookmarkStart w:id="396" w:name="_Toc265228374"/>
      <w:bookmarkStart w:id="397" w:name="_Toc264969226"/>
      <w:bookmarkStart w:id="398" w:name="_Toc150509287"/>
      <w:bookmarkStart w:id="399" w:name="_Toc164608805"/>
      <w:bookmarkStart w:id="400" w:name="_Toc150774636"/>
      <w:bookmarkStart w:id="401" w:name="_Toc127151536"/>
      <w:bookmarkStart w:id="402" w:name="_Toc164608650"/>
      <w:bookmarkStart w:id="403" w:name="_Toc164229377"/>
      <w:bookmarkStart w:id="404" w:name="_Toc127151737"/>
      <w:bookmarkStart w:id="405" w:name="_Toc151193778"/>
      <w:bookmarkStart w:id="406" w:name="_Toc150774741"/>
      <w:bookmarkStart w:id="407" w:name="_Toc149720829"/>
      <w:bookmarkStart w:id="408" w:name="_Toc151193634"/>
      <w:bookmarkStart w:id="409" w:name="_Toc226309780"/>
      <w:bookmarkStart w:id="410" w:name="_Toc520356161"/>
      <w:r>
        <w:rPr>
          <w:rFonts w:ascii="宋体" w:hAnsi="宋体"/>
          <w:color w:val="auto"/>
          <w:sz w:val="24"/>
          <w:highlight w:val="none"/>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olor w:val="auto"/>
          <w:sz w:val="24"/>
          <w:highlight w:val="none"/>
        </w:rPr>
        <w:t>时间</w:t>
      </w:r>
    </w:p>
    <w:p w14:paraId="13F3C96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供应商应在竞争性磋商文件要求响应文件提交截止时间前，将电子响应文件提交至</w:t>
      </w:r>
      <w:r>
        <w:rPr>
          <w:rFonts w:hint="eastAsia" w:ascii="宋体" w:hAnsi="宋体"/>
          <w:color w:val="auto"/>
          <w:sz w:val="24"/>
          <w:highlight w:val="none"/>
        </w:rPr>
        <w:t>电子交易平台</w:t>
      </w:r>
      <w:r>
        <w:rPr>
          <w:rFonts w:ascii="宋体" w:hAnsi="宋体"/>
          <w:color w:val="auto"/>
          <w:sz w:val="24"/>
          <w:highlight w:val="none"/>
        </w:rPr>
        <w:t>。</w:t>
      </w:r>
    </w:p>
    <w:p w14:paraId="5356D6E8">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11" w:name="_Toc151193707"/>
      <w:bookmarkStart w:id="412" w:name="_Toc164608651"/>
      <w:bookmarkStart w:id="413" w:name="_Toc305158879"/>
      <w:bookmarkStart w:id="414" w:name="_Toc151193635"/>
      <w:bookmarkStart w:id="415" w:name="_Toc151193925"/>
      <w:bookmarkStart w:id="416" w:name="_Toc142311039"/>
      <w:bookmarkStart w:id="417" w:name="_Toc226965727"/>
      <w:bookmarkStart w:id="418" w:name="_Toc164229232"/>
      <w:bookmarkStart w:id="419" w:name="_Toc264969227"/>
      <w:bookmarkStart w:id="420" w:name="_Toc265228375"/>
      <w:bookmarkStart w:id="421" w:name="_Toc520356162"/>
      <w:bookmarkStart w:id="422" w:name="_Toc164229378"/>
      <w:bookmarkStart w:id="423" w:name="_Toc127151738"/>
      <w:bookmarkStart w:id="424" w:name="_Toc164351631"/>
      <w:bookmarkStart w:id="425" w:name="_Toc150509288"/>
      <w:bookmarkStart w:id="426" w:name="_Toc127151537"/>
      <w:bookmarkStart w:id="427" w:name="_Toc226965810"/>
      <w:bookmarkStart w:id="428" w:name="_Toc127161451"/>
      <w:bookmarkStart w:id="429" w:name="_Toc226309781"/>
      <w:bookmarkStart w:id="430" w:name="_Toc195842902"/>
      <w:bookmarkStart w:id="431" w:name="_Toc151193779"/>
      <w:bookmarkStart w:id="432" w:name="_Toc164608806"/>
      <w:bookmarkStart w:id="433" w:name="_Toc150480775"/>
      <w:bookmarkStart w:id="434" w:name="_Toc150774742"/>
      <w:bookmarkStart w:id="435" w:name="_Toc305158805"/>
      <w:bookmarkStart w:id="436" w:name="_Toc150774637"/>
      <w:bookmarkStart w:id="437" w:name="_Toc151193851"/>
      <w:bookmarkStart w:id="438" w:name="_Toc226337233"/>
      <w:bookmarkStart w:id="439" w:name="_Toc149720830"/>
      <w:bookmarkStart w:id="440" w:name="_Toc151190164"/>
      <w:r>
        <w:rPr>
          <w:rFonts w:ascii="宋体" w:hAnsi="宋体"/>
          <w:color w:val="auto"/>
          <w:sz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8A41F7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提交响应文件截止时间前，供应商可以通过</w:t>
      </w:r>
      <w:r>
        <w:rPr>
          <w:rFonts w:hint="eastAsia" w:ascii="宋体" w:hAnsi="宋体"/>
          <w:color w:val="auto"/>
          <w:sz w:val="24"/>
          <w:highlight w:val="none"/>
        </w:rPr>
        <w:t>北京市政府采购电子交易平台</w:t>
      </w:r>
      <w:r>
        <w:rPr>
          <w:rFonts w:ascii="宋体" w:hAnsi="宋体"/>
          <w:color w:val="auto"/>
          <w:sz w:val="24"/>
          <w:highlight w:val="none"/>
        </w:rPr>
        <w:t>对所提交的响应文件进行补充、修改或者撤回。</w:t>
      </w:r>
      <w:r>
        <w:rPr>
          <w:rFonts w:hint="eastAsia" w:ascii="宋体" w:hAnsi="宋体"/>
          <w:color w:val="auto"/>
          <w:sz w:val="24"/>
          <w:highlight w:val="none"/>
        </w:rPr>
        <w:t>磋商保证金的补充、修改或者撤回无需通过电子交易平台，但应就其补充、修改或者撤回通知采购人或采购代理机构。</w:t>
      </w:r>
    </w:p>
    <w:p w14:paraId="63B88DD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7833C514">
      <w:pPr>
        <w:pStyle w:val="3"/>
        <w:spacing w:before="0" w:line="360" w:lineRule="auto"/>
        <w:rPr>
          <w:rFonts w:hint="eastAsia" w:ascii="宋体" w:hAnsi="宋体" w:eastAsia="宋体"/>
          <w:color w:val="auto"/>
          <w:sz w:val="28"/>
          <w:highlight w:val="none"/>
        </w:rPr>
      </w:pPr>
      <w:bookmarkStart w:id="441" w:name="_Toc150509289"/>
      <w:bookmarkStart w:id="442" w:name="_Toc151193852"/>
      <w:bookmarkStart w:id="443" w:name="_Toc520356163"/>
      <w:bookmarkStart w:id="444" w:name="_Toc264969228"/>
      <w:bookmarkStart w:id="445" w:name="_Toc265228376"/>
      <w:bookmarkStart w:id="446" w:name="_Toc150480776"/>
      <w:bookmarkStart w:id="447" w:name="_Toc195842903"/>
      <w:bookmarkStart w:id="448" w:name="_Toc226965811"/>
      <w:bookmarkStart w:id="449" w:name="_Toc142311040"/>
      <w:bookmarkStart w:id="450" w:name="_Toc150774638"/>
      <w:bookmarkStart w:id="451" w:name="_Toc226309782"/>
      <w:bookmarkStart w:id="452" w:name="_Toc226965728"/>
      <w:bookmarkStart w:id="453" w:name="_Toc305158880"/>
      <w:bookmarkStart w:id="454" w:name="_Toc150774743"/>
      <w:bookmarkStart w:id="455" w:name="_Toc226337234"/>
      <w:bookmarkStart w:id="456" w:name="_Toc151190165"/>
      <w:bookmarkStart w:id="457" w:name="_Toc151193926"/>
      <w:bookmarkStart w:id="458" w:name="_Toc305158806"/>
      <w:bookmarkStart w:id="459" w:name="_Toc127151538"/>
      <w:bookmarkStart w:id="460" w:name="_Toc151193636"/>
      <w:bookmarkStart w:id="461" w:name="_Toc151193780"/>
      <w:bookmarkStart w:id="462" w:name="_Toc151193708"/>
      <w:r>
        <w:rPr>
          <w:rFonts w:ascii="宋体" w:hAnsi="宋体" w:eastAsia="宋体"/>
          <w:color w:val="auto"/>
          <w:sz w:val="28"/>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宋体" w:hAnsi="宋体" w:eastAsia="宋体"/>
          <w:color w:val="auto"/>
          <w:sz w:val="28"/>
          <w:highlight w:val="none"/>
        </w:rPr>
        <w:t>评审</w:t>
      </w:r>
    </w:p>
    <w:p w14:paraId="71957B12">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响应文件的</w:t>
      </w:r>
      <w:r>
        <w:rPr>
          <w:rFonts w:hint="eastAsia" w:ascii="宋体" w:hAnsi="宋体"/>
          <w:color w:val="auto"/>
          <w:sz w:val="24"/>
          <w:highlight w:val="none"/>
        </w:rPr>
        <w:t>解密与</w:t>
      </w:r>
      <w:r>
        <w:rPr>
          <w:rFonts w:ascii="宋体" w:hAnsi="宋体"/>
          <w:color w:val="auto"/>
          <w:sz w:val="24"/>
          <w:highlight w:val="none"/>
        </w:rPr>
        <w:t>开启</w:t>
      </w:r>
    </w:p>
    <w:p w14:paraId="33C9205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1D3B33D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rPr>
        <w:t>项目解密使用北京市政府采购电子交易平台。供应商应在《供应商须知资料表》规定的时间内对响应文件进行解密，因非系统原因导致的解密失败，视为无效响应。</w:t>
      </w:r>
    </w:p>
    <w:p w14:paraId="51B9771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AC37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供应商不足</w:t>
      </w:r>
      <w:r>
        <w:rPr>
          <w:rFonts w:hint="eastAsia" w:ascii="宋体" w:hAnsi="宋体"/>
          <w:color w:val="auto"/>
          <w:sz w:val="24"/>
          <w:highlight w:val="none"/>
        </w:rPr>
        <w:t>3</w:t>
      </w:r>
      <w:r>
        <w:rPr>
          <w:rFonts w:ascii="宋体" w:hAnsi="宋体"/>
          <w:color w:val="auto"/>
          <w:sz w:val="24"/>
          <w:highlight w:val="none"/>
        </w:rPr>
        <w:t>家的，不予解密。</w:t>
      </w:r>
    </w:p>
    <w:p w14:paraId="4235347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463" w:name="_Toc520356165"/>
      <w:r>
        <w:rPr>
          <w:rFonts w:ascii="宋体" w:hAnsi="宋体"/>
          <w:color w:val="auto"/>
          <w:sz w:val="24"/>
          <w:highlight w:val="none"/>
        </w:rPr>
        <w:t>本项目不公开报价。</w:t>
      </w:r>
    </w:p>
    <w:bookmarkEnd w:id="463"/>
    <w:p w14:paraId="58A6DFA3">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磋商小组</w:t>
      </w:r>
    </w:p>
    <w:p w14:paraId="70E9F57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磋商小组根据政府采购有关规定和本次采购项目的特点进行组建，</w:t>
      </w:r>
      <w:r>
        <w:rPr>
          <w:rFonts w:hint="eastAsia" w:ascii="宋体" w:hAnsi="宋体"/>
          <w:color w:val="auto"/>
          <w:sz w:val="24"/>
          <w:highlight w:val="none"/>
        </w:rPr>
        <w:t>并负责具体评审与磋商事务</w:t>
      </w:r>
      <w:r>
        <w:rPr>
          <w:rFonts w:ascii="宋体" w:hAnsi="宋体"/>
          <w:color w:val="auto"/>
          <w:sz w:val="24"/>
          <w:highlight w:val="none"/>
        </w:rPr>
        <w:t>，独立履行职责。</w:t>
      </w:r>
      <w:bookmarkStart w:id="464" w:name="_Toc520356166"/>
    </w:p>
    <w:p w14:paraId="25A4DD5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63D89F4E">
      <w:pPr>
        <w:numPr>
          <w:ilvl w:val="0"/>
          <w:numId w:val="9"/>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5B68F12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见第三章《评审方法和评审标准》。</w:t>
      </w:r>
    </w:p>
    <w:p w14:paraId="710604DD">
      <w:pPr>
        <w:pStyle w:val="3"/>
        <w:spacing w:before="0" w:line="360" w:lineRule="auto"/>
        <w:rPr>
          <w:rFonts w:hint="eastAsia" w:ascii="宋体" w:hAnsi="宋体" w:eastAsia="宋体"/>
          <w:color w:val="auto"/>
          <w:sz w:val="28"/>
          <w:highlight w:val="none"/>
        </w:rPr>
      </w:pPr>
      <w:bookmarkStart w:id="466" w:name="_Toc151193643"/>
      <w:bookmarkStart w:id="467" w:name="_Toc142311047"/>
      <w:bookmarkStart w:id="468" w:name="_Toc226309789"/>
      <w:bookmarkStart w:id="469" w:name="_Toc150509296"/>
      <w:bookmarkStart w:id="470" w:name="_Toc150774645"/>
      <w:bookmarkStart w:id="471" w:name="_Toc151193715"/>
      <w:bookmarkStart w:id="472" w:name="_Toc151193787"/>
      <w:bookmarkStart w:id="473" w:name="_Toc150480783"/>
      <w:bookmarkStart w:id="474" w:name="_Toc264969235"/>
      <w:bookmarkStart w:id="475" w:name="_Toc305158887"/>
      <w:bookmarkStart w:id="476" w:name="_Toc151190172"/>
      <w:bookmarkStart w:id="477" w:name="_Toc195842910"/>
      <w:bookmarkStart w:id="478" w:name="_Toc265228383"/>
      <w:bookmarkStart w:id="479" w:name="_Toc150774750"/>
      <w:bookmarkStart w:id="480" w:name="_Toc226337241"/>
      <w:bookmarkStart w:id="481" w:name="_Toc226965818"/>
      <w:bookmarkStart w:id="482" w:name="_Toc151193859"/>
      <w:bookmarkStart w:id="483" w:name="_Toc151193933"/>
      <w:bookmarkStart w:id="484" w:name="_Toc305158813"/>
      <w:bookmarkStart w:id="485" w:name="_Toc127151545"/>
      <w:bookmarkStart w:id="486" w:name="_Toc226965735"/>
      <w:r>
        <w:rPr>
          <w:rFonts w:ascii="宋体" w:hAnsi="宋体" w:eastAsia="宋体"/>
          <w:color w:val="auto"/>
          <w:sz w:val="28"/>
          <w:highlight w:val="none"/>
        </w:rPr>
        <w:t xml:space="preserve">六   </w:t>
      </w:r>
      <w:bookmarkEnd w:id="465"/>
      <w:r>
        <w:rPr>
          <w:rFonts w:ascii="宋体" w:hAnsi="宋体" w:eastAsia="宋体"/>
          <w:color w:val="auto"/>
          <w:sz w:val="28"/>
          <w:highlight w:val="none"/>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宋体" w:hAnsi="宋体" w:eastAsia="宋体"/>
          <w:color w:val="auto"/>
          <w:sz w:val="28"/>
          <w:highlight w:val="none"/>
        </w:rPr>
        <w:t>成交</w:t>
      </w:r>
    </w:p>
    <w:p w14:paraId="7FCD224D">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87" w:name="_Toc264969237"/>
      <w:bookmarkStart w:id="488" w:name="_Toc150480785"/>
      <w:bookmarkStart w:id="489" w:name="_Toc151193717"/>
      <w:bookmarkStart w:id="490" w:name="_Toc151193789"/>
      <w:bookmarkStart w:id="491" w:name="_Toc305158889"/>
      <w:bookmarkStart w:id="492" w:name="_Toc150774647"/>
      <w:bookmarkStart w:id="493" w:name="_Toc127161461"/>
      <w:bookmarkStart w:id="494" w:name="_Toc150509298"/>
      <w:bookmarkStart w:id="495" w:name="_Toc305158815"/>
      <w:bookmarkStart w:id="496" w:name="_Toc151193935"/>
      <w:bookmarkStart w:id="497" w:name="_Toc151193861"/>
      <w:bookmarkStart w:id="498" w:name="_Toc164229242"/>
      <w:bookmarkStart w:id="499" w:name="_Toc142311049"/>
      <w:bookmarkStart w:id="500" w:name="_Toc164608816"/>
      <w:bookmarkStart w:id="501" w:name="_Toc226965737"/>
      <w:bookmarkStart w:id="502" w:name="_Toc127151547"/>
      <w:bookmarkStart w:id="503" w:name="_Toc226965820"/>
      <w:bookmarkStart w:id="504" w:name="_Toc195842912"/>
      <w:bookmarkStart w:id="505" w:name="_Toc226309791"/>
      <w:bookmarkStart w:id="506" w:name="_Toc164608661"/>
      <w:bookmarkStart w:id="507" w:name="_Toc127151748"/>
      <w:bookmarkStart w:id="508" w:name="_Toc164351641"/>
      <w:bookmarkStart w:id="509" w:name="_Toc265228385"/>
      <w:bookmarkStart w:id="510" w:name="_Toc150774752"/>
      <w:bookmarkStart w:id="511" w:name="_Toc151190174"/>
      <w:bookmarkStart w:id="512" w:name="_Toc226337243"/>
      <w:bookmarkStart w:id="513" w:name="_Toc151193645"/>
      <w:bookmarkStart w:id="514" w:name="_Toc164229388"/>
      <w:bookmarkStart w:id="515" w:name="_Toc149720840"/>
      <w:r>
        <w:rPr>
          <w:rFonts w:ascii="宋体" w:hAnsi="宋体"/>
          <w:color w:val="auto"/>
          <w:sz w:val="24"/>
          <w:highlight w:val="none"/>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7968E5D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采购人将在收到评审报告后，从评审报告提出的成交候选供应商中，按照排序由高到低的原则确定成交供应商</w:t>
      </w:r>
      <w:r>
        <w:rPr>
          <w:rFonts w:hint="eastAsia" w:ascii="宋体" w:hAnsi="宋体"/>
          <w:color w:val="auto"/>
          <w:sz w:val="24"/>
          <w:highlight w:val="none"/>
        </w:rPr>
        <w:t>。</w:t>
      </w:r>
      <w:r>
        <w:rPr>
          <w:rFonts w:ascii="宋体" w:hAnsi="宋体"/>
          <w:color w:val="auto"/>
          <w:sz w:val="24"/>
          <w:highlight w:val="none"/>
        </w:rPr>
        <w:t>采购人是否授权</w:t>
      </w:r>
      <w:r>
        <w:rPr>
          <w:rFonts w:hint="eastAsia" w:ascii="宋体" w:hAnsi="宋体"/>
          <w:color w:val="auto"/>
          <w:sz w:val="24"/>
          <w:highlight w:val="none"/>
        </w:rPr>
        <w:t>磋商</w:t>
      </w:r>
      <w:r>
        <w:rPr>
          <w:rFonts w:ascii="宋体" w:hAnsi="宋体"/>
          <w:color w:val="auto"/>
          <w:sz w:val="24"/>
          <w:highlight w:val="none"/>
        </w:rPr>
        <w:t>小组直接确定成交供应商，见《供应商须知资料表》。成交候选人并列的，按照《供应商须知资料表》要求确定成交供应商。</w:t>
      </w:r>
    </w:p>
    <w:p w14:paraId="10B2DF93">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16" w:name="_Toc305158817"/>
      <w:bookmarkStart w:id="517" w:name="_Toc305158891"/>
      <w:bookmarkStart w:id="518" w:name="_Toc265228387"/>
      <w:bookmarkStart w:id="519" w:name="_Toc226965822"/>
      <w:bookmarkStart w:id="520" w:name="_Toc151190176"/>
      <w:bookmarkStart w:id="521" w:name="_Toc164229390"/>
      <w:bookmarkStart w:id="522" w:name="_Toc150480787"/>
      <w:bookmarkStart w:id="523" w:name="_Toc164229244"/>
      <w:bookmarkStart w:id="524" w:name="_Toc142311051"/>
      <w:bookmarkStart w:id="525" w:name="_Toc150774754"/>
      <w:bookmarkStart w:id="526" w:name="_Toc150774649"/>
      <w:bookmarkStart w:id="527" w:name="_Toc151193791"/>
      <w:bookmarkStart w:id="528" w:name="_Toc127151549"/>
      <w:bookmarkStart w:id="529" w:name="_Toc149720842"/>
      <w:bookmarkStart w:id="530" w:name="_Toc164608663"/>
      <w:bookmarkStart w:id="531" w:name="_Toc226309793"/>
      <w:bookmarkStart w:id="532" w:name="_Toc164608818"/>
      <w:bookmarkStart w:id="533" w:name="_Toc264969239"/>
      <w:bookmarkStart w:id="534" w:name="_Toc195842914"/>
      <w:bookmarkStart w:id="535" w:name="_Toc151193937"/>
      <w:bookmarkStart w:id="536" w:name="_Toc164351643"/>
      <w:bookmarkStart w:id="537" w:name="_Toc151193647"/>
      <w:bookmarkStart w:id="538" w:name="_Toc151193719"/>
      <w:bookmarkStart w:id="539" w:name="_Toc226965739"/>
      <w:bookmarkStart w:id="540" w:name="_Toc127151750"/>
      <w:bookmarkStart w:id="541" w:name="_Toc226337245"/>
      <w:bookmarkStart w:id="542" w:name="_Toc127161463"/>
      <w:bookmarkStart w:id="543" w:name="_Toc150509300"/>
      <w:bookmarkStart w:id="544" w:name="_Toc151193863"/>
      <w:bookmarkStart w:id="545" w:name="_Toc520356176"/>
      <w:bookmarkStart w:id="546" w:name="_Ref467306425"/>
      <w:bookmarkStart w:id="547" w:name="_Ref467307090"/>
      <w:r>
        <w:rPr>
          <w:rFonts w:ascii="宋体" w:hAnsi="宋体"/>
          <w:color w:val="auto"/>
          <w:sz w:val="24"/>
          <w:highlight w:val="none"/>
        </w:rPr>
        <w:t>成交公告与成交通知书</w:t>
      </w:r>
      <w:bookmarkEnd w:id="516"/>
      <w:bookmarkEnd w:id="517"/>
    </w:p>
    <w:p w14:paraId="30A3C4B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w:t>
      </w:r>
      <w:r>
        <w:rPr>
          <w:rFonts w:ascii="宋体" w:hAnsi="宋体"/>
          <w:color w:val="auto"/>
          <w:kern w:val="0"/>
          <w:sz w:val="24"/>
          <w:highlight w:val="none"/>
        </w:rPr>
        <w:t>在成交供应商确定后2个工作日内，在</w:t>
      </w:r>
      <w:r>
        <w:rPr>
          <w:rFonts w:hint="eastAsia" w:ascii="宋体" w:hAnsi="宋体"/>
          <w:color w:val="auto"/>
          <w:sz w:val="24"/>
          <w:highlight w:val="none"/>
        </w:rPr>
        <w:t>北京市政府采购网</w:t>
      </w:r>
      <w:r>
        <w:rPr>
          <w:rFonts w:ascii="宋体" w:hAnsi="宋体"/>
          <w:color w:val="auto"/>
          <w:kern w:val="0"/>
          <w:sz w:val="24"/>
          <w:highlight w:val="none"/>
        </w:rPr>
        <w:t>公告成交结果，同时向成交供应商发出成交通知书，</w:t>
      </w:r>
      <w:r>
        <w:rPr>
          <w:rFonts w:ascii="宋体" w:hAnsi="宋体"/>
          <w:color w:val="auto"/>
          <w:sz w:val="24"/>
          <w:highlight w:val="none"/>
        </w:rPr>
        <w:t>成交公告期限为1个工作日。</w:t>
      </w:r>
    </w:p>
    <w:p w14:paraId="65EFCC7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成交通知书对采购人和成交供应商均具有法律效力。成交通知书发出后，采购人改变成交结果的，或者成交供应商放弃成交项目的，应当依法承担法律责任</w:t>
      </w:r>
      <w:r>
        <w:rPr>
          <w:rFonts w:hint="eastAsia" w:ascii="宋体" w:hAnsi="宋体"/>
          <w:color w:val="auto"/>
          <w:sz w:val="24"/>
          <w:highlight w:val="none"/>
        </w:rPr>
        <w:t>。</w:t>
      </w:r>
    </w:p>
    <w:p w14:paraId="57983602">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终止</w:t>
      </w:r>
    </w:p>
    <w:p w14:paraId="55BC0CFE">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出现下列情形之一的，采购人或采购代理机构将终止竞争性磋商采购活动，发布项目终止公告并说明原因，重新开展采购活动：</w:t>
      </w:r>
    </w:p>
    <w:p w14:paraId="29634810">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因情况变化，不再符合规定的竞争性磋商采购方式适用情形的；</w:t>
      </w:r>
    </w:p>
    <w:p w14:paraId="7EB5BD67">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出现影响采购公正的违法、违规行为的；</w:t>
      </w:r>
    </w:p>
    <w:p w14:paraId="35575966">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4ABF66A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48" w:name="_Toc127151751"/>
      <w:bookmarkStart w:id="549" w:name="_Toc226337246"/>
      <w:bookmarkStart w:id="550" w:name="_Toc164608664"/>
      <w:bookmarkStart w:id="551" w:name="_Toc150480788"/>
      <w:bookmarkStart w:id="552" w:name="_Toc305158818"/>
      <w:bookmarkStart w:id="553" w:name="_Toc151193720"/>
      <w:bookmarkStart w:id="554" w:name="_Ref467306978"/>
      <w:bookmarkStart w:id="555" w:name="_Toc226309794"/>
      <w:bookmarkStart w:id="556" w:name="_Toc142311052"/>
      <w:bookmarkStart w:id="557" w:name="_Toc151193792"/>
      <w:bookmarkStart w:id="558" w:name="_Toc226965823"/>
      <w:bookmarkStart w:id="559" w:name="_Toc305158892"/>
      <w:bookmarkStart w:id="560" w:name="_Toc164608819"/>
      <w:bookmarkStart w:id="561" w:name="_Toc150509301"/>
      <w:bookmarkStart w:id="562" w:name="_Toc127161464"/>
      <w:bookmarkStart w:id="563" w:name="_Toc265228388"/>
      <w:bookmarkStart w:id="564" w:name="_Toc149720843"/>
      <w:bookmarkStart w:id="565" w:name="_Toc195842915"/>
      <w:bookmarkStart w:id="566" w:name="_Toc150774755"/>
      <w:bookmarkStart w:id="567" w:name="_Toc151190177"/>
      <w:bookmarkStart w:id="568" w:name="_Toc164229391"/>
      <w:bookmarkStart w:id="569" w:name="_Toc150774650"/>
      <w:bookmarkStart w:id="570" w:name="_Toc264969240"/>
      <w:bookmarkStart w:id="571" w:name="_Ref467307204"/>
      <w:bookmarkStart w:id="572" w:name="_Toc127151550"/>
      <w:bookmarkStart w:id="573" w:name="_Ref467307062"/>
      <w:bookmarkStart w:id="574" w:name="_Toc151193938"/>
      <w:bookmarkStart w:id="575" w:name="_Toc164351644"/>
      <w:bookmarkStart w:id="576" w:name="_Toc151193864"/>
      <w:bookmarkStart w:id="577" w:name="_Toc164229245"/>
      <w:bookmarkStart w:id="578" w:name="_Toc151193648"/>
      <w:bookmarkStart w:id="579" w:name="_Ref467306377"/>
      <w:bookmarkStart w:id="580" w:name="_Toc226965740"/>
      <w:bookmarkStart w:id="581" w:name="_Toc520356175"/>
      <w:r>
        <w:rPr>
          <w:rFonts w:ascii="宋体" w:hAnsi="宋体"/>
          <w:color w:val="auto"/>
          <w:sz w:val="24"/>
          <w:highlight w:val="none"/>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C9FB54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1628F14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CB594AE">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联合体成交的，联合体各方应当共同与采购人签订合同，就采购合同约定的事项向采购人承担连带责任。</w:t>
      </w:r>
    </w:p>
    <w:p w14:paraId="2469995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14:paraId="4F51CD4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采购人允许采用分包方式履行合同的，成交供应商可以依法采取分包方式履行合同。本项目</w:t>
      </w:r>
      <w:r>
        <w:rPr>
          <w:rFonts w:hint="eastAsia" w:ascii="宋体" w:hAnsi="宋体"/>
          <w:color w:val="auto"/>
          <w:sz w:val="24"/>
          <w:highlight w:val="none"/>
        </w:rPr>
        <w:t>是</w:t>
      </w:r>
      <w:r>
        <w:rPr>
          <w:rFonts w:ascii="宋体" w:hAnsi="宋体"/>
          <w:color w:val="auto"/>
          <w:sz w:val="24"/>
          <w:highlight w:val="none"/>
        </w:rPr>
        <w:t>否允许分包，见《供应商须知资料表》。政府采购合同分包履行的，应当在响应文件中载明分包承担主体，分包承担主体应当具备相应资质条件且不得再次分包，</w:t>
      </w:r>
      <w:r>
        <w:rPr>
          <w:rFonts w:ascii="宋体" w:hAnsi="宋体"/>
          <w:b/>
          <w:color w:val="auto"/>
          <w:sz w:val="24"/>
          <w:highlight w:val="none"/>
        </w:rPr>
        <w:t>否则响应无效</w:t>
      </w:r>
      <w:r>
        <w:rPr>
          <w:rFonts w:ascii="宋体" w:hAnsi="宋体"/>
          <w:color w:val="auto"/>
          <w:sz w:val="24"/>
          <w:highlight w:val="none"/>
        </w:rPr>
        <w:t>。成交供应商就采购项目和分包项目向采购人负责，分包供应商就分包项目承担责任。</w:t>
      </w:r>
    </w:p>
    <w:p w14:paraId="079E457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“政采贷”融资指引：详见《供应商须知资料表》。</w:t>
      </w:r>
    </w:p>
    <w:bookmarkEnd w:id="545"/>
    <w:bookmarkEnd w:id="546"/>
    <w:bookmarkEnd w:id="547"/>
    <w:p w14:paraId="35A6E753">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14:paraId="11E6686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14:paraId="096A3292">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供应商对政府采购活动事项有疑问的，可依法向采购人或采购代理机构提出询问，提出形式见《供应商须知资料表》。</w:t>
      </w:r>
    </w:p>
    <w:p w14:paraId="51EC2C8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14:paraId="61BFA9C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14:paraId="17F3D4DE">
      <w:pPr>
        <w:numPr>
          <w:ilvl w:val="2"/>
          <w:numId w:val="9"/>
        </w:numPr>
        <w:tabs>
          <w:tab w:val="left" w:pos="1985"/>
          <w:tab w:val="clear" w:pos="1980"/>
        </w:tabs>
        <w:snapToGrid w:val="0"/>
        <w:spacing w:line="360" w:lineRule="auto"/>
        <w:rPr>
          <w:rFonts w:hint="eastAsia" w:ascii="宋体" w:hAnsi="宋体"/>
          <w:color w:val="auto"/>
          <w:sz w:val="24"/>
          <w:highlight w:val="none"/>
        </w:rPr>
      </w:pPr>
      <w:r>
        <w:rPr>
          <w:rFonts w:ascii="宋体" w:hAnsi="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C5FAAB9">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F80467F">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委托代理人进行质疑的，应当随质疑函同时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832C205">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123958E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接收询问和质疑的联系部门、联系电话和通讯地址见《供应商须知资料表》</w:t>
      </w:r>
      <w:r>
        <w:rPr>
          <w:rFonts w:hint="eastAsia" w:ascii="宋体" w:hAnsi="宋体"/>
          <w:color w:val="auto"/>
          <w:sz w:val="24"/>
          <w:highlight w:val="none"/>
        </w:rPr>
        <w:t>。</w:t>
      </w:r>
    </w:p>
    <w:p w14:paraId="05412B0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代理费</w:t>
      </w:r>
    </w:p>
    <w:p w14:paraId="53DB9895">
      <w:pPr>
        <w:numPr>
          <w:ilvl w:val="1"/>
          <w:numId w:val="9"/>
        </w:numPr>
        <w:tabs>
          <w:tab w:val="left" w:pos="1080"/>
          <w:tab w:val="left" w:pos="2014"/>
        </w:tabs>
        <w:snapToGrid w:val="0"/>
        <w:spacing w:line="360" w:lineRule="auto"/>
        <w:ind w:left="1077" w:hanging="720"/>
        <w:rPr>
          <w:rFonts w:hint="eastAsia" w:ascii="宋体" w:hAnsi="宋体"/>
          <w:b/>
          <w:color w:val="auto"/>
          <w:sz w:val="28"/>
          <w:szCs w:val="28"/>
          <w:highlight w:val="none"/>
        </w:rPr>
      </w:pPr>
      <w:r>
        <w:rPr>
          <w:rFonts w:ascii="宋体" w:hAnsi="宋体"/>
          <w:color w:val="auto"/>
          <w:sz w:val="24"/>
          <w:highlight w:val="none"/>
        </w:rPr>
        <w:t>收费对象、收费标准及缴纳时间见《供应商须知资料表》。由成交供应商支付的，成交供应商须一次性向采购代理机构缴纳代理费，报价应包含代理费用。</w:t>
      </w:r>
    </w:p>
    <w:p w14:paraId="6BBBDAF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hint="eastAsia" w:ascii="宋体" w:hAnsi="宋体"/>
          <w:color w:val="auto"/>
          <w:sz w:val="24"/>
          <w:highlight w:val="none"/>
        </w:rPr>
        <w:t>其他补充内容</w:t>
      </w:r>
    </w:p>
    <w:p w14:paraId="15C61843">
      <w:pPr>
        <w:tabs>
          <w:tab w:val="left" w:pos="1080"/>
          <w:tab w:val="left" w:pos="1589"/>
          <w:tab w:val="left" w:pos="2014"/>
        </w:tabs>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详见供应商须知资料表。</w:t>
      </w:r>
    </w:p>
    <w:p w14:paraId="4B68D849">
      <w:pPr>
        <w:spacing w:line="360" w:lineRule="auto"/>
        <w:jc w:val="center"/>
        <w:outlineLvl w:val="0"/>
        <w:rPr>
          <w:rFonts w:hint="eastAsia" w:ascii="宋体" w:hAnsi="宋体"/>
          <w:b/>
          <w:color w:val="auto"/>
          <w:sz w:val="36"/>
          <w:szCs w:val="36"/>
          <w:highlight w:val="none"/>
        </w:rPr>
      </w:pPr>
      <w:bookmarkStart w:id="582" w:name="_Toc353873934"/>
      <w:bookmarkStart w:id="583" w:name="_Toc127151554"/>
      <w:bookmarkStart w:id="584" w:name="_Toc265228392"/>
      <w:bookmarkStart w:id="585" w:name="_Toc305158896"/>
      <w:bookmarkStart w:id="586" w:name="_Toc150774759"/>
      <w:bookmarkStart w:id="587" w:name="_Toc142311056"/>
      <w:bookmarkStart w:id="588" w:name="_Toc353873664"/>
      <w:bookmarkStart w:id="589" w:name="_Toc353825544"/>
      <w:bookmarkStart w:id="590" w:name="_Toc305158822"/>
      <w:bookmarkStart w:id="591" w:name="_Toc150480792"/>
      <w:bookmarkStart w:id="592" w:name="_Toc264969244"/>
      <w:bookmarkStart w:id="593" w:name="_Toc226337250"/>
      <w:bookmarkStart w:id="594" w:name="_Toc226965827"/>
      <w:r>
        <w:rPr>
          <w:rFonts w:ascii="宋体" w:hAnsi="宋体"/>
          <w:color w:val="auto"/>
          <w:sz w:val="24"/>
          <w:highlight w:val="none"/>
        </w:rPr>
        <w:br w:type="page"/>
      </w:r>
      <w:bookmarkStart w:id="595" w:name="_Toc25761"/>
      <w:r>
        <w:rPr>
          <w:rFonts w:ascii="宋体" w:hAnsi="宋体"/>
          <w:b/>
          <w:color w:val="auto"/>
          <w:sz w:val="36"/>
          <w:szCs w:val="36"/>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b/>
          <w:color w:val="auto"/>
          <w:sz w:val="36"/>
          <w:szCs w:val="36"/>
          <w:highlight w:val="none"/>
        </w:rPr>
        <w:t>评审方法和评审标准</w:t>
      </w:r>
      <w:bookmarkEnd w:id="595"/>
      <w:bookmarkStart w:id="596" w:name="_Toc487900382"/>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6"/>
    <w:p w14:paraId="5781125D">
      <w:pPr>
        <w:pStyle w:val="3"/>
        <w:spacing w:before="0" w:line="360" w:lineRule="auto"/>
        <w:rPr>
          <w:rFonts w:hint="eastAsia" w:ascii="宋体" w:hAnsi="宋体" w:eastAsia="宋体"/>
          <w:color w:val="auto"/>
          <w:sz w:val="24"/>
          <w:szCs w:val="24"/>
          <w:highlight w:val="none"/>
        </w:rPr>
      </w:pPr>
      <w:bookmarkStart w:id="597" w:name="_Toc353873935"/>
      <w:bookmarkStart w:id="598" w:name="_Toc353825545"/>
      <w:bookmarkStart w:id="599" w:name="_Toc127151555"/>
      <w:bookmarkStart w:id="600" w:name="_Toc353873665"/>
      <w:bookmarkStart w:id="601" w:name="_Toc150774760"/>
      <w:bookmarkStart w:id="602" w:name="_Toc265228393"/>
      <w:bookmarkStart w:id="603" w:name="_Toc142311057"/>
      <w:bookmarkStart w:id="604" w:name="_Toc305158897"/>
      <w:bookmarkStart w:id="605" w:name="_Toc226965828"/>
      <w:bookmarkStart w:id="606" w:name="_Toc226337251"/>
      <w:bookmarkStart w:id="607" w:name="_Toc195842920"/>
      <w:bookmarkStart w:id="608" w:name="_Toc305158823"/>
      <w:bookmarkStart w:id="609" w:name="_Toc150480793"/>
      <w:bookmarkStart w:id="610" w:name="_Toc264969245"/>
      <w:r>
        <w:rPr>
          <w:rFonts w:ascii="宋体" w:hAnsi="宋体" w:eastAsia="宋体"/>
          <w:color w:val="auto"/>
          <w:sz w:val="24"/>
          <w:szCs w:val="24"/>
          <w:highlight w:val="none"/>
        </w:rPr>
        <w:t>一、资格审查程序</w:t>
      </w:r>
    </w:p>
    <w:p w14:paraId="01209A26">
      <w:pPr>
        <w:tabs>
          <w:tab w:val="left" w:pos="1080"/>
        </w:tabs>
        <w:snapToGrid w:val="0"/>
        <w:jc w:val="left"/>
        <w:rPr>
          <w:rFonts w:hint="eastAsia" w:ascii="宋体" w:hAnsi="宋体"/>
          <w:b/>
          <w:color w:val="auto"/>
          <w:sz w:val="24"/>
          <w:highlight w:val="none"/>
        </w:rPr>
      </w:pPr>
      <w:r>
        <w:rPr>
          <w:rFonts w:ascii="宋体" w:hAnsi="宋体"/>
          <w:b/>
          <w:color w:val="auto"/>
          <w:sz w:val="24"/>
          <w:highlight w:val="none"/>
        </w:rPr>
        <w:tab/>
      </w:r>
    </w:p>
    <w:p w14:paraId="4C6C77E2">
      <w:pPr>
        <w:numPr>
          <w:ilvl w:val="0"/>
          <w:numId w:val="12"/>
        </w:numPr>
        <w:tabs>
          <w:tab w:val="left" w:pos="360"/>
        </w:tabs>
        <w:snapToGrid w:val="0"/>
        <w:spacing w:line="360" w:lineRule="auto"/>
        <w:outlineLvl w:val="1"/>
        <w:rPr>
          <w:rFonts w:hint="eastAsia" w:ascii="宋体" w:hAnsi="宋体"/>
          <w:color w:val="auto"/>
          <w:sz w:val="24"/>
          <w:highlight w:val="none"/>
        </w:rPr>
      </w:pPr>
      <w:bookmarkStart w:id="611" w:name="_Toc127151742"/>
      <w:bookmarkStart w:id="612" w:name="_Toc226337237"/>
      <w:bookmarkStart w:id="613" w:name="_Toc150774746"/>
      <w:bookmarkStart w:id="614" w:name="_Toc226309785"/>
      <w:bookmarkStart w:id="615" w:name="_Toc264969231"/>
      <w:bookmarkStart w:id="616" w:name="_Toc151193711"/>
      <w:bookmarkStart w:id="617" w:name="_Toc151193855"/>
      <w:bookmarkStart w:id="618" w:name="_Toc150774641"/>
      <w:bookmarkStart w:id="619" w:name="_Toc226965814"/>
      <w:bookmarkStart w:id="620" w:name="_Toc151193639"/>
      <w:bookmarkStart w:id="621" w:name="_Toc164608655"/>
      <w:bookmarkStart w:id="622" w:name="_Toc195842906"/>
      <w:bookmarkStart w:id="623" w:name="_Toc127151541"/>
      <w:bookmarkStart w:id="624" w:name="_Toc150509292"/>
      <w:bookmarkStart w:id="625" w:name="_Toc226965731"/>
      <w:bookmarkStart w:id="626" w:name="_Toc164608810"/>
      <w:bookmarkStart w:id="627" w:name="_Toc149720834"/>
      <w:bookmarkStart w:id="628" w:name="_Toc142311043"/>
      <w:bookmarkStart w:id="629" w:name="_Toc164351635"/>
      <w:bookmarkStart w:id="630" w:name="_Toc305158809"/>
      <w:bookmarkStart w:id="631" w:name="_Toc150480779"/>
      <w:bookmarkStart w:id="632" w:name="_Toc151193929"/>
      <w:bookmarkStart w:id="633" w:name="_Toc127161455"/>
      <w:bookmarkStart w:id="634" w:name="_Toc164229236"/>
      <w:bookmarkStart w:id="635" w:name="_Toc305158883"/>
      <w:bookmarkStart w:id="636" w:name="_Toc164229382"/>
      <w:bookmarkStart w:id="637" w:name="_Toc151190168"/>
      <w:bookmarkStart w:id="638" w:name="_Toc265228379"/>
      <w:bookmarkStart w:id="639" w:name="_Toc151193783"/>
      <w:bookmarkStart w:id="640" w:name="_Toc353825551"/>
      <w:bookmarkStart w:id="641" w:name="_Toc353873941"/>
      <w:r>
        <w:rPr>
          <w:rFonts w:ascii="宋体" w:hAnsi="宋体"/>
          <w:color w:val="auto"/>
          <w:sz w:val="24"/>
          <w:highlight w:val="none"/>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宋体" w:hAnsi="宋体"/>
          <w:color w:val="auto"/>
          <w:sz w:val="24"/>
          <w:highlight w:val="none"/>
        </w:rPr>
        <w:t>资格性检查和符合性审查</w:t>
      </w:r>
    </w:p>
    <w:p w14:paraId="3A65FFC3">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color w:val="auto"/>
          <w:sz w:val="24"/>
          <w:highlight w:val="none"/>
        </w:rPr>
        <w:t>无效响应</w:t>
      </w:r>
      <w:r>
        <w:rPr>
          <w:rFonts w:ascii="宋体" w:hAnsi="宋体"/>
          <w:color w:val="auto"/>
          <w:sz w:val="24"/>
          <w:highlight w:val="none"/>
        </w:rPr>
        <w:t>处理，磋商小组应当告知提交响应文件的供应商。</w:t>
      </w:r>
    </w:p>
    <w:p w14:paraId="7F897222">
      <w:pPr>
        <w:numPr>
          <w:ilvl w:val="1"/>
          <w:numId w:val="12"/>
        </w:numPr>
        <w:tabs>
          <w:tab w:val="left" w:pos="1080"/>
        </w:tabs>
        <w:snapToGrid w:val="0"/>
        <w:spacing w:line="360" w:lineRule="auto"/>
        <w:ind w:left="1077" w:hanging="720"/>
        <w:jc w:val="left"/>
        <w:rPr>
          <w:rFonts w:hint="eastAsia" w:ascii="宋体" w:hAnsi="宋体"/>
          <w:color w:val="auto"/>
          <w:sz w:val="24"/>
          <w:highlight w:val="none"/>
        </w:rPr>
        <w:sectPr>
          <w:headerReference r:id="rId11" w:type="first"/>
          <w:footerReference r:id="rId13" w:type="first"/>
          <w:headerReference r:id="rId10" w:type="even"/>
          <w:footerReference r:id="rId12" w:type="even"/>
          <w:pgSz w:w="11906" w:h="16838"/>
          <w:pgMar w:top="1440" w:right="1800" w:bottom="1440" w:left="1800" w:header="851" w:footer="992" w:gutter="0"/>
          <w:pgNumType w:fmt="decimal"/>
          <w:cols w:space="425" w:num="1"/>
          <w:docGrid w:linePitch="312" w:charSpace="0"/>
        </w:sectPr>
      </w:pPr>
      <w:r>
        <w:rPr>
          <w:rFonts w:ascii="宋体" w:hAnsi="宋体"/>
          <w:color w:val="auto"/>
          <w:sz w:val="24"/>
          <w:highlight w:val="none"/>
        </w:rPr>
        <w:t>《资格审查要求》中对格式有要求的，除竞争性磋商文件另有规定外，均为“实质性格式”文件。</w:t>
      </w:r>
    </w:p>
    <w:p w14:paraId="4D362079">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《资格审查要求》见下表：</w:t>
      </w:r>
    </w:p>
    <w:p w14:paraId="2E352CA4">
      <w:pPr>
        <w:tabs>
          <w:tab w:val="left" w:pos="900"/>
          <w:tab w:val="left" w:pos="1080"/>
        </w:tabs>
        <w:snapToGrid w:val="0"/>
        <w:spacing w:line="360" w:lineRule="auto"/>
        <w:ind w:left="1077" w:firstLine="2650" w:firstLineChars="1100"/>
        <w:rPr>
          <w:rFonts w:hint="eastAsia" w:ascii="宋体" w:hAnsi="宋体"/>
          <w:b/>
          <w:color w:val="auto"/>
          <w:sz w:val="24"/>
          <w:highlight w:val="none"/>
        </w:rPr>
      </w:pPr>
      <w:r>
        <w:rPr>
          <w:rFonts w:ascii="宋体" w:hAnsi="宋体"/>
          <w:b/>
          <w:color w:val="auto"/>
          <w:sz w:val="24"/>
          <w:highlight w:val="none"/>
        </w:rPr>
        <w:t>资格审查要求</w:t>
      </w:r>
    </w:p>
    <w:tbl>
      <w:tblPr>
        <w:tblStyle w:val="53"/>
        <w:tblW w:w="5292"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5284"/>
        <w:gridCol w:w="1467"/>
      </w:tblGrid>
      <w:tr w14:paraId="3C8EF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72" w:type="pct"/>
            <w:vAlign w:val="center"/>
          </w:tcPr>
          <w:p w14:paraId="090B4AB7">
            <w:pPr>
              <w:tabs>
                <w:tab w:val="left" w:pos="1080"/>
              </w:tabs>
              <w:snapToGrid w:val="0"/>
              <w:spacing w:line="280" w:lineRule="exact"/>
              <w:jc w:val="center"/>
              <w:rPr>
                <w:rFonts w:hint="eastAsia" w:ascii="宋体" w:hAnsi="宋体"/>
                <w:b/>
                <w:color w:val="auto"/>
                <w:sz w:val="24"/>
                <w:highlight w:val="none"/>
              </w:rPr>
            </w:pPr>
            <w:bookmarkStart w:id="642" w:name="_Hlt487972895"/>
            <w:bookmarkEnd w:id="642"/>
            <w:r>
              <w:rPr>
                <w:rFonts w:ascii="宋体" w:hAnsi="宋体"/>
                <w:b/>
                <w:color w:val="auto"/>
                <w:sz w:val="24"/>
                <w:highlight w:val="none"/>
              </w:rPr>
              <w:t>序号</w:t>
            </w:r>
          </w:p>
        </w:tc>
        <w:tc>
          <w:tcPr>
            <w:tcW w:w="786" w:type="pct"/>
            <w:vAlign w:val="center"/>
          </w:tcPr>
          <w:p w14:paraId="1FE71AB3">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检查因素</w:t>
            </w:r>
          </w:p>
        </w:tc>
        <w:tc>
          <w:tcPr>
            <w:tcW w:w="2929" w:type="pct"/>
            <w:vAlign w:val="center"/>
          </w:tcPr>
          <w:p w14:paraId="65FA77F1">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检查内容</w:t>
            </w:r>
          </w:p>
        </w:tc>
        <w:tc>
          <w:tcPr>
            <w:tcW w:w="813" w:type="pct"/>
            <w:vAlign w:val="center"/>
          </w:tcPr>
          <w:p w14:paraId="64532904">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格式要求</w:t>
            </w:r>
          </w:p>
        </w:tc>
      </w:tr>
      <w:tr w14:paraId="24BE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72" w:type="pct"/>
            <w:vAlign w:val="center"/>
          </w:tcPr>
          <w:p w14:paraId="19AD812A">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w:t>
            </w:r>
          </w:p>
        </w:tc>
        <w:tc>
          <w:tcPr>
            <w:tcW w:w="786" w:type="pct"/>
            <w:vAlign w:val="center"/>
          </w:tcPr>
          <w:p w14:paraId="4C3AEF44">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满足《中华人民共和国政府采购法》第二十二条规定</w:t>
            </w:r>
          </w:p>
        </w:tc>
        <w:tc>
          <w:tcPr>
            <w:tcW w:w="2929" w:type="pct"/>
            <w:vAlign w:val="center"/>
          </w:tcPr>
          <w:p w14:paraId="0CAF1209">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具体规定见第一章《采购邀请》</w:t>
            </w:r>
          </w:p>
        </w:tc>
        <w:tc>
          <w:tcPr>
            <w:tcW w:w="813" w:type="pct"/>
            <w:vAlign w:val="center"/>
          </w:tcPr>
          <w:p w14:paraId="18592144">
            <w:pPr>
              <w:tabs>
                <w:tab w:val="left" w:pos="1080"/>
              </w:tabs>
              <w:snapToGrid w:val="0"/>
              <w:spacing w:line="280" w:lineRule="exact"/>
              <w:jc w:val="left"/>
              <w:rPr>
                <w:rFonts w:hint="eastAsia" w:ascii="宋体" w:hAnsi="宋体"/>
                <w:color w:val="auto"/>
                <w:sz w:val="24"/>
                <w:highlight w:val="none"/>
              </w:rPr>
            </w:pPr>
          </w:p>
        </w:tc>
      </w:tr>
      <w:tr w14:paraId="6766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5" w:hRule="atLeast"/>
        </w:trPr>
        <w:tc>
          <w:tcPr>
            <w:tcW w:w="472" w:type="pct"/>
            <w:vAlign w:val="center"/>
          </w:tcPr>
          <w:p w14:paraId="20BF25EE">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1-1</w:t>
            </w:r>
          </w:p>
        </w:tc>
        <w:tc>
          <w:tcPr>
            <w:tcW w:w="786" w:type="pct"/>
            <w:vAlign w:val="center"/>
          </w:tcPr>
          <w:p w14:paraId="2DDB56AE">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营业执照等证明文件</w:t>
            </w:r>
          </w:p>
        </w:tc>
        <w:tc>
          <w:tcPr>
            <w:tcW w:w="2929" w:type="pct"/>
            <w:vAlign w:val="center"/>
          </w:tcPr>
          <w:p w14:paraId="7A929D6E">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供应商为企业（包括合伙企业）的，应提供有效的“营业执照”；</w:t>
            </w:r>
          </w:p>
          <w:p w14:paraId="017B990B">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供应商为事业单位的，应提供有效的“事业单位法人证书”；</w:t>
            </w:r>
          </w:p>
          <w:p w14:paraId="2AB66F0F">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供应商是非企业机构的，应提供有效的“执业许可证”、“登记证书”等证明文件；</w:t>
            </w:r>
          </w:p>
          <w:p w14:paraId="1015D984">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供应商是个体工商户的，应提供有效的“个体工商户营业执照”；</w:t>
            </w:r>
          </w:p>
          <w:p w14:paraId="58093CA5">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供应商是自然人的，应提供有效的自然人身份证明。</w:t>
            </w:r>
          </w:p>
          <w:p w14:paraId="0E4DE452">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分支机构参加响应的，应提供该分支机构或其所属法人</w:t>
            </w:r>
            <w:r>
              <w:rPr>
                <w:rFonts w:hint="eastAsia" w:ascii="宋体" w:hAnsi="宋体"/>
                <w:color w:val="auto"/>
                <w:sz w:val="24"/>
                <w:highlight w:val="none"/>
              </w:rPr>
              <w:t>/</w:t>
            </w:r>
            <w:r>
              <w:rPr>
                <w:rFonts w:ascii="宋体" w:hAnsi="宋体"/>
                <w:color w:val="auto"/>
                <w:sz w:val="24"/>
                <w:highlight w:val="none"/>
              </w:rPr>
              <w:t>其他组织的相应证明文件；同时还应提供其所属法人/其他组织出具的授权其参与本项目的授权书（格式自拟，须加盖其所属法人/其他组织的公章）；对于</w:t>
            </w:r>
            <w:r>
              <w:rPr>
                <w:rFonts w:ascii="宋体" w:hAnsi="宋体"/>
                <w:iCs/>
                <w:color w:val="auto"/>
                <w:sz w:val="24"/>
                <w:highlight w:val="none"/>
              </w:rPr>
              <w:t>银行、保险、石油石化、电力、电信等行业的分支机构，可以提供上述</w:t>
            </w:r>
            <w:r>
              <w:rPr>
                <w:rFonts w:ascii="宋体" w:hAnsi="宋体"/>
                <w:color w:val="auto"/>
                <w:sz w:val="24"/>
                <w:highlight w:val="none"/>
              </w:rPr>
              <w:t>授权，也可以提供其所属法人/其他组织的有关文件或制度等能够证明授权其独立开展业务的证明材料。</w:t>
            </w:r>
          </w:p>
        </w:tc>
        <w:tc>
          <w:tcPr>
            <w:tcW w:w="813" w:type="pct"/>
            <w:vAlign w:val="center"/>
          </w:tcPr>
          <w:p w14:paraId="333CA8CF">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提供证明文件的电子件或电子证照</w:t>
            </w:r>
          </w:p>
        </w:tc>
      </w:tr>
      <w:tr w14:paraId="3DE5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04A884A3">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1-2</w:t>
            </w:r>
          </w:p>
        </w:tc>
        <w:tc>
          <w:tcPr>
            <w:tcW w:w="786" w:type="pct"/>
            <w:vAlign w:val="center"/>
          </w:tcPr>
          <w:p w14:paraId="52C42952">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供应商资格声明书</w:t>
            </w:r>
          </w:p>
        </w:tc>
        <w:tc>
          <w:tcPr>
            <w:tcW w:w="2929" w:type="pct"/>
            <w:vAlign w:val="center"/>
          </w:tcPr>
          <w:p w14:paraId="65509466">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提供了符合竞争性磋商文件要求的《供应商资格声明书》。</w:t>
            </w:r>
          </w:p>
        </w:tc>
        <w:tc>
          <w:tcPr>
            <w:tcW w:w="813" w:type="pct"/>
            <w:vAlign w:val="center"/>
          </w:tcPr>
          <w:p w14:paraId="594336C6">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格式见《响应文件格式》</w:t>
            </w:r>
          </w:p>
        </w:tc>
      </w:tr>
      <w:tr w14:paraId="76AE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trPr>
        <w:tc>
          <w:tcPr>
            <w:tcW w:w="472" w:type="pct"/>
            <w:vAlign w:val="center"/>
          </w:tcPr>
          <w:p w14:paraId="0D416E1C">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1-3</w:t>
            </w:r>
          </w:p>
        </w:tc>
        <w:tc>
          <w:tcPr>
            <w:tcW w:w="786" w:type="pct"/>
            <w:vAlign w:val="center"/>
          </w:tcPr>
          <w:p w14:paraId="37F51BA2">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供应商信用记录</w:t>
            </w:r>
          </w:p>
        </w:tc>
        <w:tc>
          <w:tcPr>
            <w:tcW w:w="2929" w:type="pct"/>
            <w:vAlign w:val="center"/>
          </w:tcPr>
          <w:p w14:paraId="0C0AFC12">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5EED9FAB">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截止时点：</w:t>
            </w:r>
            <w:r>
              <w:rPr>
                <w:rFonts w:ascii="宋体" w:hAnsi="宋体"/>
                <w:color w:val="auto"/>
                <w:kern w:val="0"/>
                <w:sz w:val="24"/>
                <w:highlight w:val="none"/>
              </w:rPr>
              <w:t>首次响应文件提交截止时间以后</w:t>
            </w:r>
            <w:r>
              <w:rPr>
                <w:rFonts w:ascii="宋体" w:hAnsi="宋体"/>
                <w:color w:val="auto"/>
                <w:sz w:val="24"/>
                <w:highlight w:val="none"/>
              </w:rPr>
              <w:t>、资格审查阶段采购人或采购代理机构的实际查询时间；</w:t>
            </w:r>
          </w:p>
          <w:p w14:paraId="43B72ED4">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信用信息查询记录和证据留存具体方式：查询结果网页打印页作为查询记录和证据，与其他竞争性磋商文件一并保存；</w:t>
            </w:r>
          </w:p>
          <w:p w14:paraId="0C130763">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信用信息的使用原则：经认定的被列入失信被执行人、</w:t>
            </w:r>
            <w:r>
              <w:rPr>
                <w:rFonts w:hint="eastAsia" w:ascii="宋体" w:hAnsi="宋体"/>
                <w:color w:val="auto"/>
                <w:sz w:val="24"/>
                <w:highlight w:val="none"/>
              </w:rPr>
              <w:t>重大税收违法失信主体</w:t>
            </w:r>
            <w:r>
              <w:rPr>
                <w:rFonts w:ascii="宋体" w:hAnsi="宋体"/>
                <w:color w:val="auto"/>
                <w:sz w:val="24"/>
                <w:highlight w:val="none"/>
              </w:rPr>
              <w:t>、政府采购严重违法失信行为记录名单的供应商，其</w:t>
            </w:r>
            <w:r>
              <w:rPr>
                <w:rFonts w:ascii="宋体" w:hAnsi="宋体"/>
                <w:b/>
                <w:color w:val="auto"/>
                <w:sz w:val="24"/>
                <w:highlight w:val="none"/>
              </w:rPr>
              <w:t>响应无效</w:t>
            </w:r>
            <w:r>
              <w:rPr>
                <w:rFonts w:ascii="宋体" w:hAnsi="宋体"/>
                <w:color w:val="auto"/>
                <w:sz w:val="24"/>
                <w:highlight w:val="none"/>
              </w:rPr>
              <w:t>。联合体形式磋商的，联合体成员存在不良信用记录，视同联合体存在不良信用记录。</w:t>
            </w:r>
          </w:p>
        </w:tc>
        <w:tc>
          <w:tcPr>
            <w:tcW w:w="813" w:type="pct"/>
            <w:vAlign w:val="center"/>
          </w:tcPr>
          <w:p w14:paraId="3DA33A8E">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无须供应商提供，由采购人或采购代理机构查询。</w:t>
            </w:r>
          </w:p>
        </w:tc>
      </w:tr>
      <w:tr w14:paraId="7B47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472" w:type="pct"/>
            <w:vAlign w:val="center"/>
          </w:tcPr>
          <w:p w14:paraId="058F4598">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1-4</w:t>
            </w:r>
          </w:p>
        </w:tc>
        <w:tc>
          <w:tcPr>
            <w:tcW w:w="786" w:type="pct"/>
            <w:vAlign w:val="center"/>
          </w:tcPr>
          <w:p w14:paraId="7535CB3C">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2929" w:type="pct"/>
            <w:vAlign w:val="center"/>
          </w:tcPr>
          <w:p w14:paraId="6F715531">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813" w:type="pct"/>
            <w:vAlign w:val="center"/>
          </w:tcPr>
          <w:p w14:paraId="410F61B2">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w:t>
            </w:r>
          </w:p>
        </w:tc>
      </w:tr>
      <w:tr w14:paraId="76A3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6" w:hRule="atLeast"/>
        </w:trPr>
        <w:tc>
          <w:tcPr>
            <w:tcW w:w="472" w:type="pct"/>
            <w:vAlign w:val="center"/>
          </w:tcPr>
          <w:p w14:paraId="30DFAEC5">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w:t>
            </w:r>
          </w:p>
        </w:tc>
        <w:tc>
          <w:tcPr>
            <w:tcW w:w="786" w:type="pct"/>
            <w:vAlign w:val="center"/>
          </w:tcPr>
          <w:p w14:paraId="32F7FF63">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落实政府采购政策需满足的资格要求</w:t>
            </w:r>
          </w:p>
        </w:tc>
        <w:tc>
          <w:tcPr>
            <w:tcW w:w="2929" w:type="pct"/>
            <w:vAlign w:val="center"/>
          </w:tcPr>
          <w:p w14:paraId="189772C0">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13" w:type="pct"/>
            <w:vAlign w:val="center"/>
          </w:tcPr>
          <w:p w14:paraId="6A5184F6">
            <w:pPr>
              <w:tabs>
                <w:tab w:val="left" w:pos="1080"/>
              </w:tabs>
              <w:snapToGrid w:val="0"/>
              <w:spacing w:line="280" w:lineRule="exact"/>
              <w:jc w:val="left"/>
              <w:rPr>
                <w:rFonts w:hint="eastAsia" w:ascii="宋体" w:hAnsi="宋体"/>
                <w:color w:val="auto"/>
                <w:sz w:val="24"/>
                <w:highlight w:val="none"/>
              </w:rPr>
            </w:pPr>
          </w:p>
        </w:tc>
      </w:tr>
      <w:tr w14:paraId="02E2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trPr>
        <w:tc>
          <w:tcPr>
            <w:tcW w:w="472" w:type="pct"/>
            <w:vAlign w:val="center"/>
          </w:tcPr>
          <w:p w14:paraId="428A176C">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2-1</w:t>
            </w:r>
          </w:p>
        </w:tc>
        <w:tc>
          <w:tcPr>
            <w:tcW w:w="786" w:type="pct"/>
            <w:vAlign w:val="center"/>
          </w:tcPr>
          <w:p w14:paraId="711CA102">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中小企业政策</w:t>
            </w:r>
          </w:p>
        </w:tc>
        <w:tc>
          <w:tcPr>
            <w:tcW w:w="2929" w:type="pct"/>
            <w:vAlign w:val="center"/>
          </w:tcPr>
          <w:p w14:paraId="6D2B6B72">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13" w:type="pct"/>
            <w:vAlign w:val="center"/>
          </w:tcPr>
          <w:p w14:paraId="64A9771A">
            <w:pPr>
              <w:tabs>
                <w:tab w:val="left" w:pos="1080"/>
              </w:tabs>
              <w:snapToGrid w:val="0"/>
              <w:spacing w:line="280" w:lineRule="exact"/>
              <w:jc w:val="left"/>
              <w:rPr>
                <w:rFonts w:hint="eastAsia" w:ascii="宋体" w:hAnsi="宋体"/>
                <w:color w:val="auto"/>
                <w:sz w:val="24"/>
                <w:highlight w:val="none"/>
              </w:rPr>
            </w:pPr>
          </w:p>
        </w:tc>
      </w:tr>
      <w:tr w14:paraId="54EE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7" w:hRule="atLeast"/>
        </w:trPr>
        <w:tc>
          <w:tcPr>
            <w:tcW w:w="472" w:type="pct"/>
            <w:vAlign w:val="center"/>
          </w:tcPr>
          <w:p w14:paraId="208AA5CC">
            <w:pPr>
              <w:tabs>
                <w:tab w:val="left" w:pos="1080"/>
              </w:tabs>
              <w:snapToGrid w:val="0"/>
              <w:jc w:val="center"/>
              <w:rPr>
                <w:color w:val="auto"/>
                <w:sz w:val="24"/>
                <w:highlight w:val="none"/>
              </w:rPr>
            </w:pPr>
            <w:r>
              <w:rPr>
                <w:color w:val="auto"/>
                <w:sz w:val="24"/>
                <w:highlight w:val="none"/>
              </w:rPr>
              <w:t>2-1-1</w:t>
            </w:r>
          </w:p>
        </w:tc>
        <w:tc>
          <w:tcPr>
            <w:tcW w:w="786" w:type="pct"/>
            <w:vAlign w:val="center"/>
          </w:tcPr>
          <w:p w14:paraId="72E4A8E9">
            <w:pPr>
              <w:tabs>
                <w:tab w:val="left" w:pos="1080"/>
              </w:tabs>
              <w:snapToGrid w:val="0"/>
              <w:rPr>
                <w:color w:val="auto"/>
                <w:sz w:val="24"/>
                <w:highlight w:val="none"/>
              </w:rPr>
            </w:pPr>
            <w:r>
              <w:rPr>
                <w:color w:val="auto"/>
                <w:sz w:val="24"/>
                <w:highlight w:val="none"/>
              </w:rPr>
              <w:t>中小企业证明文件</w:t>
            </w:r>
          </w:p>
        </w:tc>
        <w:tc>
          <w:tcPr>
            <w:tcW w:w="2929" w:type="pct"/>
            <w:vAlign w:val="center"/>
          </w:tcPr>
          <w:p w14:paraId="138F8FB3">
            <w:pPr>
              <w:tabs>
                <w:tab w:val="left" w:pos="1080"/>
              </w:tabs>
              <w:snapToGrid w:val="0"/>
              <w:jc w:val="left"/>
              <w:rPr>
                <w:color w:val="auto"/>
                <w:sz w:val="24"/>
                <w:highlight w:val="none"/>
              </w:rPr>
            </w:pPr>
            <w:r>
              <w:rPr>
                <w:rFonts w:hint="eastAsia"/>
                <w:color w:val="auto"/>
                <w:sz w:val="24"/>
                <w:highlight w:val="none"/>
              </w:rPr>
              <w:t>1）</w:t>
            </w:r>
            <w:r>
              <w:rPr>
                <w:color w:val="auto"/>
                <w:sz w:val="24"/>
                <w:highlight w:val="none"/>
              </w:rPr>
              <w:t>供应商应提供《中小企业声明函》或《残疾人福利性单位声明函》或由省级以上监狱管理局、戒毒管理局（含新疆生产建设兵团）出具的属于监狱企业的证明文件。</w:t>
            </w:r>
          </w:p>
          <w:p w14:paraId="0E517A91">
            <w:pPr>
              <w:tabs>
                <w:tab w:val="left" w:pos="1080"/>
              </w:tabs>
              <w:snapToGrid w:val="0"/>
              <w:rPr>
                <w:color w:val="auto"/>
                <w:sz w:val="24"/>
                <w:highlight w:val="none"/>
              </w:rPr>
            </w:pPr>
          </w:p>
          <w:p w14:paraId="4641E05B">
            <w:pPr>
              <w:tabs>
                <w:tab w:val="left" w:pos="1080"/>
              </w:tabs>
              <w:snapToGrid w:val="0"/>
              <w:rPr>
                <w:color w:val="auto"/>
                <w:sz w:val="24"/>
                <w:highlight w:val="none"/>
              </w:rPr>
            </w:pPr>
            <w:r>
              <w:rPr>
                <w:rFonts w:hint="eastAsia"/>
                <w:color w:val="auto"/>
                <w:sz w:val="24"/>
                <w:highlight w:val="none"/>
              </w:rPr>
              <w:t>2）供应商</w:t>
            </w:r>
            <w:r>
              <w:rPr>
                <w:color w:val="auto"/>
                <w:sz w:val="24"/>
                <w:highlight w:val="none"/>
              </w:rPr>
              <w:t>拟进行合同分包的，则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olor w:val="auto"/>
                <w:sz w:val="24"/>
                <w:highlight w:val="none"/>
              </w:rPr>
              <w:t>磋商</w:t>
            </w:r>
            <w:r>
              <w:rPr>
                <w:color w:val="auto"/>
                <w:sz w:val="24"/>
                <w:highlight w:val="none"/>
              </w:rPr>
              <w:t>文件关于预留份额的要求。</w:t>
            </w:r>
          </w:p>
        </w:tc>
        <w:tc>
          <w:tcPr>
            <w:tcW w:w="813" w:type="pct"/>
            <w:vAlign w:val="center"/>
          </w:tcPr>
          <w:p w14:paraId="2F4B625B">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5E39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5FCBD08A">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786" w:type="pct"/>
            <w:vAlign w:val="center"/>
          </w:tcPr>
          <w:p w14:paraId="601C3BAA">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本项目的特定资格要求</w:t>
            </w:r>
          </w:p>
        </w:tc>
        <w:tc>
          <w:tcPr>
            <w:tcW w:w="2929" w:type="pct"/>
            <w:vAlign w:val="center"/>
          </w:tcPr>
          <w:p w14:paraId="2E4AE320">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w:t>
            </w:r>
            <w:r>
              <w:rPr>
                <w:rFonts w:ascii="宋体" w:hAnsi="宋体"/>
                <w:color w:val="auto"/>
                <w:sz w:val="24"/>
                <w:highlight w:val="none"/>
              </w:rPr>
              <w:t>见第一章《采购邀请》</w:t>
            </w:r>
          </w:p>
        </w:tc>
        <w:tc>
          <w:tcPr>
            <w:tcW w:w="813" w:type="pct"/>
            <w:vAlign w:val="center"/>
          </w:tcPr>
          <w:p w14:paraId="5FE34E6E">
            <w:pPr>
              <w:tabs>
                <w:tab w:val="left" w:pos="1080"/>
              </w:tabs>
              <w:snapToGrid w:val="0"/>
              <w:spacing w:line="280" w:lineRule="exact"/>
              <w:jc w:val="left"/>
              <w:rPr>
                <w:rFonts w:hint="eastAsia" w:ascii="宋体" w:hAnsi="宋体"/>
                <w:color w:val="auto"/>
                <w:sz w:val="24"/>
                <w:highlight w:val="none"/>
              </w:rPr>
            </w:pPr>
          </w:p>
        </w:tc>
      </w:tr>
      <w:tr w14:paraId="6535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8" w:hRule="atLeast"/>
        </w:trPr>
        <w:tc>
          <w:tcPr>
            <w:tcW w:w="472" w:type="pct"/>
            <w:vAlign w:val="center"/>
          </w:tcPr>
          <w:p w14:paraId="7A7E8765">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1</w:t>
            </w:r>
          </w:p>
        </w:tc>
        <w:tc>
          <w:tcPr>
            <w:tcW w:w="786" w:type="pct"/>
            <w:vAlign w:val="center"/>
          </w:tcPr>
          <w:p w14:paraId="736686C7">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其他特定资格要求</w:t>
            </w:r>
          </w:p>
        </w:tc>
        <w:tc>
          <w:tcPr>
            <w:tcW w:w="2929" w:type="pct"/>
            <w:vAlign w:val="center"/>
          </w:tcPr>
          <w:p w14:paraId="1DD9AF09">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1）供应商须具备建设行政主管部门核发的有效的消防设施工程专业承包二级（含）以上资质；</w:t>
            </w:r>
          </w:p>
          <w:p w14:paraId="1AE143D6">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2）具有有效的《安全生产许可证》，且未被北京市住房城乡建设主管部门暂扣；</w:t>
            </w:r>
          </w:p>
          <w:p w14:paraId="5203A21A">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3）不存在被北京市住房城乡建设主管部门标注资质（本项目所涉及资质）异常且未完成整改情形；</w:t>
            </w:r>
          </w:p>
          <w:p w14:paraId="440DCA02">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4）未被北京市住房城乡建设主管部门警示为施工安全风险企业；</w:t>
            </w:r>
          </w:p>
          <w:p w14:paraId="137F2226">
            <w:pPr>
              <w:pStyle w:val="269"/>
              <w:spacing w:before="0" w:beforeAutospacing="0" w:after="0" w:afterAutospacing="0" w:line="360" w:lineRule="auto"/>
              <w:rPr>
                <w:rFonts w:hint="eastAsia"/>
                <w:color w:val="auto"/>
                <w:highlight w:val="none"/>
              </w:rPr>
            </w:pPr>
            <w:r>
              <w:rPr>
                <w:rFonts w:hint="eastAsia" w:ascii="Times New Roman" w:hAnsi="Times New Roman" w:cs="Times New Roman"/>
                <w:color w:val="auto"/>
                <w:kern w:val="2"/>
                <w:highlight w:val="none"/>
              </w:rPr>
              <w:t>5）拟派项目经理须具备机电工程专业二级（含）以上注册建造师执业资格，具备有效的安全生产考核合格证书（B本），且在确定成交人时不得担任其他在施建设工程项目的项目经理。</w:t>
            </w:r>
          </w:p>
        </w:tc>
        <w:tc>
          <w:tcPr>
            <w:tcW w:w="813" w:type="pct"/>
            <w:vAlign w:val="center"/>
          </w:tcPr>
          <w:p w14:paraId="3D73BDF2">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格式见《响应文件格式》</w:t>
            </w:r>
          </w:p>
        </w:tc>
      </w:tr>
      <w:tr w14:paraId="39A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7" w:hRule="atLeast"/>
        </w:trPr>
        <w:tc>
          <w:tcPr>
            <w:tcW w:w="472" w:type="pct"/>
            <w:vAlign w:val="center"/>
          </w:tcPr>
          <w:p w14:paraId="1448719E">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786" w:type="pct"/>
            <w:vAlign w:val="center"/>
          </w:tcPr>
          <w:p w14:paraId="5E925272">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获取磋商文件</w:t>
            </w:r>
          </w:p>
        </w:tc>
        <w:tc>
          <w:tcPr>
            <w:tcW w:w="2929" w:type="pct"/>
            <w:vAlign w:val="center"/>
          </w:tcPr>
          <w:p w14:paraId="5193CA57">
            <w:pPr>
              <w:tabs>
                <w:tab w:val="left" w:pos="900"/>
                <w:tab w:val="left" w:pos="1134"/>
                <w:tab w:val="left" w:pos="1589"/>
                <w:tab w:val="left" w:pos="5521"/>
              </w:tabs>
              <w:snapToGrid w:val="0"/>
              <w:spacing w:line="280" w:lineRule="exact"/>
              <w:rPr>
                <w:rFonts w:hint="eastAsia" w:ascii="宋体" w:hAnsi="宋体"/>
                <w:color w:val="auto"/>
                <w:sz w:val="24"/>
                <w:highlight w:val="none"/>
              </w:rPr>
            </w:pPr>
            <w:r>
              <w:rPr>
                <w:rFonts w:hint="eastAsia" w:ascii="宋体" w:hAnsi="宋体"/>
                <w:color w:val="auto"/>
                <w:sz w:val="24"/>
                <w:highlight w:val="none"/>
              </w:rPr>
              <w:t>在规定期限内通过北京市政府采购电子交易平台获取所参与项目的磋商文件。</w:t>
            </w:r>
          </w:p>
        </w:tc>
        <w:tc>
          <w:tcPr>
            <w:tcW w:w="813" w:type="pct"/>
            <w:vAlign w:val="center"/>
          </w:tcPr>
          <w:p w14:paraId="43EF1033">
            <w:pPr>
              <w:tabs>
                <w:tab w:val="left" w:pos="1080"/>
              </w:tabs>
              <w:snapToGrid w:val="0"/>
              <w:spacing w:line="280" w:lineRule="exact"/>
              <w:rPr>
                <w:rFonts w:hint="eastAsia" w:ascii="宋体" w:hAnsi="宋体"/>
                <w:color w:val="auto"/>
                <w:sz w:val="24"/>
                <w:highlight w:val="none"/>
              </w:rPr>
            </w:pPr>
          </w:p>
        </w:tc>
      </w:tr>
    </w:tbl>
    <w:p w14:paraId="14369544">
      <w:pPr>
        <w:widowControl/>
        <w:jc w:val="left"/>
        <w:rPr>
          <w:rFonts w:hint="eastAsia" w:ascii="宋体" w:hAnsi="宋体"/>
          <w:color w:val="auto"/>
          <w:sz w:val="24"/>
          <w:highlight w:val="none"/>
        </w:rPr>
      </w:pPr>
      <w:r>
        <w:rPr>
          <w:rFonts w:ascii="宋体" w:hAnsi="宋体"/>
          <w:color w:val="auto"/>
          <w:sz w:val="24"/>
          <w:highlight w:val="none"/>
        </w:rPr>
        <w:br w:type="page"/>
      </w:r>
    </w:p>
    <w:p w14:paraId="73B03D0F">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《符合性审查要求》见下表：</w:t>
      </w:r>
    </w:p>
    <w:p w14:paraId="6AE4F0B8">
      <w:pPr>
        <w:widowControl/>
        <w:spacing w:line="360" w:lineRule="auto"/>
        <w:jc w:val="center"/>
        <w:rPr>
          <w:rFonts w:hint="eastAsia" w:ascii="宋体" w:hAnsi="宋体"/>
          <w:b/>
          <w:color w:val="auto"/>
          <w:kern w:val="0"/>
          <w:sz w:val="24"/>
          <w:highlight w:val="none"/>
        </w:rPr>
      </w:pPr>
      <w:r>
        <w:rPr>
          <w:rFonts w:ascii="宋体" w:hAnsi="宋体"/>
          <w:b/>
          <w:color w:val="auto"/>
          <w:kern w:val="0"/>
          <w:sz w:val="24"/>
          <w:highlight w:val="none"/>
        </w:rPr>
        <w:t>符合性审查要求</w:t>
      </w:r>
    </w:p>
    <w:tbl>
      <w:tblPr>
        <w:tblStyle w:val="5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902"/>
        <w:gridCol w:w="4204"/>
        <w:gridCol w:w="1830"/>
      </w:tblGrid>
      <w:tr w14:paraId="1224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38" w:type="pct"/>
            <w:shd w:val="clear" w:color="000000" w:fill="FFFFFF"/>
            <w:vAlign w:val="center"/>
          </w:tcPr>
          <w:p w14:paraId="41F29A02">
            <w:pPr>
              <w:widowControl/>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1093" w:type="pct"/>
            <w:shd w:val="clear" w:color="000000" w:fill="FFFFFF"/>
            <w:vAlign w:val="center"/>
          </w:tcPr>
          <w:p w14:paraId="5A5B92C0">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因素</w:t>
            </w:r>
          </w:p>
        </w:tc>
        <w:tc>
          <w:tcPr>
            <w:tcW w:w="2416" w:type="pct"/>
            <w:shd w:val="clear" w:color="000000" w:fill="FFFFFF"/>
            <w:vAlign w:val="center"/>
          </w:tcPr>
          <w:p w14:paraId="58DECA5C">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内容</w:t>
            </w:r>
          </w:p>
        </w:tc>
        <w:tc>
          <w:tcPr>
            <w:tcW w:w="1051" w:type="pct"/>
            <w:shd w:val="clear" w:color="000000" w:fill="FFFFFF"/>
            <w:vAlign w:val="center"/>
          </w:tcPr>
          <w:p w14:paraId="5E6B9D5D">
            <w:pPr>
              <w:widowControl/>
              <w:jc w:val="center"/>
              <w:rPr>
                <w:rFonts w:hint="eastAsia" w:ascii="宋体" w:hAnsi="宋体"/>
                <w:b/>
                <w:color w:val="auto"/>
                <w:kern w:val="0"/>
                <w:sz w:val="24"/>
                <w:highlight w:val="none"/>
              </w:rPr>
            </w:pPr>
            <w:r>
              <w:rPr>
                <w:rFonts w:ascii="宋体" w:hAnsi="宋体"/>
                <w:b/>
                <w:color w:val="auto"/>
                <w:kern w:val="0"/>
                <w:sz w:val="24"/>
                <w:highlight w:val="none"/>
              </w:rPr>
              <w:t>是否允许澄清、说明或者更正</w:t>
            </w:r>
          </w:p>
        </w:tc>
      </w:tr>
      <w:tr w14:paraId="658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6A2B08B5">
            <w:pPr>
              <w:widowControl/>
              <w:jc w:val="center"/>
              <w:rPr>
                <w:rFonts w:hint="eastAsia" w:ascii="宋体" w:hAnsi="宋体"/>
                <w:color w:val="auto"/>
                <w:kern w:val="0"/>
                <w:sz w:val="24"/>
                <w:highlight w:val="none"/>
              </w:rPr>
            </w:pPr>
            <w:r>
              <w:rPr>
                <w:rFonts w:hint="eastAsia" w:ascii="宋体" w:hAnsi="宋体"/>
                <w:color w:val="auto"/>
                <w:sz w:val="24"/>
                <w:highlight w:val="none"/>
              </w:rPr>
              <w:t>1</w:t>
            </w:r>
          </w:p>
        </w:tc>
        <w:tc>
          <w:tcPr>
            <w:tcW w:w="1093" w:type="pct"/>
            <w:shd w:val="clear" w:color="000000" w:fill="FFFFFF"/>
            <w:vAlign w:val="center"/>
          </w:tcPr>
          <w:p w14:paraId="18DD2D40">
            <w:pPr>
              <w:widowControl/>
              <w:jc w:val="center"/>
              <w:rPr>
                <w:rFonts w:hint="eastAsia" w:ascii="宋体" w:hAnsi="宋体"/>
                <w:color w:val="auto"/>
                <w:kern w:val="0"/>
                <w:sz w:val="24"/>
                <w:highlight w:val="none"/>
              </w:rPr>
            </w:pPr>
            <w:r>
              <w:rPr>
                <w:rFonts w:hint="eastAsia" w:ascii="宋体" w:hAnsi="宋体"/>
                <w:color w:val="auto"/>
                <w:sz w:val="24"/>
                <w:highlight w:val="none"/>
              </w:rPr>
              <w:t>响应文件签署、盖章</w:t>
            </w:r>
          </w:p>
        </w:tc>
        <w:tc>
          <w:tcPr>
            <w:tcW w:w="2416" w:type="pct"/>
            <w:shd w:val="clear" w:color="000000" w:fill="FFFFFF"/>
            <w:vAlign w:val="center"/>
          </w:tcPr>
          <w:p w14:paraId="65D0B7C8">
            <w:pPr>
              <w:widowControl/>
              <w:jc w:val="left"/>
              <w:rPr>
                <w:rFonts w:hint="eastAsia" w:ascii="宋体" w:hAnsi="宋体"/>
                <w:color w:val="auto"/>
                <w:kern w:val="0"/>
                <w:sz w:val="24"/>
                <w:highlight w:val="none"/>
              </w:rPr>
            </w:pPr>
            <w:r>
              <w:rPr>
                <w:rFonts w:hint="eastAsia" w:ascii="宋体" w:hAnsi="宋体"/>
                <w:color w:val="auto"/>
                <w:sz w:val="24"/>
                <w:highlight w:val="none"/>
              </w:rPr>
              <w:t>按照磋商文件规定格式填写、签署、盖章，未出现内容不全或关键字迹模糊、无法辨认的。</w:t>
            </w:r>
          </w:p>
        </w:tc>
        <w:tc>
          <w:tcPr>
            <w:tcW w:w="1051" w:type="pct"/>
            <w:shd w:val="clear" w:color="000000" w:fill="FFFFFF"/>
            <w:vAlign w:val="center"/>
          </w:tcPr>
          <w:p w14:paraId="32F011E6">
            <w:pPr>
              <w:widowControl/>
              <w:jc w:val="center"/>
              <w:rPr>
                <w:rFonts w:hint="eastAsia" w:ascii="宋体" w:hAnsi="宋体"/>
                <w:bCs/>
                <w:color w:val="auto"/>
                <w:sz w:val="24"/>
                <w:highlight w:val="none"/>
              </w:rPr>
            </w:pPr>
            <w:r>
              <w:rPr>
                <w:rFonts w:hint="eastAsia" w:ascii="宋体" w:hAnsi="宋体" w:cs="宋体"/>
                <w:color w:val="auto"/>
                <w:sz w:val="24"/>
                <w:highlight w:val="none"/>
              </w:rPr>
              <w:t>允许澄清、说明或者更正</w:t>
            </w:r>
          </w:p>
        </w:tc>
      </w:tr>
      <w:tr w14:paraId="0522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7B677526">
            <w:pPr>
              <w:widowControl/>
              <w:jc w:val="center"/>
              <w:rPr>
                <w:rFonts w:hint="eastAsia" w:ascii="宋体" w:hAnsi="宋体"/>
                <w:color w:val="auto"/>
                <w:kern w:val="0"/>
                <w:sz w:val="24"/>
                <w:highlight w:val="none"/>
              </w:rPr>
            </w:pPr>
            <w:r>
              <w:rPr>
                <w:rFonts w:hint="eastAsia" w:ascii="宋体" w:hAnsi="宋体"/>
                <w:color w:val="auto"/>
                <w:sz w:val="24"/>
                <w:highlight w:val="none"/>
              </w:rPr>
              <w:t>2</w:t>
            </w:r>
          </w:p>
        </w:tc>
        <w:tc>
          <w:tcPr>
            <w:tcW w:w="1093" w:type="pct"/>
            <w:shd w:val="clear" w:color="000000" w:fill="FFFFFF"/>
            <w:vAlign w:val="center"/>
          </w:tcPr>
          <w:p w14:paraId="434C5D94">
            <w:pPr>
              <w:widowControl/>
              <w:jc w:val="center"/>
              <w:rPr>
                <w:rFonts w:hint="eastAsia" w:ascii="宋体" w:hAnsi="宋体"/>
                <w:color w:val="auto"/>
                <w:kern w:val="0"/>
                <w:sz w:val="24"/>
                <w:highlight w:val="none"/>
              </w:rPr>
            </w:pPr>
            <w:r>
              <w:rPr>
                <w:rFonts w:hint="eastAsia" w:ascii="宋体" w:hAnsi="宋体"/>
                <w:color w:val="auto"/>
                <w:sz w:val="24"/>
                <w:highlight w:val="none"/>
              </w:rPr>
              <w:t>响应内容</w:t>
            </w:r>
          </w:p>
        </w:tc>
        <w:tc>
          <w:tcPr>
            <w:tcW w:w="2416" w:type="pct"/>
            <w:shd w:val="clear" w:color="000000" w:fill="FFFFFF"/>
            <w:vAlign w:val="center"/>
          </w:tcPr>
          <w:p w14:paraId="45D08044">
            <w:pPr>
              <w:widowControl/>
              <w:jc w:val="left"/>
              <w:rPr>
                <w:rFonts w:hint="eastAsia" w:ascii="宋体" w:hAnsi="宋体"/>
                <w:color w:val="auto"/>
                <w:kern w:val="0"/>
                <w:sz w:val="24"/>
                <w:highlight w:val="none"/>
              </w:rPr>
            </w:pPr>
            <w:r>
              <w:rPr>
                <w:rFonts w:hint="eastAsia" w:ascii="宋体" w:hAnsi="宋体"/>
                <w:color w:val="auto"/>
                <w:sz w:val="24"/>
                <w:highlight w:val="none"/>
              </w:rPr>
              <w:t>范围、内容等满足磋商文件要求。</w:t>
            </w:r>
          </w:p>
        </w:tc>
        <w:tc>
          <w:tcPr>
            <w:tcW w:w="1051" w:type="pct"/>
            <w:shd w:val="clear" w:color="000000" w:fill="FFFFFF"/>
            <w:vAlign w:val="center"/>
          </w:tcPr>
          <w:p w14:paraId="4DF3480A">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0FF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8" w:type="pct"/>
            <w:vMerge w:val="restart"/>
            <w:shd w:val="clear" w:color="000000" w:fill="FFFFFF"/>
            <w:vAlign w:val="center"/>
          </w:tcPr>
          <w:p w14:paraId="21306488">
            <w:pPr>
              <w:widowControl/>
              <w:jc w:val="center"/>
              <w:rPr>
                <w:rFonts w:hint="eastAsia" w:ascii="宋体" w:hAnsi="宋体"/>
                <w:color w:val="auto"/>
                <w:kern w:val="0"/>
                <w:sz w:val="24"/>
                <w:highlight w:val="none"/>
              </w:rPr>
            </w:pPr>
            <w:r>
              <w:rPr>
                <w:rFonts w:hint="eastAsia" w:ascii="宋体" w:hAnsi="宋体"/>
                <w:color w:val="auto"/>
                <w:sz w:val="24"/>
                <w:highlight w:val="none"/>
              </w:rPr>
              <w:t>3</w:t>
            </w:r>
          </w:p>
        </w:tc>
        <w:tc>
          <w:tcPr>
            <w:tcW w:w="1093" w:type="pct"/>
            <w:vMerge w:val="restart"/>
            <w:shd w:val="clear" w:color="000000" w:fill="FFFFFF"/>
            <w:vAlign w:val="center"/>
          </w:tcPr>
          <w:p w14:paraId="54FBF174">
            <w:pPr>
              <w:widowControl/>
              <w:jc w:val="center"/>
              <w:rPr>
                <w:rFonts w:hint="eastAsia" w:ascii="宋体" w:hAnsi="宋体"/>
                <w:color w:val="auto"/>
                <w:kern w:val="0"/>
                <w:sz w:val="24"/>
                <w:highlight w:val="none"/>
              </w:rPr>
            </w:pPr>
            <w:r>
              <w:rPr>
                <w:rFonts w:hint="eastAsia" w:ascii="宋体" w:hAnsi="宋体"/>
                <w:color w:val="auto"/>
                <w:sz w:val="24"/>
                <w:highlight w:val="none"/>
              </w:rPr>
              <w:t>响应报价</w:t>
            </w:r>
          </w:p>
        </w:tc>
        <w:tc>
          <w:tcPr>
            <w:tcW w:w="2416" w:type="pct"/>
            <w:shd w:val="clear" w:color="000000" w:fill="FFFFFF"/>
            <w:vAlign w:val="center"/>
          </w:tcPr>
          <w:p w14:paraId="2AA1778C">
            <w:pPr>
              <w:jc w:val="left"/>
              <w:rPr>
                <w:rFonts w:hint="eastAsia" w:ascii="宋体" w:hAnsi="宋体"/>
                <w:color w:val="auto"/>
                <w:sz w:val="24"/>
                <w:highlight w:val="none"/>
              </w:rPr>
            </w:pPr>
            <w:r>
              <w:rPr>
                <w:rFonts w:hint="eastAsia" w:ascii="宋体" w:hAnsi="宋体"/>
                <w:color w:val="auto"/>
                <w:sz w:val="24"/>
                <w:highlight w:val="none"/>
              </w:rPr>
              <w:t>未提交可选择或可调整的响应方案和报价。</w:t>
            </w:r>
          </w:p>
          <w:p w14:paraId="3A50B79B">
            <w:pPr>
              <w:jc w:val="left"/>
              <w:rPr>
                <w:rFonts w:hint="eastAsia" w:ascii="宋体" w:hAnsi="宋体"/>
                <w:color w:val="auto"/>
                <w:sz w:val="24"/>
                <w:highlight w:val="none"/>
              </w:rPr>
            </w:pPr>
            <w:r>
              <w:rPr>
                <w:rFonts w:hint="eastAsia" w:ascii="宋体" w:hAnsi="宋体"/>
                <w:color w:val="auto"/>
                <w:sz w:val="24"/>
                <w:highlight w:val="none"/>
              </w:rPr>
              <w:t>报价不高于最高限价和采购预算。</w:t>
            </w:r>
          </w:p>
        </w:tc>
        <w:tc>
          <w:tcPr>
            <w:tcW w:w="1051" w:type="pct"/>
            <w:shd w:val="clear" w:color="000000" w:fill="FFFFFF"/>
            <w:vAlign w:val="center"/>
          </w:tcPr>
          <w:p w14:paraId="2851E615">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1105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8" w:type="pct"/>
            <w:vMerge w:val="continue"/>
            <w:shd w:val="clear" w:color="000000" w:fill="FFFFFF"/>
            <w:vAlign w:val="center"/>
          </w:tcPr>
          <w:p w14:paraId="50D6B21E">
            <w:pPr>
              <w:widowControl/>
              <w:jc w:val="center"/>
              <w:rPr>
                <w:rFonts w:hint="eastAsia" w:ascii="宋体" w:hAnsi="宋体"/>
                <w:color w:val="auto"/>
                <w:sz w:val="24"/>
                <w:highlight w:val="none"/>
              </w:rPr>
            </w:pPr>
          </w:p>
        </w:tc>
        <w:tc>
          <w:tcPr>
            <w:tcW w:w="1093" w:type="pct"/>
            <w:vMerge w:val="continue"/>
            <w:shd w:val="clear" w:color="000000" w:fill="FFFFFF"/>
            <w:vAlign w:val="center"/>
          </w:tcPr>
          <w:p w14:paraId="3291BDDB">
            <w:pPr>
              <w:widowControl/>
              <w:jc w:val="center"/>
              <w:rPr>
                <w:rFonts w:hint="eastAsia" w:ascii="宋体" w:hAnsi="宋体"/>
                <w:color w:val="auto"/>
                <w:sz w:val="24"/>
                <w:highlight w:val="none"/>
              </w:rPr>
            </w:pPr>
          </w:p>
        </w:tc>
        <w:tc>
          <w:tcPr>
            <w:tcW w:w="2416" w:type="pct"/>
            <w:shd w:val="clear" w:color="000000" w:fill="FFFFFF"/>
            <w:vAlign w:val="center"/>
          </w:tcPr>
          <w:p w14:paraId="2346EEC0">
            <w:pPr>
              <w:widowControl/>
              <w:jc w:val="left"/>
              <w:rPr>
                <w:rFonts w:hint="eastAsia" w:ascii="宋体" w:hAnsi="宋体"/>
                <w:color w:val="auto"/>
                <w:sz w:val="24"/>
                <w:highlight w:val="none"/>
              </w:rPr>
            </w:pPr>
            <w:r>
              <w:rPr>
                <w:rFonts w:hint="eastAsia" w:ascii="宋体" w:hAnsi="宋体"/>
                <w:color w:val="auto"/>
                <w:sz w:val="24"/>
                <w:highlight w:val="none"/>
              </w:rPr>
              <w:t>未出现报价畸低，可能影响服务质量或不能诚信履约的。</w:t>
            </w:r>
          </w:p>
        </w:tc>
        <w:tc>
          <w:tcPr>
            <w:tcW w:w="1051" w:type="pct"/>
            <w:shd w:val="clear" w:color="000000" w:fill="FFFFFF"/>
            <w:vAlign w:val="center"/>
          </w:tcPr>
          <w:p w14:paraId="725BD2C5">
            <w:pPr>
              <w:widowControl/>
              <w:jc w:val="center"/>
              <w:rPr>
                <w:rFonts w:hint="eastAsia" w:ascii="宋体" w:hAnsi="宋体"/>
                <w:color w:val="auto"/>
                <w:sz w:val="24"/>
                <w:highlight w:val="none"/>
              </w:rPr>
            </w:pPr>
            <w:r>
              <w:rPr>
                <w:rFonts w:hint="eastAsia" w:ascii="宋体" w:hAnsi="宋体" w:cs="宋体"/>
                <w:color w:val="auto"/>
                <w:sz w:val="24"/>
                <w:highlight w:val="none"/>
              </w:rPr>
              <w:t>允许澄清、说明，不允许更正</w:t>
            </w:r>
          </w:p>
        </w:tc>
      </w:tr>
      <w:tr w14:paraId="3BEA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2DFD5490">
            <w:pPr>
              <w:widowControl/>
              <w:jc w:val="center"/>
              <w:rPr>
                <w:rFonts w:hint="eastAsia" w:ascii="宋体" w:hAnsi="宋体"/>
                <w:color w:val="auto"/>
                <w:kern w:val="0"/>
                <w:sz w:val="24"/>
                <w:highlight w:val="none"/>
              </w:rPr>
            </w:pPr>
            <w:r>
              <w:rPr>
                <w:rFonts w:hint="eastAsia" w:ascii="宋体" w:hAnsi="宋体"/>
                <w:color w:val="auto"/>
                <w:kern w:val="0"/>
                <w:sz w:val="24"/>
                <w:highlight w:val="none"/>
              </w:rPr>
              <w:t>4</w:t>
            </w:r>
          </w:p>
        </w:tc>
        <w:tc>
          <w:tcPr>
            <w:tcW w:w="1093" w:type="pct"/>
            <w:shd w:val="clear" w:color="000000" w:fill="FFFFFF"/>
            <w:vAlign w:val="center"/>
          </w:tcPr>
          <w:p w14:paraId="3AD6328C">
            <w:pPr>
              <w:widowControl/>
              <w:jc w:val="center"/>
              <w:rPr>
                <w:rFonts w:hint="eastAsia" w:ascii="宋体" w:hAnsi="宋体"/>
                <w:color w:val="auto"/>
                <w:kern w:val="0"/>
                <w:sz w:val="24"/>
                <w:highlight w:val="none"/>
              </w:rPr>
            </w:pPr>
            <w:r>
              <w:rPr>
                <w:rFonts w:hint="eastAsia" w:ascii="宋体" w:hAnsi="宋体"/>
                <w:color w:val="auto"/>
                <w:sz w:val="24"/>
                <w:highlight w:val="none"/>
              </w:rPr>
              <w:t>实质性响应</w:t>
            </w:r>
          </w:p>
        </w:tc>
        <w:tc>
          <w:tcPr>
            <w:tcW w:w="2416" w:type="pct"/>
            <w:shd w:val="clear" w:color="000000" w:fill="FFFFFF"/>
            <w:vAlign w:val="center"/>
          </w:tcPr>
          <w:p w14:paraId="1F19D912">
            <w:pPr>
              <w:widowControl/>
              <w:jc w:val="left"/>
              <w:rPr>
                <w:rFonts w:hint="eastAsia" w:ascii="宋体" w:hAnsi="宋体"/>
                <w:color w:val="auto"/>
                <w:kern w:val="0"/>
                <w:sz w:val="24"/>
                <w:highlight w:val="none"/>
              </w:rPr>
            </w:pPr>
            <w:r>
              <w:rPr>
                <w:rFonts w:hint="eastAsia" w:ascii="宋体" w:hAnsi="宋体"/>
                <w:color w:val="auto"/>
                <w:sz w:val="24"/>
                <w:highlight w:val="none"/>
              </w:rPr>
              <w:t>响应文件的内容满足磋商文件要求，无重大偏离或保留，实质性条款完全响应或优于磋商文件要求。</w:t>
            </w:r>
          </w:p>
        </w:tc>
        <w:tc>
          <w:tcPr>
            <w:tcW w:w="1051" w:type="pct"/>
            <w:shd w:val="clear" w:color="000000" w:fill="FFFFFF"/>
            <w:vAlign w:val="center"/>
          </w:tcPr>
          <w:p w14:paraId="2713876D">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3210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076B4102">
            <w:pPr>
              <w:widowControl/>
              <w:jc w:val="center"/>
              <w:rPr>
                <w:rFonts w:hint="eastAsia" w:ascii="宋体" w:hAnsi="宋体"/>
                <w:color w:val="auto"/>
                <w:sz w:val="24"/>
                <w:highlight w:val="none"/>
              </w:rPr>
            </w:pPr>
            <w:r>
              <w:rPr>
                <w:rFonts w:hint="eastAsia" w:ascii="宋体" w:hAnsi="宋体"/>
                <w:color w:val="auto"/>
                <w:sz w:val="24"/>
                <w:highlight w:val="none"/>
              </w:rPr>
              <w:t>5</w:t>
            </w:r>
          </w:p>
        </w:tc>
        <w:tc>
          <w:tcPr>
            <w:tcW w:w="1093" w:type="pct"/>
            <w:shd w:val="clear" w:color="000000" w:fill="FFFFFF"/>
            <w:vAlign w:val="center"/>
          </w:tcPr>
          <w:p w14:paraId="405AE904">
            <w:pPr>
              <w:widowControl/>
              <w:jc w:val="left"/>
              <w:rPr>
                <w:rFonts w:hint="eastAsia" w:ascii="宋体" w:hAnsi="宋体"/>
                <w:color w:val="auto"/>
                <w:sz w:val="24"/>
                <w:highlight w:val="none"/>
              </w:rPr>
            </w:pPr>
            <w:r>
              <w:rPr>
                <w:rFonts w:hint="eastAsia" w:ascii="宋体" w:hAnsi="宋体"/>
                <w:color w:val="auto"/>
                <w:sz w:val="24"/>
                <w:highlight w:val="none"/>
              </w:rPr>
              <w:t>国家有关部门强制性规定或要求</w:t>
            </w:r>
          </w:p>
        </w:tc>
        <w:tc>
          <w:tcPr>
            <w:tcW w:w="2416" w:type="pct"/>
            <w:shd w:val="clear" w:color="000000" w:fill="FFFFFF"/>
            <w:vAlign w:val="center"/>
          </w:tcPr>
          <w:p w14:paraId="12596E44">
            <w:pPr>
              <w:widowControl/>
              <w:jc w:val="left"/>
              <w:rPr>
                <w:rFonts w:hint="eastAsia" w:ascii="宋体" w:hAnsi="宋体"/>
                <w:color w:val="auto"/>
                <w:sz w:val="24"/>
                <w:highlight w:val="none"/>
              </w:rPr>
            </w:pPr>
            <w:r>
              <w:rPr>
                <w:rFonts w:hint="eastAsia"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号）要求，施工图等设计文件涉及涂料等挥发性有机物产品的，属于强制性标准的，执行符合本市和国家的VOCs 含量限制标准；属于推荐性标准的，优先用于本项目。（按第七章响应文件格式要求提供承诺）</w:t>
            </w:r>
          </w:p>
        </w:tc>
        <w:tc>
          <w:tcPr>
            <w:tcW w:w="1051" w:type="pct"/>
            <w:shd w:val="clear" w:color="000000" w:fill="FFFFFF"/>
            <w:vAlign w:val="center"/>
          </w:tcPr>
          <w:p w14:paraId="62D6C334">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7576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7A8A6AC1">
            <w:pPr>
              <w:widowControl/>
              <w:jc w:val="center"/>
              <w:rPr>
                <w:rFonts w:hint="eastAsia" w:ascii="宋体" w:hAnsi="宋体"/>
                <w:color w:val="auto"/>
                <w:sz w:val="24"/>
                <w:highlight w:val="none"/>
              </w:rPr>
            </w:pPr>
            <w:r>
              <w:rPr>
                <w:rFonts w:hint="eastAsia" w:ascii="宋体" w:hAnsi="宋体"/>
                <w:color w:val="auto"/>
                <w:sz w:val="24"/>
                <w:highlight w:val="none"/>
              </w:rPr>
              <w:t>6</w:t>
            </w:r>
          </w:p>
        </w:tc>
        <w:tc>
          <w:tcPr>
            <w:tcW w:w="1093" w:type="pct"/>
            <w:shd w:val="clear" w:color="000000" w:fill="FFFFFF"/>
            <w:vAlign w:val="center"/>
          </w:tcPr>
          <w:p w14:paraId="5A09DE84">
            <w:pPr>
              <w:widowControl/>
              <w:jc w:val="center"/>
              <w:rPr>
                <w:rFonts w:hint="eastAsia" w:ascii="宋体" w:hAnsi="宋体"/>
                <w:color w:val="auto"/>
                <w:kern w:val="0"/>
                <w:sz w:val="24"/>
                <w:highlight w:val="none"/>
              </w:rPr>
            </w:pPr>
            <w:r>
              <w:rPr>
                <w:rFonts w:hint="eastAsia" w:ascii="宋体" w:hAnsi="宋体"/>
                <w:color w:val="auto"/>
                <w:sz w:val="24"/>
                <w:highlight w:val="none"/>
              </w:rPr>
              <w:t>磋商文件规定的其他无效条款</w:t>
            </w:r>
          </w:p>
        </w:tc>
        <w:tc>
          <w:tcPr>
            <w:tcW w:w="2416" w:type="pct"/>
            <w:shd w:val="clear" w:color="000000" w:fill="FFFFFF"/>
            <w:vAlign w:val="center"/>
          </w:tcPr>
          <w:p w14:paraId="035FA165">
            <w:pPr>
              <w:widowControl/>
              <w:jc w:val="left"/>
              <w:rPr>
                <w:rFonts w:hint="eastAsia" w:ascii="宋体" w:hAnsi="宋体"/>
                <w:color w:val="auto"/>
                <w:kern w:val="0"/>
                <w:sz w:val="24"/>
                <w:highlight w:val="none"/>
              </w:rPr>
            </w:pPr>
            <w:r>
              <w:rPr>
                <w:rFonts w:hint="eastAsia" w:ascii="宋体" w:hAnsi="宋体"/>
                <w:color w:val="auto"/>
                <w:sz w:val="24"/>
                <w:highlight w:val="none"/>
              </w:rPr>
              <w:t>不存在磋商文件规定的其他无效条款。</w:t>
            </w:r>
          </w:p>
        </w:tc>
        <w:tc>
          <w:tcPr>
            <w:tcW w:w="1051" w:type="pct"/>
            <w:shd w:val="clear" w:color="000000" w:fill="FFFFFF"/>
            <w:vAlign w:val="center"/>
          </w:tcPr>
          <w:p w14:paraId="799432A6">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bl>
    <w:p w14:paraId="6CF1612B">
      <w:pPr>
        <w:tabs>
          <w:tab w:val="left" w:pos="900"/>
          <w:tab w:val="left" w:pos="1080"/>
          <w:tab w:val="left" w:pos="1589"/>
        </w:tabs>
        <w:snapToGrid w:val="0"/>
        <w:spacing w:line="360" w:lineRule="auto"/>
        <w:rPr>
          <w:rFonts w:hint="eastAsia" w:ascii="宋体" w:hAnsi="宋体"/>
          <w:color w:val="auto"/>
          <w:sz w:val="24"/>
          <w:highlight w:val="none"/>
        </w:rPr>
      </w:pPr>
    </w:p>
    <w:p w14:paraId="6A814052">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磋商、响应文件有关事项的澄清、说明或者更正和最后报价</w:t>
      </w:r>
    </w:p>
    <w:p w14:paraId="1176C7EB">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磋商小组所有成员应当集中与单一供应商分别进行磋商，并给予所有参加磋商的供应商平等的磋商机会。</w:t>
      </w:r>
    </w:p>
    <w:p w14:paraId="6B7A0F75">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8C1D310">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对磋商文件作出的实质性变动是磋商文件的有效组成部分，磋商小组应当及时以书面形式同时通知所有参加磋商的供应商。</w:t>
      </w:r>
    </w:p>
    <w:p w14:paraId="6AE289E3">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供应商应当按照磋商文件的变动情况和磋商小组的要求重新提交响应文件，并由其法定代表人</w:t>
      </w:r>
      <w:r>
        <w:rPr>
          <w:rFonts w:hint="eastAsia" w:ascii="宋体" w:hAnsi="宋体"/>
          <w:color w:val="auto"/>
          <w:kern w:val="0"/>
          <w:sz w:val="24"/>
          <w:highlight w:val="none"/>
        </w:rPr>
        <w:t>（若供应商为事业单位或其他组织或分支机构，可为单位负责人）</w:t>
      </w:r>
      <w:r>
        <w:rPr>
          <w:rFonts w:ascii="宋体" w:hAnsi="宋体"/>
          <w:color w:val="auto"/>
          <w:kern w:val="0"/>
          <w:sz w:val="24"/>
          <w:highlight w:val="none"/>
        </w:rPr>
        <w:t>或授权代表签字或者加盖公章。由授权代表签字的，应当附授权委托书。供应商为自然人的，应当由本人签字并附身份证明。</w:t>
      </w:r>
    </w:p>
    <w:p w14:paraId="597E13BD">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响应文件的澄清、说明或者更正</w:t>
      </w:r>
      <w:r>
        <w:rPr>
          <w:rFonts w:hint="eastAsia" w:ascii="宋体" w:hAnsi="宋体"/>
          <w:color w:val="auto"/>
          <w:sz w:val="24"/>
          <w:highlight w:val="none"/>
        </w:rPr>
        <w:t>：</w:t>
      </w:r>
    </w:p>
    <w:p w14:paraId="67175CCD">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71A7776">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color w:val="auto"/>
          <w:sz w:val="24"/>
          <w:highlight w:val="none"/>
        </w:rPr>
        <w:t>无效处理</w:t>
      </w:r>
      <w:r>
        <w:rPr>
          <w:rFonts w:ascii="宋体" w:hAnsi="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highlight w:val="none"/>
        </w:rPr>
        <w:t>无效处理</w:t>
      </w:r>
      <w:r>
        <w:rPr>
          <w:rFonts w:ascii="宋体" w:hAnsi="宋体"/>
          <w:color w:val="auto"/>
          <w:sz w:val="24"/>
          <w:highlight w:val="none"/>
        </w:rPr>
        <w:t>。</w:t>
      </w:r>
    </w:p>
    <w:p w14:paraId="3B5A267F">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olor w:val="auto"/>
          <w:sz w:val="24"/>
          <w:highlight w:val="none"/>
        </w:rPr>
        <w:t>（若供应商为事业单位或其他组织或分支机构，可为单位负责人）</w:t>
      </w:r>
      <w:r>
        <w:rPr>
          <w:rFonts w:ascii="宋体" w:hAnsi="宋体"/>
          <w:color w:val="auto"/>
          <w:sz w:val="24"/>
          <w:highlight w:val="none"/>
        </w:rPr>
        <w:t>或其授权代表签字或者加盖公章。由授权代表签字的，应当附授权委托书。供应商为自然人的，应当由本人签字并附身份证明。澄清文件将作为响应文件内容的一部分。</w:t>
      </w:r>
    </w:p>
    <w:p w14:paraId="133A589D">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磋商结束后，磋商小组将要求所有实质性响应的供应商在规定时间内提交最后报价。最后报价时间为磋商小组指定的时间，具体时间根据磋商进度另行通知。</w:t>
      </w:r>
    </w:p>
    <w:p w14:paraId="7D9BE511">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178EB99">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最后报价是供应商响应文件的有效组成部分。</w:t>
      </w:r>
    </w:p>
    <w:p w14:paraId="0752E866">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已提交响应文件的供应商，在提交最后报价之前，可以根据磋商情况退出磋商。</w:t>
      </w:r>
    </w:p>
    <w:p w14:paraId="632C7233">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最后报价的算术修正及政策调整</w:t>
      </w:r>
    </w:p>
    <w:p w14:paraId="5A039F22">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最后报价须包含竞争性磋商文件全部内容，如</w:t>
      </w:r>
      <w:r>
        <w:rPr>
          <w:rFonts w:hint="eastAsia" w:ascii="宋体" w:hAnsi="宋体"/>
          <w:color w:val="auto"/>
          <w:sz w:val="24"/>
          <w:highlight w:val="none"/>
        </w:rPr>
        <w:t>最后</w:t>
      </w:r>
      <w:r>
        <w:rPr>
          <w:rFonts w:ascii="宋体" w:hAnsi="宋体"/>
          <w:color w:val="auto"/>
          <w:sz w:val="24"/>
          <w:highlight w:val="none"/>
        </w:rPr>
        <w:t>分项报价表有缺漏视为已含在其他各项报价中，将不对最后报价进行调整。磋商小组有权要求供应商在评审现场合理的时间内对此进行书面确认，供应商不确认的，视为将一个采购包中的内容拆开响应，其</w:t>
      </w:r>
      <w:r>
        <w:rPr>
          <w:rFonts w:ascii="宋体" w:hAnsi="宋体"/>
          <w:b/>
          <w:color w:val="auto"/>
          <w:sz w:val="24"/>
          <w:highlight w:val="none"/>
        </w:rPr>
        <w:t>响应无效</w:t>
      </w:r>
      <w:r>
        <w:rPr>
          <w:rFonts w:ascii="宋体" w:hAnsi="宋体"/>
          <w:color w:val="auto"/>
          <w:sz w:val="24"/>
          <w:highlight w:val="none"/>
        </w:rPr>
        <w:t>。</w:t>
      </w:r>
    </w:p>
    <w:p w14:paraId="488CE59C">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最后报价出现前后不一致的，按照下列规定修正：</w:t>
      </w:r>
    </w:p>
    <w:p w14:paraId="7441366F">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竞争性磋商文件对于报价修正是否另有规定：</w:t>
      </w:r>
    </w:p>
    <w:p w14:paraId="5087F941">
      <w:pPr>
        <w:tabs>
          <w:tab w:val="left" w:pos="1080"/>
          <w:tab w:val="left" w:pos="1589"/>
          <w:tab w:val="left" w:pos="2035"/>
          <w:tab w:val="left" w:pos="2114"/>
        </w:tabs>
        <w:snapToGrid w:val="0"/>
        <w:spacing w:line="360" w:lineRule="auto"/>
        <w:ind w:left="2035"/>
        <w:rPr>
          <w:rFonts w:hint="eastAsia" w:ascii="宋体" w:hAnsi="宋体"/>
          <w:color w:val="auto"/>
          <w:sz w:val="24"/>
          <w:highlight w:val="none"/>
          <w:u w:val="single"/>
        </w:rPr>
      </w:pPr>
      <w:r>
        <w:rPr>
          <w:rFonts w:ascii="宋体" w:hAnsi="宋体"/>
          <w:color w:val="auto"/>
          <w:sz w:val="24"/>
          <w:highlight w:val="none"/>
        </w:rPr>
        <w:t>□有，具体规定为：</w:t>
      </w:r>
      <w:r>
        <w:rPr>
          <w:rFonts w:ascii="宋体" w:hAnsi="宋体"/>
          <w:color w:val="auto"/>
          <w:sz w:val="24"/>
          <w:highlight w:val="none"/>
          <w:u w:val="single"/>
        </w:rPr>
        <w:t xml:space="preserve">     /     </w:t>
      </w:r>
      <w:r>
        <w:rPr>
          <w:rFonts w:ascii="宋体" w:hAnsi="宋体"/>
          <w:color w:val="auto"/>
          <w:sz w:val="24"/>
          <w:highlight w:val="none"/>
        </w:rPr>
        <w:t xml:space="preserve"> </w:t>
      </w:r>
    </w:p>
    <w:p w14:paraId="754D7869">
      <w:p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无，按下述3.2.2-3.2.</w:t>
      </w:r>
      <w:r>
        <w:rPr>
          <w:rFonts w:hint="eastAsia" w:ascii="宋体" w:hAnsi="宋体"/>
          <w:color w:val="auto"/>
          <w:sz w:val="24"/>
          <w:highlight w:val="none"/>
        </w:rPr>
        <w:t>6</w:t>
      </w:r>
      <w:r>
        <w:rPr>
          <w:rFonts w:ascii="宋体" w:hAnsi="宋体"/>
          <w:color w:val="auto"/>
          <w:sz w:val="24"/>
          <w:highlight w:val="none"/>
        </w:rPr>
        <w:t>项规定修正。</w:t>
      </w:r>
    </w:p>
    <w:p w14:paraId="5AE14F7D">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大写金额和小写金额不一致的，以大写金额为准；</w:t>
      </w:r>
    </w:p>
    <w:p w14:paraId="46BBACD3">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单价金额小数点或者百分比有明显错位的，</w:t>
      </w:r>
      <w:r>
        <w:rPr>
          <w:rFonts w:hint="eastAsia" w:ascii="宋体" w:hAnsi="宋体"/>
          <w:color w:val="auto"/>
          <w:sz w:val="24"/>
          <w:highlight w:val="none"/>
        </w:rPr>
        <w:t>以总价为准，</w:t>
      </w:r>
      <w:r>
        <w:rPr>
          <w:rFonts w:ascii="宋体" w:hAnsi="宋体"/>
          <w:color w:val="auto"/>
          <w:sz w:val="24"/>
          <w:highlight w:val="none"/>
        </w:rPr>
        <w:t>并修改单价；</w:t>
      </w:r>
    </w:p>
    <w:p w14:paraId="0877E961">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总价金额与按单价汇总金额不一致的，以单价金额计算结果为准。</w:t>
      </w:r>
    </w:p>
    <w:p w14:paraId="439D036D">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同时出现两种以上不一致的，按照前款规定的顺序修正。</w:t>
      </w:r>
    </w:p>
    <w:p w14:paraId="1D3B1985">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修正后的报价经供应商书面确认后产生约束力，供应商不确认的，其</w:t>
      </w:r>
      <w:r>
        <w:rPr>
          <w:rFonts w:ascii="宋体" w:hAnsi="宋体"/>
          <w:b/>
          <w:color w:val="auto"/>
          <w:sz w:val="24"/>
          <w:highlight w:val="none"/>
        </w:rPr>
        <w:t>响应无效</w:t>
      </w:r>
      <w:r>
        <w:rPr>
          <w:rFonts w:ascii="宋体" w:hAnsi="宋体"/>
          <w:color w:val="auto"/>
          <w:sz w:val="24"/>
          <w:highlight w:val="none"/>
        </w:rPr>
        <w:t>。</w:t>
      </w:r>
    </w:p>
    <w:p w14:paraId="4B7E3D90">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落实政府采购政策的价格调整：只有符合第二章《供应商须知》4.2条规定情形的，可以享受中小企业扶持政策，用扣除后的价格参加评审；否则，评审时价格不予扣除。</w:t>
      </w:r>
    </w:p>
    <w:p w14:paraId="77374957">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2C2C2E7E">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063319BF">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14:paraId="21A73CF4">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价格扣除比例对小型企业和微型企业同等对待，不作区分。</w:t>
      </w:r>
    </w:p>
    <w:p w14:paraId="530AA4E5">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中小企业参加政府采购活动，应当按照竞争性磋商文件给定的格式出具《中小企业声明函》，否则不得享受相关中小企业扶持政策。</w:t>
      </w:r>
    </w:p>
    <w:p w14:paraId="562DFB69">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监狱企业提供了由省级以上监狱管理局、戒毒管理局（含新疆生产建设兵团）出具的属于监狱企业的证明文件的，视同小微企业。</w:t>
      </w:r>
    </w:p>
    <w:p w14:paraId="71C6374F">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残疾人福利性单位按竞争性磋商文件要求提供了《残疾人福利性单位声明函》的，视同小微企业。</w:t>
      </w:r>
    </w:p>
    <w:p w14:paraId="78D41A95">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若供应商同时属于小型或微型企业、监狱企业、残疾人福利性单位中的两种及以上，将不重复享受小微企业价格扣减的优惠政策。</w:t>
      </w:r>
    </w:p>
    <w:p w14:paraId="52D250DC">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其他为落实政府采购政策实施的优先采购：</w:t>
      </w:r>
      <w:r>
        <w:rPr>
          <w:rFonts w:ascii="宋体" w:hAnsi="宋体"/>
          <w:color w:val="auto"/>
          <w:sz w:val="24"/>
          <w:highlight w:val="none"/>
          <w:u w:val="single"/>
        </w:rPr>
        <w:t xml:space="preserve">   /   </w:t>
      </w:r>
      <w:r>
        <w:rPr>
          <w:rFonts w:ascii="宋体" w:hAnsi="宋体"/>
          <w:color w:val="auto"/>
          <w:sz w:val="24"/>
          <w:highlight w:val="none"/>
        </w:rPr>
        <w:t>。</w:t>
      </w:r>
    </w:p>
    <w:p w14:paraId="324CE64D">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磋商环节及提交最后报价后如出现以下情况的，供应商的</w:t>
      </w:r>
      <w:r>
        <w:rPr>
          <w:rFonts w:ascii="宋体" w:hAnsi="宋体"/>
          <w:b/>
          <w:color w:val="auto"/>
          <w:sz w:val="24"/>
          <w:highlight w:val="none"/>
        </w:rPr>
        <w:t>响应文件无效</w:t>
      </w:r>
      <w:r>
        <w:rPr>
          <w:rFonts w:ascii="宋体" w:hAnsi="宋体"/>
          <w:color w:val="auto"/>
          <w:sz w:val="24"/>
          <w:highlight w:val="none"/>
        </w:rPr>
        <w:t>：</w:t>
      </w:r>
    </w:p>
    <w:p w14:paraId="102AB242">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供应商对实质性变动不予确认的；</w:t>
      </w:r>
    </w:p>
    <w:p w14:paraId="6D9524FA">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不满足磋商文件</w:t>
      </w:r>
      <w:r>
        <w:rPr>
          <w:rFonts w:ascii="宋体" w:hAnsi="宋体" w:cs="Segoe UI Symbol"/>
          <w:color w:val="auto"/>
          <w:sz w:val="24"/>
          <w:highlight w:val="none"/>
        </w:rPr>
        <w:t>★</w:t>
      </w:r>
      <w:r>
        <w:rPr>
          <w:rFonts w:ascii="宋体" w:hAnsi="宋体"/>
          <w:color w:val="auto"/>
          <w:sz w:val="24"/>
          <w:highlight w:val="none"/>
        </w:rPr>
        <w:t>号条款或磋商文件技术指标超出磋商文件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中主要技术参数允许偏差的最大范围的（如有）；</w:t>
      </w:r>
    </w:p>
    <w:p w14:paraId="008EB583">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未按照磋商小组规定的时间、逾期提交最后报价的；</w:t>
      </w:r>
    </w:p>
    <w:p w14:paraId="09A5BDD1">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如供应商的最后报价超过竞争性磋商文件中规定的项目/采购包预算金额或者项目/采购包最高限价的；</w:t>
      </w:r>
    </w:p>
    <w:p w14:paraId="49968B31">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响应文件中出现可选择性或可调整的报价的（竞争性磋商文件另有规定的除外）；</w:t>
      </w:r>
    </w:p>
    <w:p w14:paraId="16C641DC">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最后报价出现前后不一致，供应商对修正后的报价不予确认的；</w:t>
      </w:r>
    </w:p>
    <w:p w14:paraId="597C6554">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其他：</w:t>
      </w:r>
      <w:r>
        <w:rPr>
          <w:rFonts w:hint="eastAsia" w:ascii="宋体" w:hAnsi="宋体"/>
          <w:color w:val="auto"/>
          <w:sz w:val="24"/>
          <w:highlight w:val="none"/>
          <w:u w:val="single"/>
        </w:rPr>
        <w:t xml:space="preserve">  /  </w:t>
      </w:r>
      <w:r>
        <w:rPr>
          <w:rFonts w:ascii="宋体" w:hAnsi="宋体"/>
          <w:color w:val="auto"/>
          <w:sz w:val="24"/>
          <w:highlight w:val="none"/>
        </w:rPr>
        <w:t>。</w:t>
      </w:r>
    </w:p>
    <w:bookmarkEnd w:id="640"/>
    <w:bookmarkEnd w:id="641"/>
    <w:p w14:paraId="2B4009CE">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4B8E9A60">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5B554787">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竞争性磋商文件中没有规定的评审标准不得作为评审依据。</w:t>
      </w:r>
    </w:p>
    <w:p w14:paraId="70C087F4">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详见《评审标准》</w:t>
      </w:r>
      <w:r>
        <w:rPr>
          <w:rFonts w:ascii="宋体" w:hAnsi="宋体"/>
          <w:color w:val="auto"/>
          <w:sz w:val="24"/>
          <w:highlight w:val="none"/>
        </w:rPr>
        <w:t>。</w:t>
      </w:r>
    </w:p>
    <w:p w14:paraId="253EFB7E">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w:t>
      </w:r>
      <w:bookmarkStart w:id="643" w:name="_Ref467307010"/>
      <w:bookmarkStart w:id="644" w:name="_Toc151193860"/>
      <w:bookmarkStart w:id="645" w:name="_Toc164608660"/>
      <w:bookmarkStart w:id="646" w:name="_Toc226965819"/>
      <w:bookmarkStart w:id="647" w:name="_Toc150509297"/>
      <w:bookmarkStart w:id="648" w:name="_Toc164608815"/>
      <w:bookmarkStart w:id="649" w:name="_Toc151193788"/>
      <w:bookmarkStart w:id="650" w:name="_Toc150774751"/>
      <w:bookmarkStart w:id="651" w:name="_Toc127151546"/>
      <w:bookmarkStart w:id="652" w:name="_Toc151193934"/>
      <w:bookmarkStart w:id="653" w:name="_Toc264969236"/>
      <w:bookmarkStart w:id="654" w:name="_Toc164229241"/>
      <w:bookmarkStart w:id="655" w:name="_Toc150480784"/>
      <w:bookmarkStart w:id="656" w:name="_Toc151190173"/>
      <w:bookmarkStart w:id="657" w:name="_Toc164351640"/>
      <w:bookmarkStart w:id="658" w:name="_Toc226965736"/>
      <w:bookmarkStart w:id="659" w:name="_Toc127151747"/>
      <w:bookmarkStart w:id="660" w:name="_Toc226337242"/>
      <w:bookmarkStart w:id="661" w:name="_Toc164229387"/>
      <w:bookmarkStart w:id="662" w:name="_Toc142311048"/>
      <w:bookmarkStart w:id="663" w:name="_Toc149720839"/>
      <w:bookmarkStart w:id="664" w:name="_Toc520356170"/>
      <w:bookmarkStart w:id="665" w:name="_Toc150774646"/>
      <w:bookmarkStart w:id="666" w:name="_Toc195842911"/>
      <w:bookmarkStart w:id="667" w:name="_Toc151193644"/>
      <w:bookmarkStart w:id="668" w:name="_Toc226309790"/>
      <w:bookmarkStart w:id="669" w:name="_Toc127161460"/>
      <w:bookmarkStart w:id="670" w:name="_Toc265228384"/>
      <w:bookmarkStart w:id="671" w:name="_Toc305158888"/>
      <w:bookmarkStart w:id="672" w:name="_Toc151193716"/>
      <w:bookmarkStart w:id="673" w:name="_Toc305158814"/>
      <w:r>
        <w:rPr>
          <w:rFonts w:ascii="宋体" w:hAnsi="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DCA4976">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CBBA677">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szCs w:val="20"/>
          <w:highlight w:val="none"/>
        </w:rPr>
        <w:t>磋商小组根据上述供应商排序，依次推荐排序前</w:t>
      </w:r>
      <w:r>
        <w:rPr>
          <w:rFonts w:ascii="宋体" w:hAnsi="宋体"/>
          <w:color w:val="auto"/>
          <w:sz w:val="24"/>
          <w:highlight w:val="none"/>
          <w:u w:val="single"/>
        </w:rPr>
        <w:t xml:space="preserve">   3   </w:t>
      </w:r>
      <w:r>
        <w:rPr>
          <w:rFonts w:ascii="宋体" w:hAnsi="宋体"/>
          <w:color w:val="auto"/>
          <w:sz w:val="24"/>
          <w:highlight w:val="none"/>
        </w:rPr>
        <w:t>名</w:t>
      </w:r>
      <w:r>
        <w:rPr>
          <w:rFonts w:ascii="宋体" w:hAnsi="宋体"/>
          <w:color w:val="auto"/>
          <w:kern w:val="0"/>
          <w:sz w:val="24"/>
          <w:szCs w:val="20"/>
          <w:highlight w:val="none"/>
        </w:rPr>
        <w:t>的供应商为</w:t>
      </w:r>
      <w:r>
        <w:rPr>
          <w:rFonts w:ascii="宋体" w:hAnsi="宋体"/>
          <w:snapToGrid w:val="0"/>
          <w:color w:val="auto"/>
          <w:kern w:val="0"/>
          <w:sz w:val="24"/>
          <w:szCs w:val="21"/>
          <w:highlight w:val="none"/>
        </w:rPr>
        <w:t>成交候选供应商</w:t>
      </w:r>
      <w:r>
        <w:rPr>
          <w:rFonts w:ascii="宋体" w:hAnsi="宋体"/>
          <w:color w:val="auto"/>
          <w:kern w:val="0"/>
          <w:sz w:val="24"/>
          <w:szCs w:val="20"/>
          <w:highlight w:val="none"/>
        </w:rPr>
        <w:t>（若在磋商文件允许的情形下提交最后报价的供应商为二家，则依次推荐二名供应商为成交候选供应商），并编写评审报告。</w:t>
      </w:r>
    </w:p>
    <w:p w14:paraId="3336BA08">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磋商小组要对评分汇总情况进行复核，特别是对排名第一的、报价最低的、响应文件被认定为无效的情形进行重点复核。</w:t>
      </w:r>
    </w:p>
    <w:p w14:paraId="7046EF65">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报告违法行为</w:t>
      </w:r>
    </w:p>
    <w:p w14:paraId="160D3700">
      <w:pPr>
        <w:numPr>
          <w:ilvl w:val="1"/>
          <w:numId w:val="12"/>
        </w:numPr>
        <w:tabs>
          <w:tab w:val="left" w:pos="1080"/>
          <w:tab w:val="left" w:pos="1872"/>
        </w:tabs>
        <w:snapToGrid w:val="0"/>
        <w:spacing w:line="360" w:lineRule="auto"/>
        <w:ind w:left="1077" w:hanging="720"/>
        <w:rPr>
          <w:rFonts w:hint="eastAsia" w:ascii="宋体" w:hAnsi="宋体"/>
          <w:b/>
          <w:color w:val="auto"/>
          <w:sz w:val="24"/>
          <w:highlight w:val="none"/>
        </w:rPr>
      </w:pPr>
      <w:r>
        <w:rPr>
          <w:rFonts w:ascii="宋体" w:hAnsi="宋体"/>
          <w:color w:val="auto"/>
          <w:sz w:val="24"/>
          <w:highlight w:val="none"/>
        </w:rPr>
        <w:t>磋商小组在评审过程中发现供应商有行贿、提供虚假材料或者串通等违法行为时，</w:t>
      </w:r>
      <w:r>
        <w:rPr>
          <w:rFonts w:hint="eastAsia" w:ascii="宋体" w:hAnsi="宋体"/>
          <w:color w:val="auto"/>
          <w:sz w:val="24"/>
          <w:highlight w:val="none"/>
        </w:rPr>
        <w:t>应当及时向财政部门报告</w:t>
      </w:r>
      <w:r>
        <w:rPr>
          <w:rFonts w:ascii="宋体" w:hAnsi="宋体"/>
          <w:color w:val="auto"/>
          <w:sz w:val="24"/>
          <w:highlight w:val="none"/>
        </w:rPr>
        <w:t>。</w:t>
      </w:r>
      <w:r>
        <w:rPr>
          <w:rFonts w:ascii="宋体" w:hAnsi="宋体"/>
          <w:b/>
          <w:color w:val="auto"/>
          <w:sz w:val="24"/>
          <w:highlight w:val="none"/>
        </w:rPr>
        <w:br w:type="page"/>
      </w:r>
    </w:p>
    <w:p w14:paraId="6AFD066C">
      <w:pPr>
        <w:pStyle w:val="3"/>
        <w:numPr>
          <w:ilvl w:val="0"/>
          <w:numId w:val="13"/>
        </w:numPr>
        <w:spacing w:before="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评</w:t>
      </w:r>
      <w:r>
        <w:rPr>
          <w:rFonts w:hint="eastAsia" w:ascii="宋体" w:hAnsi="宋体" w:eastAsia="宋体"/>
          <w:color w:val="auto"/>
          <w:sz w:val="24"/>
          <w:szCs w:val="24"/>
          <w:highlight w:val="none"/>
        </w:rPr>
        <w:t>审</w:t>
      </w:r>
      <w:r>
        <w:rPr>
          <w:rFonts w:ascii="宋体" w:hAnsi="宋体" w:eastAsia="宋体"/>
          <w:color w:val="auto"/>
          <w:sz w:val="24"/>
          <w:szCs w:val="24"/>
          <w:highlight w:val="none"/>
        </w:rPr>
        <w:t>标准</w:t>
      </w:r>
    </w:p>
    <w:p w14:paraId="5927D67C">
      <w:pPr>
        <w:rPr>
          <w:rFonts w:hint="eastAsia" w:ascii="宋体" w:hAnsi="宋体"/>
          <w:color w:val="auto"/>
          <w:sz w:val="24"/>
          <w:highlight w:val="none"/>
        </w:rPr>
      </w:pPr>
    </w:p>
    <w:tbl>
      <w:tblPr>
        <w:tblStyle w:val="53"/>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518"/>
        <w:gridCol w:w="1421"/>
        <w:gridCol w:w="5783"/>
        <w:gridCol w:w="1066"/>
      </w:tblGrid>
      <w:tr w14:paraId="2AFE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75" w:type="dxa"/>
            <w:vAlign w:val="center"/>
          </w:tcPr>
          <w:p w14:paraId="11BAFCCA">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序号</w:t>
            </w:r>
          </w:p>
        </w:tc>
        <w:tc>
          <w:tcPr>
            <w:tcW w:w="1939" w:type="dxa"/>
            <w:gridSpan w:val="2"/>
            <w:vAlign w:val="center"/>
          </w:tcPr>
          <w:p w14:paraId="59E13B26">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评审条款</w:t>
            </w:r>
          </w:p>
        </w:tc>
        <w:tc>
          <w:tcPr>
            <w:tcW w:w="5783" w:type="dxa"/>
            <w:vAlign w:val="center"/>
          </w:tcPr>
          <w:p w14:paraId="1B9C4E5B">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评审细则说明</w:t>
            </w:r>
          </w:p>
        </w:tc>
        <w:tc>
          <w:tcPr>
            <w:tcW w:w="1066" w:type="dxa"/>
            <w:vAlign w:val="center"/>
          </w:tcPr>
          <w:p w14:paraId="1EAF8BAC">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分值</w:t>
            </w:r>
          </w:p>
          <w:p w14:paraId="2520EEE1">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w:t>
            </w:r>
          </w:p>
        </w:tc>
      </w:tr>
      <w:tr w14:paraId="1918D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475" w:type="dxa"/>
            <w:vAlign w:val="center"/>
          </w:tcPr>
          <w:p w14:paraId="382CE4C5">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1</w:t>
            </w:r>
          </w:p>
        </w:tc>
        <w:tc>
          <w:tcPr>
            <w:tcW w:w="1939" w:type="dxa"/>
            <w:gridSpan w:val="2"/>
            <w:vAlign w:val="center"/>
          </w:tcPr>
          <w:p w14:paraId="525201B2">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价格</w:t>
            </w:r>
          </w:p>
        </w:tc>
        <w:tc>
          <w:tcPr>
            <w:tcW w:w="5783" w:type="dxa"/>
            <w:vAlign w:val="center"/>
          </w:tcPr>
          <w:p w14:paraId="1B68C01F">
            <w:pPr>
              <w:adjustRightInd w:val="0"/>
              <w:spacing w:line="280" w:lineRule="exact"/>
              <w:rPr>
                <w:rFonts w:hint="eastAsia" w:ascii="宋体" w:hAnsi="宋体"/>
                <w:color w:val="auto"/>
                <w:szCs w:val="21"/>
                <w:highlight w:val="none"/>
              </w:rPr>
            </w:pPr>
            <w:r>
              <w:rPr>
                <w:rFonts w:hint="eastAsia" w:ascii="宋体" w:hAnsi="宋体"/>
                <w:color w:val="auto"/>
                <w:szCs w:val="21"/>
                <w:highlight w:val="none"/>
              </w:rPr>
              <w:t>满足磋商文件要求的最后报价最低的供应商的价格为磋商基准价，其价格分为满分。其他供应商的价格分统一按照下列公式计算：</w:t>
            </w:r>
          </w:p>
          <w:p w14:paraId="319F9485">
            <w:pPr>
              <w:spacing w:line="280" w:lineRule="exact"/>
              <w:ind w:firstLine="28"/>
              <w:jc w:val="left"/>
              <w:rPr>
                <w:rFonts w:hint="eastAsia" w:ascii="宋体" w:hAnsi="宋体"/>
                <w:color w:val="auto"/>
                <w:szCs w:val="21"/>
                <w:highlight w:val="none"/>
              </w:rPr>
            </w:pPr>
            <w:r>
              <w:rPr>
                <w:rFonts w:hint="eastAsia" w:ascii="宋体" w:hAnsi="宋体"/>
                <w:color w:val="auto"/>
                <w:szCs w:val="21"/>
                <w:highlight w:val="none"/>
              </w:rPr>
              <w:t>磋商报价得分=（磋商基准价/最后报价）×分值，</w:t>
            </w:r>
          </w:p>
          <w:p w14:paraId="039BEF26">
            <w:pPr>
              <w:adjustRightInd w:val="0"/>
              <w:spacing w:line="280" w:lineRule="exact"/>
              <w:rPr>
                <w:rFonts w:hint="eastAsia" w:ascii="宋体" w:hAnsi="宋体"/>
                <w:color w:val="auto"/>
                <w:kern w:val="44"/>
                <w:szCs w:val="21"/>
                <w:highlight w:val="none"/>
              </w:rPr>
            </w:pPr>
            <w:r>
              <w:rPr>
                <w:rFonts w:hint="eastAsia" w:ascii="宋体" w:hAnsi="宋体"/>
                <w:color w:val="auto"/>
                <w:szCs w:val="21"/>
                <w:highlight w:val="none"/>
              </w:rPr>
              <w:t>注1：此处最后报价指经过报价修正，及因落实政府采购政策进行价格调整后的报价，详见第三章《评审方法和评审标准》3.2、3.3。</w:t>
            </w:r>
          </w:p>
        </w:tc>
        <w:tc>
          <w:tcPr>
            <w:tcW w:w="1066" w:type="dxa"/>
            <w:vAlign w:val="center"/>
          </w:tcPr>
          <w:p w14:paraId="019F800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r>
              <w:rPr>
                <w:rFonts w:ascii="宋体" w:hAnsi="宋体"/>
                <w:color w:val="auto"/>
                <w:kern w:val="44"/>
                <w:szCs w:val="21"/>
                <w:highlight w:val="none"/>
              </w:rPr>
              <w:t>0</w:t>
            </w:r>
          </w:p>
        </w:tc>
      </w:tr>
      <w:tr w14:paraId="266C8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restart"/>
            <w:vAlign w:val="center"/>
          </w:tcPr>
          <w:p w14:paraId="5FB31DD8">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2</w:t>
            </w:r>
          </w:p>
        </w:tc>
        <w:tc>
          <w:tcPr>
            <w:tcW w:w="518" w:type="dxa"/>
            <w:vMerge w:val="restart"/>
            <w:tcBorders>
              <w:right w:val="single" w:color="auto" w:sz="4" w:space="0"/>
            </w:tcBorders>
            <w:vAlign w:val="center"/>
          </w:tcPr>
          <w:p w14:paraId="5933BDC6">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商务</w:t>
            </w:r>
          </w:p>
        </w:tc>
        <w:tc>
          <w:tcPr>
            <w:tcW w:w="1421" w:type="dxa"/>
            <w:tcBorders>
              <w:left w:val="single" w:color="auto" w:sz="4" w:space="0"/>
            </w:tcBorders>
            <w:vAlign w:val="center"/>
          </w:tcPr>
          <w:p w14:paraId="128F4B3F">
            <w:pPr>
              <w:adjustRightInd w:val="0"/>
              <w:spacing w:line="280" w:lineRule="exact"/>
              <w:jc w:val="center"/>
              <w:rPr>
                <w:rFonts w:hint="eastAsia" w:ascii="宋体" w:hAnsi="宋体" w:cs="宋体"/>
                <w:color w:val="auto"/>
                <w:kern w:val="44"/>
                <w:szCs w:val="21"/>
                <w:highlight w:val="none"/>
              </w:rPr>
            </w:pPr>
            <w:r>
              <w:rPr>
                <w:rFonts w:hint="eastAsia" w:ascii="宋体" w:hAnsi="宋体" w:cs="宋体"/>
                <w:color w:val="auto"/>
                <w:kern w:val="44"/>
                <w:szCs w:val="21"/>
                <w:highlight w:val="none"/>
              </w:rPr>
              <w:t>项目业绩</w:t>
            </w:r>
          </w:p>
        </w:tc>
        <w:tc>
          <w:tcPr>
            <w:tcW w:w="5783" w:type="dxa"/>
            <w:vAlign w:val="center"/>
          </w:tcPr>
          <w:p w14:paraId="3D74A52E">
            <w:pPr>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自2022年1月至今（以签订日期为准）供应商已成功实施的类似消防工程施工业绩，每提供一个业绩得2分，最高得6分；</w:t>
            </w:r>
          </w:p>
          <w:p w14:paraId="1F563E0E">
            <w:pPr>
              <w:pStyle w:val="19"/>
              <w:rPr>
                <w:rFonts w:hint="eastAsia" w:ascii="宋体" w:hAnsi="宋体"/>
                <w:color w:val="auto"/>
                <w:kern w:val="44"/>
                <w:szCs w:val="21"/>
                <w:highlight w:val="none"/>
              </w:rPr>
            </w:pPr>
            <w:r>
              <w:rPr>
                <w:rFonts w:hint="eastAsia" w:ascii="宋体" w:hAnsi="宋体" w:cs="宋体"/>
                <w:color w:val="auto"/>
                <w:kern w:val="44"/>
                <w:szCs w:val="21"/>
                <w:highlight w:val="none"/>
              </w:rPr>
              <w:t>注：需提供中标（成交）通知书或合同协议书、工程接收证书（或竣工验收备案登记表或单位工程质量竣工验收记录）</w:t>
            </w:r>
            <w:r>
              <w:rPr>
                <w:rFonts w:hint="eastAsia" w:ascii="宋体" w:hAnsi="宋体" w:cs="宋体"/>
                <w:color w:val="auto"/>
                <w:szCs w:val="21"/>
                <w:highlight w:val="none"/>
              </w:rPr>
              <w:t>扫描件，加盖</w:t>
            </w:r>
            <w:r>
              <w:rPr>
                <w:rFonts w:hint="eastAsia"/>
                <w:color w:val="auto"/>
                <w:highlight w:val="none"/>
              </w:rPr>
              <w:t>公章</w:t>
            </w:r>
            <w:r>
              <w:rPr>
                <w:rFonts w:hint="eastAsia" w:ascii="宋体" w:hAnsi="宋体" w:cs="宋体"/>
                <w:color w:val="auto"/>
                <w:kern w:val="44"/>
                <w:szCs w:val="21"/>
                <w:highlight w:val="none"/>
              </w:rPr>
              <w:t>。未提供或未按照要求提供</w:t>
            </w:r>
            <w:r>
              <w:rPr>
                <w:rFonts w:hint="eastAsia"/>
                <w:color w:val="auto"/>
                <w:highlight w:val="none"/>
              </w:rPr>
              <w:t>不得分。</w:t>
            </w:r>
          </w:p>
        </w:tc>
        <w:tc>
          <w:tcPr>
            <w:tcW w:w="1066" w:type="dxa"/>
            <w:vAlign w:val="center"/>
          </w:tcPr>
          <w:p w14:paraId="57F5CD8C">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6</w:t>
            </w:r>
          </w:p>
        </w:tc>
      </w:tr>
      <w:tr w14:paraId="673BF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continue"/>
            <w:vAlign w:val="center"/>
          </w:tcPr>
          <w:p w14:paraId="7863B717">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3A65C6A8">
            <w:pPr>
              <w:widowControl/>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37117CB6">
            <w:pPr>
              <w:ind w:firstLine="28"/>
              <w:jc w:val="center"/>
              <w:rPr>
                <w:rFonts w:hint="eastAsia" w:ascii="宋体" w:hAnsi="宋体" w:cs="宋体"/>
                <w:color w:val="auto"/>
                <w:szCs w:val="21"/>
                <w:highlight w:val="none"/>
              </w:rPr>
            </w:pPr>
            <w:r>
              <w:rPr>
                <w:rFonts w:hint="eastAsia" w:ascii="宋体" w:hAnsi="宋体" w:cs="宋体"/>
                <w:color w:val="auto"/>
                <w:kern w:val="44"/>
                <w:szCs w:val="21"/>
                <w:highlight w:val="none"/>
              </w:rPr>
              <w:t>环境标志产品</w:t>
            </w:r>
          </w:p>
        </w:tc>
        <w:tc>
          <w:tcPr>
            <w:tcW w:w="5783" w:type="dxa"/>
            <w:vAlign w:val="center"/>
          </w:tcPr>
          <w:p w14:paraId="533FE651">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供应商所用于本项目的建筑材料属于环境标志产品的，提供1项得1分，最多得1分；不提供不得分。</w:t>
            </w:r>
          </w:p>
          <w:p w14:paraId="4B5CDBE9">
            <w:pPr>
              <w:widowControl/>
              <w:adjustRightInd w:val="0"/>
              <w:spacing w:line="28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注：供应商须提供国家确定的认证机构出具的、处于有效期内的环境标志产品认证证书电子件并加盖公章。</w:t>
            </w:r>
          </w:p>
        </w:tc>
        <w:tc>
          <w:tcPr>
            <w:tcW w:w="1066" w:type="dxa"/>
            <w:vAlign w:val="center"/>
          </w:tcPr>
          <w:p w14:paraId="6689EDF5">
            <w:pPr>
              <w:widowControl/>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1</w:t>
            </w:r>
          </w:p>
        </w:tc>
      </w:tr>
      <w:tr w14:paraId="2D22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restart"/>
            <w:tcBorders>
              <w:top w:val="single" w:color="auto" w:sz="4" w:space="0"/>
            </w:tcBorders>
            <w:vAlign w:val="center"/>
          </w:tcPr>
          <w:p w14:paraId="2080A044">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p>
        </w:tc>
        <w:tc>
          <w:tcPr>
            <w:tcW w:w="518" w:type="dxa"/>
            <w:vMerge w:val="restart"/>
            <w:tcBorders>
              <w:top w:val="single" w:color="auto" w:sz="4" w:space="0"/>
              <w:right w:val="single" w:color="auto" w:sz="4" w:space="0"/>
            </w:tcBorders>
            <w:vAlign w:val="center"/>
          </w:tcPr>
          <w:p w14:paraId="6B27C29A">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技术</w:t>
            </w:r>
          </w:p>
        </w:tc>
        <w:tc>
          <w:tcPr>
            <w:tcW w:w="1421" w:type="dxa"/>
            <w:tcBorders>
              <w:top w:val="single" w:color="auto" w:sz="4" w:space="0"/>
              <w:left w:val="single" w:color="auto" w:sz="4" w:space="0"/>
            </w:tcBorders>
            <w:vAlign w:val="center"/>
          </w:tcPr>
          <w:p w14:paraId="5769A575">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本工程重点难点分析</w:t>
            </w:r>
          </w:p>
        </w:tc>
        <w:tc>
          <w:tcPr>
            <w:tcW w:w="5783" w:type="dxa"/>
            <w:tcBorders>
              <w:top w:val="single" w:color="auto" w:sz="4" w:space="0"/>
            </w:tcBorders>
            <w:vAlign w:val="center"/>
          </w:tcPr>
          <w:p w14:paraId="7210B0AE">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供应商根据经验、现场实际情况，进行工程重点难点分析，分析透彻、并有切实可行的解决方案，得5分。</w:t>
            </w:r>
          </w:p>
          <w:p w14:paraId="7E7A9C2A">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分析较为透彻，方案可行，得3分。</w:t>
            </w:r>
          </w:p>
          <w:p w14:paraId="20E8095E">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存在问题，但基本可行，得1分。</w:t>
            </w:r>
          </w:p>
          <w:p w14:paraId="1513876A">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分析不透彻或无此项内容，得0分。</w:t>
            </w:r>
          </w:p>
        </w:tc>
        <w:tc>
          <w:tcPr>
            <w:tcW w:w="1066" w:type="dxa"/>
            <w:tcBorders>
              <w:top w:val="single" w:color="auto" w:sz="4" w:space="0"/>
            </w:tcBorders>
            <w:vAlign w:val="center"/>
          </w:tcPr>
          <w:p w14:paraId="574F6DB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1E412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continue"/>
            <w:vAlign w:val="center"/>
          </w:tcPr>
          <w:p w14:paraId="13F036B7">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644197D6">
            <w:pPr>
              <w:adjustRightInd w:val="0"/>
              <w:spacing w:line="280" w:lineRule="exact"/>
              <w:jc w:val="center"/>
              <w:rPr>
                <w:rFonts w:hint="eastAsia" w:ascii="宋体" w:hAnsi="宋体"/>
                <w:color w:val="auto"/>
                <w:kern w:val="44"/>
                <w:szCs w:val="21"/>
                <w:highlight w:val="none"/>
              </w:rPr>
            </w:pPr>
          </w:p>
        </w:tc>
        <w:tc>
          <w:tcPr>
            <w:tcW w:w="1421" w:type="dxa"/>
            <w:tcBorders>
              <w:top w:val="single" w:color="auto" w:sz="4" w:space="0"/>
              <w:left w:val="single" w:color="auto" w:sz="4" w:space="0"/>
            </w:tcBorders>
            <w:vAlign w:val="center"/>
          </w:tcPr>
          <w:p w14:paraId="31189FF1">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项目</w:t>
            </w:r>
            <w:r>
              <w:rPr>
                <w:rFonts w:hint="eastAsia" w:ascii="宋体" w:hAnsi="宋体"/>
                <w:color w:val="auto"/>
                <w:kern w:val="44"/>
                <w:szCs w:val="21"/>
                <w:highlight w:val="none"/>
              </w:rPr>
              <w:t>管理机构</w:t>
            </w:r>
          </w:p>
        </w:tc>
        <w:tc>
          <w:tcPr>
            <w:tcW w:w="5783" w:type="dxa"/>
            <w:tcBorders>
              <w:top w:val="single" w:color="auto" w:sz="4" w:space="0"/>
            </w:tcBorders>
            <w:vAlign w:val="center"/>
          </w:tcPr>
          <w:p w14:paraId="67A784A3">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项目管理机构人员配备合理、专业齐全，得4分。</w:t>
            </w:r>
          </w:p>
          <w:p w14:paraId="7A62FDBB">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项目管理机构人员配备较合理、专业基本齐全，得2分。</w:t>
            </w:r>
          </w:p>
          <w:p w14:paraId="3F4D7CA6">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项目管理机构人员配备情况一般、专业基本齐全，得1分。</w:t>
            </w:r>
          </w:p>
          <w:p w14:paraId="6C9160DB">
            <w:pPr>
              <w:pStyle w:val="19"/>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项目管理机构人员配备欠合理、专业不齐全，得0分。</w:t>
            </w:r>
          </w:p>
        </w:tc>
        <w:tc>
          <w:tcPr>
            <w:tcW w:w="1066" w:type="dxa"/>
            <w:tcBorders>
              <w:top w:val="single" w:color="auto" w:sz="4" w:space="0"/>
            </w:tcBorders>
            <w:vAlign w:val="center"/>
          </w:tcPr>
          <w:p w14:paraId="729596CD">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4</w:t>
            </w:r>
          </w:p>
        </w:tc>
      </w:tr>
      <w:tr w14:paraId="58FB0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475" w:type="dxa"/>
            <w:vMerge w:val="continue"/>
            <w:vAlign w:val="center"/>
          </w:tcPr>
          <w:p w14:paraId="3805F9A7">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45DC5EC5">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5FABC5DB">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szCs w:val="21"/>
                <w:highlight w:val="none"/>
              </w:rPr>
              <w:t>施工方案与技术措施</w:t>
            </w:r>
          </w:p>
        </w:tc>
        <w:tc>
          <w:tcPr>
            <w:tcW w:w="5783" w:type="dxa"/>
            <w:vAlign w:val="center"/>
          </w:tcPr>
          <w:p w14:paraId="110A6943">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施工方案与技术措施详细、完整、思路清晰，表述准确，针对性、可行性强：</w:t>
            </w:r>
          </w:p>
          <w:p w14:paraId="4F4DA60D">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优于竞争性磋商文件要求，得10分。</w:t>
            </w:r>
          </w:p>
          <w:p w14:paraId="5D0FC058">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满足竞争性磋商文件要求，得7分。</w:t>
            </w:r>
          </w:p>
          <w:p w14:paraId="6D3573F5">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基本符合竞争性磋商文件要求但不清晰，得5分。</w:t>
            </w:r>
          </w:p>
          <w:p w14:paraId="2C79049D">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不能满足竞争性磋商文件要求，内容欠缺，得2分。</w:t>
            </w:r>
          </w:p>
          <w:p w14:paraId="34B39ED8">
            <w:pPr>
              <w:adjustRightInd w:val="0"/>
              <w:spacing w:line="26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没有相关内容，得0分。</w:t>
            </w:r>
          </w:p>
        </w:tc>
        <w:tc>
          <w:tcPr>
            <w:tcW w:w="1066" w:type="dxa"/>
            <w:vAlign w:val="center"/>
          </w:tcPr>
          <w:p w14:paraId="3F9DD487">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1CF8A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218FB5B9">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1B0B5296">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25311EA6">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质量管理体系与保证措施</w:t>
            </w:r>
          </w:p>
        </w:tc>
        <w:tc>
          <w:tcPr>
            <w:tcW w:w="5783" w:type="dxa"/>
            <w:vAlign w:val="center"/>
          </w:tcPr>
          <w:p w14:paraId="71B27405">
            <w:pPr>
              <w:autoSpaceDE w:val="0"/>
              <w:autoSpaceDN w:val="0"/>
              <w:jc w:val="left"/>
              <w:rPr>
                <w:rFonts w:hint="eastAsia" w:ascii="宋体" w:hAnsi="宋体"/>
                <w:color w:val="auto"/>
                <w:szCs w:val="21"/>
                <w:highlight w:val="none"/>
              </w:rPr>
            </w:pPr>
            <w:r>
              <w:rPr>
                <w:rFonts w:ascii="宋体" w:hAnsi="宋体"/>
                <w:color w:val="auto"/>
                <w:szCs w:val="21"/>
                <w:highlight w:val="none"/>
              </w:rPr>
              <w:t>1）建筑材料、构配件、设备及器具的质量管理。</w:t>
            </w:r>
          </w:p>
          <w:p w14:paraId="48F7D61D">
            <w:pPr>
              <w:autoSpaceDE w:val="0"/>
              <w:autoSpaceDN w:val="0"/>
              <w:jc w:val="left"/>
              <w:rPr>
                <w:rFonts w:hint="eastAsia" w:ascii="宋体" w:hAnsi="宋体"/>
                <w:color w:val="auto"/>
                <w:szCs w:val="21"/>
                <w:highlight w:val="none"/>
              </w:rPr>
            </w:pPr>
            <w:r>
              <w:rPr>
                <w:rFonts w:ascii="宋体" w:hAnsi="宋体"/>
                <w:color w:val="auto"/>
                <w:szCs w:val="21"/>
                <w:highlight w:val="none"/>
              </w:rPr>
              <w:t>2）工程质量检查验收管理。</w:t>
            </w:r>
          </w:p>
          <w:p w14:paraId="2E0CA21E">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）季节性技术质量保证。</w:t>
            </w:r>
          </w:p>
          <w:p w14:paraId="3674953F">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）工程质量常见问题防治。</w:t>
            </w:r>
          </w:p>
          <w:p w14:paraId="14FA884C">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）施工资料及电子化管理</w:t>
            </w:r>
            <w:r>
              <w:rPr>
                <w:rFonts w:hint="eastAsia" w:ascii="宋体" w:hAnsi="宋体"/>
                <w:color w:val="auto"/>
                <w:szCs w:val="21"/>
                <w:highlight w:val="none"/>
              </w:rPr>
              <w:t>，</w:t>
            </w:r>
            <w:r>
              <w:rPr>
                <w:rFonts w:ascii="宋体" w:hAnsi="宋体"/>
                <w:color w:val="auto"/>
                <w:szCs w:val="21"/>
                <w:highlight w:val="none"/>
              </w:rPr>
              <w:t>工程质量影像追溯管理。</w:t>
            </w:r>
            <w:r>
              <w:rPr>
                <w:rFonts w:ascii="宋体" w:hAnsi="宋体"/>
                <w:color w:val="auto"/>
                <w:szCs w:val="21"/>
                <w:highlight w:val="none"/>
              </w:rPr>
              <w:br w:type="textWrapping"/>
            </w:r>
            <w:r>
              <w:rPr>
                <w:rFonts w:hint="eastAsia" w:ascii="宋体" w:hAnsi="宋体"/>
                <w:color w:val="auto"/>
                <w:szCs w:val="21"/>
                <w:highlight w:val="none"/>
              </w:rPr>
              <w:t>6</w:t>
            </w:r>
            <w:r>
              <w:rPr>
                <w:rFonts w:ascii="宋体" w:hAnsi="宋体"/>
                <w:color w:val="auto"/>
                <w:szCs w:val="21"/>
                <w:highlight w:val="none"/>
              </w:rPr>
              <w:t>）制定施工质量保障措施，对项目管理目标影响较大、技术难度较大的施工工艺进行说明。</w:t>
            </w:r>
          </w:p>
          <w:p w14:paraId="67D43669">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4D2B455C">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774E9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20C6FD6A">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26D269CA">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66A1369B">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进度与成本管理及保障措施</w:t>
            </w:r>
          </w:p>
        </w:tc>
        <w:tc>
          <w:tcPr>
            <w:tcW w:w="5783" w:type="dxa"/>
            <w:vAlign w:val="center"/>
          </w:tcPr>
          <w:p w14:paraId="734199B9">
            <w:pPr>
              <w:jc w:val="left"/>
              <w:rPr>
                <w:rFonts w:hint="eastAsia" w:ascii="宋体" w:hAnsi="宋体"/>
                <w:color w:val="auto"/>
                <w:szCs w:val="21"/>
                <w:highlight w:val="none"/>
              </w:rPr>
            </w:pPr>
            <w:r>
              <w:rPr>
                <w:rFonts w:hint="eastAsia" w:ascii="宋体" w:hAnsi="宋体"/>
                <w:color w:val="auto"/>
                <w:szCs w:val="21"/>
                <w:highlight w:val="none"/>
              </w:rPr>
              <w:t>1）制定项目进度计划。</w:t>
            </w:r>
          </w:p>
          <w:p w14:paraId="4C8972C7">
            <w:pPr>
              <w:jc w:val="left"/>
              <w:rPr>
                <w:rFonts w:hint="eastAsia" w:ascii="宋体" w:hAnsi="宋体"/>
                <w:color w:val="auto"/>
                <w:szCs w:val="21"/>
                <w:highlight w:val="none"/>
              </w:rPr>
            </w:pPr>
            <w:r>
              <w:rPr>
                <w:rFonts w:hint="eastAsia" w:ascii="宋体" w:hAnsi="宋体"/>
                <w:color w:val="auto"/>
                <w:szCs w:val="21"/>
                <w:highlight w:val="none"/>
              </w:rPr>
              <w:t>2）进度计划符合施工技术规律和合理的施工顺序，各工序在时间和空间上衔接顺利。</w:t>
            </w:r>
            <w:r>
              <w:rPr>
                <w:rFonts w:ascii="宋体" w:hAnsi="宋体"/>
                <w:color w:val="auto"/>
                <w:szCs w:val="21"/>
                <w:highlight w:val="none"/>
              </w:rPr>
              <w:br w:type="textWrapping"/>
            </w:r>
            <w:r>
              <w:rPr>
                <w:rFonts w:hint="eastAsia" w:ascii="宋体" w:hAnsi="宋体"/>
                <w:color w:val="auto"/>
                <w:szCs w:val="21"/>
                <w:highlight w:val="none"/>
              </w:rPr>
              <w:t>3）进度计划的编制、动态更新及报批制度及施工过程的进度计划检查、落实保障与纠偏措施。</w:t>
            </w:r>
          </w:p>
          <w:p w14:paraId="0A51F675">
            <w:pPr>
              <w:jc w:val="left"/>
              <w:rPr>
                <w:rFonts w:hint="eastAsia" w:ascii="宋体" w:hAnsi="宋体"/>
                <w:color w:val="auto"/>
                <w:szCs w:val="21"/>
                <w:highlight w:val="none"/>
              </w:rPr>
            </w:pPr>
            <w:r>
              <w:rPr>
                <w:rFonts w:hint="eastAsia" w:ascii="宋体" w:hAnsi="宋体"/>
                <w:color w:val="auto"/>
                <w:szCs w:val="21"/>
                <w:highlight w:val="none"/>
              </w:rPr>
              <w:t>4）制定劳动力、施工机具、建筑材料、构配件和设备等施工资源保障措施并分析各因素对施工进度的影响。</w:t>
            </w:r>
          </w:p>
          <w:p w14:paraId="47DDA096">
            <w:pPr>
              <w:jc w:val="left"/>
              <w:rPr>
                <w:rFonts w:hint="eastAsia" w:ascii="宋体" w:hAnsi="宋体"/>
                <w:color w:val="auto"/>
                <w:szCs w:val="21"/>
                <w:highlight w:val="none"/>
              </w:rPr>
            </w:pPr>
            <w:r>
              <w:rPr>
                <w:rFonts w:hint="eastAsia" w:ascii="宋体" w:hAnsi="宋体"/>
                <w:color w:val="auto"/>
                <w:szCs w:val="21"/>
                <w:highlight w:val="none"/>
              </w:rPr>
              <w:t>5）制定资金保障措施。</w:t>
            </w:r>
            <w:r>
              <w:rPr>
                <w:rFonts w:ascii="宋体" w:hAnsi="宋体"/>
                <w:color w:val="auto"/>
                <w:szCs w:val="21"/>
                <w:highlight w:val="none"/>
              </w:rPr>
              <w:br w:type="textWrapping"/>
            </w:r>
            <w:r>
              <w:rPr>
                <w:rFonts w:hint="eastAsia" w:ascii="宋体" w:hAnsi="宋体"/>
                <w:color w:val="auto"/>
                <w:szCs w:val="21"/>
                <w:highlight w:val="none"/>
              </w:rPr>
              <w:t>6）制定必要的成本控制纠偏措施和风险防控措施，成本管理与进度、质量、安全和环境管理协调进行。</w:t>
            </w:r>
          </w:p>
          <w:p w14:paraId="2F07BE9F">
            <w:pPr>
              <w:adjustRightInd w:val="0"/>
              <w:spacing w:line="260" w:lineRule="exact"/>
              <w:jc w:val="left"/>
              <w:rPr>
                <w:rFonts w:hint="eastAsia" w:ascii="宋体" w:hAnsi="宋体"/>
                <w:color w:val="auto"/>
                <w:kern w:val="44"/>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13C9BFBD">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72909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5" w:type="dxa"/>
            <w:vMerge w:val="continue"/>
            <w:vAlign w:val="center"/>
          </w:tcPr>
          <w:p w14:paraId="341A9CD6">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5ED02BD9">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2E8BE5DB">
            <w:pPr>
              <w:adjustRightInd w:val="0"/>
              <w:spacing w:line="280" w:lineRule="exact"/>
              <w:jc w:val="center"/>
              <w:rPr>
                <w:rFonts w:hint="eastAsia" w:ascii="宋体" w:hAnsi="宋体"/>
                <w:color w:val="auto"/>
                <w:kern w:val="44"/>
                <w:szCs w:val="21"/>
                <w:highlight w:val="none"/>
              </w:rPr>
            </w:pPr>
            <w:r>
              <w:rPr>
                <w:rFonts w:ascii="宋体" w:hAnsi="宋体"/>
                <w:color w:val="auto"/>
                <w:szCs w:val="21"/>
                <w:highlight w:val="none"/>
              </w:rPr>
              <w:t>安全管理及保障措施</w:t>
            </w:r>
          </w:p>
        </w:tc>
        <w:tc>
          <w:tcPr>
            <w:tcW w:w="5783" w:type="dxa"/>
            <w:vAlign w:val="center"/>
          </w:tcPr>
          <w:p w14:paraId="4DB419BC">
            <w:pPr>
              <w:autoSpaceDE w:val="0"/>
              <w:autoSpaceDN w:val="0"/>
              <w:jc w:val="left"/>
              <w:rPr>
                <w:rFonts w:hint="eastAsia" w:ascii="宋体" w:hAnsi="宋体"/>
                <w:color w:val="auto"/>
                <w:szCs w:val="21"/>
                <w:highlight w:val="none"/>
              </w:rPr>
            </w:pPr>
            <w:r>
              <w:rPr>
                <w:rFonts w:ascii="宋体" w:hAnsi="宋体"/>
                <w:color w:val="auto"/>
                <w:szCs w:val="21"/>
                <w:highlight w:val="none"/>
              </w:rPr>
              <w:t>1）设立项目安全施工管理组织机构，组建安全生产领导小组，安管人员配备符合要求。</w:t>
            </w:r>
          </w:p>
          <w:p w14:paraId="0C8DB5C7">
            <w:pPr>
              <w:autoSpaceDE w:val="0"/>
              <w:autoSpaceDN w:val="0"/>
              <w:jc w:val="left"/>
              <w:rPr>
                <w:rFonts w:hint="eastAsia" w:ascii="宋体" w:hAnsi="宋体"/>
                <w:color w:val="auto"/>
                <w:szCs w:val="21"/>
                <w:highlight w:val="none"/>
              </w:rPr>
            </w:pPr>
            <w:r>
              <w:rPr>
                <w:rFonts w:ascii="宋体" w:hAnsi="宋体"/>
                <w:color w:val="auto"/>
                <w:szCs w:val="21"/>
                <w:highlight w:val="none"/>
              </w:rPr>
              <w:t>2）建立、健全安全生产责任制，岗位职责明确。</w:t>
            </w:r>
          </w:p>
          <w:p w14:paraId="0812E73B">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）编制与本工程相关的危险作业(用电作业、高处作业、高空作业吊篮、吊装作业、动火作业)防范措施和职业危害防治方案。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）建立隐患排查治理制度。</w:t>
            </w:r>
          </w:p>
          <w:p w14:paraId="0C29683D">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）编制有针对性的雨期以及极端天气状况等专项施工方案，明确季节性施工内容及控制重点、施工准备、主要分部分项工程施工要点及措施、应急处置措施等。</w:t>
            </w:r>
          </w:p>
          <w:p w14:paraId="0478D235">
            <w:pPr>
              <w:jc w:val="left"/>
              <w:rPr>
                <w:rFonts w:hint="eastAsia" w:ascii="宋体" w:hAnsi="宋体"/>
                <w:color w:val="auto"/>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分，每项基本满足得</w:t>
            </w:r>
            <w:r>
              <w:rPr>
                <w:rFonts w:hint="eastAsia" w:ascii="宋体" w:hAnsi="宋体"/>
                <w:color w:val="auto"/>
                <w:szCs w:val="21"/>
                <w:highlight w:val="none"/>
              </w:rPr>
              <w:t>1</w:t>
            </w:r>
            <w:r>
              <w:rPr>
                <w:rFonts w:ascii="宋体" w:hAnsi="宋体"/>
                <w:color w:val="auto"/>
                <w:szCs w:val="21"/>
                <w:highlight w:val="none"/>
              </w:rPr>
              <w:t>分，每项不满足得 0 分。</w:t>
            </w:r>
          </w:p>
        </w:tc>
        <w:tc>
          <w:tcPr>
            <w:tcW w:w="1066" w:type="dxa"/>
            <w:vAlign w:val="center"/>
          </w:tcPr>
          <w:p w14:paraId="141CE54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73326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9" w:hRule="atLeast"/>
          <w:jc w:val="center"/>
        </w:trPr>
        <w:tc>
          <w:tcPr>
            <w:tcW w:w="475" w:type="dxa"/>
            <w:vMerge w:val="continue"/>
            <w:vAlign w:val="center"/>
          </w:tcPr>
          <w:p w14:paraId="39BE50E9">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448F262A">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79F43D3E">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绿色文明施工管理及保障措施</w:t>
            </w:r>
          </w:p>
        </w:tc>
        <w:tc>
          <w:tcPr>
            <w:tcW w:w="5783" w:type="dxa"/>
            <w:vAlign w:val="center"/>
          </w:tcPr>
          <w:p w14:paraId="0B0EADC6">
            <w:pPr>
              <w:autoSpaceDE w:val="0"/>
              <w:autoSpaceDN w:val="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建立绿色文明施工管理制度。</w:t>
            </w:r>
          </w:p>
          <w:p w14:paraId="0C140388">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2）建立健全绿色文明施工组织机构，明确责任分工。</w:t>
            </w:r>
          </w:p>
          <w:p w14:paraId="1A1AF87D">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）制定施工噪声污染防治工作方案。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）制定农民工工资发放管理制度，制定保障及时发放农民工工资相关措施，营造和谐、稳定的工作生活环境。</w:t>
            </w:r>
          </w:p>
          <w:p w14:paraId="7E667453">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5）定期组织防汛、消防、防灾、生产安全事故、极端天气应对等各类应急培训和演练。</w:t>
            </w:r>
          </w:p>
          <w:p w14:paraId="6EE381A1">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1</w:t>
            </w:r>
            <w:r>
              <w:rPr>
                <w:rFonts w:ascii="宋体" w:hAnsi="宋体"/>
                <w:color w:val="auto"/>
                <w:szCs w:val="21"/>
                <w:highlight w:val="none"/>
              </w:rPr>
              <w:t>分，每项基本满足得</w:t>
            </w:r>
            <w:r>
              <w:rPr>
                <w:rFonts w:hint="eastAsia" w:ascii="宋体" w:hAnsi="宋体"/>
                <w:color w:val="auto"/>
                <w:szCs w:val="21"/>
                <w:highlight w:val="none"/>
              </w:rPr>
              <w:t>0.5</w:t>
            </w:r>
            <w:r>
              <w:rPr>
                <w:rFonts w:ascii="宋体" w:hAnsi="宋体"/>
                <w:color w:val="auto"/>
                <w:szCs w:val="21"/>
                <w:highlight w:val="none"/>
              </w:rPr>
              <w:t>分，每项不满足得 0 分。</w:t>
            </w:r>
          </w:p>
        </w:tc>
        <w:tc>
          <w:tcPr>
            <w:tcW w:w="1066" w:type="dxa"/>
            <w:vAlign w:val="center"/>
          </w:tcPr>
          <w:p w14:paraId="63D98001">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6E7C1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475" w:type="dxa"/>
            <w:vMerge w:val="continue"/>
            <w:vAlign w:val="center"/>
          </w:tcPr>
          <w:p w14:paraId="116489F5">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06E9FCAF">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3F0E7964">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紧急情况的处理措施、预案以及抵抗风险的措施</w:t>
            </w:r>
          </w:p>
        </w:tc>
        <w:tc>
          <w:tcPr>
            <w:tcW w:w="5783" w:type="dxa"/>
            <w:vAlign w:val="center"/>
          </w:tcPr>
          <w:p w14:paraId="6FBD5237">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科学、可行、针对性强，得5分。</w:t>
            </w:r>
          </w:p>
          <w:p w14:paraId="73C4E550">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合理、可行、细节待完善，得3分。</w:t>
            </w:r>
          </w:p>
          <w:p w14:paraId="19BA64FC">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欠合理，可行性较差，基本满足工程需要，得1分。</w:t>
            </w:r>
          </w:p>
          <w:p w14:paraId="03F2CC50">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无此项内容，得0分。</w:t>
            </w:r>
          </w:p>
        </w:tc>
        <w:tc>
          <w:tcPr>
            <w:tcW w:w="1066" w:type="dxa"/>
            <w:vAlign w:val="center"/>
          </w:tcPr>
          <w:p w14:paraId="026C062D">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36E09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97" w:type="dxa"/>
            <w:gridSpan w:val="4"/>
            <w:vAlign w:val="center"/>
          </w:tcPr>
          <w:p w14:paraId="4CB27E5E">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总计</w:t>
            </w:r>
          </w:p>
        </w:tc>
        <w:tc>
          <w:tcPr>
            <w:tcW w:w="1066" w:type="dxa"/>
            <w:vAlign w:val="center"/>
          </w:tcPr>
          <w:p w14:paraId="6C26BAB7">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100</w:t>
            </w:r>
          </w:p>
        </w:tc>
      </w:tr>
    </w:tbl>
    <w:p w14:paraId="554C673E">
      <w:pPr>
        <w:rPr>
          <w:rFonts w:hint="eastAsia" w:ascii="宋体" w:hAnsi="宋体"/>
          <w:color w:val="auto"/>
          <w:sz w:val="24"/>
          <w:highlight w:val="none"/>
        </w:rPr>
      </w:pPr>
    </w:p>
    <w:p w14:paraId="65E8D768">
      <w:pPr>
        <w:widowControl/>
        <w:tabs>
          <w:tab w:val="left" w:pos="3617"/>
        </w:tabs>
        <w:adjustRightInd w:val="0"/>
        <w:spacing w:line="360" w:lineRule="auto"/>
        <w:jc w:val="center"/>
        <w:outlineLvl w:val="0"/>
        <w:rPr>
          <w:rFonts w:hint="eastAsia" w:ascii="宋体" w:hAnsi="宋体"/>
          <w:b/>
          <w:color w:val="auto"/>
          <w:sz w:val="36"/>
          <w:szCs w:val="36"/>
          <w:highlight w:val="none"/>
        </w:rPr>
      </w:pPr>
      <w:r>
        <w:rPr>
          <w:rFonts w:hint="eastAsia" w:ascii="宋体" w:hAnsi="宋体"/>
          <w:color w:val="auto"/>
          <w:kern w:val="44"/>
          <w:sz w:val="20"/>
          <w:szCs w:val="21"/>
          <w:highlight w:val="none"/>
        </w:rPr>
        <w:br w:type="page"/>
      </w:r>
      <w:bookmarkStart w:id="674" w:name="_Toc24175"/>
      <w:r>
        <w:rPr>
          <w:rFonts w:ascii="宋体" w:hAnsi="宋体"/>
          <w:b/>
          <w:color w:val="auto"/>
          <w:sz w:val="36"/>
          <w:szCs w:val="36"/>
          <w:highlight w:val="none"/>
        </w:rPr>
        <w:t>第四章   采购需求</w:t>
      </w:r>
      <w:bookmarkEnd w:id="674"/>
    </w:p>
    <w:p w14:paraId="11B36B41">
      <w:pPr>
        <w:tabs>
          <w:tab w:val="left" w:pos="567"/>
        </w:tabs>
        <w:spacing w:before="240" w:line="360" w:lineRule="auto"/>
        <w:outlineLvl w:val="1"/>
        <w:rPr>
          <w:rFonts w:hint="eastAsia" w:ascii="宋体" w:hAnsi="宋体"/>
          <w:color w:val="auto"/>
          <w:sz w:val="24"/>
          <w:highlight w:val="none"/>
        </w:rPr>
      </w:pPr>
      <w:bookmarkStart w:id="675" w:name="_Hlk170978421"/>
      <w:r>
        <w:rPr>
          <w:rFonts w:hint="eastAsia" w:ascii="宋体" w:hAnsi="宋体"/>
          <w:color w:val="auto"/>
          <w:sz w:val="24"/>
          <w:highlight w:val="none"/>
        </w:rPr>
        <w:t>一、采购标的</w:t>
      </w:r>
    </w:p>
    <w:tbl>
      <w:tblPr>
        <w:tblStyle w:val="5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39"/>
        <w:gridCol w:w="825"/>
        <w:gridCol w:w="4905"/>
      </w:tblGrid>
      <w:tr w14:paraId="6D32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3" w:type="dxa"/>
            <w:vAlign w:val="center"/>
          </w:tcPr>
          <w:p w14:paraId="3646F760">
            <w:pPr>
              <w:jc w:val="center"/>
              <w:rPr>
                <w:rFonts w:hint="eastAsia" w:ascii="宋体" w:hAnsi="宋体"/>
                <w:bCs/>
                <w:color w:val="auto"/>
                <w:szCs w:val="21"/>
                <w:highlight w:val="none"/>
              </w:rPr>
            </w:pPr>
            <w:r>
              <w:rPr>
                <w:rFonts w:ascii="宋体" w:hAnsi="宋体"/>
                <w:bCs/>
                <w:color w:val="auto"/>
                <w:szCs w:val="21"/>
                <w:highlight w:val="none"/>
              </w:rPr>
              <w:t>标的名称</w:t>
            </w:r>
          </w:p>
        </w:tc>
        <w:tc>
          <w:tcPr>
            <w:tcW w:w="1739" w:type="dxa"/>
            <w:vAlign w:val="center"/>
          </w:tcPr>
          <w:p w14:paraId="1D90508A">
            <w:pPr>
              <w:jc w:val="center"/>
              <w:rPr>
                <w:rFonts w:hint="eastAsia" w:ascii="宋体" w:hAnsi="宋体"/>
                <w:bCs/>
                <w:color w:val="auto"/>
                <w:szCs w:val="21"/>
                <w:highlight w:val="none"/>
              </w:rPr>
            </w:pPr>
            <w:r>
              <w:rPr>
                <w:rFonts w:ascii="宋体" w:hAnsi="宋体"/>
                <w:bCs/>
                <w:color w:val="auto"/>
                <w:szCs w:val="21"/>
                <w:highlight w:val="none"/>
              </w:rPr>
              <w:t>采购包预算金额（万元）</w:t>
            </w:r>
          </w:p>
        </w:tc>
        <w:tc>
          <w:tcPr>
            <w:tcW w:w="825" w:type="dxa"/>
            <w:vAlign w:val="center"/>
          </w:tcPr>
          <w:p w14:paraId="6354AEA0">
            <w:pPr>
              <w:jc w:val="center"/>
              <w:rPr>
                <w:rFonts w:hint="eastAsia" w:ascii="宋体" w:hAnsi="宋体"/>
                <w:bCs/>
                <w:color w:val="auto"/>
                <w:szCs w:val="21"/>
                <w:highlight w:val="none"/>
              </w:rPr>
            </w:pPr>
            <w:r>
              <w:rPr>
                <w:rFonts w:ascii="宋体" w:hAnsi="宋体"/>
                <w:bCs/>
                <w:color w:val="auto"/>
                <w:szCs w:val="21"/>
                <w:highlight w:val="none"/>
              </w:rPr>
              <w:t>数量</w:t>
            </w:r>
          </w:p>
        </w:tc>
        <w:tc>
          <w:tcPr>
            <w:tcW w:w="4905" w:type="dxa"/>
            <w:vAlign w:val="center"/>
          </w:tcPr>
          <w:p w14:paraId="451D4B8A">
            <w:pPr>
              <w:jc w:val="center"/>
              <w:rPr>
                <w:rFonts w:hint="eastAsia" w:ascii="宋体" w:hAnsi="宋体"/>
                <w:color w:val="auto"/>
                <w:szCs w:val="21"/>
                <w:highlight w:val="none"/>
              </w:rPr>
            </w:pPr>
            <w:r>
              <w:rPr>
                <w:rFonts w:ascii="宋体" w:hAnsi="宋体"/>
                <w:color w:val="auto"/>
                <w:szCs w:val="21"/>
                <w:highlight w:val="none"/>
              </w:rPr>
              <w:t>简要技术需求或服务要求</w:t>
            </w:r>
          </w:p>
        </w:tc>
      </w:tr>
      <w:tr w14:paraId="5095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93" w:type="dxa"/>
            <w:vAlign w:val="center"/>
          </w:tcPr>
          <w:p w14:paraId="3E0DF8AF">
            <w:pPr>
              <w:jc w:val="center"/>
              <w:rPr>
                <w:rFonts w:hint="eastAsia" w:ascii="宋体" w:hAnsi="宋体"/>
                <w:bCs/>
                <w:color w:val="auto"/>
                <w:szCs w:val="21"/>
                <w:highlight w:val="none"/>
              </w:rPr>
            </w:pPr>
            <w:r>
              <w:rPr>
                <w:rFonts w:hint="eastAsia" w:ascii="宋体" w:hAnsi="宋体"/>
                <w:bCs/>
                <w:color w:val="auto"/>
                <w:szCs w:val="21"/>
                <w:highlight w:val="none"/>
              </w:rPr>
              <w:t>消防工程</w:t>
            </w:r>
          </w:p>
        </w:tc>
        <w:tc>
          <w:tcPr>
            <w:tcW w:w="1739" w:type="dxa"/>
            <w:vAlign w:val="center"/>
          </w:tcPr>
          <w:p w14:paraId="4F7144CF">
            <w:pPr>
              <w:jc w:val="center"/>
              <w:rPr>
                <w:rFonts w:hint="eastAsia" w:ascii="宋体" w:hAnsi="宋体"/>
                <w:bCs/>
                <w:color w:val="auto"/>
                <w:szCs w:val="21"/>
                <w:highlight w:val="none"/>
              </w:rPr>
            </w:pPr>
            <w:r>
              <w:rPr>
                <w:rFonts w:hint="eastAsia" w:ascii="宋体" w:hAnsi="宋体"/>
                <w:bCs/>
                <w:color w:val="auto"/>
                <w:szCs w:val="21"/>
                <w:highlight w:val="none"/>
              </w:rPr>
              <w:t>325.512731</w:t>
            </w:r>
          </w:p>
        </w:tc>
        <w:tc>
          <w:tcPr>
            <w:tcW w:w="825" w:type="dxa"/>
            <w:vAlign w:val="center"/>
          </w:tcPr>
          <w:p w14:paraId="7AEC5865">
            <w:pPr>
              <w:jc w:val="center"/>
              <w:rPr>
                <w:rFonts w:hint="eastAsia" w:ascii="宋体" w:hAnsi="宋体"/>
                <w:bCs/>
                <w:color w:val="auto"/>
                <w:szCs w:val="21"/>
                <w:highlight w:val="none"/>
              </w:rPr>
            </w:pPr>
            <w:r>
              <w:rPr>
                <w:rFonts w:hint="eastAsia" w:ascii="宋体" w:hAnsi="宋体"/>
                <w:bCs/>
                <w:color w:val="auto"/>
                <w:szCs w:val="21"/>
                <w:highlight w:val="none"/>
              </w:rPr>
              <w:t>1项</w:t>
            </w:r>
          </w:p>
        </w:tc>
        <w:tc>
          <w:tcPr>
            <w:tcW w:w="4905" w:type="dxa"/>
            <w:vAlign w:val="center"/>
          </w:tcPr>
          <w:p w14:paraId="3874A7A2">
            <w:pPr>
              <w:rPr>
                <w:rFonts w:hint="eastAsia" w:ascii="宋体" w:hAnsi="宋体" w:cs="宋体"/>
                <w:bCs/>
                <w:color w:val="auto"/>
                <w:szCs w:val="21"/>
                <w:highlight w:val="none"/>
              </w:rPr>
            </w:pPr>
            <w:r>
              <w:rPr>
                <w:rFonts w:hint="eastAsia" w:ascii="宋体" w:hAnsi="宋体" w:cs="宋体"/>
                <w:bCs/>
                <w:color w:val="auto"/>
                <w:szCs w:val="21"/>
                <w:highlight w:val="none"/>
              </w:rPr>
              <w:t>（1）施工范围：本项目设计图纸及工程量清单范围内的消防设施改造维修及其附属等全部施工；</w:t>
            </w:r>
          </w:p>
          <w:p w14:paraId="47B06E73">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（2）建设规模：总建筑面积为27865平方米，其中科技楼为13545平方米，教学楼为14320平方米</w:t>
            </w:r>
            <w:r>
              <w:rPr>
                <w:rFonts w:hint="eastAsia" w:ascii="宋体" w:hAnsi="宋体" w:cs="宋体"/>
                <w:bCs/>
                <w:color w:val="auto"/>
                <w:szCs w:val="21"/>
                <w:highlight w:val="none"/>
                <w:lang w:eastAsia="zh-CN"/>
              </w:rPr>
              <w:t>，改造涉及面积14595平方米</w:t>
            </w:r>
            <w:r>
              <w:rPr>
                <w:rFonts w:hint="eastAsia" w:ascii="宋体" w:hAnsi="宋体" w:cs="宋体"/>
                <w:bCs/>
                <w:color w:val="auto"/>
                <w:szCs w:val="21"/>
                <w:highlight w:val="none"/>
              </w:rPr>
              <w:t>；</w:t>
            </w:r>
          </w:p>
          <w:p w14:paraId="7D67BCFF">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（3）建设地点：北京市顺义区站前东街6号；</w:t>
            </w:r>
          </w:p>
          <w:p w14:paraId="311134BE">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281E2F73">
            <w:pPr>
              <w:jc w:val="left"/>
              <w:rPr>
                <w:rFonts w:hint="eastAsia" w:ascii="宋体" w:hAnsi="宋体" w:cs="宋体"/>
                <w:bCs/>
                <w:color w:val="auto"/>
                <w:szCs w:val="21"/>
                <w:highlight w:val="none"/>
              </w:rPr>
            </w:pPr>
            <w:r>
              <w:rPr>
                <w:rFonts w:hint="eastAsia" w:ascii="宋体" w:hAnsi="宋体" w:cs="宋体"/>
                <w:bCs/>
                <w:color w:val="auto"/>
                <w:szCs w:val="21"/>
                <w:highlight w:val="none"/>
              </w:rPr>
              <w:t>（5）安全生产标准化管理目标等级:达标；</w:t>
            </w:r>
          </w:p>
          <w:p w14:paraId="1E1F94C2">
            <w:pPr>
              <w:jc w:val="left"/>
              <w:rPr>
                <w:rFonts w:hint="eastAsia" w:ascii="宋体" w:hAnsi="宋体"/>
                <w:bCs/>
                <w:color w:val="auto"/>
                <w:szCs w:val="21"/>
                <w:highlight w:val="none"/>
              </w:rPr>
            </w:pPr>
            <w:r>
              <w:rPr>
                <w:rFonts w:hint="eastAsia" w:ascii="宋体" w:hAnsi="宋体" w:cs="宋体"/>
                <w:bCs/>
                <w:color w:val="auto"/>
                <w:szCs w:val="21"/>
                <w:highlight w:val="none"/>
              </w:rPr>
              <w:t>具体内容详见“第四章采购需求”。</w:t>
            </w:r>
          </w:p>
        </w:tc>
      </w:tr>
    </w:tbl>
    <w:p w14:paraId="62917329">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二、商务要求</w:t>
      </w:r>
    </w:p>
    <w:p w14:paraId="70A24E0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合同履行期限（工期）</w:t>
      </w:r>
      <w:r>
        <w:rPr>
          <w:rFonts w:hint="eastAsia" w:ascii="宋体" w:hAnsi="宋体"/>
          <w:color w:val="auto"/>
          <w:sz w:val="24"/>
          <w:highlight w:val="none"/>
        </w:rPr>
        <w:t>：91日历天。</w:t>
      </w:r>
    </w:p>
    <w:p w14:paraId="4652D5F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具体开竣工日期以采购人、成交供应商双方签订合同为准。</w:t>
      </w:r>
    </w:p>
    <w:p w14:paraId="4070104A">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2.缺陷责任期：自工程竣工验收合格之日起24个月。</w:t>
      </w:r>
    </w:p>
    <w:p w14:paraId="7762F772">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付款条件：供应商施工进场后支付至合同价款的30%,，竣工验收合格后最高支付至合同价款的85%,最终支付以财政结算评审为准。财政结算评审报告出具后，供应商缴纳财政结算评审金额的3%作为质量保证金，（质量保证金将在验收合格后二年期满无息返还），采购人向供应商支付至财政结算评审金额的100%。鉴于采购人付款依托于财政拨款，如遇财政拨款计划有变动，以款项实际到账金额、时间为准。因财政拨款变动导致采购人实际付款时间迟于合同约定的，不构成采购人违约，采购人无需承担任何责任，供应商不得以工程款不到位，停工及工人闹事。采购人付款前，供应商应向采购人提供足额合法增值税普通发票。</w:t>
      </w:r>
    </w:p>
    <w:bookmarkEnd w:id="675"/>
    <w:p w14:paraId="2BE3AA08">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三、技术要求</w:t>
      </w:r>
    </w:p>
    <w:p w14:paraId="153BB0FF">
      <w:pPr>
        <w:spacing w:line="360" w:lineRule="auto"/>
        <w:ind w:firstLine="480" w:firstLineChars="200"/>
        <w:outlineLvl w:val="2"/>
        <w:rPr>
          <w:rFonts w:ascii="宋体" w:hAnsi="宋体"/>
          <w:color w:val="auto"/>
          <w:sz w:val="24"/>
          <w:highlight w:val="none"/>
        </w:rPr>
      </w:pPr>
      <w:bookmarkStart w:id="676" w:name="_Toc39072869"/>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质量标准：合格。</w:t>
      </w:r>
    </w:p>
    <w:p w14:paraId="0FD45019">
      <w:pPr>
        <w:tabs>
          <w:tab w:val="left" w:pos="851"/>
        </w:tabs>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适用标准及规范：本工程适用现行国家、行业和地方规范、标准和规程,材料、施工工艺和本工程都应依照本技术标准和要求以及适用的现行规范、标准和规程的最新版本执行。</w:t>
      </w:r>
    </w:p>
    <w:p w14:paraId="460F5892">
      <w:pPr>
        <w:tabs>
          <w:tab w:val="left" w:pos="851"/>
        </w:tabs>
        <w:spacing w:line="360" w:lineRule="auto"/>
        <w:ind w:firstLine="480" w:firstLineChars="200"/>
        <w:outlineLvl w:val="2"/>
        <w:rPr>
          <w:rFonts w:ascii="宋体" w:hAnsi="宋体" w:cs="宋体"/>
          <w:color w:val="auto"/>
          <w:sz w:val="24"/>
          <w:highlight w:val="none"/>
        </w:rPr>
      </w:pPr>
      <w:bookmarkStart w:id="677" w:name="_Toc490222657"/>
      <w:bookmarkStart w:id="678" w:name="_Toc489280034"/>
      <w:bookmarkStart w:id="679" w:name="_Toc117597654"/>
      <w:bookmarkStart w:id="680" w:name="_Toc486580224"/>
      <w:bookmarkStart w:id="681" w:name="_Toc497213899"/>
      <w:r>
        <w:rPr>
          <w:rFonts w:hint="eastAsia" w:ascii="宋体" w:hAnsi="宋体" w:cs="宋体"/>
          <w:color w:val="auto"/>
          <w:sz w:val="24"/>
          <w:highlight w:val="none"/>
        </w:rPr>
        <w:t>3.</w:t>
      </w:r>
      <w:bookmarkEnd w:id="677"/>
      <w:bookmarkEnd w:id="678"/>
      <w:bookmarkEnd w:id="679"/>
      <w:bookmarkEnd w:id="680"/>
      <w:bookmarkEnd w:id="681"/>
      <w:r>
        <w:rPr>
          <w:rFonts w:hint="eastAsia" w:ascii="宋体" w:hAnsi="宋体" w:cs="宋体"/>
          <w:color w:val="auto"/>
          <w:sz w:val="24"/>
          <w:highlight w:val="none"/>
        </w:rPr>
        <w:t>安全生产标准化</w:t>
      </w:r>
    </w:p>
    <w:p w14:paraId="73482D47">
      <w:pPr>
        <w:spacing w:line="360" w:lineRule="auto"/>
        <w:ind w:firstLine="480" w:firstLineChars="200"/>
        <w:outlineLvl w:val="3"/>
        <w:rPr>
          <w:rFonts w:ascii="宋体" w:hAnsi="宋体" w:cs="宋体"/>
          <w:color w:val="auto"/>
          <w:kern w:val="0"/>
          <w:sz w:val="24"/>
          <w:highlight w:val="none"/>
        </w:rPr>
      </w:pPr>
      <w:bookmarkStart w:id="682" w:name="_Toc489280035"/>
      <w:bookmarkStart w:id="683" w:name="_Toc497213900"/>
      <w:bookmarkStart w:id="684" w:name="_Toc117597655"/>
      <w:bookmarkStart w:id="685" w:name="_Toc486580225"/>
      <w:r>
        <w:rPr>
          <w:rFonts w:hint="eastAsia" w:ascii="宋体" w:hAnsi="宋体" w:cs="宋体"/>
          <w:color w:val="auto"/>
          <w:kern w:val="0"/>
          <w:sz w:val="24"/>
          <w:highlight w:val="none"/>
        </w:rPr>
        <w:t>3.1  安全防护</w:t>
      </w:r>
      <w:bookmarkEnd w:id="682"/>
      <w:bookmarkEnd w:id="683"/>
      <w:bookmarkEnd w:id="684"/>
      <w:bookmarkEnd w:id="685"/>
    </w:p>
    <w:p w14:paraId="41F5E638">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3.1.1  在工程施工、竣工、交付及修补任何缺陷的过程中，供应商应当始终遵守国家和地方有关安全生产的法律、法规、规范、标准和规程等，按照合同条款第9.2款的约定履行其安全施工职责。</w:t>
      </w:r>
    </w:p>
    <w:p w14:paraId="09884F9E">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3.1.2  供应商</w:t>
      </w:r>
      <w:r>
        <w:rPr>
          <w:rFonts w:hint="eastAsia" w:ascii="宋体" w:hAnsi="宋体" w:cs="宋体"/>
          <w:color w:val="auto"/>
          <w:spacing w:val="9"/>
          <w:sz w:val="24"/>
          <w:highlight w:val="none"/>
        </w:rPr>
        <w:t>应坚持“安全第一，预防为主</w:t>
      </w:r>
      <w:r>
        <w:rPr>
          <w:rFonts w:hint="eastAsia" w:ascii="宋体" w:hAnsi="宋体" w:cs="宋体"/>
          <w:color w:val="auto"/>
          <w:spacing w:val="-72"/>
          <w:sz w:val="24"/>
          <w:highlight w:val="none"/>
        </w:rPr>
        <w:t xml:space="preserve"> </w:t>
      </w:r>
      <w:r>
        <w:rPr>
          <w:rFonts w:hint="eastAsia" w:ascii="宋体" w:hAnsi="宋体" w:cs="宋体"/>
          <w:color w:val="auto"/>
          <w:spacing w:val="8"/>
          <w:sz w:val="24"/>
          <w:highlight w:val="none"/>
        </w:rPr>
        <w:t>”的方针，建立、健全安全生产责任制度和安全生产教育培训制度。在整个工程施工期间，</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应在施工场地（现场）设立、提</w:t>
      </w:r>
      <w:r>
        <w:rPr>
          <w:rFonts w:hint="eastAsia" w:ascii="宋体" w:hAnsi="宋体" w:cs="宋体"/>
          <w:color w:val="auto"/>
          <w:spacing w:val="8"/>
          <w:sz w:val="24"/>
          <w:highlight w:val="none"/>
        </w:rPr>
        <w:t>供和维护并在有关工作完成或竣工后撤除：</w:t>
      </w:r>
    </w:p>
    <w:p w14:paraId="761E27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（1）设立在现场入口显著位置的现场施工总平面图、总平面管理、安全生产、文明施工、环境保护、质量控制、材料管理等的规章制度和主要参建单位名称和工程概况等说明的图板；</w:t>
      </w:r>
    </w:p>
    <w:p w14:paraId="7FCDA1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（2）为确保工程安全施工须设立的足够的标志、宣传画、标语、指示牌、警告牌、公示牌（如，职工工伤保险公示标牌）、火警、匪警和急救电话提示牌等等；</w:t>
      </w:r>
    </w:p>
    <w:p w14:paraId="1CCDC7B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（3）洞口和临边位置的安全防护设施，包括护身栏杆、脚手架、洞口盖板和加筋、竖井防护栏杆、防护棚、防护网、坡道等等；</w:t>
      </w:r>
    </w:p>
    <w:p w14:paraId="2F7D03CD">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（4）安全带、安全绳、安全帽、安全网、绝缘鞋、绝缘手套、防护口罩和防护衣等安全生产用品；</w:t>
      </w:r>
    </w:p>
    <w:p w14:paraId="2BFAD039">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（5）所有机械设备包括各类电动工具的安全保护和接地装置和操作说明；</w:t>
      </w:r>
    </w:p>
    <w:p w14:paraId="22245E2F">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（6）装备良好的临时急救站和配备称职的医护人员；</w:t>
      </w:r>
    </w:p>
    <w:p w14:paraId="0F904C91">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（7）主要作业场所和临时安全疏散通道24小时36伏安全照明和必要的警示等以防止各种可能的事故；</w:t>
      </w:r>
    </w:p>
    <w:p w14:paraId="6956CF92">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（8）足够数量的和合格的手提灭火器；</w:t>
      </w:r>
    </w:p>
    <w:p w14:paraId="2ED6A89B">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（9）装备良好的易燃易爆物品仓库和相应的使用管理制度；</w:t>
      </w:r>
    </w:p>
    <w:p w14:paraId="08825621">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（10）对涉及明火施工的工作制定诸如用火证等的管理制度；</w:t>
      </w:r>
    </w:p>
    <w:p w14:paraId="0E0598A9">
      <w:pPr>
        <w:spacing w:line="360" w:lineRule="auto"/>
        <w:ind w:firstLine="480" w:firstLineChars="200"/>
        <w:outlineLvl w:val="5"/>
        <w:rPr>
          <w:rFonts w:ascii="宋体" w:hAnsi="宋体" w:cs="宋体"/>
          <w:color w:val="auto"/>
          <w:sz w:val="24"/>
          <w:highlight w:val="none"/>
        </w:rPr>
      </w:pPr>
      <w:r>
        <w:rPr>
          <w:rFonts w:hint="eastAsia" w:ascii="宋体" w:hAnsi="宋体" w:cs="宋体"/>
          <w:color w:val="auto"/>
          <w:sz w:val="24"/>
          <w:highlight w:val="none"/>
        </w:rPr>
        <w:t>（11）其他要求：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AE22AD9">
      <w:pPr>
        <w:spacing w:before="160"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pacing w:val="9"/>
          <w:sz w:val="24"/>
          <w:highlight w:val="none"/>
        </w:rPr>
        <w:t>安全生产标准化措施费用必须专款专用，保证安全生产标准化措施的投入，</w:t>
      </w:r>
      <w:r>
        <w:rPr>
          <w:rFonts w:hint="eastAsia" w:ascii="宋体" w:hAnsi="宋体" w:cs="宋体"/>
          <w:color w:val="auto"/>
          <w:spacing w:val="7"/>
          <w:sz w:val="24"/>
          <w:highlight w:val="none"/>
        </w:rPr>
        <w:t>并在财务管理中单独列支安全生产标准化措施费账目备查。供应商应对其由于安全生产标准</w:t>
      </w:r>
      <w:r>
        <w:rPr>
          <w:rFonts w:hint="eastAsia" w:ascii="宋体" w:hAnsi="宋体" w:cs="宋体"/>
          <w:color w:val="auto"/>
          <w:spacing w:val="9"/>
          <w:sz w:val="24"/>
          <w:highlight w:val="none"/>
        </w:rPr>
        <w:t>化措施费用和施工安全措施不到位而发生的安全事故承担全部责任。</w:t>
      </w:r>
    </w:p>
    <w:p w14:paraId="63313571">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3.1.4  供应商</w:t>
      </w:r>
      <w:r>
        <w:rPr>
          <w:rFonts w:hint="eastAsia" w:ascii="宋体" w:hAnsi="宋体" w:cs="宋体"/>
          <w:color w:val="auto"/>
          <w:spacing w:val="9"/>
          <w:sz w:val="24"/>
          <w:highlight w:val="none"/>
        </w:rPr>
        <w:t>应建立专门的施工场地（现场）安全生产管理机构，配备足够数量符</w:t>
      </w:r>
      <w:r>
        <w:rPr>
          <w:rFonts w:hint="eastAsia" w:ascii="宋体" w:hAnsi="宋体" w:cs="宋体"/>
          <w:color w:val="auto"/>
          <w:spacing w:val="8"/>
          <w:sz w:val="24"/>
          <w:highlight w:val="none"/>
        </w:rPr>
        <w:t>合有关规定的专职安全生产管理人员，负责日常</w:t>
      </w:r>
      <w:r>
        <w:rPr>
          <w:rFonts w:hint="eastAsia" w:ascii="宋体" w:hAnsi="宋体" w:cs="宋体"/>
          <w:color w:val="auto"/>
          <w:spacing w:val="7"/>
          <w:sz w:val="24"/>
          <w:highlight w:val="none"/>
        </w:rPr>
        <w:t>安全生产巡查和专项检查，召集和主持现场全体人员参加的安全生产例会（每周至少一次</w:t>
      </w:r>
      <w:r>
        <w:rPr>
          <w:rFonts w:hint="eastAsia" w:ascii="宋体" w:hAnsi="宋体" w:cs="宋体"/>
          <w:color w:val="auto"/>
          <w:spacing w:val="-52"/>
          <w:w w:val="98"/>
          <w:sz w:val="24"/>
          <w:highlight w:val="none"/>
        </w:rPr>
        <w:t>），</w:t>
      </w:r>
      <w:r>
        <w:rPr>
          <w:rFonts w:hint="eastAsia" w:ascii="宋体" w:hAnsi="宋体" w:cs="宋体"/>
          <w:color w:val="auto"/>
          <w:spacing w:val="7"/>
          <w:sz w:val="24"/>
          <w:highlight w:val="none"/>
        </w:rPr>
        <w:t>负责安全技术交底和技术方</w:t>
      </w:r>
      <w:r>
        <w:rPr>
          <w:rFonts w:hint="eastAsia" w:ascii="宋体" w:hAnsi="宋体" w:cs="宋体"/>
          <w:color w:val="auto"/>
          <w:spacing w:val="6"/>
          <w:sz w:val="24"/>
          <w:highlight w:val="none"/>
        </w:rPr>
        <w:t>案的安全把关，</w:t>
      </w:r>
      <w:r>
        <w:rPr>
          <w:rFonts w:hint="eastAsia" w:ascii="宋体" w:hAnsi="宋体" w:cs="宋体"/>
          <w:color w:val="auto"/>
          <w:spacing w:val="8"/>
          <w:sz w:val="24"/>
          <w:highlight w:val="none"/>
        </w:rPr>
        <w:t>负责制定或审核安全隐患的整改措施并监督落实，</w:t>
      </w:r>
      <w:r>
        <w:rPr>
          <w:rFonts w:hint="eastAsia" w:ascii="宋体" w:hAnsi="宋体" w:cs="宋体"/>
          <w:color w:val="auto"/>
          <w:spacing w:val="7"/>
          <w:sz w:val="24"/>
          <w:highlight w:val="none"/>
        </w:rPr>
        <w:t>负责安全资料的整理和管理，及时消除安</w:t>
      </w:r>
      <w:r>
        <w:rPr>
          <w:rFonts w:hint="eastAsia" w:ascii="宋体" w:hAnsi="宋体" w:cs="宋体"/>
          <w:color w:val="auto"/>
          <w:spacing w:val="8"/>
          <w:sz w:val="24"/>
          <w:highlight w:val="none"/>
        </w:rPr>
        <w:t>全隐患，做好安全检查记录，确保所有的安全设施</w:t>
      </w:r>
      <w:r>
        <w:rPr>
          <w:rFonts w:hint="eastAsia" w:ascii="宋体" w:hAnsi="宋体" w:cs="宋体"/>
          <w:color w:val="auto"/>
          <w:spacing w:val="7"/>
          <w:sz w:val="24"/>
          <w:highlight w:val="none"/>
        </w:rPr>
        <w:t>都处于良好的运转状态。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项目经理</w:t>
      </w:r>
      <w:r>
        <w:rPr>
          <w:rFonts w:hint="eastAsia" w:ascii="宋体" w:hAnsi="宋体" w:cs="宋体"/>
          <w:color w:val="auto"/>
          <w:spacing w:val="9"/>
          <w:sz w:val="24"/>
          <w:highlight w:val="none"/>
        </w:rPr>
        <w:t>和专职安全生产管理人员均应当具备有效的安全生产考核合格证书。</w:t>
      </w:r>
    </w:p>
    <w:p w14:paraId="06C9C7E8">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应遵照有关法律法规要求，编制印发安全防护手册给进场施工人员，</w:t>
      </w:r>
      <w:r>
        <w:rPr>
          <w:rFonts w:hint="eastAsia" w:ascii="宋体" w:hAnsi="宋体" w:cs="宋体"/>
          <w:color w:val="auto"/>
          <w:spacing w:val="8"/>
          <w:sz w:val="24"/>
          <w:highlight w:val="none"/>
        </w:rPr>
        <w:t>做好进场施工人员上岗前的安全教育和培训</w:t>
      </w:r>
      <w:r>
        <w:rPr>
          <w:rFonts w:hint="eastAsia" w:ascii="宋体" w:hAnsi="宋体" w:cs="宋体"/>
          <w:color w:val="auto"/>
          <w:spacing w:val="7"/>
          <w:sz w:val="24"/>
          <w:highlight w:val="none"/>
        </w:rPr>
        <w:t>工作，并建立考核制度，只有考核合格的人员才</w:t>
      </w:r>
      <w:r>
        <w:rPr>
          <w:rFonts w:hint="eastAsia" w:ascii="宋体" w:hAnsi="宋体" w:cs="宋体"/>
          <w:color w:val="auto"/>
          <w:spacing w:val="8"/>
          <w:sz w:val="24"/>
          <w:highlight w:val="none"/>
        </w:rPr>
        <w:t>能进场施工作业。特种作业人员还应经过专门</w:t>
      </w:r>
      <w:r>
        <w:rPr>
          <w:rFonts w:hint="eastAsia" w:ascii="宋体" w:hAnsi="宋体" w:cs="宋体"/>
          <w:color w:val="auto"/>
          <w:spacing w:val="7"/>
          <w:sz w:val="24"/>
          <w:highlight w:val="none"/>
        </w:rPr>
        <w:t>的安全作业培训，并取得特种作业操作资格证</w:t>
      </w:r>
      <w:r>
        <w:rPr>
          <w:rFonts w:hint="eastAsia" w:ascii="宋体" w:hAnsi="宋体" w:cs="宋体"/>
          <w:color w:val="auto"/>
          <w:spacing w:val="8"/>
          <w:sz w:val="24"/>
          <w:highlight w:val="none"/>
        </w:rPr>
        <w:t>书后方可上岗。在任何分部分项工程开始施工</w:t>
      </w:r>
      <w:r>
        <w:rPr>
          <w:rFonts w:hint="eastAsia" w:ascii="宋体" w:hAnsi="宋体" w:cs="宋体"/>
          <w:color w:val="auto"/>
          <w:spacing w:val="7"/>
          <w:sz w:val="24"/>
          <w:highlight w:val="none"/>
        </w:rPr>
        <w:t>前，供应商应当就有关安全施工的技术要求向</w:t>
      </w:r>
      <w:r>
        <w:rPr>
          <w:rFonts w:hint="eastAsia" w:ascii="宋体" w:hAnsi="宋体" w:cs="宋体"/>
          <w:color w:val="auto"/>
          <w:spacing w:val="9"/>
          <w:sz w:val="24"/>
          <w:highlight w:val="none"/>
        </w:rPr>
        <w:t>施工作业班组和作业人员等进行安全交底，并由双方签字确认。</w:t>
      </w:r>
    </w:p>
    <w:p w14:paraId="67A61F3B">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应为其进场施工人员配备必需的安全防护设施和设备，</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还应为</w:t>
      </w:r>
      <w:r>
        <w:rPr>
          <w:rFonts w:hint="eastAsia" w:ascii="宋体" w:hAnsi="宋体" w:cs="宋体"/>
          <w:color w:val="auto"/>
          <w:spacing w:val="4"/>
          <w:sz w:val="24"/>
          <w:highlight w:val="none"/>
        </w:rPr>
        <w:t>施工场地（现场）邻近地区的所有者和占有者、公众和其他人员，提供一切必要的临时道路、</w:t>
      </w:r>
      <w:r>
        <w:rPr>
          <w:rFonts w:hint="eastAsia" w:ascii="宋体" w:hAnsi="宋体" w:cs="宋体"/>
          <w:color w:val="auto"/>
          <w:spacing w:val="8"/>
          <w:sz w:val="24"/>
          <w:highlight w:val="none"/>
        </w:rPr>
        <w:t>人行道、防护棚、围栏及警告等，以确保财产</w:t>
      </w:r>
      <w:r>
        <w:rPr>
          <w:rFonts w:hint="eastAsia" w:ascii="宋体" w:hAnsi="宋体" w:cs="宋体"/>
          <w:color w:val="auto"/>
          <w:spacing w:val="7"/>
          <w:sz w:val="24"/>
          <w:highlight w:val="none"/>
        </w:rPr>
        <w:t>和人身安全以及最大程度地降低施工可能造成</w:t>
      </w:r>
      <w:r>
        <w:rPr>
          <w:rFonts w:hint="eastAsia" w:ascii="宋体" w:hAnsi="宋体" w:cs="宋体"/>
          <w:color w:val="auto"/>
          <w:spacing w:val="4"/>
          <w:sz w:val="24"/>
          <w:highlight w:val="none"/>
        </w:rPr>
        <w:t>的不便。</w:t>
      </w:r>
    </w:p>
    <w:p w14:paraId="425B00F0">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3.1.7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应在施工场地（现场）入口处、施工起重机械、临时用电设施、脚手</w:t>
      </w:r>
      <w:r>
        <w:rPr>
          <w:rFonts w:hint="eastAsia" w:ascii="宋体" w:hAnsi="宋体" w:cs="宋体"/>
          <w:color w:val="auto"/>
          <w:spacing w:val="7"/>
          <w:sz w:val="24"/>
          <w:highlight w:val="none"/>
        </w:rPr>
        <w:t>架、出入通道口、楼梯口、电梯井口、孔洞口、隧道口、基坑边沿、危险品存放处等危险部</w:t>
      </w:r>
      <w:r>
        <w:rPr>
          <w:rFonts w:hint="eastAsia" w:ascii="宋体" w:hAnsi="宋体" w:cs="宋体"/>
          <w:color w:val="auto"/>
          <w:spacing w:val="8"/>
          <w:sz w:val="24"/>
          <w:highlight w:val="none"/>
        </w:rPr>
        <w:t>位设置一切必需的安全警示标志，包括但不</w:t>
      </w:r>
      <w:r>
        <w:rPr>
          <w:rFonts w:hint="eastAsia" w:ascii="宋体" w:hAnsi="宋体" w:cs="宋体"/>
          <w:color w:val="auto"/>
          <w:spacing w:val="7"/>
          <w:sz w:val="24"/>
          <w:highlight w:val="none"/>
        </w:rPr>
        <w:t>限于标准道路标志、报警标志、危险标志、控制</w:t>
      </w:r>
      <w:r>
        <w:rPr>
          <w:rFonts w:hint="eastAsia" w:ascii="宋体" w:hAnsi="宋体" w:cs="宋体"/>
          <w:color w:val="auto"/>
          <w:spacing w:val="8"/>
          <w:sz w:val="24"/>
          <w:highlight w:val="none"/>
        </w:rPr>
        <w:t>标志、安全标志、指示标志、警告标志等，</w:t>
      </w:r>
      <w:r>
        <w:rPr>
          <w:rFonts w:hint="eastAsia" w:ascii="宋体" w:hAnsi="宋体" w:cs="宋体"/>
          <w:color w:val="auto"/>
          <w:spacing w:val="7"/>
          <w:sz w:val="24"/>
          <w:highlight w:val="none"/>
        </w:rPr>
        <w:t>并配备必要的照明、防护和看守。供应商应当按</w:t>
      </w:r>
      <w:r>
        <w:rPr>
          <w:rFonts w:hint="eastAsia" w:ascii="宋体" w:hAnsi="宋体" w:cs="宋体"/>
          <w:color w:val="auto"/>
          <w:spacing w:val="9"/>
          <w:sz w:val="24"/>
          <w:highlight w:val="none"/>
        </w:rPr>
        <w:t>监理人的指示，经常补充或更换失效的警示和标志。</w:t>
      </w:r>
    </w:p>
    <w:p w14:paraId="31287306">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 xml:space="preserve">3.1.8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应对施工场地（现场）</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内由其提供并安装的所有提升架、外用电梯和</w:t>
      </w:r>
      <w:r>
        <w:rPr>
          <w:rFonts w:hint="eastAsia" w:ascii="宋体" w:hAnsi="宋体" w:cs="宋体"/>
          <w:color w:val="auto"/>
          <w:spacing w:val="9"/>
          <w:sz w:val="24"/>
          <w:highlight w:val="none"/>
        </w:rPr>
        <w:t>塔吊等垂直和水平运输机械进行安全围护，</w:t>
      </w:r>
      <w:r>
        <w:rPr>
          <w:rFonts w:hint="eastAsia" w:ascii="宋体" w:hAnsi="宋体" w:cs="宋体"/>
          <w:color w:val="auto"/>
          <w:spacing w:val="8"/>
          <w:sz w:val="24"/>
          <w:highlight w:val="none"/>
        </w:rPr>
        <w:t>包括卸料平台门的安全开关、警示铃和警示灯，</w:t>
      </w:r>
      <w:r>
        <w:rPr>
          <w:rFonts w:hint="eastAsia" w:ascii="宋体" w:hAnsi="宋体" w:cs="宋体"/>
          <w:color w:val="auto"/>
          <w:spacing w:val="7"/>
          <w:sz w:val="24"/>
          <w:highlight w:val="none"/>
        </w:rPr>
        <w:t>卸料平台的护身栏杆，脚手架和安全网等等；所有的机械设备应设置安全操作防护罩，并在</w:t>
      </w:r>
      <w:r>
        <w:rPr>
          <w:rFonts w:hint="eastAsia" w:ascii="宋体" w:hAnsi="宋体" w:cs="宋体"/>
          <w:color w:val="auto"/>
          <w:spacing w:val="8"/>
          <w:sz w:val="24"/>
          <w:highlight w:val="none"/>
        </w:rPr>
        <w:t>醒目位置张挂详细的安全操作要点等。</w:t>
      </w:r>
    </w:p>
    <w:p w14:paraId="62D5237C">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3.1.9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应对所有用于提升的挂钩、挂环、钢丝绳、铁扁担等进行定期检测、</w:t>
      </w:r>
      <w:r>
        <w:rPr>
          <w:rFonts w:hint="eastAsia" w:ascii="宋体" w:hAnsi="宋体" w:cs="宋体"/>
          <w:color w:val="auto"/>
          <w:spacing w:val="8"/>
          <w:sz w:val="24"/>
          <w:highlight w:val="none"/>
        </w:rPr>
        <w:t>检查和标定；如果监理人认为，任何此类设施已经</w:t>
      </w:r>
      <w:r>
        <w:rPr>
          <w:rFonts w:hint="eastAsia" w:ascii="宋体" w:hAnsi="宋体" w:cs="宋体"/>
          <w:color w:val="auto"/>
          <w:spacing w:val="7"/>
          <w:sz w:val="24"/>
          <w:highlight w:val="none"/>
        </w:rPr>
        <w:t>损坏或有使用不当之处，供应商应立即以合格的产品进行更换；所有垂直和水平运输机械的搭设、顶升、使用和拆除必须严格依照现</w:t>
      </w:r>
      <w:r>
        <w:rPr>
          <w:rFonts w:hint="eastAsia" w:ascii="宋体" w:hAnsi="宋体" w:cs="宋体"/>
          <w:color w:val="auto"/>
          <w:spacing w:val="9"/>
          <w:sz w:val="24"/>
          <w:highlight w:val="none"/>
        </w:rPr>
        <w:t>行有关法律、法规、规章、规范、标准和规程等的要求。</w:t>
      </w:r>
    </w:p>
    <w:p w14:paraId="7CFC88F0">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3.1.10  所有机械和工器具应定期保养、校核和</w:t>
      </w:r>
      <w:r>
        <w:rPr>
          <w:rFonts w:hint="eastAsia" w:ascii="宋体" w:hAnsi="宋体" w:cs="宋体"/>
          <w:color w:val="auto"/>
          <w:spacing w:val="6"/>
          <w:sz w:val="24"/>
          <w:highlight w:val="none"/>
        </w:rPr>
        <w:t>维护，以保证它们处于良好和安全的</w:t>
      </w:r>
      <w:r>
        <w:rPr>
          <w:rFonts w:hint="eastAsia" w:ascii="宋体" w:hAnsi="宋体" w:cs="宋体"/>
          <w:color w:val="auto"/>
          <w:spacing w:val="7"/>
          <w:sz w:val="24"/>
          <w:highlight w:val="none"/>
        </w:rPr>
        <w:t>工作状态。保养、校核和维护工作应尽可能安排在非工作时间进行，并为上述机械和工器具</w:t>
      </w:r>
      <w:r>
        <w:rPr>
          <w:rFonts w:hint="eastAsia" w:ascii="宋体" w:hAnsi="宋体" w:cs="宋体"/>
          <w:color w:val="auto"/>
          <w:spacing w:val="9"/>
          <w:sz w:val="24"/>
          <w:highlight w:val="none"/>
        </w:rPr>
        <w:t>准备足够的备用配件，以确保工程的施工能不间断地进行。</w:t>
      </w:r>
    </w:p>
    <w:p w14:paraId="679D7173">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3.1.11  在永久工程和施工边坡、建筑物基</w:t>
      </w:r>
      <w:r>
        <w:rPr>
          <w:rFonts w:hint="eastAsia" w:ascii="宋体" w:hAnsi="宋体" w:cs="宋体"/>
          <w:color w:val="auto"/>
          <w:spacing w:val="6"/>
          <w:sz w:val="24"/>
          <w:highlight w:val="none"/>
        </w:rPr>
        <w:t>坑、地下洞室等的开挖过程中，应根据其</w:t>
      </w:r>
      <w:r>
        <w:rPr>
          <w:rFonts w:hint="eastAsia" w:ascii="宋体" w:hAnsi="宋体" w:cs="宋体"/>
          <w:color w:val="auto"/>
          <w:spacing w:val="8"/>
          <w:sz w:val="24"/>
          <w:highlight w:val="none"/>
        </w:rPr>
        <w:t>施工安全的需要和（或）监理人指示，安装必要的施</w:t>
      </w:r>
      <w:r>
        <w:rPr>
          <w:rFonts w:hint="eastAsia" w:ascii="宋体" w:hAnsi="宋体" w:cs="宋体"/>
          <w:color w:val="auto"/>
          <w:spacing w:val="7"/>
          <w:sz w:val="24"/>
          <w:highlight w:val="none"/>
        </w:rPr>
        <w:t>工安全监测仪器，及时进行必要的施工</w:t>
      </w:r>
      <w:r>
        <w:rPr>
          <w:rFonts w:hint="eastAsia" w:ascii="宋体" w:hAnsi="宋体" w:cs="宋体"/>
          <w:color w:val="auto"/>
          <w:spacing w:val="8"/>
          <w:sz w:val="24"/>
          <w:highlight w:val="none"/>
        </w:rPr>
        <w:t>安全监测，并定期将安全监测成果提交监理人，以防</w:t>
      </w:r>
      <w:r>
        <w:rPr>
          <w:rFonts w:hint="eastAsia" w:ascii="宋体" w:hAnsi="宋体" w:cs="宋体"/>
          <w:color w:val="auto"/>
          <w:spacing w:val="7"/>
          <w:sz w:val="24"/>
          <w:highlight w:val="none"/>
        </w:rPr>
        <w:t>止引起任何沉降、变形或其他影响正常施工进度的损害。</w:t>
      </w:r>
    </w:p>
    <w:p w14:paraId="731FA21F">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3.1.12  供应商应对任何施工中的永久工程进行</w:t>
      </w:r>
      <w:r>
        <w:rPr>
          <w:rFonts w:hint="eastAsia" w:ascii="宋体" w:hAnsi="宋体" w:cs="宋体"/>
          <w:color w:val="auto"/>
          <w:spacing w:val="6"/>
          <w:sz w:val="24"/>
          <w:highlight w:val="none"/>
        </w:rPr>
        <w:t>必要的支撑或临时加固。除非</w:t>
      </w:r>
      <w:r>
        <w:rPr>
          <w:rFonts w:hint="eastAsia" w:ascii="宋体" w:hAnsi="宋体" w:cs="宋体"/>
          <w:color w:val="auto"/>
          <w:spacing w:val="7"/>
          <w:sz w:val="24"/>
          <w:highlight w:val="none"/>
        </w:rPr>
        <w:t>供应商已获得监理人书面许可并按要求进行了必要的加固或支撑，不允许供应商在任何已</w:t>
      </w:r>
      <w:r>
        <w:rPr>
          <w:rFonts w:hint="eastAsia" w:ascii="宋体" w:hAnsi="宋体" w:cs="宋体"/>
          <w:color w:val="auto"/>
          <w:spacing w:val="6"/>
          <w:sz w:val="24"/>
          <w:highlight w:val="none"/>
        </w:rPr>
        <w:t>完成的永</w:t>
      </w:r>
      <w:r>
        <w:rPr>
          <w:rFonts w:hint="eastAsia" w:ascii="宋体" w:hAnsi="宋体" w:cs="宋体"/>
          <w:color w:val="auto"/>
          <w:spacing w:val="7"/>
          <w:sz w:val="24"/>
          <w:highlight w:val="none"/>
        </w:rPr>
        <w:t>久性结构上堆放超过设计允许荷载的任何材料、物品或设备。在任何情况下，供应商均应对</w:t>
      </w:r>
      <w:r>
        <w:rPr>
          <w:rFonts w:hint="eastAsia" w:ascii="宋体" w:hAnsi="宋体" w:cs="宋体"/>
          <w:color w:val="auto"/>
          <w:spacing w:val="9"/>
          <w:sz w:val="24"/>
          <w:highlight w:val="none"/>
        </w:rPr>
        <w:t>其任何上述超载行为引起的后果负责，并承担相应的修缮费用。</w:t>
      </w:r>
    </w:p>
    <w:p w14:paraId="108BE811">
      <w:pPr>
        <w:spacing w:before="160"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3.1.13  供应商应成立应急救援小组，配备必要</w:t>
      </w:r>
      <w:r>
        <w:rPr>
          <w:rFonts w:hint="eastAsia" w:ascii="宋体" w:hAnsi="宋体" w:cs="宋体"/>
          <w:color w:val="auto"/>
          <w:spacing w:val="6"/>
          <w:sz w:val="24"/>
          <w:highlight w:val="none"/>
        </w:rPr>
        <w:t>的应急救援器材和设备，制定灾害和</w:t>
      </w:r>
      <w:r>
        <w:rPr>
          <w:rFonts w:hint="eastAsia" w:ascii="宋体" w:hAnsi="宋体" w:cs="宋体"/>
          <w:color w:val="auto"/>
          <w:spacing w:val="7"/>
          <w:sz w:val="24"/>
          <w:highlight w:val="none"/>
        </w:rPr>
        <w:t>生产安全事故的应急救援预案，并将应急救援预案报送监理人。应急救援预案应能随时组织</w:t>
      </w:r>
      <w:r>
        <w:rPr>
          <w:rFonts w:hint="eastAsia" w:ascii="宋体" w:hAnsi="宋体" w:cs="宋体"/>
          <w:color w:val="auto"/>
          <w:spacing w:val="8"/>
          <w:sz w:val="24"/>
          <w:highlight w:val="none"/>
        </w:rPr>
        <w:t>应救专职人员、并定期组织演练。</w:t>
      </w:r>
    </w:p>
    <w:p w14:paraId="1A0570C2">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3.1.14  施工过程中需要使用爆破或带炸药的工</w:t>
      </w:r>
      <w:r>
        <w:rPr>
          <w:rFonts w:hint="eastAsia" w:ascii="宋体" w:hAnsi="宋体" w:cs="宋体"/>
          <w:color w:val="auto"/>
          <w:spacing w:val="6"/>
          <w:sz w:val="24"/>
          <w:highlight w:val="none"/>
        </w:rPr>
        <w:t>具等危险性施工方法时，</w:t>
      </w:r>
      <w:r>
        <w:rPr>
          <w:rFonts w:hint="eastAsia" w:ascii="宋体" w:hAnsi="宋体" w:cs="宋体"/>
          <w:color w:val="auto"/>
          <w:spacing w:val="7"/>
          <w:sz w:val="24"/>
          <w:highlight w:val="none"/>
        </w:rPr>
        <w:t>供应商</w:t>
      </w:r>
      <w:r>
        <w:rPr>
          <w:rFonts w:hint="eastAsia" w:ascii="宋体" w:hAnsi="宋体" w:cs="宋体"/>
          <w:color w:val="auto"/>
          <w:spacing w:val="6"/>
          <w:sz w:val="24"/>
          <w:highlight w:val="none"/>
        </w:rPr>
        <w:t>应提</w:t>
      </w:r>
      <w:r>
        <w:rPr>
          <w:rFonts w:hint="eastAsia" w:ascii="宋体" w:hAnsi="宋体" w:cs="宋体"/>
          <w:color w:val="auto"/>
          <w:spacing w:val="7"/>
          <w:sz w:val="24"/>
          <w:highlight w:val="none"/>
        </w:rPr>
        <w:t>前通知监理人。经监理人批准后，供应商应依照有关法律、法规、规章以及政府有关主管机</w:t>
      </w:r>
      <w:r>
        <w:rPr>
          <w:rFonts w:hint="eastAsia" w:ascii="宋体" w:hAnsi="宋体" w:cs="宋体"/>
          <w:color w:val="auto"/>
          <w:spacing w:val="8"/>
          <w:sz w:val="24"/>
          <w:highlight w:val="none"/>
        </w:rPr>
        <w:t>构制定的规范性文件等的规定，向有关机构提出申请并获</w:t>
      </w:r>
      <w:r>
        <w:rPr>
          <w:rFonts w:hint="eastAsia" w:ascii="宋体" w:hAnsi="宋体" w:cs="宋体"/>
          <w:color w:val="auto"/>
          <w:spacing w:val="7"/>
          <w:sz w:val="24"/>
          <w:highlight w:val="none"/>
        </w:rPr>
        <w:t>得相关许可。供应商应严格依照上</w:t>
      </w:r>
      <w:r>
        <w:rPr>
          <w:rFonts w:hint="eastAsia" w:ascii="宋体" w:hAnsi="宋体" w:cs="宋体"/>
          <w:color w:val="auto"/>
          <w:spacing w:val="8"/>
          <w:sz w:val="24"/>
          <w:highlight w:val="none"/>
        </w:rPr>
        <w:t>述规定使用、储藏、管理爆破物品或带炸药的工具等</w:t>
      </w:r>
      <w:r>
        <w:rPr>
          <w:rFonts w:hint="eastAsia" w:ascii="宋体" w:hAnsi="宋体" w:cs="宋体"/>
          <w:color w:val="auto"/>
          <w:spacing w:val="7"/>
          <w:sz w:val="24"/>
          <w:highlight w:val="none"/>
        </w:rPr>
        <w:t>，并负责由于这类物品的使用可能引起</w:t>
      </w:r>
      <w:r>
        <w:rPr>
          <w:rFonts w:hint="eastAsia" w:ascii="宋体" w:hAnsi="宋体" w:cs="宋体"/>
          <w:color w:val="auto"/>
          <w:spacing w:val="8"/>
          <w:sz w:val="24"/>
          <w:highlight w:val="none"/>
        </w:rPr>
        <w:t>的任何损失或损害的赔偿。任何情况下，</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不得</w:t>
      </w:r>
      <w:r>
        <w:rPr>
          <w:rFonts w:hint="eastAsia" w:ascii="宋体" w:hAnsi="宋体" w:cs="宋体"/>
          <w:color w:val="auto"/>
          <w:spacing w:val="7"/>
          <w:sz w:val="24"/>
          <w:highlight w:val="none"/>
        </w:rPr>
        <w:t>在已完永久性工程中和空心砌体中使用</w:t>
      </w:r>
      <w:r>
        <w:rPr>
          <w:rFonts w:hint="eastAsia" w:ascii="宋体" w:hAnsi="宋体" w:cs="宋体"/>
          <w:color w:val="auto"/>
          <w:spacing w:val="6"/>
          <w:sz w:val="24"/>
          <w:highlight w:val="none"/>
        </w:rPr>
        <w:t>爆破方法。</w:t>
      </w:r>
    </w:p>
    <w:p w14:paraId="637E47F3">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3.1.15  基坑支护与降水工程、土方开挖工</w:t>
      </w:r>
      <w:r>
        <w:rPr>
          <w:rFonts w:hint="eastAsia" w:ascii="宋体" w:hAnsi="宋体" w:cs="宋体"/>
          <w:color w:val="auto"/>
          <w:spacing w:val="6"/>
          <w:sz w:val="24"/>
          <w:highlight w:val="none"/>
        </w:rPr>
        <w:t>程、模板工程、起重吊装工程、脚手架工</w:t>
      </w:r>
      <w:r>
        <w:rPr>
          <w:rFonts w:hint="eastAsia" w:ascii="宋体" w:hAnsi="宋体" w:cs="宋体"/>
          <w:color w:val="auto"/>
          <w:spacing w:val="8"/>
          <w:sz w:val="24"/>
          <w:highlight w:val="none"/>
        </w:rPr>
        <w:t>程、拆除工程和爆破工程等达到一定规模和危</w:t>
      </w:r>
      <w:r>
        <w:rPr>
          <w:rFonts w:hint="eastAsia" w:ascii="宋体" w:hAnsi="宋体" w:cs="宋体"/>
          <w:color w:val="auto"/>
          <w:spacing w:val="7"/>
          <w:sz w:val="24"/>
          <w:highlight w:val="none"/>
        </w:rPr>
        <w:t>险性较大的分部分项工程，供应商应当编制专</w:t>
      </w:r>
      <w:r>
        <w:rPr>
          <w:rFonts w:hint="eastAsia" w:ascii="宋体" w:hAnsi="宋体" w:cs="宋体"/>
          <w:color w:val="auto"/>
          <w:spacing w:val="8"/>
          <w:sz w:val="24"/>
          <w:highlight w:val="none"/>
        </w:rPr>
        <w:t>项施工方案，其中深基坑、地下暗挖和高大模板工</w:t>
      </w:r>
      <w:r>
        <w:rPr>
          <w:rFonts w:hint="eastAsia" w:ascii="宋体" w:hAnsi="宋体" w:cs="宋体"/>
          <w:color w:val="auto"/>
          <w:spacing w:val="7"/>
          <w:sz w:val="24"/>
          <w:highlight w:val="none"/>
        </w:rPr>
        <w:t>程的专项施工方案，还应组织专家进行论</w:t>
      </w:r>
      <w:r>
        <w:rPr>
          <w:rFonts w:hint="eastAsia" w:ascii="宋体" w:hAnsi="宋体" w:cs="宋体"/>
          <w:color w:val="auto"/>
          <w:spacing w:val="5"/>
          <w:sz w:val="24"/>
          <w:highlight w:val="none"/>
        </w:rPr>
        <w:t>证和审查。</w:t>
      </w:r>
    </w:p>
    <w:p w14:paraId="436948EA">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3.1.16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应按照合同条款第9.5</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款的约</w:t>
      </w:r>
      <w:r>
        <w:rPr>
          <w:rFonts w:hint="eastAsia" w:ascii="宋体" w:hAnsi="宋体" w:cs="宋体"/>
          <w:color w:val="auto"/>
          <w:spacing w:val="8"/>
          <w:sz w:val="24"/>
          <w:highlight w:val="none"/>
        </w:rPr>
        <w:t>定处理本工程施工过程中发生的事故。</w:t>
      </w:r>
    </w:p>
    <w:p w14:paraId="2639514F">
      <w:pPr>
        <w:spacing w:before="164" w:line="360" w:lineRule="auto"/>
        <w:ind w:left="19" w:right="52" w:firstLine="508" w:firstLineChars="200"/>
        <w:rPr>
          <w:rFonts w:ascii="宋体" w:hAnsi="宋体" w:cs="宋体"/>
          <w:color w:val="auto"/>
          <w:spacing w:val="8"/>
          <w:sz w:val="24"/>
          <w:highlight w:val="none"/>
        </w:rPr>
      </w:pPr>
      <w:r>
        <w:rPr>
          <w:rFonts w:hint="eastAsia" w:ascii="宋体" w:hAnsi="宋体" w:cs="宋体"/>
          <w:color w:val="auto"/>
          <w:spacing w:val="7"/>
          <w:sz w:val="24"/>
          <w:highlight w:val="none"/>
        </w:rPr>
        <w:t>发生施工安全事故后，供应商必须立即报告监理人和采购人，并在事故发生后一小时内向发</w:t>
      </w:r>
      <w:r>
        <w:rPr>
          <w:rFonts w:hint="eastAsia" w:ascii="宋体" w:hAnsi="宋体" w:cs="宋体"/>
          <w:color w:val="auto"/>
          <w:spacing w:val="8"/>
          <w:sz w:val="24"/>
          <w:highlight w:val="none"/>
        </w:rPr>
        <w:t>包人提交事故情况书面报告，并根据《生产安全事</w:t>
      </w:r>
      <w:r>
        <w:rPr>
          <w:rFonts w:hint="eastAsia" w:ascii="宋体" w:hAnsi="宋体" w:cs="宋体"/>
          <w:color w:val="auto"/>
          <w:spacing w:val="7"/>
          <w:sz w:val="24"/>
          <w:highlight w:val="none"/>
        </w:rPr>
        <w:t>故报告和调查处理条例》的规定，及时向</w:t>
      </w:r>
      <w:r>
        <w:rPr>
          <w:rFonts w:hint="eastAsia" w:ascii="宋体" w:hAnsi="宋体" w:cs="宋体"/>
          <w:color w:val="auto"/>
          <w:spacing w:val="8"/>
          <w:sz w:val="24"/>
          <w:highlight w:val="none"/>
        </w:rPr>
        <w:t>工程所在地县级以上地方人民政府安全生产监督管</w:t>
      </w:r>
      <w:r>
        <w:rPr>
          <w:rFonts w:hint="eastAsia" w:ascii="宋体" w:hAnsi="宋体" w:cs="宋体"/>
          <w:color w:val="auto"/>
          <w:spacing w:val="7"/>
          <w:sz w:val="24"/>
          <w:highlight w:val="none"/>
        </w:rPr>
        <w:t>理部门和建设行政主管部门报告。情况紧</w:t>
      </w:r>
      <w:r>
        <w:rPr>
          <w:rFonts w:hint="eastAsia" w:ascii="宋体" w:hAnsi="宋体" w:cs="宋体"/>
          <w:color w:val="auto"/>
          <w:spacing w:val="8"/>
          <w:sz w:val="24"/>
          <w:highlight w:val="none"/>
        </w:rPr>
        <w:t>急时，事故现场有关人员可以直接向工程所在地</w:t>
      </w:r>
      <w:r>
        <w:rPr>
          <w:rFonts w:hint="eastAsia" w:ascii="宋体" w:hAnsi="宋体" w:cs="宋体"/>
          <w:color w:val="auto"/>
          <w:spacing w:val="7"/>
          <w:sz w:val="24"/>
          <w:highlight w:val="none"/>
        </w:rPr>
        <w:t>县级以上地方人民政府安全生产监督管理部</w:t>
      </w:r>
      <w:r>
        <w:rPr>
          <w:rFonts w:hint="eastAsia" w:ascii="宋体" w:hAnsi="宋体" w:cs="宋体"/>
          <w:color w:val="auto"/>
          <w:spacing w:val="8"/>
          <w:sz w:val="24"/>
          <w:highlight w:val="none"/>
        </w:rPr>
        <w:t>门和建设行政主管部门报告。</w:t>
      </w:r>
    </w:p>
    <w:p w14:paraId="0EBCF7EB">
      <w:pPr>
        <w:spacing w:before="164" w:line="360" w:lineRule="auto"/>
        <w:ind w:left="19" w:right="52" w:firstLine="508" w:firstLineChars="200"/>
        <w:rPr>
          <w:rFonts w:ascii="宋体" w:hAnsi="宋体" w:cs="宋体"/>
          <w:color w:val="auto"/>
          <w:sz w:val="24"/>
          <w:highlight w:val="none"/>
        </w:rPr>
      </w:pPr>
      <w:r>
        <w:rPr>
          <w:rFonts w:hint="eastAsia" w:ascii="宋体" w:hAnsi="宋体" w:cs="宋体"/>
          <w:color w:val="auto"/>
          <w:spacing w:val="7"/>
          <w:sz w:val="24"/>
          <w:highlight w:val="none"/>
        </w:rPr>
        <w:t>3.1.17  供应商还应根据有关法律、法规、</w:t>
      </w:r>
      <w:r>
        <w:rPr>
          <w:rFonts w:hint="eastAsia" w:ascii="宋体" w:hAnsi="宋体" w:cs="宋体"/>
          <w:color w:val="auto"/>
          <w:spacing w:val="6"/>
          <w:sz w:val="24"/>
          <w:highlight w:val="none"/>
        </w:rPr>
        <w:t>规定和条例等的要求，制定一套安全生产</w:t>
      </w:r>
      <w:r>
        <w:rPr>
          <w:rFonts w:hint="eastAsia" w:ascii="宋体" w:hAnsi="宋体" w:cs="宋体"/>
          <w:color w:val="auto"/>
          <w:spacing w:val="8"/>
          <w:sz w:val="24"/>
          <w:highlight w:val="none"/>
        </w:rPr>
        <w:t>应急措施和程序，保证一旦出现任何安全事</w:t>
      </w:r>
      <w:r>
        <w:rPr>
          <w:rFonts w:hint="eastAsia" w:ascii="宋体" w:hAnsi="宋体" w:cs="宋体"/>
          <w:color w:val="auto"/>
          <w:spacing w:val="7"/>
          <w:sz w:val="24"/>
          <w:highlight w:val="none"/>
        </w:rPr>
        <w:t>故，能立即保护好现场，抢救伤员和财产，保证</w:t>
      </w:r>
      <w:r>
        <w:rPr>
          <w:rFonts w:hint="eastAsia" w:ascii="宋体" w:hAnsi="宋体" w:cs="宋体"/>
          <w:color w:val="auto"/>
          <w:spacing w:val="8"/>
          <w:sz w:val="24"/>
          <w:highlight w:val="none"/>
        </w:rPr>
        <w:t>施工生产的正常进行，防止损失扩大。</w:t>
      </w:r>
    </w:p>
    <w:p w14:paraId="58372D03">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3.1.18 安全防护方面的其他要求：</w:t>
      </w:r>
      <w:r>
        <w:rPr>
          <w:rFonts w:hint="eastAsia" w:ascii="宋体" w:hAnsi="宋体" w:cs="宋体"/>
          <w:color w:val="auto"/>
          <w:sz w:val="24"/>
          <w:highlight w:val="none"/>
          <w:u w:val="single"/>
        </w:rPr>
        <w:t>供应商需建立应急管理制度，成立应急救援组织机构，定期组织防汛、消防、防灾、生产安全事故、极端天气应对等各类应急培训和演练</w:t>
      </w:r>
      <w:r>
        <w:rPr>
          <w:rFonts w:hint="eastAsia" w:ascii="宋体" w:hAnsi="宋体" w:cs="宋体"/>
          <w:color w:val="auto"/>
          <w:sz w:val="24"/>
          <w:highlight w:val="none"/>
        </w:rPr>
        <w:t>。</w:t>
      </w:r>
    </w:p>
    <w:p w14:paraId="189F94DB">
      <w:pPr>
        <w:spacing w:line="360" w:lineRule="auto"/>
        <w:ind w:firstLine="480" w:firstLineChars="200"/>
        <w:outlineLvl w:val="3"/>
        <w:rPr>
          <w:rFonts w:ascii="宋体" w:hAnsi="宋体" w:cs="宋体"/>
          <w:color w:val="auto"/>
          <w:kern w:val="0"/>
          <w:sz w:val="24"/>
          <w:highlight w:val="none"/>
        </w:rPr>
      </w:pPr>
      <w:bookmarkStart w:id="686" w:name="_Toc486580226"/>
      <w:bookmarkStart w:id="687" w:name="_Toc117597656"/>
      <w:bookmarkStart w:id="688" w:name="_Toc497213901"/>
      <w:bookmarkStart w:id="689" w:name="_Toc489280036"/>
      <w:r>
        <w:rPr>
          <w:rFonts w:hint="eastAsia" w:ascii="宋体" w:hAnsi="宋体" w:cs="宋体"/>
          <w:color w:val="auto"/>
          <w:kern w:val="0"/>
          <w:sz w:val="24"/>
          <w:highlight w:val="none"/>
        </w:rPr>
        <w:t>3.2  临时消防</w:t>
      </w:r>
      <w:bookmarkEnd w:id="686"/>
      <w:bookmarkEnd w:id="687"/>
      <w:bookmarkEnd w:id="688"/>
      <w:bookmarkEnd w:id="689"/>
    </w:p>
    <w:p w14:paraId="5CFFF0FB">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应建立消防安全责任制度，制定用火、用电和使用易燃易爆等危险品</w:t>
      </w:r>
      <w:r>
        <w:rPr>
          <w:rFonts w:hint="eastAsia" w:ascii="宋体" w:hAnsi="宋体" w:cs="宋体"/>
          <w:color w:val="auto"/>
          <w:spacing w:val="7"/>
          <w:sz w:val="24"/>
          <w:highlight w:val="none"/>
        </w:rPr>
        <w:t>的消防安全管理制度和操作规程。各项制度和规程等应满足相关法律法规和政府消防管理机</w:t>
      </w:r>
      <w:r>
        <w:rPr>
          <w:rFonts w:hint="eastAsia" w:ascii="宋体" w:hAnsi="宋体" w:cs="宋体"/>
          <w:color w:val="auto"/>
          <w:spacing w:val="5"/>
          <w:sz w:val="24"/>
          <w:highlight w:val="none"/>
        </w:rPr>
        <w:t>构的要求。</w:t>
      </w:r>
    </w:p>
    <w:p w14:paraId="03FE1028">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应根据相关法律法规和消防管理部门的要求，为施工中的永久工程和</w:t>
      </w:r>
      <w:r>
        <w:rPr>
          <w:rFonts w:hint="eastAsia" w:ascii="宋体" w:hAnsi="宋体" w:cs="宋体"/>
          <w:color w:val="auto"/>
          <w:spacing w:val="8"/>
          <w:sz w:val="24"/>
          <w:highlight w:val="none"/>
        </w:rPr>
        <w:t>所有临时工程提供必要的临时消防和紧急疏</w:t>
      </w:r>
      <w:r>
        <w:rPr>
          <w:rFonts w:hint="eastAsia" w:ascii="宋体" w:hAnsi="宋体" w:cs="宋体"/>
          <w:color w:val="auto"/>
          <w:spacing w:val="7"/>
          <w:sz w:val="24"/>
          <w:highlight w:val="none"/>
        </w:rPr>
        <w:t>散设施，包括提供并维持畅通的消防通道、临时消火栓、灭火器、水龙带、灭火桶、灭火铲、灭火斧、消防水管、阀门、检查井、临时消防水箱、泵房和紧随工作面的临时疏散楼梯或疏散设施，消防设施的设立和消防设备的型号和</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功率应满足消防任务的需要，始终保持能够</w:t>
      </w:r>
      <w:r>
        <w:rPr>
          <w:rFonts w:hint="eastAsia" w:ascii="宋体" w:hAnsi="宋体" w:cs="宋体"/>
          <w:color w:val="auto"/>
          <w:spacing w:val="7"/>
          <w:sz w:val="24"/>
          <w:highlight w:val="none"/>
        </w:rPr>
        <w:t>随时投入正常使用的状态，并设立明显标志。供应商</w:t>
      </w:r>
      <w:r>
        <w:rPr>
          <w:rFonts w:hint="eastAsia" w:ascii="宋体" w:hAnsi="宋体" w:cs="宋体"/>
          <w:color w:val="auto"/>
          <w:spacing w:val="8"/>
          <w:sz w:val="24"/>
          <w:highlight w:val="none"/>
        </w:rPr>
        <w:t>的临时消防系统和配置应分别经过监理</w:t>
      </w:r>
      <w:r>
        <w:rPr>
          <w:rFonts w:hint="eastAsia" w:ascii="宋体" w:hAnsi="宋体" w:cs="宋体"/>
          <w:color w:val="auto"/>
          <w:spacing w:val="7"/>
          <w:sz w:val="24"/>
          <w:highlight w:val="none"/>
        </w:rPr>
        <w:t>人和消防管理部门的审批和验收；供应商还应自费获得消防管理部门的临时消防证书。所有的临时消防设施属于供应商所有，至工程实际竣</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工时且永久性消防系统投入使用后从现场拆除。</w:t>
      </w:r>
    </w:p>
    <w:p w14:paraId="19B7E812">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3.2.3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应当成立由项目主要负责人担任组长的临时消防组或消防队，宣传消</w:t>
      </w:r>
      <w:r>
        <w:rPr>
          <w:rFonts w:hint="eastAsia" w:ascii="宋体" w:hAnsi="宋体" w:cs="宋体"/>
          <w:color w:val="auto"/>
          <w:spacing w:val="7"/>
          <w:sz w:val="24"/>
          <w:highlight w:val="none"/>
        </w:rPr>
        <w:t>防基本知识和基本操作培训，组织消防演练，保证一旦发生火灾，能够组织有效的自救，保护生命和财产安全。</w:t>
      </w:r>
    </w:p>
    <w:p w14:paraId="23B171A8">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3.2.4  施工场地（现场）内的易燃、易爆物品应单独和安全地存放，设专人进行存放和领用管理。施工场地（现场）储有或正在使用</w:t>
      </w:r>
      <w:r>
        <w:rPr>
          <w:rFonts w:hint="eastAsia" w:ascii="宋体" w:hAnsi="宋体" w:cs="宋体"/>
          <w:color w:val="auto"/>
          <w:spacing w:val="7"/>
          <w:sz w:val="24"/>
          <w:highlight w:val="none"/>
        </w:rPr>
        <w:t>易燃、易爆或可燃材料时或有明火施工的工序，应当实行严格的“用火证</w:t>
      </w:r>
      <w:r>
        <w:rPr>
          <w:rFonts w:hint="eastAsia" w:ascii="宋体" w:hAnsi="宋体" w:cs="宋体"/>
          <w:color w:val="auto"/>
          <w:spacing w:val="-66"/>
          <w:sz w:val="24"/>
          <w:highlight w:val="none"/>
        </w:rPr>
        <w:t xml:space="preserve"> </w:t>
      </w:r>
      <w:r>
        <w:rPr>
          <w:rFonts w:hint="eastAsia" w:ascii="宋体" w:hAnsi="宋体" w:cs="宋体"/>
          <w:color w:val="auto"/>
          <w:spacing w:val="7"/>
          <w:sz w:val="24"/>
          <w:highlight w:val="none"/>
        </w:rPr>
        <w:t>”管理制度。</w:t>
      </w:r>
    </w:p>
    <w:p w14:paraId="53BFDBE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3.2</w:t>
      </w:r>
      <w:r>
        <w:rPr>
          <w:rFonts w:hint="eastAsia" w:ascii="宋体" w:hAnsi="宋体" w:cs="宋体"/>
          <w:color w:val="auto"/>
          <w:sz w:val="24"/>
          <w:highlight w:val="none"/>
        </w:rPr>
        <w:t>.5  临时消防方面的其他要求：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C2279E">
      <w:pPr>
        <w:spacing w:line="360" w:lineRule="auto"/>
        <w:ind w:firstLine="480" w:firstLineChars="200"/>
        <w:outlineLvl w:val="3"/>
        <w:rPr>
          <w:rFonts w:ascii="宋体" w:hAnsi="宋体" w:cs="宋体"/>
          <w:color w:val="auto"/>
          <w:kern w:val="0"/>
          <w:sz w:val="24"/>
          <w:highlight w:val="none"/>
        </w:rPr>
      </w:pPr>
      <w:bookmarkStart w:id="690" w:name="_Toc486580227"/>
      <w:bookmarkStart w:id="691" w:name="_Toc489280037"/>
      <w:bookmarkStart w:id="692" w:name="_Toc497213902"/>
      <w:bookmarkStart w:id="693" w:name="_Toc117597657"/>
      <w:r>
        <w:rPr>
          <w:rFonts w:hint="eastAsia" w:ascii="宋体" w:hAnsi="宋体" w:cs="宋体"/>
          <w:color w:val="auto"/>
          <w:kern w:val="0"/>
          <w:sz w:val="24"/>
          <w:highlight w:val="none"/>
        </w:rPr>
        <w:t>3.3  临时供电</w:t>
      </w:r>
      <w:bookmarkEnd w:id="690"/>
      <w:bookmarkEnd w:id="691"/>
      <w:bookmarkEnd w:id="692"/>
      <w:bookmarkEnd w:id="693"/>
    </w:p>
    <w:p w14:paraId="25B00134">
      <w:pPr>
        <w:spacing w:line="360" w:lineRule="auto"/>
        <w:ind w:firstLine="496" w:firstLineChars="200"/>
        <w:outlineLvl w:val="3"/>
        <w:rPr>
          <w:rFonts w:ascii="宋体" w:hAnsi="宋体" w:cs="宋体"/>
          <w:color w:val="auto"/>
          <w:sz w:val="24"/>
          <w:highlight w:val="none"/>
        </w:rPr>
      </w:pPr>
      <w:r>
        <w:rPr>
          <w:rFonts w:hint="eastAsia" w:ascii="宋体" w:hAnsi="宋体" w:cs="宋体"/>
          <w:color w:val="auto"/>
          <w:spacing w:val="4"/>
          <w:sz w:val="24"/>
          <w:highlight w:val="none"/>
        </w:rPr>
        <w:t xml:space="preserve">3.3.1  </w:t>
      </w:r>
      <w:r>
        <w:rPr>
          <w:rFonts w:hint="eastAsia" w:ascii="宋体" w:hAnsi="宋体" w:cs="宋体"/>
          <w:color w:val="auto"/>
          <w:spacing w:val="7"/>
          <w:sz w:val="24"/>
          <w:highlight w:val="none"/>
        </w:rPr>
        <w:t>供应商</w:t>
      </w:r>
      <w:r>
        <w:rPr>
          <w:rFonts w:hint="eastAsia" w:ascii="宋体" w:hAnsi="宋体" w:cs="宋体"/>
          <w:color w:val="auto"/>
          <w:spacing w:val="4"/>
          <w:sz w:val="24"/>
          <w:highlight w:val="none"/>
        </w:rPr>
        <w:t>应当根据《施工现场临时用电安全技术规范》（</w:t>
      </w:r>
      <w:r>
        <w:rPr>
          <w:rFonts w:hint="eastAsia" w:ascii="宋体" w:hAnsi="宋体" w:cs="宋体"/>
          <w:color w:val="auto"/>
          <w:sz w:val="24"/>
          <w:highlight w:val="none"/>
        </w:rPr>
        <w:t>JGJ</w:t>
      </w:r>
      <w:r>
        <w:rPr>
          <w:rFonts w:hint="eastAsia" w:ascii="宋体" w:hAnsi="宋体" w:cs="宋体"/>
          <w:color w:val="auto"/>
          <w:spacing w:val="4"/>
          <w:sz w:val="24"/>
          <w:highlight w:val="none"/>
        </w:rPr>
        <w:t>46-2005）及</w:t>
      </w:r>
      <w:r>
        <w:rPr>
          <w:rFonts w:hint="eastAsia" w:ascii="宋体" w:hAnsi="宋体" w:cs="宋体"/>
          <w:color w:val="auto"/>
          <w:spacing w:val="3"/>
          <w:sz w:val="24"/>
          <w:highlight w:val="none"/>
        </w:rPr>
        <w:t>其适用</w:t>
      </w:r>
      <w:r>
        <w:rPr>
          <w:rFonts w:hint="eastAsia" w:ascii="宋体" w:hAnsi="宋体" w:cs="宋体"/>
          <w:color w:val="auto"/>
          <w:spacing w:val="7"/>
          <w:sz w:val="24"/>
          <w:highlight w:val="none"/>
        </w:rPr>
        <w:t>的修订版本的规定和施工要求编制施工临时用电方案。临时用电方案及其变更必须履行“编制、审核、批准</w:t>
      </w:r>
      <w:r>
        <w:rPr>
          <w:rFonts w:hint="eastAsia" w:ascii="宋体" w:hAnsi="宋体" w:cs="宋体"/>
          <w:color w:val="auto"/>
          <w:spacing w:val="-70"/>
          <w:sz w:val="24"/>
          <w:highlight w:val="none"/>
        </w:rPr>
        <w:t xml:space="preserve"> </w:t>
      </w:r>
      <w:r>
        <w:rPr>
          <w:rFonts w:hint="eastAsia" w:ascii="宋体" w:hAnsi="宋体" w:cs="宋体"/>
          <w:color w:val="auto"/>
          <w:spacing w:val="7"/>
          <w:sz w:val="24"/>
          <w:highlight w:val="none"/>
        </w:rPr>
        <w:t>”程序。施工临时用电方案应当由电气工程技术人员组</w:t>
      </w:r>
      <w:r>
        <w:rPr>
          <w:rFonts w:hint="eastAsia" w:ascii="宋体" w:hAnsi="宋体" w:cs="宋体"/>
          <w:color w:val="auto"/>
          <w:spacing w:val="6"/>
          <w:sz w:val="24"/>
          <w:highlight w:val="none"/>
        </w:rPr>
        <w:t>织编制，经企业技术</w:t>
      </w:r>
      <w:r>
        <w:rPr>
          <w:rFonts w:hint="eastAsia" w:ascii="宋体" w:hAnsi="宋体" w:cs="宋体"/>
          <w:color w:val="auto"/>
          <w:spacing w:val="9"/>
          <w:sz w:val="24"/>
          <w:highlight w:val="none"/>
        </w:rPr>
        <w:t>负责人批准后实施，经编制、审核、批准部门和使用单位共同验收合格后方可投入使用。</w:t>
      </w:r>
    </w:p>
    <w:p w14:paraId="33F46059">
      <w:pPr>
        <w:spacing w:before="1"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3.3.2  供应商应为施工场地（现场</w:t>
      </w:r>
      <w:r>
        <w:rPr>
          <w:rFonts w:hint="eastAsia" w:ascii="宋体" w:hAnsi="宋体" w:cs="宋体"/>
          <w:color w:val="auto"/>
          <w:spacing w:val="-49"/>
          <w:sz w:val="24"/>
          <w:highlight w:val="none"/>
        </w:rPr>
        <w:t>），</w:t>
      </w:r>
      <w:r>
        <w:rPr>
          <w:rFonts w:hint="eastAsia" w:ascii="宋体" w:hAnsi="宋体" w:cs="宋体"/>
          <w:color w:val="auto"/>
          <w:spacing w:val="7"/>
          <w:sz w:val="24"/>
          <w:highlight w:val="none"/>
        </w:rPr>
        <w:t>包括为工程楼层或者各区域，</w:t>
      </w:r>
      <w:r>
        <w:rPr>
          <w:rFonts w:hint="eastAsia" w:ascii="宋体" w:hAnsi="宋体" w:cs="宋体"/>
          <w:color w:val="auto"/>
          <w:spacing w:val="6"/>
          <w:sz w:val="24"/>
          <w:highlight w:val="none"/>
        </w:rPr>
        <w:t>提供、设立和维</w:t>
      </w:r>
      <w:r>
        <w:rPr>
          <w:rFonts w:hint="eastAsia" w:ascii="宋体" w:hAnsi="宋体" w:cs="宋体"/>
          <w:color w:val="auto"/>
          <w:spacing w:val="8"/>
          <w:sz w:val="24"/>
          <w:highlight w:val="none"/>
        </w:rPr>
        <w:t>护必要的临时电力供应系统，并保证电力供应系</w:t>
      </w:r>
      <w:r>
        <w:rPr>
          <w:rFonts w:hint="eastAsia" w:ascii="宋体" w:hAnsi="宋体" w:cs="宋体"/>
          <w:color w:val="auto"/>
          <w:spacing w:val="7"/>
          <w:sz w:val="24"/>
          <w:highlight w:val="none"/>
        </w:rPr>
        <w:t>统始终处于满足供电管理部门要求和正常施</w:t>
      </w:r>
      <w:r>
        <w:rPr>
          <w:rFonts w:hint="eastAsia" w:ascii="宋体" w:hAnsi="宋体" w:cs="宋体"/>
          <w:color w:val="auto"/>
          <w:spacing w:val="9"/>
          <w:sz w:val="24"/>
          <w:highlight w:val="none"/>
        </w:rPr>
        <w:t>工生产所要求的状态，并在工程实际竣工和相应永久系统投入使用后从现场拆除。</w:t>
      </w:r>
    </w:p>
    <w:p w14:paraId="5A6E73C6">
      <w:pPr>
        <w:spacing w:before="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3.3.3  临时供电系统的电缆、</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电线、配电箱、控制柜、开关箱、漏电保护器等材料均应当具有生产（制造）许可证、产品合格证并</w:t>
      </w:r>
      <w:r>
        <w:rPr>
          <w:rFonts w:hint="eastAsia" w:ascii="宋体" w:hAnsi="宋体" w:cs="宋体"/>
          <w:color w:val="auto"/>
          <w:spacing w:val="7"/>
          <w:sz w:val="24"/>
          <w:highlight w:val="none"/>
        </w:rPr>
        <w:t>经过检验合格的产品。临时用电采用三相五</w:t>
      </w:r>
      <w:r>
        <w:rPr>
          <w:rFonts w:hint="eastAsia" w:ascii="宋体" w:hAnsi="宋体" w:cs="宋体"/>
          <w:color w:val="auto"/>
          <w:spacing w:val="8"/>
          <w:sz w:val="24"/>
          <w:highlight w:val="none"/>
        </w:rPr>
        <w:t>线制、三级配电和两极漏电保护供电，三相</w:t>
      </w:r>
      <w:r>
        <w:rPr>
          <w:rFonts w:hint="eastAsia" w:ascii="宋体" w:hAnsi="宋体" w:cs="宋体"/>
          <w:color w:val="auto"/>
          <w:spacing w:val="7"/>
          <w:sz w:val="24"/>
          <w:highlight w:val="none"/>
        </w:rPr>
        <w:t>四线制配电的电缆线路必须采用五芯电缆，按规定设立零线和接地线。电缆和电线的铺设要符合安全用电标准要求，电缆线路应采用埋地或</w:t>
      </w:r>
      <w:r>
        <w:rPr>
          <w:rFonts w:hint="eastAsia" w:ascii="宋体" w:hAnsi="宋体" w:cs="宋体"/>
          <w:color w:val="auto"/>
          <w:spacing w:val="9"/>
          <w:sz w:val="24"/>
          <w:highlight w:val="none"/>
        </w:rPr>
        <w:t>架空敷设，严禁严地面明设，并应避免机械损伤和介质腐蚀。埋地电缆路径</w:t>
      </w:r>
      <w:r>
        <w:rPr>
          <w:rFonts w:hint="eastAsia" w:ascii="宋体" w:hAnsi="宋体" w:cs="宋体"/>
          <w:color w:val="auto"/>
          <w:spacing w:val="8"/>
          <w:sz w:val="24"/>
          <w:highlight w:val="none"/>
        </w:rPr>
        <w:t>应设方位标志。</w:t>
      </w:r>
      <w:r>
        <w:rPr>
          <w:rFonts w:hint="eastAsia" w:ascii="宋体" w:hAnsi="宋体" w:cs="宋体"/>
          <w:color w:val="auto"/>
          <w:spacing w:val="9"/>
          <w:sz w:val="24"/>
          <w:highlight w:val="none"/>
        </w:rPr>
        <w:t>各种配电设备均设有防止漏电和防雨防水设</w:t>
      </w:r>
      <w:r>
        <w:rPr>
          <w:rFonts w:hint="eastAsia" w:ascii="宋体" w:hAnsi="宋体" w:cs="宋体"/>
          <w:color w:val="auto"/>
          <w:spacing w:val="8"/>
          <w:sz w:val="24"/>
          <w:highlight w:val="none"/>
        </w:rPr>
        <w:t>施。</w:t>
      </w:r>
    </w:p>
    <w:p w14:paraId="134FA0ED">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3.3.4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应在施工作业区、施工道路、临时设施、办公区和生活区设置足够的</w:t>
      </w:r>
      <w:r>
        <w:rPr>
          <w:rFonts w:hint="eastAsia" w:ascii="宋体" w:hAnsi="宋体" w:cs="宋体"/>
          <w:color w:val="auto"/>
          <w:spacing w:val="8"/>
          <w:sz w:val="24"/>
          <w:highlight w:val="none"/>
        </w:rPr>
        <w:t>照明，地下工程照明系统的电压不得高于36V，在潮湿和易触及带电体场所的照明供电电压不应大于24V。不便于使用电器照明的工作面应采用特殊照明设施。</w:t>
      </w:r>
    </w:p>
    <w:p w14:paraId="164D9DD4">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3.3.5  凡可能漏电伤人或易受雷击的电器及建筑物均应设置接地和避雷装置。</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应负责避雷装置的采购、安装、管理和维修，并建立定期检查制度。</w:t>
      </w:r>
    </w:p>
    <w:p w14:paraId="567F489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3.3</w:t>
      </w:r>
      <w:r>
        <w:rPr>
          <w:rFonts w:hint="eastAsia" w:ascii="宋体" w:hAnsi="宋体" w:cs="宋体"/>
          <w:color w:val="auto"/>
          <w:sz w:val="24"/>
          <w:highlight w:val="none"/>
        </w:rPr>
        <w:t>.6  临时用电方面的其他要求：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B6BB87">
      <w:pPr>
        <w:spacing w:line="360" w:lineRule="auto"/>
        <w:ind w:firstLine="480" w:firstLineChars="200"/>
        <w:outlineLvl w:val="3"/>
        <w:rPr>
          <w:rFonts w:ascii="宋体" w:hAnsi="宋体" w:cs="宋体"/>
          <w:color w:val="auto"/>
          <w:kern w:val="0"/>
          <w:sz w:val="24"/>
          <w:highlight w:val="none"/>
        </w:rPr>
      </w:pPr>
      <w:bookmarkStart w:id="694" w:name="_Toc497213903"/>
      <w:bookmarkStart w:id="695" w:name="_Toc117597658"/>
      <w:bookmarkStart w:id="696" w:name="_Toc486580228"/>
      <w:bookmarkStart w:id="697" w:name="_Toc489280038"/>
      <w:r>
        <w:rPr>
          <w:rFonts w:hint="eastAsia" w:ascii="宋体" w:hAnsi="宋体" w:cs="宋体"/>
          <w:color w:val="auto"/>
          <w:kern w:val="0"/>
          <w:sz w:val="24"/>
          <w:highlight w:val="none"/>
        </w:rPr>
        <w:t>3.4  劳动保护</w:t>
      </w:r>
      <w:bookmarkEnd w:id="694"/>
      <w:bookmarkEnd w:id="695"/>
      <w:bookmarkEnd w:id="696"/>
      <w:bookmarkEnd w:id="697"/>
    </w:p>
    <w:p w14:paraId="61DAC78F">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应遵守所有适用于本合同的劳动法规及其他有关法律、法规、规章和</w:t>
      </w:r>
      <w:r>
        <w:rPr>
          <w:rFonts w:hint="eastAsia" w:ascii="宋体" w:hAnsi="宋体" w:cs="宋体"/>
          <w:color w:val="auto"/>
          <w:spacing w:val="8"/>
          <w:sz w:val="24"/>
          <w:highlight w:val="none"/>
        </w:rPr>
        <w:t>规定中关于工人工资标准、劳动时间和劳动条件</w:t>
      </w:r>
      <w:r>
        <w:rPr>
          <w:rFonts w:hint="eastAsia" w:ascii="宋体" w:hAnsi="宋体" w:cs="宋体"/>
          <w:color w:val="auto"/>
          <w:spacing w:val="7"/>
          <w:sz w:val="24"/>
          <w:highlight w:val="none"/>
        </w:rPr>
        <w:t>的规定，合理安排现场作业人员的劳动和休息时间，保障劳动者必须的休息时间，支付合理的报酬和费用。供应商应按有关行政管理部门的规定为本合同下雇佣的职员和工人办理任何必要的证件、许可、保险和注册等，并保障采购人免于因供应商不能依照或完全依照上述所有法律、法规、规章和规定等可能给采购人</w:t>
      </w:r>
      <w:r>
        <w:rPr>
          <w:rFonts w:hint="eastAsia" w:ascii="宋体" w:hAnsi="宋体" w:cs="宋体"/>
          <w:color w:val="auto"/>
          <w:spacing w:val="8"/>
          <w:sz w:val="24"/>
          <w:highlight w:val="none"/>
        </w:rPr>
        <w:t>带来的任何处罚、索赔、损失和损害等。</w:t>
      </w:r>
    </w:p>
    <w:p w14:paraId="393DE429">
      <w:pPr>
        <w:spacing w:line="360" w:lineRule="auto"/>
        <w:ind w:firstLine="516" w:firstLineChars="200"/>
        <w:outlineLvl w:val="3"/>
        <w:rPr>
          <w:rFonts w:ascii="宋体" w:hAnsi="宋体" w:cs="宋体"/>
          <w:color w:val="auto"/>
          <w:spacing w:val="9"/>
          <w:sz w:val="24"/>
          <w:highlight w:val="none"/>
        </w:rPr>
      </w:pPr>
      <w:r>
        <w:rPr>
          <w:rFonts w:hint="eastAsia" w:ascii="宋体" w:hAnsi="宋体" w:cs="宋体"/>
          <w:color w:val="auto"/>
          <w:spacing w:val="9"/>
          <w:sz w:val="24"/>
          <w:highlight w:val="none"/>
        </w:rPr>
        <w:t xml:space="preserve">3.4.2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应按照国家《劳动保护法》的规定，保障现场施工人员的劳动安全。</w:t>
      </w:r>
    </w:p>
    <w:p w14:paraId="4E6C0AF3">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供应商应为本合同下雇佣的职员和工人提供适当和充分的劳动保护，</w:t>
      </w:r>
      <w:r>
        <w:rPr>
          <w:rFonts w:hint="eastAsia" w:ascii="宋体" w:hAnsi="宋体" w:cs="宋体"/>
          <w:color w:val="auto"/>
          <w:spacing w:val="6"/>
          <w:sz w:val="24"/>
          <w:highlight w:val="none"/>
        </w:rPr>
        <w:t>包括但不限于安全防护、</w:t>
      </w:r>
      <w:r>
        <w:rPr>
          <w:rFonts w:hint="eastAsia" w:ascii="宋体" w:hAnsi="宋体" w:cs="宋体"/>
          <w:color w:val="auto"/>
          <w:spacing w:val="9"/>
          <w:sz w:val="24"/>
          <w:highlight w:val="none"/>
        </w:rPr>
        <w:t>防寒、防雨、防尘、绝缘保护、常用药品、急救设备、传染病</w:t>
      </w:r>
      <w:r>
        <w:rPr>
          <w:rFonts w:hint="eastAsia" w:ascii="宋体" w:hAnsi="宋体" w:cs="宋体"/>
          <w:color w:val="auto"/>
          <w:spacing w:val="8"/>
          <w:sz w:val="24"/>
          <w:highlight w:val="none"/>
        </w:rPr>
        <w:t>预防等。</w:t>
      </w:r>
    </w:p>
    <w:p w14:paraId="293C6E40">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应为其履行本合同所雇佣的职员和工人提供和维护任何必要的膳宿条</w:t>
      </w:r>
      <w:r>
        <w:rPr>
          <w:rFonts w:hint="eastAsia" w:ascii="宋体" w:hAnsi="宋体" w:cs="宋体"/>
          <w:color w:val="auto"/>
          <w:spacing w:val="4"/>
          <w:sz w:val="24"/>
          <w:highlight w:val="none"/>
        </w:rPr>
        <w:t>件和生活环境，包括但不限于宿舍、围栏、供水（饮用及其他目的用水）、供电、卫生设备、</w:t>
      </w:r>
      <w:r>
        <w:rPr>
          <w:rFonts w:hint="eastAsia" w:ascii="宋体" w:hAnsi="宋体" w:cs="宋体"/>
          <w:color w:val="auto"/>
          <w:spacing w:val="9"/>
          <w:sz w:val="24"/>
          <w:highlight w:val="none"/>
        </w:rPr>
        <w:t>食堂及炊具、防火及灭火设备、供热、家具及其他正常膳宿条件和生活环境所需的必需品，</w:t>
      </w:r>
      <w:r>
        <w:rPr>
          <w:rFonts w:hint="eastAsia" w:ascii="宋体" w:hAnsi="宋体" w:cs="宋体"/>
          <w:color w:val="auto"/>
          <w:spacing w:val="8"/>
          <w:sz w:val="24"/>
          <w:highlight w:val="none"/>
        </w:rPr>
        <w:t>并应考虑宗教和民族习惯。</w:t>
      </w:r>
    </w:p>
    <w:p w14:paraId="0FFFE934">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应为现场工人提供符合政府卫生规定的生活条件并获得必要的许可，</w:t>
      </w:r>
      <w:r>
        <w:rPr>
          <w:rFonts w:hint="eastAsia" w:ascii="宋体" w:hAnsi="宋体" w:cs="宋体"/>
          <w:color w:val="auto"/>
          <w:spacing w:val="8"/>
          <w:sz w:val="24"/>
          <w:highlight w:val="none"/>
        </w:rPr>
        <w:t>保证工人的健康和防止任何传染病，包括工人的</w:t>
      </w:r>
      <w:r>
        <w:rPr>
          <w:rFonts w:hint="eastAsia" w:ascii="宋体" w:hAnsi="宋体" w:cs="宋体"/>
          <w:color w:val="auto"/>
          <w:spacing w:val="7"/>
          <w:sz w:val="24"/>
          <w:highlight w:val="none"/>
        </w:rPr>
        <w:t>食堂、厕所、工具房、宿舍等；供应商应聘</w:t>
      </w:r>
      <w:r>
        <w:rPr>
          <w:rFonts w:hint="eastAsia" w:ascii="宋体" w:hAnsi="宋体" w:cs="宋体"/>
          <w:color w:val="auto"/>
          <w:spacing w:val="6"/>
          <w:sz w:val="24"/>
          <w:highlight w:val="none"/>
        </w:rPr>
        <w:t>请专业的卫生防疫部门定期对现场、工人生活基地和工程进行防疫和卫生的专业检查和处理，</w:t>
      </w:r>
      <w:r>
        <w:rPr>
          <w:rFonts w:hint="eastAsia" w:ascii="宋体" w:hAnsi="宋体" w:cs="宋体"/>
          <w:color w:val="auto"/>
          <w:spacing w:val="10"/>
          <w:sz w:val="24"/>
          <w:highlight w:val="none"/>
        </w:rPr>
        <w:t>包括消灭白蚁、鼠害、蚊蝇和其它害虫，以防对</w:t>
      </w:r>
      <w:r>
        <w:rPr>
          <w:rFonts w:hint="eastAsia" w:ascii="宋体" w:hAnsi="宋体" w:cs="宋体"/>
          <w:color w:val="auto"/>
          <w:spacing w:val="9"/>
          <w:sz w:val="24"/>
          <w:highlight w:val="none"/>
        </w:rPr>
        <w:t>施工人员、现场和永久工程造成任何危害。</w:t>
      </w:r>
    </w:p>
    <w:p w14:paraId="60D59302">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 xml:space="preserve">3.4.5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应在现场设立专门的临时医疗站，配备足够的设施、药物和称职的医务人员，</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还应准备急救担架，用于一旦发生安全事故时对受伤人员的急救。</w:t>
      </w:r>
    </w:p>
    <w:p w14:paraId="4C2FC259">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kern w:val="0"/>
          <w:sz w:val="24"/>
          <w:highlight w:val="none"/>
        </w:rPr>
        <w:t>3.4</w:t>
      </w:r>
      <w:r>
        <w:rPr>
          <w:rFonts w:hint="eastAsia" w:ascii="宋体" w:hAnsi="宋体" w:cs="宋体"/>
          <w:color w:val="auto"/>
          <w:sz w:val="24"/>
          <w:highlight w:val="none"/>
        </w:rPr>
        <w:t>.6  劳动保护方面的其他要求：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26BE600">
      <w:pPr>
        <w:spacing w:line="360" w:lineRule="auto"/>
        <w:ind w:firstLine="480" w:firstLineChars="200"/>
        <w:outlineLvl w:val="3"/>
        <w:rPr>
          <w:rFonts w:ascii="宋体" w:hAnsi="宋体" w:cs="宋体"/>
          <w:color w:val="auto"/>
          <w:kern w:val="0"/>
          <w:sz w:val="24"/>
          <w:highlight w:val="none"/>
        </w:rPr>
      </w:pPr>
      <w:bookmarkStart w:id="698" w:name="_Toc489280040"/>
      <w:bookmarkStart w:id="699" w:name="_Toc486580230"/>
      <w:bookmarkStart w:id="700" w:name="_Toc117597660"/>
      <w:bookmarkStart w:id="701" w:name="_Toc497213905"/>
      <w:r>
        <w:rPr>
          <w:rFonts w:hint="eastAsia" w:ascii="宋体" w:hAnsi="宋体" w:cs="宋体"/>
          <w:color w:val="auto"/>
          <w:kern w:val="0"/>
          <w:sz w:val="24"/>
          <w:highlight w:val="none"/>
        </w:rPr>
        <w:t>3.5  施工安全措施计划</w:t>
      </w:r>
      <w:bookmarkEnd w:id="698"/>
      <w:bookmarkEnd w:id="699"/>
      <w:bookmarkEnd w:id="700"/>
      <w:bookmarkEnd w:id="701"/>
    </w:p>
    <w:p w14:paraId="725254EF">
      <w:pPr>
        <w:spacing w:line="360" w:lineRule="auto"/>
        <w:ind w:firstLine="468" w:firstLineChars="200"/>
        <w:outlineLvl w:val="3"/>
        <w:rPr>
          <w:rFonts w:ascii="宋体" w:hAnsi="宋体" w:cs="宋体"/>
          <w:color w:val="auto"/>
          <w:sz w:val="24"/>
          <w:highlight w:val="none"/>
        </w:rPr>
      </w:pPr>
      <w:r>
        <w:rPr>
          <w:rFonts w:hint="eastAsia" w:ascii="宋体" w:hAnsi="宋体" w:cs="宋体"/>
          <w:color w:val="auto"/>
          <w:spacing w:val="-3"/>
          <w:sz w:val="24"/>
          <w:highlight w:val="none"/>
        </w:rPr>
        <w:t xml:space="preserve">3.5.1  </w:t>
      </w:r>
      <w:r>
        <w:rPr>
          <w:rFonts w:hint="eastAsia" w:ascii="宋体" w:hAnsi="宋体" w:cs="宋体"/>
          <w:color w:val="auto"/>
          <w:spacing w:val="7"/>
          <w:sz w:val="24"/>
          <w:highlight w:val="none"/>
        </w:rPr>
        <w:t>供应商</w:t>
      </w:r>
      <w:r>
        <w:rPr>
          <w:rFonts w:hint="eastAsia" w:ascii="宋体" w:hAnsi="宋体" w:cs="宋体"/>
          <w:color w:val="auto"/>
          <w:spacing w:val="-3"/>
          <w:sz w:val="24"/>
          <w:highlight w:val="none"/>
        </w:rPr>
        <w:t>应根据《中华人民共和国安全生产法》、《职业健康安全管理体系规范》、</w:t>
      </w:r>
      <w:r>
        <w:rPr>
          <w:rFonts w:hint="eastAsia" w:ascii="宋体" w:hAnsi="宋体" w:cs="宋体"/>
          <w:color w:val="auto"/>
          <w:spacing w:val="-2"/>
          <w:sz w:val="24"/>
          <w:highlight w:val="none"/>
        </w:rPr>
        <w:t>《中华人民共和国消防法》、《中华人民共和国道</w:t>
      </w:r>
      <w:r>
        <w:rPr>
          <w:rFonts w:hint="eastAsia" w:ascii="宋体" w:hAnsi="宋体" w:cs="宋体"/>
          <w:color w:val="auto"/>
          <w:spacing w:val="-3"/>
          <w:sz w:val="24"/>
          <w:highlight w:val="none"/>
        </w:rPr>
        <w:t>路交通安全法》、《中华人民共和国传染病防</w:t>
      </w:r>
      <w:r>
        <w:rPr>
          <w:rFonts w:hint="eastAsia" w:ascii="宋体" w:hAnsi="宋体" w:cs="宋体"/>
          <w:color w:val="auto"/>
          <w:spacing w:val="8"/>
          <w:sz w:val="24"/>
          <w:highlight w:val="none"/>
        </w:rPr>
        <w:t>治法实施办法》和地方有关的法规等，按照合同条款第9.2.1项的约定，编制一份施工</w:t>
      </w:r>
      <w:r>
        <w:rPr>
          <w:rFonts w:hint="eastAsia" w:ascii="宋体" w:hAnsi="宋体" w:cs="宋体"/>
          <w:color w:val="auto"/>
          <w:spacing w:val="7"/>
          <w:sz w:val="24"/>
          <w:highlight w:val="none"/>
        </w:rPr>
        <w:t>安全</w:t>
      </w:r>
      <w:r>
        <w:rPr>
          <w:rFonts w:hint="eastAsia" w:ascii="宋体" w:hAnsi="宋体" w:cs="宋体"/>
          <w:color w:val="auto"/>
          <w:spacing w:val="8"/>
          <w:sz w:val="24"/>
          <w:highlight w:val="none"/>
        </w:rPr>
        <w:t>措施计划，报送监理人审批。</w:t>
      </w:r>
    </w:p>
    <w:p w14:paraId="29229C84">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3.5.2  施工安全措施计划是</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阐明其安全管理方针、管理体系、安全制度和安</w:t>
      </w:r>
      <w:r>
        <w:rPr>
          <w:rFonts w:hint="eastAsia" w:ascii="宋体" w:hAnsi="宋体" w:cs="宋体"/>
          <w:color w:val="auto"/>
          <w:spacing w:val="8"/>
          <w:sz w:val="24"/>
          <w:highlight w:val="none"/>
        </w:rPr>
        <w:t>全措施等的文件，其内容应当反映现行法律法规规</w:t>
      </w:r>
      <w:r>
        <w:rPr>
          <w:rFonts w:hint="eastAsia" w:ascii="宋体" w:hAnsi="宋体" w:cs="宋体"/>
          <w:color w:val="auto"/>
          <w:spacing w:val="7"/>
          <w:sz w:val="24"/>
          <w:highlight w:val="none"/>
        </w:rPr>
        <w:t>定的，和合同约定的以及本条上述约定的</w:t>
      </w:r>
      <w:r>
        <w:rPr>
          <w:rFonts w:hint="eastAsia" w:ascii="宋体" w:hAnsi="宋体" w:cs="宋体"/>
          <w:color w:val="auto"/>
          <w:sz w:val="24"/>
          <w:highlight w:val="none"/>
        </w:rPr>
        <w:t xml:space="preserve">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安全职责，至少包括：</w:t>
      </w:r>
    </w:p>
    <w:p w14:paraId="7D757F17">
      <w:pPr>
        <w:spacing w:before="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（1）施工安全管理机构的设置；</w:t>
      </w:r>
    </w:p>
    <w:p w14:paraId="704590C1">
      <w:pPr>
        <w:spacing w:before="164"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（2）专职安全管理人员的配备；</w:t>
      </w:r>
    </w:p>
    <w:p w14:paraId="3B74E003">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（3）安全责任制度和管理措施；</w:t>
      </w:r>
    </w:p>
    <w:p w14:paraId="7F45ECD2">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（4）安全教育和培训制度及管理措施；</w:t>
      </w:r>
    </w:p>
    <w:p w14:paraId="3E5A9953">
      <w:pPr>
        <w:spacing w:before="160"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（5）各项安全生产规章制度和操作规程；</w:t>
      </w:r>
    </w:p>
    <w:p w14:paraId="65207132">
      <w:pPr>
        <w:spacing w:before="162"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（6）各项施工安全措施和防护措施；</w:t>
      </w:r>
    </w:p>
    <w:p w14:paraId="424D230D">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（7）危险品管理和使用制度；</w:t>
      </w:r>
    </w:p>
    <w:p w14:paraId="6FD32827">
      <w:pPr>
        <w:spacing w:before="162"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（8）安全设施、设备、器材和劳动保护用品的配置；</w:t>
      </w:r>
    </w:p>
    <w:p w14:paraId="704FDB93">
      <w:pPr>
        <w:spacing w:before="162"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（9）其他要求</w:t>
      </w:r>
      <w:r>
        <w:rPr>
          <w:rFonts w:hint="eastAsia" w:ascii="宋体" w:hAnsi="宋体" w:cs="宋体"/>
          <w:color w:val="auto"/>
          <w:sz w:val="24"/>
          <w:highlight w:val="none"/>
          <w:u w:val="single"/>
        </w:rPr>
        <w:t xml:space="preserve">    /     </w:t>
      </w:r>
    </w:p>
    <w:p w14:paraId="7BFA096A">
      <w:pPr>
        <w:spacing w:before="160" w:line="360" w:lineRule="auto"/>
        <w:ind w:firstLine="496" w:firstLineChars="200"/>
        <w:outlineLvl w:val="3"/>
        <w:rPr>
          <w:rFonts w:ascii="宋体" w:hAnsi="宋体" w:cs="宋体"/>
          <w:color w:val="auto"/>
          <w:sz w:val="24"/>
          <w:highlight w:val="none"/>
        </w:rPr>
      </w:pPr>
      <w:r>
        <w:rPr>
          <w:rFonts w:hint="eastAsia" w:ascii="宋体" w:hAnsi="宋体" w:cs="宋体"/>
          <w:color w:val="auto"/>
          <w:spacing w:val="4"/>
          <w:sz w:val="24"/>
          <w:highlight w:val="none"/>
        </w:rPr>
        <w:t>施工安全措施的项目和范围，应符合国家颁发的《安全技术措施计划的项目总名称表》</w:t>
      </w:r>
      <w:r>
        <w:rPr>
          <w:rFonts w:hint="eastAsia" w:ascii="宋体" w:hAnsi="宋体" w:cs="宋体"/>
          <w:color w:val="auto"/>
          <w:spacing w:val="7"/>
          <w:sz w:val="24"/>
          <w:highlight w:val="none"/>
        </w:rPr>
        <w:t>及其附录</w:t>
      </w:r>
      <w:r>
        <w:rPr>
          <w:rFonts w:hint="eastAsia" w:ascii="宋体" w:hAnsi="宋体" w:cs="宋体"/>
          <w:color w:val="auto"/>
          <w:spacing w:val="-44"/>
          <w:sz w:val="24"/>
          <w:highlight w:val="none"/>
        </w:rPr>
        <w:t xml:space="preserve"> </w:t>
      </w:r>
      <w:r>
        <w:rPr>
          <w:rFonts w:hint="eastAsia" w:ascii="宋体" w:hAnsi="宋体" w:cs="宋体"/>
          <w:color w:val="auto"/>
          <w:spacing w:val="7"/>
          <w:sz w:val="24"/>
          <w:highlight w:val="none"/>
        </w:rPr>
        <w:t>H、I、J的规定，即应采取以改善劳</w:t>
      </w:r>
      <w:r>
        <w:rPr>
          <w:rFonts w:hint="eastAsia" w:ascii="宋体" w:hAnsi="宋体" w:cs="宋体"/>
          <w:color w:val="auto"/>
          <w:spacing w:val="6"/>
          <w:sz w:val="24"/>
          <w:highlight w:val="none"/>
        </w:rPr>
        <w:t>动条件，防止工伤事故，预防职业病和职业中</w:t>
      </w:r>
      <w:r>
        <w:rPr>
          <w:rFonts w:hint="eastAsia" w:ascii="宋体" w:hAnsi="宋体" w:cs="宋体"/>
          <w:color w:val="auto"/>
          <w:spacing w:val="8"/>
          <w:sz w:val="24"/>
          <w:highlight w:val="none"/>
        </w:rPr>
        <w:t>毒为目的的一切施工安全措施，以及修建必</w:t>
      </w:r>
      <w:r>
        <w:rPr>
          <w:rFonts w:hint="eastAsia" w:ascii="宋体" w:hAnsi="宋体" w:cs="宋体"/>
          <w:color w:val="auto"/>
          <w:spacing w:val="7"/>
          <w:sz w:val="24"/>
          <w:highlight w:val="none"/>
        </w:rPr>
        <w:t>要的安全设施、配备安全技术开发试验所需的器</w:t>
      </w:r>
      <w:r>
        <w:rPr>
          <w:rFonts w:hint="eastAsia" w:ascii="宋体" w:hAnsi="宋体" w:cs="宋体"/>
          <w:color w:val="auto"/>
          <w:spacing w:val="9"/>
          <w:sz w:val="24"/>
          <w:highlight w:val="none"/>
        </w:rPr>
        <w:t>材、设备和技术资料，并对现场的施工管理及作业人员做好相应的安全宣传教育。</w:t>
      </w:r>
    </w:p>
    <w:p w14:paraId="67B56EB4">
      <w:pPr>
        <w:spacing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3.5.3  施工安全措施计划应当在合同条款第9.</w:t>
      </w:r>
      <w:r>
        <w:rPr>
          <w:rFonts w:hint="eastAsia" w:ascii="宋体" w:hAnsi="宋体" w:cs="宋体"/>
          <w:color w:val="auto"/>
          <w:spacing w:val="9"/>
          <w:sz w:val="24"/>
          <w:highlight w:val="none"/>
        </w:rPr>
        <w:t>2.1项约定的期限内报送监理人。</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应当严格执行经监理人批准的施工安全</w:t>
      </w:r>
      <w:r>
        <w:rPr>
          <w:rFonts w:hint="eastAsia" w:ascii="宋体" w:hAnsi="宋体" w:cs="宋体"/>
          <w:color w:val="auto"/>
          <w:spacing w:val="7"/>
          <w:sz w:val="24"/>
          <w:highlight w:val="none"/>
        </w:rPr>
        <w:t>措施计划，并及时补充、修订和完善施工安全措</w:t>
      </w:r>
      <w:r>
        <w:rPr>
          <w:rFonts w:hint="eastAsia" w:ascii="宋体" w:hAnsi="宋体" w:cs="宋体"/>
          <w:color w:val="auto"/>
          <w:spacing w:val="8"/>
          <w:sz w:val="24"/>
          <w:highlight w:val="none"/>
        </w:rPr>
        <w:t>施计划，确保安全生产。</w:t>
      </w:r>
    </w:p>
    <w:p w14:paraId="222C39A3">
      <w:pPr>
        <w:spacing w:line="360" w:lineRule="auto"/>
        <w:ind w:firstLine="480" w:firstLineChars="200"/>
        <w:outlineLvl w:val="3"/>
        <w:rPr>
          <w:rFonts w:ascii="宋体" w:hAnsi="宋体" w:cs="宋体"/>
          <w:color w:val="auto"/>
          <w:kern w:val="0"/>
          <w:sz w:val="24"/>
          <w:highlight w:val="none"/>
        </w:rPr>
      </w:pPr>
      <w:bookmarkStart w:id="702" w:name="_Toc489280041"/>
      <w:bookmarkStart w:id="703" w:name="_Toc117597661"/>
      <w:bookmarkStart w:id="704" w:name="_Toc486580231"/>
      <w:bookmarkStart w:id="705" w:name="_Toc497213906"/>
      <w:r>
        <w:rPr>
          <w:rFonts w:hint="eastAsia" w:ascii="宋体" w:hAnsi="宋体" w:cs="宋体"/>
          <w:color w:val="auto"/>
          <w:kern w:val="0"/>
          <w:sz w:val="24"/>
          <w:highlight w:val="none"/>
        </w:rPr>
        <w:t>3.6  文明施工</w:t>
      </w:r>
      <w:bookmarkEnd w:id="702"/>
      <w:bookmarkEnd w:id="703"/>
      <w:bookmarkEnd w:id="704"/>
      <w:bookmarkEnd w:id="705"/>
    </w:p>
    <w:p w14:paraId="445B0F6C">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3.6.1  供应商应遵守国家和工程所在地有关法规、规范、规程和标准的规定，履行文明施工义务，确保文明施工专项费用专款专用。</w:t>
      </w:r>
    </w:p>
    <w:p w14:paraId="4E934A9A">
      <w:pPr>
        <w:spacing w:before="161"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 xml:space="preserve">3.6.2  </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应当规范现场施工秩序，实行标准化管理：</w:t>
      </w:r>
    </w:p>
    <w:p w14:paraId="6CDB16BC">
      <w:pPr>
        <w:spacing w:before="163"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（1）</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的施工场地（现场）必须干净整洁、做到无积水</w:t>
      </w:r>
      <w:r>
        <w:rPr>
          <w:rFonts w:hint="eastAsia" w:ascii="宋体" w:hAnsi="宋体" w:cs="宋体"/>
          <w:color w:val="auto"/>
          <w:spacing w:val="9"/>
          <w:sz w:val="24"/>
          <w:highlight w:val="none"/>
        </w:rPr>
        <w:t>、无淤泥、无杂物，材</w:t>
      </w:r>
      <w:r>
        <w:rPr>
          <w:rFonts w:hint="eastAsia" w:ascii="宋体" w:hAnsi="宋体" w:cs="宋体"/>
          <w:color w:val="auto"/>
          <w:spacing w:val="6"/>
          <w:sz w:val="24"/>
          <w:highlight w:val="none"/>
        </w:rPr>
        <w:t>料堆放整齐；</w:t>
      </w:r>
    </w:p>
    <w:p w14:paraId="1A76F0AA">
      <w:pPr>
        <w:spacing w:before="159" w:line="360" w:lineRule="auto"/>
        <w:ind w:left="20"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（2）</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应当在建筑工地设置围挡，并采取覆盖、分段作</w:t>
      </w:r>
      <w:r>
        <w:rPr>
          <w:rFonts w:hint="eastAsia" w:ascii="宋体" w:hAnsi="宋体" w:cs="宋体"/>
          <w:color w:val="auto"/>
          <w:spacing w:val="9"/>
          <w:sz w:val="24"/>
          <w:highlight w:val="none"/>
        </w:rPr>
        <w:t>业、择时施工、冲洗地</w:t>
      </w:r>
      <w:r>
        <w:rPr>
          <w:rFonts w:hint="eastAsia" w:ascii="宋体" w:hAnsi="宋体" w:cs="宋体"/>
          <w:color w:val="auto"/>
          <w:spacing w:val="8"/>
          <w:sz w:val="24"/>
          <w:highlight w:val="none"/>
        </w:rPr>
        <w:t>面等有效防尘降尘措施；</w:t>
      </w:r>
    </w:p>
    <w:p w14:paraId="57B79E6F">
      <w:pPr>
        <w:spacing w:before="160" w:line="360" w:lineRule="auto"/>
        <w:ind w:left="19"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（3）施工现场土方、砂石等应当集中堆放，裸露的场地和集</w:t>
      </w:r>
      <w:r>
        <w:rPr>
          <w:rFonts w:hint="eastAsia" w:ascii="宋体" w:hAnsi="宋体" w:cs="宋体"/>
          <w:color w:val="auto"/>
          <w:spacing w:val="9"/>
          <w:sz w:val="24"/>
          <w:highlight w:val="none"/>
        </w:rPr>
        <w:t>中堆放的土方、砂石等</w:t>
      </w:r>
      <w:r>
        <w:rPr>
          <w:rFonts w:hint="eastAsia" w:ascii="宋体" w:hAnsi="宋体" w:cs="宋体"/>
          <w:color w:val="auto"/>
          <w:spacing w:val="8"/>
          <w:sz w:val="24"/>
          <w:highlight w:val="none"/>
        </w:rPr>
        <w:t>应当采取覆盖、固化或绿化等措施；</w:t>
      </w:r>
    </w:p>
    <w:p w14:paraId="0CAEAFD2">
      <w:pPr>
        <w:spacing w:before="161" w:line="360" w:lineRule="auto"/>
        <w:ind w:left="22"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（4）施工场地（现场）应进行硬化处理，定期定时洒水，做</w:t>
      </w:r>
      <w:r>
        <w:rPr>
          <w:rFonts w:hint="eastAsia" w:ascii="宋体" w:hAnsi="宋体" w:cs="宋体"/>
          <w:color w:val="auto"/>
          <w:spacing w:val="9"/>
          <w:sz w:val="24"/>
          <w:highlight w:val="none"/>
        </w:rPr>
        <w:t>好防治扬尘和大气污染</w:t>
      </w:r>
      <w:r>
        <w:rPr>
          <w:rFonts w:hint="eastAsia" w:ascii="宋体" w:hAnsi="宋体" w:cs="宋体"/>
          <w:color w:val="auto"/>
          <w:spacing w:val="2"/>
          <w:sz w:val="24"/>
          <w:highlight w:val="none"/>
        </w:rPr>
        <w:t>工作；</w:t>
      </w:r>
    </w:p>
    <w:p w14:paraId="485C450F">
      <w:pPr>
        <w:spacing w:before="160" w:line="360" w:lineRule="auto"/>
        <w:ind w:left="22" w:right="53"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（5）严格遵守“工完、料尽、场地净</w:t>
      </w:r>
      <w:r>
        <w:rPr>
          <w:rFonts w:hint="eastAsia" w:ascii="宋体" w:hAnsi="宋体" w:cs="宋体"/>
          <w:color w:val="auto"/>
          <w:spacing w:val="-70"/>
          <w:sz w:val="24"/>
          <w:highlight w:val="none"/>
        </w:rPr>
        <w:t xml:space="preserve"> </w:t>
      </w:r>
      <w:r>
        <w:rPr>
          <w:rFonts w:hint="eastAsia" w:ascii="宋体" w:hAnsi="宋体" w:cs="宋体"/>
          <w:color w:val="auto"/>
          <w:spacing w:val="9"/>
          <w:sz w:val="24"/>
          <w:highlight w:val="none"/>
        </w:rPr>
        <w:t>”的原则，不留垃圾、不留剩余施工材料和施</w:t>
      </w:r>
      <w:r>
        <w:rPr>
          <w:rFonts w:hint="eastAsia" w:ascii="宋体" w:hAnsi="宋体" w:cs="宋体"/>
          <w:color w:val="auto"/>
          <w:spacing w:val="8"/>
          <w:sz w:val="24"/>
          <w:highlight w:val="none"/>
        </w:rPr>
        <w:t>工机具，各种设备运转正常；</w:t>
      </w:r>
    </w:p>
    <w:p w14:paraId="6A52FA45">
      <w:pPr>
        <w:spacing w:before="161" w:line="360" w:lineRule="auto"/>
        <w:ind w:left="20"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（6）</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修建的施工临时设施应符合监理人批准的施工规</w:t>
      </w:r>
      <w:r>
        <w:rPr>
          <w:rFonts w:hint="eastAsia" w:ascii="宋体" w:hAnsi="宋体" w:cs="宋体"/>
          <w:color w:val="auto"/>
          <w:spacing w:val="9"/>
          <w:sz w:val="24"/>
          <w:highlight w:val="none"/>
        </w:rPr>
        <w:t>划要求，并应满足本章</w:t>
      </w:r>
      <w:r>
        <w:rPr>
          <w:rFonts w:hint="eastAsia" w:ascii="宋体" w:hAnsi="宋体" w:cs="宋体"/>
          <w:color w:val="auto"/>
          <w:spacing w:val="7"/>
          <w:sz w:val="24"/>
          <w:highlight w:val="none"/>
        </w:rPr>
        <w:t>规定的各项安全要求；</w:t>
      </w:r>
    </w:p>
    <w:p w14:paraId="28E8C41C">
      <w:pPr>
        <w:spacing w:before="159" w:line="360" w:lineRule="auto"/>
        <w:ind w:left="19" w:right="56"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（7）监理人可要求</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在施工场地（现场）设置各级</w:t>
      </w:r>
      <w:r>
        <w:rPr>
          <w:rFonts w:hint="eastAsia" w:ascii="宋体" w:hAnsi="宋体" w:cs="宋体"/>
          <w:color w:val="auto"/>
          <w:spacing w:val="9"/>
          <w:sz w:val="24"/>
          <w:highlight w:val="none"/>
        </w:rPr>
        <w:t>供应商的安全生产标准化责</w:t>
      </w:r>
      <w:r>
        <w:rPr>
          <w:rFonts w:hint="eastAsia" w:ascii="宋体" w:hAnsi="宋体" w:cs="宋体"/>
          <w:color w:val="auto"/>
          <w:spacing w:val="8"/>
          <w:sz w:val="24"/>
          <w:highlight w:val="none"/>
        </w:rPr>
        <w:t>任牌等文明施工警示牌；</w:t>
      </w:r>
    </w:p>
    <w:p w14:paraId="5F327F70">
      <w:pPr>
        <w:spacing w:before="160"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（8）材料进入现场应按指定位置堆放整齐，不得影响现场施</w:t>
      </w:r>
      <w:r>
        <w:rPr>
          <w:rFonts w:hint="eastAsia" w:ascii="宋体" w:hAnsi="宋体" w:cs="宋体"/>
          <w:color w:val="auto"/>
          <w:spacing w:val="9"/>
          <w:sz w:val="24"/>
          <w:highlight w:val="none"/>
        </w:rPr>
        <w:t>工和堵塞施工、消防通</w:t>
      </w:r>
      <w:r>
        <w:rPr>
          <w:rFonts w:hint="eastAsia" w:ascii="宋体" w:hAnsi="宋体" w:cs="宋体"/>
          <w:color w:val="auto"/>
          <w:spacing w:val="8"/>
          <w:sz w:val="24"/>
          <w:highlight w:val="none"/>
        </w:rPr>
        <w:t>道。材料堆放场地应有专职的管理人员；</w:t>
      </w:r>
    </w:p>
    <w:p w14:paraId="77610BEB">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（9）施工和安装用的各种扣件、紧固件、绳索具、小型配件、镙钉等应在专设的仓库内装箱放置；</w:t>
      </w:r>
    </w:p>
    <w:p w14:paraId="61C84564">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（10）现场风、水管及照明电线的布置应安全、合理、规范、有序，做到整齐美观。不得随意架设和造成隐患或影响施工；</w:t>
      </w:r>
    </w:p>
    <w:p w14:paraId="678E9C9C">
      <w:pPr>
        <w:spacing w:before="161" w:line="360" w:lineRule="auto"/>
        <w:ind w:left="20" w:right="56" w:firstLine="520" w:firstLineChars="200"/>
        <w:outlineLvl w:val="3"/>
        <w:rPr>
          <w:rFonts w:ascii="宋体" w:hAnsi="宋体" w:cs="宋体"/>
          <w:color w:val="auto"/>
          <w:spacing w:val="10"/>
          <w:sz w:val="24"/>
          <w:highlight w:val="none"/>
        </w:rPr>
      </w:pPr>
      <w:r>
        <w:rPr>
          <w:rFonts w:hint="eastAsia" w:ascii="宋体" w:hAnsi="宋体" w:cs="宋体"/>
          <w:color w:val="auto"/>
          <w:spacing w:val="10"/>
          <w:sz w:val="24"/>
          <w:highlight w:val="none"/>
        </w:rPr>
        <w:t>（11）建筑拆除工程施工时应采取隔离、洒水等有效的降噪、降尘措施，并及时清理废弃物；</w:t>
      </w:r>
    </w:p>
    <w:p w14:paraId="1AE8B27C">
      <w:pPr>
        <w:spacing w:before="160"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（12）当道路施工进行铣刨、切割等作业时，应采取有效的防扬尘措施。灰土</w:t>
      </w:r>
      <w:r>
        <w:rPr>
          <w:rFonts w:hint="eastAsia" w:ascii="宋体" w:hAnsi="宋体" w:cs="宋体"/>
          <w:color w:val="auto"/>
          <w:spacing w:val="6"/>
          <w:sz w:val="24"/>
          <w:highlight w:val="none"/>
        </w:rPr>
        <w:t>和无机</w:t>
      </w:r>
      <w:r>
        <w:rPr>
          <w:rFonts w:hint="eastAsia" w:ascii="宋体" w:hAnsi="宋体" w:cs="宋体"/>
          <w:color w:val="auto"/>
          <w:spacing w:val="9"/>
          <w:sz w:val="24"/>
          <w:highlight w:val="none"/>
        </w:rPr>
        <w:t>料应采用预拌进场，碾压过程中应洒水降尘。</w:t>
      </w:r>
    </w:p>
    <w:p w14:paraId="6996D8F5">
      <w:pPr>
        <w:spacing w:before="162"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3.6.3  供应商应为其雇佣的施工工人建立并维护相应的生活宿舍、食堂、浴室、厕所和文化活动室等，其标准应满足政府有关机构的生活标准和卫生标准等的要求。</w:t>
      </w:r>
    </w:p>
    <w:p w14:paraId="1506F79B">
      <w:pPr>
        <w:spacing w:before="162"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3.6.4  供应商应为任何已完成的、正在施工的和将要进行的任何永久和临时工程、</w:t>
      </w:r>
      <w:r>
        <w:rPr>
          <w:rFonts w:hint="eastAsia" w:ascii="宋体" w:hAnsi="宋体" w:cs="宋体"/>
          <w:color w:val="auto"/>
          <w:spacing w:val="4"/>
          <w:sz w:val="24"/>
          <w:highlight w:val="none"/>
        </w:rPr>
        <w:t>材料、物品、设备、以及因永久工程施工而暴露的任何毗邻财产提供必要</w:t>
      </w:r>
      <w:r>
        <w:rPr>
          <w:rFonts w:hint="eastAsia" w:ascii="宋体" w:hAnsi="宋体" w:cs="宋体"/>
          <w:color w:val="auto"/>
          <w:spacing w:val="3"/>
          <w:sz w:val="24"/>
          <w:highlight w:val="none"/>
        </w:rPr>
        <w:t>的覆盖和保护措施，</w:t>
      </w:r>
      <w:r>
        <w:rPr>
          <w:rFonts w:hint="eastAsia" w:ascii="宋体" w:hAnsi="宋体" w:cs="宋体"/>
          <w:color w:val="auto"/>
          <w:spacing w:val="8"/>
          <w:sz w:val="24"/>
          <w:highlight w:val="none"/>
        </w:rPr>
        <w:t>以避免恶劣天气影响工程施工和造成损失。保护措</w:t>
      </w:r>
      <w:r>
        <w:rPr>
          <w:rFonts w:hint="eastAsia" w:ascii="宋体" w:hAnsi="宋体" w:cs="宋体"/>
          <w:color w:val="auto"/>
          <w:spacing w:val="7"/>
          <w:sz w:val="24"/>
          <w:highlight w:val="none"/>
        </w:rPr>
        <w:t>施包括必要的冬季供暖、雨季用阻燃防水</w:t>
      </w:r>
      <w:r>
        <w:rPr>
          <w:rFonts w:hint="eastAsia" w:ascii="宋体" w:hAnsi="宋体" w:cs="宋体"/>
          <w:color w:val="auto"/>
          <w:spacing w:val="8"/>
          <w:sz w:val="24"/>
          <w:highlight w:val="none"/>
        </w:rPr>
        <w:t>油布覆盖、额外的临时仓库等等。因</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措施不</w:t>
      </w:r>
      <w:r>
        <w:rPr>
          <w:rFonts w:hint="eastAsia" w:ascii="宋体" w:hAnsi="宋体" w:cs="宋体"/>
          <w:color w:val="auto"/>
          <w:spacing w:val="7"/>
          <w:sz w:val="24"/>
          <w:highlight w:val="none"/>
        </w:rPr>
        <w:t>得力或不到位而给工程带来的任何损失或</w:t>
      </w:r>
      <w:r>
        <w:rPr>
          <w:rFonts w:hint="eastAsia" w:ascii="宋体" w:hAnsi="宋体" w:cs="宋体"/>
          <w:color w:val="auto"/>
          <w:sz w:val="24"/>
          <w:highlight w:val="none"/>
        </w:rPr>
        <w:t xml:space="preserve"> </w:t>
      </w:r>
      <w:r>
        <w:rPr>
          <w:rFonts w:hint="eastAsia" w:ascii="宋体" w:hAnsi="宋体" w:cs="宋体"/>
          <w:color w:val="auto"/>
          <w:spacing w:val="8"/>
          <w:sz w:val="24"/>
          <w:highlight w:val="none"/>
        </w:rPr>
        <w:t>损害由</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自己负责。</w:t>
      </w:r>
    </w:p>
    <w:p w14:paraId="5A88C145">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3.6.5  在工程施工期间，供应商应始终避免现场出现不必要的障碍物，妥当存放并</w:t>
      </w:r>
      <w:r>
        <w:rPr>
          <w:rFonts w:hint="eastAsia" w:ascii="宋体" w:hAnsi="宋体" w:cs="宋体"/>
          <w:color w:val="auto"/>
          <w:spacing w:val="7"/>
          <w:sz w:val="24"/>
          <w:highlight w:val="none"/>
        </w:rPr>
        <w:t>处置施工设备和多余的材料，及时从现场清除运走任何废料、垃圾或不再需要的临时工程和</w:t>
      </w:r>
      <w:r>
        <w:rPr>
          <w:rFonts w:hint="eastAsia" w:ascii="宋体" w:hAnsi="宋体" w:cs="宋体"/>
          <w:color w:val="auto"/>
          <w:spacing w:val="2"/>
          <w:sz w:val="24"/>
          <w:highlight w:val="none"/>
        </w:rPr>
        <w:t>设施。</w:t>
      </w:r>
    </w:p>
    <w:p w14:paraId="794B346E">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3.6.6  供应商应为现场的工人和其他所有工作人员提供符合卫生要求的厕所，厕所应贴有磁砖并带手动或自动冲刷设备和洗手</w:t>
      </w:r>
      <w:r>
        <w:rPr>
          <w:rFonts w:hint="eastAsia" w:ascii="宋体" w:hAnsi="宋体" w:cs="宋体"/>
          <w:color w:val="auto"/>
          <w:spacing w:val="8"/>
          <w:sz w:val="24"/>
          <w:highlight w:val="none"/>
        </w:rPr>
        <w:t>盆；</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负责支付与该厕所相关的所有费用，</w:t>
      </w:r>
      <w:r>
        <w:rPr>
          <w:rFonts w:hint="eastAsia" w:ascii="宋体" w:hAnsi="宋体" w:cs="宋体"/>
          <w:color w:val="auto"/>
          <w:spacing w:val="7"/>
          <w:sz w:val="24"/>
          <w:highlight w:val="none"/>
        </w:rPr>
        <w:t>并在工程竣工时，从现场拆除。</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应在工作区域设立必要的临时厕所，并安排专门人员</w:t>
      </w:r>
      <w:r>
        <w:rPr>
          <w:rFonts w:hint="eastAsia" w:ascii="宋体" w:hAnsi="宋体" w:cs="宋体"/>
          <w:color w:val="auto"/>
          <w:spacing w:val="17"/>
          <w:sz w:val="24"/>
          <w:highlight w:val="none"/>
        </w:rPr>
        <w:t xml:space="preserve"> </w:t>
      </w:r>
      <w:r>
        <w:rPr>
          <w:rFonts w:hint="eastAsia" w:ascii="宋体" w:hAnsi="宋体" w:cs="宋体"/>
          <w:color w:val="auto"/>
          <w:spacing w:val="9"/>
          <w:sz w:val="24"/>
          <w:highlight w:val="none"/>
        </w:rPr>
        <w:t>负责看护和定时清理，以确保现场免于随地大小便的污染。</w:t>
      </w:r>
    </w:p>
    <w:p w14:paraId="27B6158D">
      <w:pPr>
        <w:spacing w:line="360" w:lineRule="auto"/>
        <w:ind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 xml:space="preserve">3.6.7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应在现场设立固定的建筑垃圾临时存放点,并在</w:t>
      </w:r>
      <w:r>
        <w:rPr>
          <w:rFonts w:hint="eastAsia" w:ascii="宋体" w:hAnsi="宋体" w:cs="宋体"/>
          <w:color w:val="auto"/>
          <w:spacing w:val="11"/>
          <w:sz w:val="24"/>
          <w:highlight w:val="none"/>
        </w:rPr>
        <w:t>各楼层或区域设立必</w:t>
      </w:r>
      <w:r>
        <w:rPr>
          <w:rFonts w:hint="eastAsia" w:ascii="宋体" w:hAnsi="宋体" w:cs="宋体"/>
          <w:color w:val="auto"/>
          <w:spacing w:val="8"/>
          <w:sz w:val="24"/>
          <w:highlight w:val="none"/>
        </w:rPr>
        <w:t>要的垃圾箱；施工现场应当建立封闭式垃圾站。</w:t>
      </w:r>
      <w:r>
        <w:rPr>
          <w:rFonts w:hint="eastAsia" w:ascii="宋体" w:hAnsi="宋体" w:cs="宋体"/>
          <w:color w:val="auto"/>
          <w:spacing w:val="7"/>
          <w:sz w:val="24"/>
          <w:highlight w:val="none"/>
        </w:rPr>
        <w:t>建筑物内垃圾应采用容器或搭设专用封闭垃</w:t>
      </w:r>
      <w:r>
        <w:rPr>
          <w:rFonts w:hint="eastAsia" w:ascii="宋体" w:hAnsi="宋体" w:cs="宋体"/>
          <w:color w:val="auto"/>
          <w:spacing w:val="8"/>
          <w:sz w:val="24"/>
          <w:highlight w:val="none"/>
        </w:rPr>
        <w:t>圾道的方式清运，严禁凌空抛掷；所有建筑垃</w:t>
      </w:r>
      <w:r>
        <w:rPr>
          <w:rFonts w:hint="eastAsia" w:ascii="宋体" w:hAnsi="宋体" w:cs="宋体"/>
          <w:color w:val="auto"/>
          <w:spacing w:val="7"/>
          <w:sz w:val="24"/>
          <w:highlight w:val="none"/>
        </w:rPr>
        <w:t>圾必须在当天清除出现场，并按有关行政管理</w:t>
      </w:r>
      <w:r>
        <w:rPr>
          <w:rFonts w:hint="eastAsia" w:ascii="宋体" w:hAnsi="宋体" w:cs="宋体"/>
          <w:color w:val="auto"/>
          <w:spacing w:val="8"/>
          <w:sz w:val="24"/>
          <w:highlight w:val="none"/>
        </w:rPr>
        <w:t>部门的规定，运送到指定的垃圾消纳场。</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还应加强建筑垃圾管理工作，严禁焚烧各类</w:t>
      </w:r>
      <w:r>
        <w:rPr>
          <w:rFonts w:hint="eastAsia" w:ascii="宋体" w:hAnsi="宋体" w:cs="宋体"/>
          <w:color w:val="auto"/>
          <w:spacing w:val="8"/>
          <w:sz w:val="24"/>
          <w:highlight w:val="none"/>
        </w:rPr>
        <w:t>废弃物；严禁道路遗撒和乱倒乱卸等运输违法违规</w:t>
      </w:r>
      <w:r>
        <w:rPr>
          <w:rFonts w:hint="eastAsia" w:ascii="宋体" w:hAnsi="宋体" w:cs="宋体"/>
          <w:color w:val="auto"/>
          <w:spacing w:val="7"/>
          <w:sz w:val="24"/>
          <w:highlight w:val="none"/>
        </w:rPr>
        <w:t>行为发生，建筑垃圾的运输必须采用封闭</w:t>
      </w:r>
      <w:r>
        <w:rPr>
          <w:rFonts w:hint="eastAsia" w:ascii="宋体" w:hAnsi="宋体" w:cs="宋体"/>
          <w:color w:val="auto"/>
          <w:spacing w:val="9"/>
          <w:sz w:val="24"/>
          <w:highlight w:val="none"/>
        </w:rPr>
        <w:t>式运输车辆或采取覆盖措施；最大限度减少污染环境。</w:t>
      </w:r>
    </w:p>
    <w:p w14:paraId="3253E42F">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3.6.8  供应商应对离场垃圾和所有车辆进行防遗洒和防污染公共道路的处理。供应商</w:t>
      </w:r>
      <w:r>
        <w:rPr>
          <w:rFonts w:hint="eastAsia" w:ascii="宋体" w:hAnsi="宋体" w:cs="宋体"/>
          <w:color w:val="auto"/>
          <w:spacing w:val="7"/>
          <w:sz w:val="24"/>
          <w:highlight w:val="none"/>
        </w:rPr>
        <w:t>在运输任何材料的过程中，应采取一切必要的措施，防止遗洒和污染公共道路；一旦出现</w:t>
      </w:r>
      <w:r>
        <w:rPr>
          <w:rFonts w:hint="eastAsia" w:ascii="宋体" w:hAnsi="宋体" w:cs="宋体"/>
          <w:color w:val="auto"/>
          <w:spacing w:val="8"/>
          <w:sz w:val="24"/>
          <w:highlight w:val="none"/>
        </w:rPr>
        <w:t>上述遗洒或污染现象，</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应立即采取措施进</w:t>
      </w:r>
      <w:r>
        <w:rPr>
          <w:rFonts w:hint="eastAsia" w:ascii="宋体" w:hAnsi="宋体" w:cs="宋体"/>
          <w:color w:val="auto"/>
          <w:spacing w:val="7"/>
          <w:sz w:val="24"/>
          <w:highlight w:val="none"/>
        </w:rPr>
        <w:t>行清扫，并承担所有费用。</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在混凝土</w:t>
      </w:r>
      <w:r>
        <w:rPr>
          <w:rFonts w:hint="eastAsia" w:ascii="宋体" w:hAnsi="宋体" w:cs="宋体"/>
          <w:color w:val="auto"/>
          <w:spacing w:val="9"/>
          <w:sz w:val="24"/>
          <w:highlight w:val="none"/>
        </w:rPr>
        <w:t>浇注、材料运输、材料装卸、现场清理等工作中应采取一切必要的措施防止</w:t>
      </w:r>
      <w:r>
        <w:rPr>
          <w:rFonts w:hint="eastAsia" w:ascii="宋体" w:hAnsi="宋体" w:cs="宋体"/>
          <w:color w:val="auto"/>
          <w:spacing w:val="8"/>
          <w:sz w:val="24"/>
          <w:highlight w:val="none"/>
        </w:rPr>
        <w:t>影响公共交通。</w:t>
      </w:r>
    </w:p>
    <w:p w14:paraId="0DE3688A">
      <w:pPr>
        <w:spacing w:line="360" w:lineRule="auto"/>
        <w:ind w:firstLine="516" w:firstLineChars="200"/>
        <w:outlineLvl w:val="3"/>
        <w:rPr>
          <w:rFonts w:ascii="宋体" w:hAnsi="宋体" w:cs="宋体"/>
          <w:color w:val="auto"/>
          <w:spacing w:val="9"/>
          <w:sz w:val="24"/>
          <w:highlight w:val="none"/>
        </w:rPr>
      </w:pPr>
      <w:r>
        <w:rPr>
          <w:rFonts w:hint="eastAsia" w:ascii="宋体" w:hAnsi="宋体" w:cs="宋体"/>
          <w:color w:val="auto"/>
          <w:spacing w:val="9"/>
          <w:sz w:val="24"/>
          <w:highlight w:val="none"/>
        </w:rPr>
        <w:t>3.6.9  供应商采用现场搅拌混凝土或砂浆的场所应采取封闭、降尘、降噪措施。水泥和其他易飞扬的细颗粒建筑材料应密闭存放或采取覆盖等措施。</w:t>
      </w:r>
    </w:p>
    <w:p w14:paraId="7E334AB2">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 xml:space="preserve">3.6.10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应当制订成品保护措施计划</w:t>
      </w:r>
      <w:r>
        <w:rPr>
          <w:rFonts w:hint="eastAsia" w:ascii="宋体" w:hAnsi="宋体" w:cs="宋体"/>
          <w:color w:val="auto"/>
          <w:spacing w:val="6"/>
          <w:sz w:val="24"/>
          <w:highlight w:val="none"/>
        </w:rPr>
        <w:t>，并提供必要的人员、材料和设备用于整</w:t>
      </w:r>
      <w:r>
        <w:rPr>
          <w:rFonts w:hint="eastAsia" w:ascii="宋体" w:hAnsi="宋体" w:cs="宋体"/>
          <w:color w:val="auto"/>
          <w:spacing w:val="8"/>
          <w:sz w:val="24"/>
          <w:highlight w:val="none"/>
        </w:rPr>
        <w:t>个工程的成品保护，包括对已完成的所有分</w:t>
      </w:r>
      <w:r>
        <w:rPr>
          <w:rFonts w:hint="eastAsia" w:ascii="宋体" w:hAnsi="宋体" w:cs="宋体"/>
          <w:color w:val="auto"/>
          <w:spacing w:val="7"/>
          <w:sz w:val="24"/>
          <w:highlight w:val="none"/>
        </w:rPr>
        <w:t>包人和独立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（如果有）的工程或工作的保</w:t>
      </w:r>
      <w:r>
        <w:rPr>
          <w:rFonts w:hint="eastAsia" w:ascii="宋体" w:hAnsi="宋体" w:cs="宋体"/>
          <w:color w:val="auto"/>
          <w:spacing w:val="8"/>
          <w:sz w:val="24"/>
          <w:highlight w:val="none"/>
        </w:rPr>
        <w:t>护，防止已完工作遭受任何损坏或破坏。成品保</w:t>
      </w:r>
      <w:r>
        <w:rPr>
          <w:rFonts w:hint="eastAsia" w:ascii="宋体" w:hAnsi="宋体" w:cs="宋体"/>
          <w:color w:val="auto"/>
          <w:spacing w:val="7"/>
          <w:sz w:val="24"/>
          <w:highlight w:val="none"/>
        </w:rPr>
        <w:t>护措施应当合理安排工序，并包括工作面移</w:t>
      </w:r>
      <w:r>
        <w:rPr>
          <w:rFonts w:hint="eastAsia" w:ascii="宋体" w:hAnsi="宋体" w:cs="宋体"/>
          <w:color w:val="auto"/>
          <w:spacing w:val="8"/>
          <w:sz w:val="24"/>
          <w:highlight w:val="none"/>
        </w:rPr>
        <w:t>交制度和责任赔偿制度。成品保护措施计划最迟</w:t>
      </w:r>
      <w:r>
        <w:rPr>
          <w:rFonts w:hint="eastAsia" w:ascii="宋体" w:hAnsi="宋体" w:cs="宋体"/>
          <w:color w:val="auto"/>
          <w:spacing w:val="7"/>
          <w:sz w:val="24"/>
          <w:highlight w:val="none"/>
        </w:rPr>
        <w:t>应当在任何专业分包人或独立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进场施</w:t>
      </w:r>
      <w:r>
        <w:rPr>
          <w:rFonts w:hint="eastAsia" w:ascii="宋体" w:hAnsi="宋体" w:cs="宋体"/>
          <w:color w:val="auto"/>
          <w:spacing w:val="6"/>
          <w:sz w:val="24"/>
          <w:highlight w:val="none"/>
        </w:rPr>
        <w:t>工前不少于</w:t>
      </w:r>
      <w:r>
        <w:rPr>
          <w:rFonts w:hint="eastAsia" w:ascii="宋体" w:hAnsi="宋体" w:cs="宋体"/>
          <w:color w:val="auto"/>
          <w:spacing w:val="-32"/>
          <w:sz w:val="24"/>
          <w:highlight w:val="none"/>
        </w:rPr>
        <w:t xml:space="preserve"> </w:t>
      </w:r>
      <w:r>
        <w:rPr>
          <w:rFonts w:hint="eastAsia" w:ascii="宋体" w:hAnsi="宋体" w:cs="宋体"/>
          <w:color w:val="auto"/>
          <w:spacing w:val="6"/>
          <w:sz w:val="24"/>
          <w:highlight w:val="none"/>
        </w:rPr>
        <w:t>28天报监理人审批。</w:t>
      </w:r>
    </w:p>
    <w:p w14:paraId="5F52E9C7">
      <w:pPr>
        <w:spacing w:line="360" w:lineRule="auto"/>
        <w:ind w:firstLine="512" w:firstLineChars="200"/>
        <w:outlineLvl w:val="3"/>
        <w:rPr>
          <w:rFonts w:ascii="宋体" w:hAnsi="宋体" w:cs="宋体"/>
          <w:color w:val="auto"/>
          <w:spacing w:val="8"/>
          <w:sz w:val="24"/>
          <w:highlight w:val="none"/>
        </w:rPr>
      </w:pPr>
      <w:r>
        <w:rPr>
          <w:rFonts w:hint="eastAsia" w:ascii="宋体" w:hAnsi="宋体" w:cs="宋体"/>
          <w:color w:val="auto"/>
          <w:spacing w:val="8"/>
          <w:sz w:val="24"/>
          <w:highlight w:val="none"/>
        </w:rPr>
        <w:t>3.6.11  文明施工方面的其他要求</w:t>
      </w:r>
      <w:r>
        <w:rPr>
          <w:rFonts w:hint="eastAsia" w:ascii="宋体" w:hAnsi="宋体" w:cs="宋体"/>
          <w:color w:val="auto"/>
          <w:sz w:val="24"/>
          <w:highlight w:val="none"/>
          <w:u w:val="single"/>
        </w:rPr>
        <w:t xml:space="preserve">    /     </w:t>
      </w:r>
    </w:p>
    <w:p w14:paraId="53A58925">
      <w:pPr>
        <w:spacing w:line="360" w:lineRule="auto"/>
        <w:ind w:firstLine="480" w:firstLineChars="200"/>
        <w:outlineLvl w:val="3"/>
        <w:rPr>
          <w:rFonts w:ascii="宋体" w:hAnsi="宋体" w:cs="宋体"/>
          <w:color w:val="auto"/>
          <w:kern w:val="0"/>
          <w:sz w:val="24"/>
          <w:highlight w:val="none"/>
        </w:rPr>
      </w:pPr>
      <w:bookmarkStart w:id="706" w:name="_Toc486580232"/>
      <w:bookmarkStart w:id="707" w:name="_Toc489280042"/>
      <w:bookmarkStart w:id="708" w:name="_Toc117597662"/>
      <w:bookmarkStart w:id="709" w:name="_Toc497213907"/>
      <w:r>
        <w:rPr>
          <w:rFonts w:hint="eastAsia" w:ascii="宋体" w:hAnsi="宋体" w:cs="宋体"/>
          <w:color w:val="auto"/>
          <w:kern w:val="0"/>
          <w:sz w:val="24"/>
          <w:highlight w:val="none"/>
        </w:rPr>
        <w:t>3.7  环境保护</w:t>
      </w:r>
      <w:bookmarkEnd w:id="706"/>
      <w:bookmarkEnd w:id="707"/>
      <w:bookmarkEnd w:id="708"/>
      <w:bookmarkEnd w:id="709"/>
    </w:p>
    <w:p w14:paraId="4103B23D">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3.7.1  在工程施工、完工及修补任何缺陷的过程中，供应商应当始终遵守国家和工</w:t>
      </w:r>
      <w:r>
        <w:rPr>
          <w:rFonts w:hint="eastAsia" w:ascii="宋体" w:hAnsi="宋体" w:cs="宋体"/>
          <w:color w:val="auto"/>
          <w:spacing w:val="8"/>
          <w:sz w:val="24"/>
          <w:highlight w:val="none"/>
        </w:rPr>
        <w:t>程所在地有关扬尘治理、建筑垃圾堆放、清运和消纳</w:t>
      </w:r>
      <w:r>
        <w:rPr>
          <w:rFonts w:hint="eastAsia" w:ascii="宋体" w:hAnsi="宋体" w:cs="宋体"/>
          <w:color w:val="auto"/>
          <w:spacing w:val="7"/>
          <w:sz w:val="24"/>
          <w:highlight w:val="none"/>
        </w:rPr>
        <w:t>等环境保护、水土保护和污染防治的法律、法规、规章、规范、标准和规程等，按照合同条款第</w:t>
      </w:r>
      <w:r>
        <w:rPr>
          <w:rFonts w:hint="eastAsia" w:ascii="宋体" w:hAnsi="宋体" w:cs="宋体"/>
          <w:color w:val="auto"/>
          <w:spacing w:val="-38"/>
          <w:sz w:val="24"/>
          <w:highlight w:val="none"/>
        </w:rPr>
        <w:t xml:space="preserve"> </w:t>
      </w:r>
      <w:r>
        <w:rPr>
          <w:rFonts w:hint="eastAsia" w:ascii="宋体" w:hAnsi="宋体" w:cs="宋体"/>
          <w:color w:val="auto"/>
          <w:spacing w:val="7"/>
          <w:sz w:val="24"/>
          <w:highlight w:val="none"/>
        </w:rPr>
        <w:t>9.4</w:t>
      </w:r>
      <w:r>
        <w:rPr>
          <w:rFonts w:hint="eastAsia" w:ascii="宋体" w:hAnsi="宋体" w:cs="宋体"/>
          <w:color w:val="auto"/>
          <w:spacing w:val="-40"/>
          <w:sz w:val="24"/>
          <w:highlight w:val="none"/>
        </w:rPr>
        <w:t xml:space="preserve"> </w:t>
      </w:r>
      <w:r>
        <w:rPr>
          <w:rFonts w:hint="eastAsia" w:ascii="宋体" w:hAnsi="宋体" w:cs="宋体"/>
          <w:color w:val="auto"/>
          <w:spacing w:val="7"/>
          <w:sz w:val="24"/>
          <w:highlight w:val="none"/>
        </w:rPr>
        <w:t>款的约</w:t>
      </w:r>
      <w:r>
        <w:rPr>
          <w:rFonts w:hint="eastAsia" w:ascii="宋体" w:hAnsi="宋体" w:cs="宋体"/>
          <w:color w:val="auto"/>
          <w:spacing w:val="6"/>
          <w:sz w:val="24"/>
          <w:highlight w:val="none"/>
        </w:rPr>
        <w:t>定履行其环境与生态保</w:t>
      </w:r>
      <w:r>
        <w:rPr>
          <w:rFonts w:hint="eastAsia" w:ascii="宋体" w:hAnsi="宋体" w:cs="宋体"/>
          <w:color w:val="auto"/>
          <w:spacing w:val="5"/>
          <w:sz w:val="24"/>
          <w:highlight w:val="none"/>
        </w:rPr>
        <w:t>护职责。</w:t>
      </w:r>
    </w:p>
    <w:p w14:paraId="073683B3">
      <w:pPr>
        <w:spacing w:before="1"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3.7.2  供应商应按合同约定和监理人指示，接受国家和地方环境保护行政主管部门</w:t>
      </w:r>
      <w:r>
        <w:rPr>
          <w:rFonts w:hint="eastAsia" w:ascii="宋体" w:hAnsi="宋体" w:cs="宋体"/>
          <w:color w:val="auto"/>
          <w:spacing w:val="7"/>
          <w:sz w:val="24"/>
          <w:highlight w:val="none"/>
        </w:rPr>
        <w:t>的监督、监测和检查。</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应对其违反现行法律、法规、规章、规范、标准和规程等以及</w:t>
      </w:r>
      <w:r>
        <w:rPr>
          <w:rFonts w:hint="eastAsia" w:ascii="宋体" w:hAnsi="宋体" w:cs="宋体"/>
          <w:color w:val="auto"/>
          <w:spacing w:val="9"/>
          <w:sz w:val="24"/>
          <w:highlight w:val="none"/>
        </w:rPr>
        <w:t>本合同约定所造成的环境污染、水土流失、人员伤害和财产损失等承担赔偿责任。</w:t>
      </w:r>
    </w:p>
    <w:p w14:paraId="05F7FF6D">
      <w:pPr>
        <w:spacing w:before="1" w:line="360" w:lineRule="auto"/>
        <w:ind w:firstLine="500" w:firstLineChars="200"/>
        <w:outlineLvl w:val="3"/>
        <w:rPr>
          <w:rFonts w:ascii="宋体" w:hAnsi="宋体" w:cs="宋体"/>
          <w:color w:val="auto"/>
          <w:sz w:val="24"/>
          <w:highlight w:val="none"/>
        </w:rPr>
      </w:pPr>
      <w:r>
        <w:rPr>
          <w:rFonts w:hint="eastAsia" w:ascii="宋体" w:hAnsi="宋体" w:cs="宋体"/>
          <w:color w:val="auto"/>
          <w:spacing w:val="5"/>
          <w:sz w:val="24"/>
          <w:highlight w:val="none"/>
        </w:rPr>
        <w:t xml:space="preserve">3.7.3  </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制订施工方案和组织措施时</w:t>
      </w:r>
      <w:r>
        <w:rPr>
          <w:rFonts w:hint="eastAsia" w:ascii="宋体" w:hAnsi="宋体" w:cs="宋体"/>
          <w:color w:val="auto"/>
          <w:spacing w:val="4"/>
          <w:sz w:val="24"/>
          <w:highlight w:val="none"/>
        </w:rPr>
        <w:t>应当同步考虑环境和资源保护，包括水土资源保护、噪声、振动和照明污染防治、固体废弃物处理、污水和废气处理、粉尘和扬尘治理、</w:t>
      </w:r>
      <w:r>
        <w:rPr>
          <w:rFonts w:hint="eastAsia" w:ascii="宋体" w:hAnsi="宋体" w:cs="宋体"/>
          <w:color w:val="auto"/>
          <w:spacing w:val="6"/>
          <w:sz w:val="24"/>
          <w:highlight w:val="none"/>
        </w:rPr>
        <w:t>道路污染防治、卫生防疫、禁止有害材料、节能减排以及不可再生</w:t>
      </w:r>
      <w:r>
        <w:rPr>
          <w:rFonts w:hint="eastAsia" w:ascii="宋体" w:hAnsi="宋体" w:cs="宋体"/>
          <w:color w:val="auto"/>
          <w:spacing w:val="5"/>
          <w:sz w:val="24"/>
          <w:highlight w:val="none"/>
        </w:rPr>
        <w:t>资源的循环使用等因素。</w:t>
      </w:r>
    </w:p>
    <w:p w14:paraId="1194458C">
      <w:pPr>
        <w:spacing w:line="360" w:lineRule="auto"/>
        <w:ind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 xml:space="preserve">3.7.4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应当做好施工场地（现场）范围内各项工程的开挖支护、截水、降水、</w:t>
      </w:r>
      <w:r>
        <w:rPr>
          <w:rFonts w:hint="eastAsia" w:ascii="宋体" w:hAnsi="宋体" w:cs="宋体"/>
          <w:color w:val="auto"/>
          <w:spacing w:val="7"/>
          <w:sz w:val="24"/>
          <w:highlight w:val="none"/>
        </w:rPr>
        <w:t>灌浆、衬砌、挡护结构及排水等工程防护措施。施工场地（现场）内所有边坡应当采取有效</w:t>
      </w:r>
      <w:r>
        <w:rPr>
          <w:rFonts w:hint="eastAsia" w:ascii="宋体" w:hAnsi="宋体" w:cs="宋体"/>
          <w:color w:val="auto"/>
          <w:spacing w:val="8"/>
          <w:sz w:val="24"/>
          <w:highlight w:val="none"/>
        </w:rPr>
        <w:t>的水土流失防治和保持措施。</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采用的降水方</w:t>
      </w:r>
      <w:r>
        <w:rPr>
          <w:rFonts w:hint="eastAsia" w:ascii="宋体" w:hAnsi="宋体" w:cs="宋体"/>
          <w:color w:val="auto"/>
          <w:spacing w:val="7"/>
          <w:sz w:val="24"/>
          <w:highlight w:val="none"/>
        </w:rPr>
        <w:t>案应当充分考虑对地下水的保护和合理使</w:t>
      </w:r>
      <w:r>
        <w:rPr>
          <w:rFonts w:hint="eastAsia" w:ascii="宋体" w:hAnsi="宋体" w:cs="宋体"/>
          <w:color w:val="auto"/>
          <w:spacing w:val="8"/>
          <w:sz w:val="24"/>
          <w:highlight w:val="none"/>
        </w:rPr>
        <w:t>用，如果国家和（或）地方人民政府有特别规</w:t>
      </w:r>
      <w:r>
        <w:rPr>
          <w:rFonts w:hint="eastAsia" w:ascii="宋体" w:hAnsi="宋体" w:cs="宋体"/>
          <w:color w:val="auto"/>
          <w:spacing w:val="7"/>
          <w:sz w:val="24"/>
          <w:highlight w:val="none"/>
        </w:rPr>
        <w:t>定的，</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应当遵守其有关规定。</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w:t>
      </w:r>
      <w:r>
        <w:rPr>
          <w:rFonts w:hint="eastAsia" w:ascii="宋体" w:hAnsi="宋体" w:cs="宋体"/>
          <w:color w:val="auto"/>
          <w:spacing w:val="8"/>
          <w:sz w:val="24"/>
          <w:highlight w:val="none"/>
        </w:rPr>
        <w:t>应设置完善的排水系统，保持施工场地（现场）始终</w:t>
      </w:r>
      <w:r>
        <w:rPr>
          <w:rFonts w:hint="eastAsia" w:ascii="宋体" w:hAnsi="宋体" w:cs="宋体"/>
          <w:color w:val="auto"/>
          <w:spacing w:val="7"/>
          <w:sz w:val="24"/>
          <w:highlight w:val="none"/>
        </w:rPr>
        <w:t>处于良好的排水状态，防止降雨径流对</w:t>
      </w:r>
      <w:r>
        <w:rPr>
          <w:rFonts w:hint="eastAsia" w:ascii="宋体" w:hAnsi="宋体" w:cs="宋体"/>
          <w:color w:val="auto"/>
          <w:spacing w:val="8"/>
          <w:sz w:val="24"/>
          <w:highlight w:val="none"/>
        </w:rPr>
        <w:t>施工场地（现场）的冲刷。</w:t>
      </w:r>
    </w:p>
    <w:p w14:paraId="3B352916">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3.7.5  供应商应当确保其所提供的材料、施工设备和其他材料都是绿色环保产品，</w:t>
      </w:r>
      <w:r>
        <w:rPr>
          <w:rFonts w:hint="eastAsia" w:ascii="宋体" w:hAnsi="宋体" w:cs="宋体"/>
          <w:color w:val="auto"/>
          <w:spacing w:val="7"/>
          <w:sz w:val="24"/>
          <w:highlight w:val="none"/>
        </w:rPr>
        <w:t>列入国家强制认证产品名录的，还应当是通过国家强制认证的产品。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不得在任何临时</w:t>
      </w:r>
      <w:r>
        <w:rPr>
          <w:rFonts w:hint="eastAsia" w:ascii="宋体" w:hAnsi="宋体" w:cs="宋体"/>
          <w:color w:val="auto"/>
          <w:spacing w:val="8"/>
          <w:sz w:val="24"/>
          <w:highlight w:val="none"/>
        </w:rPr>
        <w:t>和永久性工程中使用任何政府明令禁止使用</w:t>
      </w:r>
      <w:r>
        <w:rPr>
          <w:rFonts w:hint="eastAsia" w:ascii="宋体" w:hAnsi="宋体" w:cs="宋体"/>
          <w:color w:val="auto"/>
          <w:spacing w:val="7"/>
          <w:sz w:val="24"/>
          <w:highlight w:val="none"/>
        </w:rPr>
        <w:t>的对人体有害的任何材料（如放射性材料、石棉制品等）和方法，同时也不得在永久性工程中使用政府虽未明令禁止但会给居住或使用人带</w:t>
      </w:r>
      <w:r>
        <w:rPr>
          <w:rFonts w:hint="eastAsia" w:ascii="宋体" w:hAnsi="宋体" w:cs="宋体"/>
          <w:color w:val="auto"/>
          <w:spacing w:val="8"/>
          <w:sz w:val="24"/>
          <w:highlight w:val="none"/>
        </w:rPr>
        <w:t>来不适感觉或味觉的任何材料和添加剂等；</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应在其施工环保措施计划中明确防止误用</w:t>
      </w:r>
      <w:r>
        <w:rPr>
          <w:rFonts w:hint="eastAsia" w:ascii="宋体" w:hAnsi="宋体" w:cs="宋体"/>
          <w:color w:val="auto"/>
          <w:spacing w:val="9"/>
          <w:sz w:val="24"/>
          <w:highlight w:val="none"/>
        </w:rPr>
        <w:t>的保证措施；供应商违背此项约定的责任和后果全部由供应商承担。</w:t>
      </w:r>
    </w:p>
    <w:p w14:paraId="7FEE9D07">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3.7.6  供应商应为防止进出场的车辆的遗洒和轮胎夹带物等污染周边和公共道路等</w:t>
      </w:r>
      <w:r>
        <w:rPr>
          <w:rFonts w:hint="eastAsia" w:ascii="宋体" w:hAnsi="宋体" w:cs="宋体"/>
          <w:color w:val="auto"/>
          <w:spacing w:val="7"/>
          <w:sz w:val="24"/>
          <w:highlight w:val="none"/>
        </w:rPr>
        <w:t>行为制定并落实必要的措施，这类措施应至少包括在现场出入口设立冲刷池、对现场道路做</w:t>
      </w:r>
      <w:r>
        <w:rPr>
          <w:rFonts w:hint="eastAsia" w:ascii="宋体" w:hAnsi="宋体" w:cs="宋体"/>
          <w:color w:val="auto"/>
          <w:spacing w:val="9"/>
          <w:sz w:val="24"/>
          <w:highlight w:val="none"/>
        </w:rPr>
        <w:t>硬化处理和采用密闭车厢或者对车厢进行必要的覆盖等。</w:t>
      </w:r>
    </w:p>
    <w:p w14:paraId="3B68D686">
      <w:pPr>
        <w:spacing w:line="360" w:lineRule="auto"/>
        <w:ind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3.7.7  供应商应当保证施工生产用水和生活用水符合国家有关标准的规定。供应商</w:t>
      </w:r>
      <w:r>
        <w:rPr>
          <w:rFonts w:hint="eastAsia" w:ascii="宋体" w:hAnsi="宋体" w:cs="宋体"/>
          <w:color w:val="auto"/>
          <w:spacing w:val="10"/>
          <w:sz w:val="24"/>
          <w:highlight w:val="none"/>
        </w:rPr>
        <w:t>还应建设、运行和维护施工生产和生活污水收集和处理系统（包括排污</w:t>
      </w:r>
      <w:r>
        <w:rPr>
          <w:rFonts w:hint="eastAsia" w:ascii="宋体" w:hAnsi="宋体" w:cs="宋体"/>
          <w:color w:val="auto"/>
          <w:spacing w:val="9"/>
          <w:sz w:val="24"/>
          <w:highlight w:val="none"/>
        </w:rPr>
        <w:t>口接入</w:t>
      </w:r>
      <w:r>
        <w:rPr>
          <w:rFonts w:hint="eastAsia" w:ascii="宋体" w:hAnsi="宋体" w:cs="宋体"/>
          <w:color w:val="auto"/>
          <w:spacing w:val="-35"/>
          <w:sz w:val="24"/>
          <w:highlight w:val="none"/>
        </w:rPr>
        <w:t>），</w:t>
      </w:r>
      <w:r>
        <w:rPr>
          <w:rFonts w:hint="eastAsia" w:ascii="宋体" w:hAnsi="宋体" w:cs="宋体"/>
          <w:color w:val="auto"/>
          <w:spacing w:val="9"/>
          <w:sz w:val="24"/>
          <w:highlight w:val="none"/>
        </w:rPr>
        <w:t>建立符合排放标准的临时沉淀池和化粪池等，不得将未处理的污水直接或间接排放或</w:t>
      </w:r>
      <w:r>
        <w:rPr>
          <w:rFonts w:hint="eastAsia" w:ascii="宋体" w:hAnsi="宋体" w:cs="宋体"/>
          <w:color w:val="auto"/>
          <w:spacing w:val="8"/>
          <w:sz w:val="24"/>
          <w:highlight w:val="none"/>
        </w:rPr>
        <w:t>造成地表水体、地下水体或生产和生活供水系统的污染。</w:t>
      </w:r>
    </w:p>
    <w:p w14:paraId="331D6B78">
      <w:pPr>
        <w:spacing w:line="360" w:lineRule="auto"/>
        <w:ind w:firstLine="504" w:firstLineChars="200"/>
        <w:outlineLvl w:val="3"/>
        <w:rPr>
          <w:rFonts w:ascii="宋体" w:hAnsi="宋体" w:cs="宋体"/>
          <w:color w:val="auto"/>
          <w:spacing w:val="6"/>
          <w:sz w:val="24"/>
          <w:highlight w:val="none"/>
        </w:rPr>
      </w:pPr>
      <w:r>
        <w:rPr>
          <w:rFonts w:hint="eastAsia" w:ascii="宋体" w:hAnsi="宋体" w:cs="宋体"/>
          <w:color w:val="auto"/>
          <w:spacing w:val="6"/>
          <w:sz w:val="24"/>
          <w:highlight w:val="none"/>
        </w:rPr>
        <w:t xml:space="preserve">3.7.8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应当采取有效措施，建立相应的过滤、分离、分解或沉淀等处理系统，</w:t>
      </w:r>
      <w:r>
        <w:rPr>
          <w:rFonts w:hint="eastAsia" w:ascii="宋体" w:hAnsi="宋体" w:cs="宋体"/>
          <w:color w:val="auto"/>
          <w:spacing w:val="9"/>
          <w:sz w:val="24"/>
          <w:highlight w:val="none"/>
        </w:rPr>
        <w:t>不得让有害物质（如燃料、油料、化学品、酸等，以及超过剂量的有</w:t>
      </w:r>
      <w:r>
        <w:rPr>
          <w:rFonts w:hint="eastAsia" w:ascii="宋体" w:hAnsi="宋体" w:cs="宋体"/>
          <w:color w:val="auto"/>
          <w:spacing w:val="8"/>
          <w:sz w:val="24"/>
          <w:highlight w:val="none"/>
        </w:rPr>
        <w:t>害气体和尘埃、污水、</w:t>
      </w:r>
      <w:r>
        <w:rPr>
          <w:rFonts w:hint="eastAsia" w:ascii="宋体" w:hAnsi="宋体" w:cs="宋体"/>
          <w:color w:val="auto"/>
          <w:spacing w:val="7"/>
          <w:sz w:val="24"/>
          <w:highlight w:val="none"/>
        </w:rPr>
        <w:t>泥土或水、弃渣等）污染施工场地（现场）及其周边环境。</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施工工序、工作时间安排</w:t>
      </w:r>
      <w:r>
        <w:rPr>
          <w:rFonts w:hint="eastAsia" w:ascii="宋体" w:hAnsi="宋体" w:cs="宋体"/>
          <w:color w:val="auto"/>
          <w:spacing w:val="8"/>
          <w:sz w:val="24"/>
          <w:highlight w:val="none"/>
        </w:rPr>
        <w:t>和施工设备的配置应当充分考虑降低噪声和照明</w:t>
      </w:r>
      <w:r>
        <w:rPr>
          <w:rFonts w:hint="eastAsia" w:ascii="宋体" w:hAnsi="宋体" w:cs="宋体"/>
          <w:color w:val="auto"/>
          <w:spacing w:val="7"/>
          <w:sz w:val="24"/>
          <w:highlight w:val="none"/>
        </w:rPr>
        <w:t>等对施工场地（现场）周边生产和生活的影</w:t>
      </w:r>
      <w:r>
        <w:rPr>
          <w:rFonts w:hint="eastAsia" w:ascii="宋体" w:hAnsi="宋体" w:cs="宋体"/>
          <w:color w:val="auto"/>
          <w:spacing w:val="8"/>
          <w:sz w:val="24"/>
          <w:highlight w:val="none"/>
        </w:rPr>
        <w:t>响，并</w:t>
      </w:r>
      <w:r>
        <w:rPr>
          <w:rFonts w:hint="eastAsia" w:ascii="宋体" w:hAnsi="宋体" w:cs="宋体"/>
          <w:color w:val="auto"/>
          <w:spacing w:val="6"/>
          <w:sz w:val="24"/>
          <w:highlight w:val="none"/>
        </w:rPr>
        <w:t>满足国家和地方政府有关规定的要求。</w:t>
      </w:r>
    </w:p>
    <w:p w14:paraId="0A4AF812">
      <w:pPr>
        <w:spacing w:line="360" w:lineRule="auto"/>
        <w:ind w:firstLine="504" w:firstLineChars="200"/>
        <w:outlineLvl w:val="3"/>
        <w:rPr>
          <w:rFonts w:ascii="宋体" w:hAnsi="宋体" w:cs="宋体"/>
          <w:color w:val="auto"/>
          <w:spacing w:val="6"/>
          <w:sz w:val="24"/>
          <w:highlight w:val="none"/>
        </w:rPr>
      </w:pPr>
      <w:r>
        <w:rPr>
          <w:rFonts w:hint="eastAsia" w:ascii="宋体" w:hAnsi="宋体" w:cs="宋体"/>
          <w:color w:val="auto"/>
          <w:spacing w:val="6"/>
          <w:sz w:val="24"/>
          <w:highlight w:val="none"/>
        </w:rPr>
        <w:t xml:space="preserve">3.7.9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保证使用已在本市进行信息编码登记符合排放标准的非道路移动机械，并确保使用符合标准的燃料。严禁使用高排放非道路移动机械，并做好行业挥发性有机物治理（如建筑外墙涂装、钢结构等鼓励使用水性漆替代油性漆；建筑施工、室外构筑物防护和道路交通标识等其他涂装作业，推广使用水性、高固体分、无溶剂、粉末等涂料和水基、本体型等低VOCs含量胶粘剂）。</w:t>
      </w:r>
    </w:p>
    <w:p w14:paraId="14154919">
      <w:pPr>
        <w:spacing w:before="2" w:line="360" w:lineRule="auto"/>
        <w:ind w:left="20" w:right="145" w:firstLine="528" w:firstLineChars="200"/>
        <w:outlineLvl w:val="3"/>
        <w:rPr>
          <w:rFonts w:ascii="宋体" w:hAnsi="宋体" w:cs="宋体"/>
          <w:color w:val="auto"/>
          <w:spacing w:val="11"/>
          <w:sz w:val="24"/>
          <w:highlight w:val="none"/>
          <w:u w:val="single"/>
        </w:rPr>
      </w:pPr>
      <w:r>
        <w:rPr>
          <w:rFonts w:hint="eastAsia" w:ascii="宋体" w:hAnsi="宋体" w:cs="宋体"/>
          <w:color w:val="auto"/>
          <w:spacing w:val="12"/>
          <w:sz w:val="24"/>
          <w:highlight w:val="none"/>
        </w:rPr>
        <w:t>3.7.10  本工程使用全密闭施工技术及在土方阶段使用基</w:t>
      </w:r>
      <w:r>
        <w:rPr>
          <w:rFonts w:hint="eastAsia" w:ascii="宋体" w:hAnsi="宋体" w:cs="宋体"/>
          <w:color w:val="auto"/>
          <w:spacing w:val="11"/>
          <w:sz w:val="24"/>
          <w:highlight w:val="none"/>
        </w:rPr>
        <w:t>坑气膜的要求</w:t>
      </w:r>
      <w:r>
        <w:rPr>
          <w:rFonts w:hint="eastAsia" w:ascii="宋体" w:hAnsi="宋体" w:cs="宋体"/>
          <w:color w:val="auto"/>
          <w:sz w:val="24"/>
          <w:highlight w:val="none"/>
          <w:u w:val="single"/>
        </w:rPr>
        <w:t xml:space="preserve">    /     </w:t>
      </w:r>
    </w:p>
    <w:p w14:paraId="79735950">
      <w:pPr>
        <w:spacing w:before="161" w:line="360" w:lineRule="auto"/>
        <w:ind w:firstLine="512" w:firstLineChars="200"/>
        <w:outlineLvl w:val="3"/>
        <w:rPr>
          <w:rFonts w:ascii="宋体" w:hAnsi="宋体" w:cs="宋体"/>
          <w:color w:val="auto"/>
          <w:spacing w:val="8"/>
          <w:sz w:val="24"/>
          <w:highlight w:val="none"/>
          <w:u w:val="single"/>
        </w:rPr>
      </w:pPr>
      <w:r>
        <w:rPr>
          <w:rFonts w:hint="eastAsia" w:ascii="宋体" w:hAnsi="宋体" w:cs="宋体"/>
          <w:color w:val="auto"/>
          <w:spacing w:val="8"/>
          <w:sz w:val="24"/>
          <w:highlight w:val="none"/>
        </w:rPr>
        <w:t>3.7.11  环境保护方面的其他要求</w:t>
      </w:r>
      <w:r>
        <w:rPr>
          <w:rFonts w:hint="eastAsia" w:ascii="宋体" w:hAnsi="宋体" w:cs="宋体"/>
          <w:color w:val="auto"/>
          <w:sz w:val="24"/>
          <w:highlight w:val="none"/>
          <w:u w:val="single"/>
        </w:rPr>
        <w:t xml:space="preserve">    /     </w:t>
      </w:r>
    </w:p>
    <w:p w14:paraId="3510C269">
      <w:pPr>
        <w:spacing w:before="283" w:line="360" w:lineRule="auto"/>
        <w:ind w:left="22" w:firstLine="476" w:firstLineChars="200"/>
        <w:outlineLvl w:val="2"/>
        <w:rPr>
          <w:rFonts w:ascii="宋体" w:hAnsi="宋体" w:cs="宋体"/>
          <w:color w:val="auto"/>
          <w:spacing w:val="-1"/>
          <w:sz w:val="24"/>
          <w:highlight w:val="none"/>
        </w:rPr>
      </w:pPr>
      <w:r>
        <w:rPr>
          <w:rFonts w:hint="eastAsia" w:ascii="宋体" w:hAnsi="宋体" w:cs="宋体"/>
          <w:color w:val="auto"/>
          <w:spacing w:val="-1"/>
          <w:sz w:val="24"/>
          <w:highlight w:val="none"/>
        </w:rPr>
        <w:t>3.8 施工环保措施计划</w:t>
      </w:r>
    </w:p>
    <w:p w14:paraId="58C3E009">
      <w:pPr>
        <w:spacing w:before="283" w:line="360" w:lineRule="auto"/>
        <w:ind w:left="22" w:firstLine="520" w:firstLineChars="200"/>
        <w:outlineLvl w:val="2"/>
        <w:rPr>
          <w:rFonts w:ascii="宋体" w:hAnsi="宋体" w:cs="宋体"/>
          <w:color w:val="auto"/>
          <w:sz w:val="24"/>
          <w:highlight w:val="none"/>
        </w:rPr>
      </w:pPr>
      <w:r>
        <w:rPr>
          <w:rFonts w:hint="eastAsia" w:ascii="宋体" w:hAnsi="宋体" w:cs="宋体"/>
          <w:color w:val="auto"/>
          <w:spacing w:val="10"/>
          <w:sz w:val="24"/>
          <w:highlight w:val="none"/>
        </w:rPr>
        <w:t>3.8.1  合同条款第9.4.3</w:t>
      </w:r>
      <w:r>
        <w:rPr>
          <w:rFonts w:hint="eastAsia" w:ascii="宋体" w:hAnsi="宋体" w:cs="宋体"/>
          <w:color w:val="auto"/>
          <w:spacing w:val="-34"/>
          <w:sz w:val="24"/>
          <w:highlight w:val="none"/>
        </w:rPr>
        <w:t xml:space="preserve"> </w:t>
      </w:r>
      <w:r>
        <w:rPr>
          <w:rFonts w:hint="eastAsia" w:ascii="宋体" w:hAnsi="宋体" w:cs="宋体"/>
          <w:color w:val="auto"/>
          <w:spacing w:val="10"/>
          <w:sz w:val="24"/>
          <w:highlight w:val="none"/>
        </w:rPr>
        <w:t>项约定的施工环保</w:t>
      </w:r>
      <w:r>
        <w:rPr>
          <w:rFonts w:hint="eastAsia" w:ascii="宋体" w:hAnsi="宋体" w:cs="宋体"/>
          <w:color w:val="auto"/>
          <w:spacing w:val="9"/>
          <w:sz w:val="24"/>
          <w:highlight w:val="none"/>
        </w:rPr>
        <w:t>措施计划是供应商阐明环保方针和拟采用的环保措施及方法等的文件，其内容应至少包括：</w:t>
      </w:r>
    </w:p>
    <w:p w14:paraId="6ABBF1A9">
      <w:pPr>
        <w:spacing w:before="161" w:line="360" w:lineRule="auto"/>
        <w:ind w:left="658" w:firstLine="516" w:firstLineChars="200"/>
        <w:outlineLvl w:val="3"/>
        <w:rPr>
          <w:rFonts w:ascii="宋体" w:hAnsi="宋体" w:cs="宋体"/>
          <w:color w:val="auto"/>
          <w:sz w:val="24"/>
          <w:highlight w:val="none"/>
        </w:rPr>
      </w:pPr>
      <w:r>
        <w:rPr>
          <w:rFonts w:hint="eastAsia" w:ascii="宋体" w:hAnsi="宋体" w:cs="宋体"/>
          <w:color w:val="auto"/>
          <w:spacing w:val="9"/>
          <w:sz w:val="24"/>
          <w:highlight w:val="none"/>
        </w:rPr>
        <w:t>（1）供应商生活区（如果有）的生活用水和</w:t>
      </w:r>
      <w:r>
        <w:rPr>
          <w:rFonts w:hint="eastAsia" w:ascii="宋体" w:hAnsi="宋体" w:cs="宋体"/>
          <w:color w:val="auto"/>
          <w:spacing w:val="8"/>
          <w:sz w:val="24"/>
          <w:highlight w:val="none"/>
        </w:rPr>
        <w:t>生活污水处理措施；</w:t>
      </w:r>
    </w:p>
    <w:p w14:paraId="267B9C4A">
      <w:pPr>
        <w:spacing w:before="163"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（2）施工生产废水处理措施；</w:t>
      </w:r>
    </w:p>
    <w:p w14:paraId="603E4030">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（3）施工扬尘和废气的处理措施；</w:t>
      </w:r>
    </w:p>
    <w:p w14:paraId="520CF4A5">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（4）施工噪声和光污染控制措施；</w:t>
      </w:r>
    </w:p>
    <w:p w14:paraId="565370B1">
      <w:pPr>
        <w:spacing w:before="160" w:line="360" w:lineRule="auto"/>
        <w:ind w:left="658"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（5）节能减排措施；</w:t>
      </w:r>
    </w:p>
    <w:p w14:paraId="4953DEB1">
      <w:pPr>
        <w:spacing w:before="163"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（6）不可再生资源循环利用措施；</w:t>
      </w:r>
    </w:p>
    <w:p w14:paraId="7545E935">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（7）建筑垃圾等固体废弃物处理措施；</w:t>
      </w:r>
    </w:p>
    <w:p w14:paraId="2BCFCEBC">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（8）人群健康保护和卫生防疫措施；</w:t>
      </w:r>
    </w:p>
    <w:p w14:paraId="46AD1478">
      <w:pPr>
        <w:spacing w:before="160"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（9）防止误用有害材料的保证措施；</w:t>
      </w:r>
    </w:p>
    <w:p w14:paraId="1A0AE7C8">
      <w:pPr>
        <w:spacing w:before="164"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（10）施工边坡工程的水土流失保护措施；</w:t>
      </w:r>
    </w:p>
    <w:p w14:paraId="60053F3A">
      <w:pPr>
        <w:spacing w:before="161" w:line="360" w:lineRule="auto"/>
        <w:ind w:left="658" w:firstLine="504" w:firstLineChars="200"/>
        <w:outlineLvl w:val="3"/>
        <w:rPr>
          <w:rFonts w:ascii="宋体" w:hAnsi="宋体" w:cs="宋体"/>
          <w:color w:val="auto"/>
          <w:sz w:val="24"/>
          <w:highlight w:val="none"/>
        </w:rPr>
      </w:pPr>
      <w:r>
        <w:rPr>
          <w:rFonts w:hint="eastAsia" w:ascii="宋体" w:hAnsi="宋体" w:cs="宋体"/>
          <w:color w:val="auto"/>
          <w:spacing w:val="6"/>
          <w:sz w:val="24"/>
          <w:highlight w:val="none"/>
        </w:rPr>
        <w:t>（11）道路污染防治措施；</w:t>
      </w:r>
    </w:p>
    <w:p w14:paraId="7C438CDF">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（12）使用符合排放标准的非道路移动机械保证措施；</w:t>
      </w:r>
    </w:p>
    <w:p w14:paraId="2798694E">
      <w:pPr>
        <w:spacing w:before="161" w:line="360" w:lineRule="auto"/>
        <w:ind w:left="658"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（13）做好行业挥发性有机物治理（如建筑外墙涂装、钢结构等鼓励使用水性</w:t>
      </w:r>
      <w:r>
        <w:rPr>
          <w:rFonts w:hint="eastAsia" w:ascii="宋体" w:hAnsi="宋体" w:cs="宋体"/>
          <w:color w:val="auto"/>
          <w:spacing w:val="6"/>
          <w:sz w:val="24"/>
          <w:highlight w:val="none"/>
        </w:rPr>
        <w:t>漆替代</w:t>
      </w:r>
      <w:r>
        <w:rPr>
          <w:rFonts w:hint="eastAsia" w:ascii="宋体" w:hAnsi="宋体" w:cs="宋体"/>
          <w:color w:val="auto"/>
          <w:spacing w:val="7"/>
          <w:sz w:val="24"/>
          <w:highlight w:val="none"/>
        </w:rPr>
        <w:t>油性漆；建筑施工、室外构筑物防护和道路交通标识等其他涂装作业，推广使用水性、高固</w:t>
      </w:r>
      <w:r>
        <w:rPr>
          <w:rFonts w:hint="eastAsia" w:ascii="宋体" w:hAnsi="宋体" w:cs="宋体"/>
          <w:color w:val="auto"/>
          <w:spacing w:val="10"/>
          <w:sz w:val="24"/>
          <w:highlight w:val="none"/>
        </w:rPr>
        <w:t>体分、无溶剂、粉末等涂料和水基、本体型等低</w:t>
      </w:r>
      <w:r>
        <w:rPr>
          <w:rFonts w:hint="eastAsia" w:ascii="宋体" w:hAnsi="宋体" w:cs="宋体"/>
          <w:color w:val="auto"/>
          <w:spacing w:val="-44"/>
          <w:sz w:val="24"/>
          <w:highlight w:val="none"/>
        </w:rPr>
        <w:t xml:space="preserve"> </w:t>
      </w:r>
      <w:r>
        <w:rPr>
          <w:rFonts w:hint="eastAsia" w:ascii="宋体" w:hAnsi="宋体" w:cs="宋体"/>
          <w:color w:val="auto"/>
          <w:sz w:val="24"/>
          <w:highlight w:val="none"/>
        </w:rPr>
        <w:t>VOCs</w:t>
      </w:r>
      <w:r>
        <w:rPr>
          <w:rFonts w:hint="eastAsia" w:ascii="宋体" w:hAnsi="宋体" w:cs="宋体"/>
          <w:color w:val="auto"/>
          <w:spacing w:val="-40"/>
          <w:sz w:val="24"/>
          <w:highlight w:val="none"/>
        </w:rPr>
        <w:t xml:space="preserve"> </w:t>
      </w:r>
      <w:r>
        <w:rPr>
          <w:rFonts w:hint="eastAsia" w:ascii="宋体" w:hAnsi="宋体" w:cs="宋体"/>
          <w:color w:val="auto"/>
          <w:spacing w:val="9"/>
          <w:sz w:val="24"/>
          <w:highlight w:val="none"/>
        </w:rPr>
        <w:t>含量胶粘剂）的保证措施；</w:t>
      </w:r>
    </w:p>
    <w:p w14:paraId="14E61C90">
      <w:pPr>
        <w:spacing w:before="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（14）完工后场地清理及其植被（如果有）恢复的规划和措施；</w:t>
      </w:r>
    </w:p>
    <w:p w14:paraId="0AA851B8">
      <w:pPr>
        <w:spacing w:before="161" w:line="360" w:lineRule="auto"/>
        <w:ind w:left="658"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（15）其他要求:</w:t>
      </w:r>
      <w:r>
        <w:rPr>
          <w:rFonts w:hint="eastAsia" w:ascii="宋体" w:hAnsi="宋体" w:cs="宋体"/>
          <w:color w:val="auto"/>
          <w:sz w:val="24"/>
          <w:highlight w:val="none"/>
          <w:u w:val="single"/>
        </w:rPr>
        <w:t xml:space="preserve">    /     </w:t>
      </w:r>
    </w:p>
    <w:p w14:paraId="1A4E8FF1">
      <w:pPr>
        <w:spacing w:before="160"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3.8.2  施工环保措施计划应当在合同条款第9.4款约定的期限内报送监理人。</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应当严格执行经监理人批准的施工环保措施</w:t>
      </w:r>
      <w:r>
        <w:rPr>
          <w:rFonts w:hint="eastAsia" w:ascii="宋体" w:hAnsi="宋体" w:cs="宋体"/>
          <w:color w:val="auto"/>
          <w:spacing w:val="7"/>
          <w:sz w:val="24"/>
          <w:highlight w:val="none"/>
        </w:rPr>
        <w:t>计划，并及时补充、修订和完善施工环保措施</w:t>
      </w:r>
      <w:r>
        <w:rPr>
          <w:rFonts w:hint="eastAsia" w:ascii="宋体" w:hAnsi="宋体" w:cs="宋体"/>
          <w:color w:val="auto"/>
          <w:spacing w:val="3"/>
          <w:sz w:val="24"/>
          <w:highlight w:val="none"/>
        </w:rPr>
        <w:t>计划。</w:t>
      </w:r>
    </w:p>
    <w:p w14:paraId="77A973FB">
      <w:pPr>
        <w:spacing w:before="118" w:line="360" w:lineRule="auto"/>
        <w:ind w:left="22" w:firstLine="476" w:firstLineChars="200"/>
        <w:outlineLvl w:val="2"/>
        <w:rPr>
          <w:rFonts w:ascii="宋体" w:hAnsi="宋体" w:cs="宋体"/>
          <w:color w:val="auto"/>
          <w:sz w:val="24"/>
          <w:highlight w:val="none"/>
        </w:rPr>
      </w:pPr>
      <w:r>
        <w:rPr>
          <w:rFonts w:hint="eastAsia" w:ascii="宋体" w:hAnsi="宋体" w:cs="宋体"/>
          <w:color w:val="auto"/>
          <w:spacing w:val="-1"/>
          <w:sz w:val="24"/>
          <w:highlight w:val="none"/>
        </w:rPr>
        <w:t>3.9施工现场安全生产标准化要求</w:t>
      </w:r>
    </w:p>
    <w:p w14:paraId="7176B257">
      <w:pPr>
        <w:spacing w:before="295" w:line="360" w:lineRule="auto"/>
        <w:ind w:firstLine="512" w:firstLineChars="200"/>
        <w:outlineLvl w:val="3"/>
        <w:rPr>
          <w:rFonts w:ascii="宋体" w:hAnsi="宋体" w:cs="宋体"/>
          <w:color w:val="auto"/>
          <w:sz w:val="24"/>
          <w:highlight w:val="none"/>
        </w:rPr>
      </w:pPr>
      <w:r>
        <w:rPr>
          <w:rFonts w:hint="eastAsia" w:ascii="宋体" w:hAnsi="宋体" w:cs="宋体"/>
          <w:color w:val="auto"/>
          <w:spacing w:val="8"/>
          <w:sz w:val="24"/>
          <w:highlight w:val="none"/>
        </w:rPr>
        <w:t>3.9.1  施工现场安全生产标准化管理目标等级:</w:t>
      </w:r>
      <w:r>
        <w:rPr>
          <w:rFonts w:hint="eastAsia" w:ascii="宋体" w:hAnsi="宋体" w:cs="宋体"/>
          <w:color w:val="auto"/>
          <w:spacing w:val="8"/>
          <w:sz w:val="24"/>
          <w:highlight w:val="none"/>
          <w:u w:val="single"/>
        </w:rPr>
        <w:t>达标</w:t>
      </w:r>
    </w:p>
    <w:p w14:paraId="45CCE15F">
      <w:pPr>
        <w:spacing w:before="161" w:line="360" w:lineRule="auto"/>
        <w:ind w:left="21" w:right="178"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 xml:space="preserve">3.9.2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应当按照合同文件中对安全生产标准化的</w:t>
      </w:r>
      <w:r>
        <w:rPr>
          <w:rFonts w:hint="eastAsia" w:ascii="宋体" w:hAnsi="宋体" w:cs="宋体"/>
          <w:color w:val="auto"/>
          <w:spacing w:val="11"/>
          <w:sz w:val="24"/>
          <w:highlight w:val="none"/>
        </w:rPr>
        <w:t>相关要求进行安全生产标</w:t>
      </w:r>
      <w:r>
        <w:rPr>
          <w:rFonts w:hint="eastAsia" w:ascii="宋体" w:hAnsi="宋体" w:cs="宋体"/>
          <w:color w:val="auto"/>
          <w:spacing w:val="5"/>
          <w:sz w:val="24"/>
          <w:highlight w:val="none"/>
        </w:rPr>
        <w:t>准化管理。</w:t>
      </w:r>
    </w:p>
    <w:p w14:paraId="38E685E2">
      <w:pPr>
        <w:spacing w:before="160" w:line="360" w:lineRule="auto"/>
        <w:ind w:firstLine="520" w:firstLineChars="200"/>
        <w:outlineLvl w:val="3"/>
        <w:rPr>
          <w:rFonts w:ascii="宋体" w:hAnsi="宋体" w:cs="宋体"/>
          <w:color w:val="auto"/>
          <w:sz w:val="24"/>
          <w:highlight w:val="none"/>
        </w:rPr>
      </w:pPr>
      <w:r>
        <w:rPr>
          <w:rFonts w:hint="eastAsia" w:ascii="宋体" w:hAnsi="宋体" w:cs="宋体"/>
          <w:color w:val="auto"/>
          <w:spacing w:val="10"/>
          <w:sz w:val="24"/>
          <w:highlight w:val="none"/>
        </w:rPr>
        <w:t xml:space="preserve">3.9.3  </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应当依据本章6.</w:t>
      </w:r>
      <w:r>
        <w:rPr>
          <w:rFonts w:hint="eastAsia" w:ascii="宋体" w:hAnsi="宋体" w:cs="宋体"/>
          <w:color w:val="auto"/>
          <w:spacing w:val="9"/>
          <w:sz w:val="24"/>
          <w:highlight w:val="none"/>
        </w:rPr>
        <w:t>10.1</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项中约定的施工现场安全生产标准化管理目标</w:t>
      </w:r>
      <w:r>
        <w:rPr>
          <w:rFonts w:hint="eastAsia" w:ascii="宋体" w:hAnsi="宋体" w:cs="宋体"/>
          <w:color w:val="auto"/>
          <w:spacing w:val="8"/>
          <w:sz w:val="24"/>
          <w:highlight w:val="none"/>
        </w:rPr>
        <w:t>等级要求，按照现行施工现场安全生产标准化</w:t>
      </w:r>
      <w:r>
        <w:rPr>
          <w:rFonts w:hint="eastAsia" w:ascii="宋体" w:hAnsi="宋体" w:cs="宋体"/>
          <w:color w:val="auto"/>
          <w:spacing w:val="7"/>
          <w:sz w:val="24"/>
          <w:highlight w:val="none"/>
        </w:rPr>
        <w:t>分级管理标准中对应目标等级要求进行施工现</w:t>
      </w:r>
      <w:r>
        <w:rPr>
          <w:rFonts w:hint="eastAsia" w:ascii="宋体" w:hAnsi="宋体" w:cs="宋体"/>
          <w:color w:val="auto"/>
          <w:spacing w:val="8"/>
          <w:sz w:val="24"/>
          <w:highlight w:val="none"/>
        </w:rPr>
        <w:t>场安全生产标准化管理。</w:t>
      </w:r>
    </w:p>
    <w:p w14:paraId="1C2D3E6E">
      <w:pPr>
        <w:spacing w:line="360" w:lineRule="auto"/>
        <w:ind w:firstLine="508" w:firstLineChars="200"/>
        <w:outlineLvl w:val="3"/>
        <w:rPr>
          <w:rFonts w:ascii="宋体" w:hAnsi="宋体" w:cs="宋体"/>
          <w:color w:val="auto"/>
          <w:sz w:val="24"/>
          <w:highlight w:val="none"/>
        </w:rPr>
      </w:pPr>
      <w:r>
        <w:rPr>
          <w:rFonts w:hint="eastAsia" w:ascii="宋体" w:hAnsi="宋体" w:cs="宋体"/>
          <w:color w:val="auto"/>
          <w:spacing w:val="7"/>
          <w:sz w:val="24"/>
          <w:highlight w:val="none"/>
        </w:rPr>
        <w:t xml:space="preserve">3.9.4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应严格遵守爱国卫生运动和卫生防</w:t>
      </w:r>
      <w:r>
        <w:rPr>
          <w:rFonts w:hint="eastAsia" w:ascii="宋体" w:hAnsi="宋体" w:cs="宋体"/>
          <w:color w:val="auto"/>
          <w:spacing w:val="6"/>
          <w:sz w:val="24"/>
          <w:highlight w:val="none"/>
        </w:rPr>
        <w:t>疫的相关规定。按照相关规定，编</w:t>
      </w:r>
      <w:r>
        <w:rPr>
          <w:rFonts w:hint="eastAsia" w:ascii="宋体" w:hAnsi="宋体" w:cs="宋体"/>
          <w:color w:val="auto"/>
          <w:spacing w:val="8"/>
          <w:sz w:val="24"/>
          <w:highlight w:val="none"/>
        </w:rPr>
        <w:t>制生活区卫生管理制度、传染病管理制度，制定</w:t>
      </w:r>
      <w:r>
        <w:rPr>
          <w:rFonts w:hint="eastAsia" w:ascii="宋体" w:hAnsi="宋体" w:cs="宋体"/>
          <w:color w:val="auto"/>
          <w:spacing w:val="7"/>
          <w:sz w:val="24"/>
          <w:highlight w:val="none"/>
        </w:rPr>
        <w:t>食物中毒、传染病等突发疾病应急预案；加强卫生防疫宣传教育，储备智能测温计、防护服、口罩、消毒用品等物资及必备急救药品；</w:t>
      </w:r>
      <w:r>
        <w:rPr>
          <w:rFonts w:hint="eastAsia" w:ascii="宋体" w:hAnsi="宋体" w:cs="宋体"/>
          <w:color w:val="auto"/>
          <w:spacing w:val="8"/>
          <w:sz w:val="24"/>
          <w:highlight w:val="none"/>
        </w:rPr>
        <w:t>配备环境卫生消杀员，负责生活区卫生防疫、环境</w:t>
      </w:r>
      <w:r>
        <w:rPr>
          <w:rFonts w:hint="eastAsia" w:ascii="宋体" w:hAnsi="宋体" w:cs="宋体"/>
          <w:color w:val="auto"/>
          <w:spacing w:val="7"/>
          <w:sz w:val="24"/>
          <w:highlight w:val="none"/>
        </w:rPr>
        <w:t>整治相关工作；施工现场作业人员应进行</w:t>
      </w:r>
      <w:r>
        <w:rPr>
          <w:rFonts w:hint="eastAsia" w:ascii="宋体" w:hAnsi="宋体" w:cs="宋体"/>
          <w:color w:val="auto"/>
          <w:spacing w:val="8"/>
          <w:sz w:val="24"/>
          <w:highlight w:val="none"/>
        </w:rPr>
        <w:t>健康监测，不得带病上岗；生活区应保持清</w:t>
      </w:r>
      <w:r>
        <w:rPr>
          <w:rFonts w:hint="eastAsia" w:ascii="宋体" w:hAnsi="宋体" w:cs="宋体"/>
          <w:color w:val="auto"/>
          <w:spacing w:val="7"/>
          <w:sz w:val="24"/>
          <w:highlight w:val="none"/>
        </w:rPr>
        <w:t>洁卫生，安排专人对宿舍、食堂、淋浴间、卫生间等重点场所定期开展通风和环境消毒作业，定期整治卫生环境，开展重点场所的病媒生物</w:t>
      </w:r>
      <w:r>
        <w:rPr>
          <w:rFonts w:hint="eastAsia" w:ascii="宋体" w:hAnsi="宋体" w:cs="宋体"/>
          <w:color w:val="auto"/>
          <w:spacing w:val="8"/>
          <w:sz w:val="24"/>
          <w:highlight w:val="none"/>
        </w:rPr>
        <w:t>防治与消杀工作，配置灭鼠蚊、蝇、蟑螂等设施；张</w:t>
      </w:r>
      <w:r>
        <w:rPr>
          <w:rFonts w:hint="eastAsia" w:ascii="宋体" w:hAnsi="宋体" w:cs="宋体"/>
          <w:color w:val="auto"/>
          <w:spacing w:val="7"/>
          <w:sz w:val="24"/>
          <w:highlight w:val="none"/>
        </w:rPr>
        <w:t>贴卫生防疫宣传标语、标识、标牌；重</w:t>
      </w:r>
      <w:r>
        <w:rPr>
          <w:rFonts w:hint="eastAsia" w:ascii="宋体" w:hAnsi="宋体" w:cs="宋体"/>
          <w:color w:val="auto"/>
          <w:spacing w:val="8"/>
          <w:sz w:val="24"/>
          <w:highlight w:val="none"/>
        </w:rPr>
        <w:t>大突发公共卫生事件应急响应期间，应按照防疫</w:t>
      </w:r>
      <w:r>
        <w:rPr>
          <w:rFonts w:hint="eastAsia" w:ascii="宋体" w:hAnsi="宋体" w:cs="宋体"/>
          <w:color w:val="auto"/>
          <w:spacing w:val="7"/>
          <w:sz w:val="24"/>
          <w:highlight w:val="none"/>
        </w:rPr>
        <w:t>部门要求做好防护；施工现场人员患有法定</w:t>
      </w:r>
      <w:r>
        <w:rPr>
          <w:rFonts w:hint="eastAsia" w:ascii="宋体" w:hAnsi="宋体" w:cs="宋体"/>
          <w:color w:val="auto"/>
          <w:spacing w:val="9"/>
          <w:sz w:val="24"/>
          <w:highlight w:val="none"/>
        </w:rPr>
        <w:t>传染病或是病原携带者，应及时到医院就医治疗，直至恢复健康方可工作。</w:t>
      </w:r>
    </w:p>
    <w:p w14:paraId="43D2FD39">
      <w:pPr>
        <w:spacing w:line="360" w:lineRule="auto"/>
        <w:ind w:firstLine="528" w:firstLineChars="200"/>
        <w:outlineLvl w:val="3"/>
        <w:rPr>
          <w:rFonts w:ascii="宋体" w:hAnsi="宋体" w:cs="宋体"/>
          <w:color w:val="auto"/>
          <w:sz w:val="24"/>
          <w:highlight w:val="none"/>
        </w:rPr>
      </w:pPr>
      <w:r>
        <w:rPr>
          <w:rFonts w:hint="eastAsia" w:ascii="宋体" w:hAnsi="宋体" w:cs="宋体"/>
          <w:color w:val="auto"/>
          <w:spacing w:val="12"/>
          <w:sz w:val="24"/>
          <w:highlight w:val="none"/>
        </w:rPr>
        <w:t>3.9.5  特殊安全生产标准化要求应当与技术标准和要求</w:t>
      </w:r>
      <w:r>
        <w:rPr>
          <w:rFonts w:hint="eastAsia" w:ascii="宋体" w:hAnsi="宋体" w:cs="宋体"/>
          <w:color w:val="auto"/>
          <w:spacing w:val="11"/>
          <w:sz w:val="24"/>
          <w:highlight w:val="none"/>
        </w:rPr>
        <w:t>专用部分约定的要求一致</w:t>
      </w:r>
      <w:r>
        <w:rPr>
          <w:rFonts w:hint="eastAsia" w:ascii="宋体" w:hAnsi="宋体" w:cs="宋体"/>
          <w:color w:val="auto"/>
          <w:spacing w:val="8"/>
          <w:sz w:val="24"/>
          <w:highlight w:val="none"/>
        </w:rPr>
        <w:t>或高于技术标准和要求专用部分约定。</w:t>
      </w:r>
    </w:p>
    <w:p w14:paraId="52018AF1">
      <w:pPr>
        <w:spacing w:before="293" w:line="360" w:lineRule="auto"/>
        <w:ind w:left="29" w:firstLine="464" w:firstLineChars="200"/>
        <w:outlineLvl w:val="1"/>
        <w:rPr>
          <w:rFonts w:ascii="宋体" w:hAnsi="宋体" w:cs="宋体"/>
          <w:color w:val="auto"/>
          <w:spacing w:val="-4"/>
          <w:sz w:val="24"/>
          <w:highlight w:val="none"/>
        </w:rPr>
      </w:pPr>
      <w:bookmarkStart w:id="710" w:name="bookmark295"/>
      <w:bookmarkEnd w:id="710"/>
      <w:r>
        <w:rPr>
          <w:rFonts w:hint="eastAsia" w:ascii="宋体" w:hAnsi="宋体" w:cs="宋体"/>
          <w:color w:val="auto"/>
          <w:spacing w:val="-4"/>
          <w:sz w:val="24"/>
          <w:highlight w:val="none"/>
        </w:rPr>
        <w:t>4.治安保卫</w:t>
      </w:r>
    </w:p>
    <w:p w14:paraId="1C2A213B">
      <w:pPr>
        <w:spacing w:before="293" w:line="360" w:lineRule="auto"/>
        <w:ind w:left="29" w:firstLine="504" w:firstLineChars="200"/>
        <w:outlineLvl w:val="1"/>
        <w:rPr>
          <w:rFonts w:ascii="宋体" w:hAnsi="宋体" w:cs="宋体"/>
          <w:color w:val="auto"/>
          <w:sz w:val="24"/>
          <w:highlight w:val="none"/>
        </w:rPr>
      </w:pPr>
      <w:r>
        <w:rPr>
          <w:rFonts w:hint="eastAsia" w:ascii="宋体" w:hAnsi="宋体" w:cs="宋体"/>
          <w:color w:val="auto"/>
          <w:spacing w:val="6"/>
          <w:sz w:val="24"/>
          <w:highlight w:val="none"/>
        </w:rPr>
        <w:t xml:space="preserve">4.1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应为施工现场提供</w:t>
      </w:r>
      <w:r>
        <w:rPr>
          <w:rFonts w:hint="eastAsia" w:ascii="宋体" w:hAnsi="宋体" w:cs="宋体"/>
          <w:color w:val="auto"/>
          <w:spacing w:val="-35"/>
          <w:sz w:val="24"/>
          <w:highlight w:val="none"/>
        </w:rPr>
        <w:t xml:space="preserve"> </w:t>
      </w:r>
      <w:r>
        <w:rPr>
          <w:rFonts w:hint="eastAsia" w:ascii="宋体" w:hAnsi="宋体" w:cs="宋体"/>
          <w:color w:val="auto"/>
          <w:spacing w:val="6"/>
          <w:sz w:val="24"/>
          <w:highlight w:val="none"/>
        </w:rPr>
        <w:t>24</w:t>
      </w:r>
      <w:r>
        <w:rPr>
          <w:rFonts w:hint="eastAsia" w:ascii="宋体" w:hAnsi="宋体" w:cs="宋体"/>
          <w:color w:val="auto"/>
          <w:spacing w:val="-34"/>
          <w:sz w:val="24"/>
          <w:highlight w:val="none"/>
        </w:rPr>
        <w:t xml:space="preserve"> </w:t>
      </w:r>
      <w:r>
        <w:rPr>
          <w:rFonts w:hint="eastAsia" w:ascii="宋体" w:hAnsi="宋体" w:cs="宋体"/>
          <w:color w:val="auto"/>
          <w:spacing w:val="6"/>
          <w:sz w:val="24"/>
          <w:highlight w:val="none"/>
        </w:rPr>
        <w:t>小时的保安保卫服务，配备足够的保安人员和保安设</w:t>
      </w:r>
      <w:r>
        <w:rPr>
          <w:rFonts w:hint="eastAsia" w:ascii="宋体" w:hAnsi="宋体" w:cs="宋体"/>
          <w:color w:val="auto"/>
          <w:spacing w:val="9"/>
          <w:sz w:val="24"/>
          <w:highlight w:val="none"/>
        </w:rPr>
        <w:t>备，防止未经批准的任何人进入现场，控制人员、材料和设备等的进出</w:t>
      </w:r>
      <w:r>
        <w:rPr>
          <w:rFonts w:hint="eastAsia" w:ascii="宋体" w:hAnsi="宋体" w:cs="宋体"/>
          <w:color w:val="auto"/>
          <w:spacing w:val="8"/>
          <w:sz w:val="24"/>
          <w:highlight w:val="none"/>
        </w:rPr>
        <w:t>场，防止现场材料、</w:t>
      </w:r>
      <w:r>
        <w:rPr>
          <w:rFonts w:hint="eastAsia" w:ascii="宋体" w:hAnsi="宋体" w:cs="宋体"/>
          <w:color w:val="auto"/>
          <w:spacing w:val="9"/>
          <w:sz w:val="24"/>
          <w:highlight w:val="none"/>
        </w:rPr>
        <w:t>设备或其他任何物品的失窃，禁止任何现场内的打架斗殴事件。</w:t>
      </w:r>
    </w:p>
    <w:p w14:paraId="6CFDB23D">
      <w:pPr>
        <w:spacing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4.2  供应商的保安人员应是训练有素的专业保安人员，供应商可以雇佣专业保安公司</w:t>
      </w:r>
      <w:r>
        <w:rPr>
          <w:rFonts w:hint="eastAsia" w:ascii="宋体" w:hAnsi="宋体" w:cs="宋体"/>
          <w:color w:val="auto"/>
          <w:spacing w:val="7"/>
          <w:sz w:val="24"/>
          <w:highlight w:val="none"/>
        </w:rPr>
        <w:t>负责现场保安和保卫；保安保卫制度除规范现场出入大门控制外，还应规定定时和不定时的</w:t>
      </w:r>
      <w:r>
        <w:rPr>
          <w:rFonts w:hint="eastAsia" w:ascii="宋体" w:hAnsi="宋体" w:cs="宋体"/>
          <w:color w:val="auto"/>
          <w:spacing w:val="8"/>
          <w:sz w:val="24"/>
          <w:highlight w:val="none"/>
        </w:rPr>
        <w:t>施工场地(现场)周边和全现场的保安巡逻。</w:t>
      </w:r>
    </w:p>
    <w:p w14:paraId="1983255E">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4.3  供应商应制定并实施严格的施工场地（现场）出入制度并报监理人审批；车辆的</w:t>
      </w:r>
      <w:r>
        <w:rPr>
          <w:rFonts w:hint="eastAsia" w:ascii="宋体" w:hAnsi="宋体" w:cs="宋体"/>
          <w:color w:val="auto"/>
          <w:spacing w:val="7"/>
          <w:sz w:val="24"/>
          <w:highlight w:val="none"/>
        </w:rPr>
        <w:t>出入须有出入审批制度，并有指定的专人负责管理；人员进出现场应有出入证，出入证须以</w:t>
      </w:r>
      <w:r>
        <w:rPr>
          <w:rFonts w:hint="eastAsia" w:ascii="宋体" w:hAnsi="宋体" w:cs="宋体"/>
          <w:color w:val="auto"/>
          <w:spacing w:val="8"/>
          <w:sz w:val="24"/>
          <w:highlight w:val="none"/>
        </w:rPr>
        <w:t>经过监理人批准的格式印制。</w:t>
      </w:r>
    </w:p>
    <w:p w14:paraId="0E02DE19">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4.4  供应商应确保任何未经监理人同意的参观人员进入现场；供应商应准备足够数量</w:t>
      </w:r>
      <w:r>
        <w:rPr>
          <w:rFonts w:hint="eastAsia" w:ascii="宋体" w:hAnsi="宋体" w:cs="宋体"/>
          <w:color w:val="auto"/>
          <w:spacing w:val="7"/>
          <w:sz w:val="24"/>
          <w:highlight w:val="none"/>
        </w:rPr>
        <w:t>的专门用于参观人员的安全帽并带明显标志，</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同时应准备一个参观人员登记簿用于记</w:t>
      </w:r>
      <w:r>
        <w:rPr>
          <w:rFonts w:hint="eastAsia" w:ascii="宋体" w:hAnsi="宋体" w:cs="宋体"/>
          <w:color w:val="auto"/>
          <w:spacing w:val="8"/>
          <w:sz w:val="24"/>
          <w:highlight w:val="none"/>
        </w:rPr>
        <w:t>录所有参观现场人员的姓名、参观目的和参</w:t>
      </w:r>
      <w:r>
        <w:rPr>
          <w:rFonts w:hint="eastAsia" w:ascii="宋体" w:hAnsi="宋体" w:cs="宋体"/>
          <w:color w:val="auto"/>
          <w:spacing w:val="7"/>
          <w:sz w:val="24"/>
          <w:highlight w:val="none"/>
        </w:rPr>
        <w:t>观时间等内容；</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应确保每个参观现场的人</w:t>
      </w:r>
      <w:r>
        <w:rPr>
          <w:rFonts w:hint="eastAsia" w:ascii="宋体" w:hAnsi="宋体" w:cs="宋体"/>
          <w:color w:val="auto"/>
          <w:spacing w:val="8"/>
          <w:sz w:val="24"/>
          <w:highlight w:val="none"/>
        </w:rPr>
        <w:t>员了解和遵守现场的安全管理规章制度，佩</w:t>
      </w:r>
      <w:r>
        <w:rPr>
          <w:rFonts w:hint="eastAsia" w:ascii="宋体" w:hAnsi="宋体" w:cs="宋体"/>
          <w:color w:val="auto"/>
          <w:spacing w:val="7"/>
          <w:sz w:val="24"/>
          <w:highlight w:val="none"/>
        </w:rPr>
        <w:t>带安全帽，确保所有经采购人和监理人批准的参观人员的人身安全。</w:t>
      </w:r>
    </w:p>
    <w:p w14:paraId="476C9ACB">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4.5  供应商应为施工场地（现场）提供和维护符合建设行政主管部门和市容管理部门</w:t>
      </w:r>
      <w:r>
        <w:rPr>
          <w:rFonts w:hint="eastAsia" w:ascii="宋体" w:hAnsi="宋体" w:cs="宋体"/>
          <w:color w:val="auto"/>
          <w:spacing w:val="8"/>
          <w:sz w:val="24"/>
          <w:highlight w:val="none"/>
        </w:rPr>
        <w:t>规定的临时围墙和其他安全维护，并在工程进度</w:t>
      </w:r>
      <w:r>
        <w:rPr>
          <w:rFonts w:hint="eastAsia" w:ascii="宋体" w:hAnsi="宋体" w:cs="宋体"/>
          <w:color w:val="auto"/>
          <w:spacing w:val="7"/>
          <w:sz w:val="24"/>
          <w:highlight w:val="none"/>
        </w:rPr>
        <w:t>需要时，进行必要的改造。围墙和大门的表</w:t>
      </w:r>
      <w:r>
        <w:rPr>
          <w:rFonts w:hint="eastAsia" w:ascii="宋体" w:hAnsi="宋体" w:cs="宋体"/>
          <w:color w:val="auto"/>
          <w:spacing w:val="8"/>
          <w:sz w:val="24"/>
          <w:highlight w:val="none"/>
        </w:rPr>
        <w:t>面维护应考虑定期的修补和重新刷漆，并应保证</w:t>
      </w:r>
      <w:r>
        <w:rPr>
          <w:rFonts w:hint="eastAsia" w:ascii="宋体" w:hAnsi="宋体" w:cs="宋体"/>
          <w:color w:val="auto"/>
          <w:spacing w:val="7"/>
          <w:sz w:val="24"/>
          <w:highlight w:val="none"/>
        </w:rPr>
        <w:t>所有的乱涂乱画或招贴广告随时被清理。临</w:t>
      </w:r>
      <w:r>
        <w:rPr>
          <w:rFonts w:hint="eastAsia" w:ascii="宋体" w:hAnsi="宋体" w:cs="宋体"/>
          <w:color w:val="auto"/>
          <w:spacing w:val="9"/>
          <w:sz w:val="24"/>
          <w:highlight w:val="none"/>
        </w:rPr>
        <w:t>时围墙和出入大门考虑必要的照明，照明系统要满足现场安全保卫和美观的要求。</w:t>
      </w:r>
    </w:p>
    <w:p w14:paraId="20978EE3">
      <w:pPr>
        <w:spacing w:before="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4.6  供应商应当保证</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支付的工程款项仅用于本合同目的，及时和足额地向所雇</w:t>
      </w:r>
      <w:r>
        <w:rPr>
          <w:rFonts w:hint="eastAsia" w:ascii="宋体" w:hAnsi="宋体" w:cs="宋体"/>
          <w:color w:val="auto"/>
          <w:spacing w:val="7"/>
          <w:sz w:val="24"/>
          <w:highlight w:val="none"/>
        </w:rPr>
        <w:t>佣的人员支付劳动报酬，并制定严格的工人工资支付保障措施，确保所有分包人及时支付所</w:t>
      </w:r>
      <w:r>
        <w:rPr>
          <w:rFonts w:hint="eastAsia" w:ascii="宋体" w:hAnsi="宋体" w:cs="宋体"/>
          <w:color w:val="auto"/>
          <w:spacing w:val="8"/>
          <w:sz w:val="24"/>
          <w:highlight w:val="none"/>
        </w:rPr>
        <w:t>雇佣工人的工资，有效防止影响社会安定的群体事</w:t>
      </w:r>
      <w:r>
        <w:rPr>
          <w:rFonts w:hint="eastAsia" w:ascii="宋体" w:hAnsi="宋体" w:cs="宋体"/>
          <w:color w:val="auto"/>
          <w:spacing w:val="7"/>
          <w:sz w:val="24"/>
          <w:highlight w:val="none"/>
        </w:rPr>
        <w:t>件发生，并保障采购人免于因</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（包</w:t>
      </w:r>
      <w:r>
        <w:rPr>
          <w:rFonts w:hint="eastAsia" w:ascii="宋体" w:hAnsi="宋体" w:cs="宋体"/>
          <w:color w:val="auto"/>
          <w:spacing w:val="9"/>
          <w:sz w:val="24"/>
          <w:highlight w:val="none"/>
        </w:rPr>
        <w:t>括其分包人）拖欠工人工资而可能遭受的任何处罚、索赔、损失和损害等。</w:t>
      </w:r>
    </w:p>
    <w:p w14:paraId="1E5F5AF1">
      <w:pPr>
        <w:spacing w:line="360" w:lineRule="auto"/>
        <w:ind w:firstLine="512" w:firstLineChars="200"/>
        <w:outlineLvl w:val="2"/>
        <w:rPr>
          <w:rFonts w:ascii="宋体" w:hAnsi="宋体" w:cs="宋体"/>
          <w:color w:val="auto"/>
          <w:sz w:val="24"/>
          <w:highlight w:val="none"/>
        </w:rPr>
      </w:pPr>
      <w:r>
        <w:rPr>
          <w:rFonts w:hint="eastAsia" w:ascii="宋体" w:hAnsi="宋体" w:cs="宋体"/>
          <w:color w:val="auto"/>
          <w:spacing w:val="8"/>
          <w:sz w:val="24"/>
          <w:highlight w:val="none"/>
        </w:rPr>
        <w:t>4.7  突发治安事件紧急预案的要求：</w:t>
      </w:r>
      <w:r>
        <w:rPr>
          <w:rFonts w:hint="eastAsia" w:ascii="宋体" w:hAnsi="宋体" w:cs="宋体"/>
          <w:color w:val="auto"/>
          <w:sz w:val="24"/>
          <w:highlight w:val="none"/>
          <w:u w:val="single"/>
        </w:rPr>
        <w:t xml:space="preserve">    /     </w:t>
      </w:r>
    </w:p>
    <w:p w14:paraId="52BBE2D6">
      <w:pPr>
        <w:spacing w:before="160" w:line="360" w:lineRule="auto"/>
        <w:ind w:firstLine="512" w:firstLineChars="200"/>
        <w:outlineLvl w:val="2"/>
        <w:rPr>
          <w:rFonts w:ascii="宋体" w:hAnsi="宋体" w:cs="宋体"/>
          <w:color w:val="auto"/>
          <w:sz w:val="24"/>
          <w:highlight w:val="none"/>
        </w:rPr>
      </w:pPr>
      <w:r>
        <w:rPr>
          <w:rFonts w:hint="eastAsia" w:ascii="宋体" w:hAnsi="宋体" w:cs="宋体"/>
          <w:color w:val="auto"/>
          <w:spacing w:val="8"/>
          <w:sz w:val="24"/>
          <w:highlight w:val="none"/>
        </w:rPr>
        <w:t>4.8  治安保卫管理方面的其他要求:</w:t>
      </w:r>
      <w:r>
        <w:rPr>
          <w:rFonts w:hint="eastAsia" w:ascii="宋体" w:hAnsi="宋体" w:cs="宋体"/>
          <w:color w:val="auto"/>
          <w:sz w:val="24"/>
          <w:highlight w:val="none"/>
          <w:u w:val="single"/>
        </w:rPr>
        <w:t xml:space="preserve">    /     </w:t>
      </w:r>
    </w:p>
    <w:p w14:paraId="678405A6">
      <w:pPr>
        <w:spacing w:before="91" w:line="360" w:lineRule="auto"/>
        <w:ind w:left="23" w:firstLine="476" w:firstLineChars="200"/>
        <w:outlineLvl w:val="1"/>
        <w:rPr>
          <w:rFonts w:ascii="宋体" w:hAnsi="宋体" w:cs="宋体"/>
          <w:color w:val="auto"/>
          <w:sz w:val="24"/>
          <w:highlight w:val="none"/>
        </w:rPr>
      </w:pPr>
      <w:bookmarkStart w:id="711" w:name="bookmark296"/>
      <w:bookmarkEnd w:id="711"/>
      <w:r>
        <w:rPr>
          <w:rFonts w:hint="eastAsia" w:ascii="宋体" w:hAnsi="宋体" w:cs="宋体"/>
          <w:color w:val="auto"/>
          <w:spacing w:val="-1"/>
          <w:sz w:val="24"/>
          <w:highlight w:val="none"/>
        </w:rPr>
        <w:t>5.地上、地下设施和周边建筑物的临时保护</w:t>
      </w:r>
    </w:p>
    <w:p w14:paraId="0E7FFDC0">
      <w:pPr>
        <w:spacing w:before="65"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5.1  供应商应为施工场地及其周边现有的地上、地下设施和建筑物提供足够的临时保护设施，确保施工过程中这些设施和建筑物不会受到干扰和破坏。</w:t>
      </w:r>
    </w:p>
    <w:p w14:paraId="094FBA84">
      <w:pPr>
        <w:spacing w:before="161" w:line="360" w:lineRule="auto"/>
        <w:ind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5.2  供应商应当制订现有设施临时保护方案和应急处理方案，并在本工程开工前至少</w:t>
      </w:r>
      <w:r>
        <w:rPr>
          <w:rFonts w:hint="eastAsia" w:ascii="宋体" w:hAnsi="宋体" w:cs="宋体"/>
          <w:color w:val="auto"/>
          <w:spacing w:val="6"/>
          <w:sz w:val="24"/>
          <w:highlight w:val="none"/>
        </w:rPr>
        <w:t>提前7天报送监理人，监理人应在收到现有设施临时保护方案后的3天内批复</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应当严格执行经监理人批准的保护方案，并保证在</w:t>
      </w:r>
      <w:r>
        <w:rPr>
          <w:rFonts w:hint="eastAsia" w:ascii="宋体" w:hAnsi="宋体" w:cs="宋体"/>
          <w:color w:val="auto"/>
          <w:spacing w:val="7"/>
          <w:sz w:val="24"/>
          <w:highlight w:val="none"/>
        </w:rPr>
        <w:t>任何可能影响周边现有的地上、地下设</w:t>
      </w:r>
      <w:r>
        <w:rPr>
          <w:rFonts w:hint="eastAsia" w:ascii="宋体" w:hAnsi="宋体" w:cs="宋体"/>
          <w:color w:val="auto"/>
          <w:spacing w:val="9"/>
          <w:sz w:val="24"/>
          <w:highlight w:val="none"/>
        </w:rPr>
        <w:t>施或周边建筑物的施工作业开始前，相应的临时保护设施能够落实到位。</w:t>
      </w:r>
    </w:p>
    <w:p w14:paraId="1D18CB33">
      <w:pPr>
        <w:spacing w:before="1" w:line="360" w:lineRule="auto"/>
        <w:ind w:left="21" w:right="178" w:firstLine="516" w:firstLineChars="200"/>
        <w:outlineLvl w:val="2"/>
        <w:rPr>
          <w:rFonts w:ascii="宋体" w:hAnsi="宋体" w:cs="宋体"/>
          <w:color w:val="auto"/>
          <w:sz w:val="24"/>
          <w:highlight w:val="none"/>
        </w:rPr>
      </w:pPr>
      <w:r>
        <w:rPr>
          <w:rFonts w:hint="eastAsia" w:ascii="宋体" w:hAnsi="宋体" w:cs="宋体"/>
          <w:color w:val="auto"/>
          <w:spacing w:val="9"/>
          <w:sz w:val="24"/>
          <w:highlight w:val="none"/>
        </w:rPr>
        <w:t xml:space="preserve">5.3  </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特别提醒供应商注意地上、地下设施和周边建筑物的保护:</w:t>
      </w:r>
      <w:r>
        <w:rPr>
          <w:rFonts w:hint="eastAsia" w:ascii="宋体" w:hAnsi="宋体" w:cs="宋体"/>
          <w:color w:val="auto"/>
          <w:sz w:val="24"/>
          <w:highlight w:val="none"/>
          <w:u w:val="single"/>
        </w:rPr>
        <w:t xml:space="preserve">    /     </w:t>
      </w:r>
    </w:p>
    <w:p w14:paraId="40CC23C0">
      <w:pPr>
        <w:spacing w:before="158" w:line="360" w:lineRule="auto"/>
        <w:ind w:firstLine="508" w:firstLineChars="200"/>
        <w:outlineLvl w:val="2"/>
        <w:rPr>
          <w:rFonts w:ascii="宋体" w:hAnsi="宋体" w:cs="宋体"/>
          <w:color w:val="auto"/>
          <w:spacing w:val="11"/>
          <w:sz w:val="24"/>
          <w:highlight w:val="none"/>
          <w:u w:val="single"/>
        </w:rPr>
      </w:pPr>
      <w:r>
        <w:rPr>
          <w:rFonts w:hint="eastAsia" w:ascii="宋体" w:hAnsi="宋体" w:cs="宋体"/>
          <w:color w:val="auto"/>
          <w:spacing w:val="7"/>
          <w:sz w:val="24"/>
          <w:highlight w:val="none"/>
        </w:rPr>
        <w:t>5.4  地上、地下设施和周边建筑物的临时保护的其他要</w:t>
      </w:r>
      <w:r>
        <w:rPr>
          <w:rFonts w:hint="eastAsia" w:ascii="宋体" w:hAnsi="宋体" w:cs="宋体"/>
          <w:color w:val="auto"/>
          <w:spacing w:val="6"/>
          <w:sz w:val="24"/>
          <w:highlight w:val="none"/>
        </w:rPr>
        <w:t>求:</w:t>
      </w:r>
      <w:r>
        <w:rPr>
          <w:rFonts w:hint="eastAsia" w:ascii="宋体" w:hAnsi="宋体" w:cs="宋体"/>
          <w:color w:val="auto"/>
          <w:sz w:val="24"/>
          <w:highlight w:val="none"/>
          <w:u w:val="single"/>
        </w:rPr>
        <w:t xml:space="preserve">    /     </w:t>
      </w:r>
    </w:p>
    <w:p w14:paraId="5D9BBD39">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6.供应商需制定项目进度计划，采用直观体现关键线路、清晰地表达各工序之间完整逻辑关系的进度计划网络图表现或采用体现关键节点、关键任务的进度计划横道图表现。进度计划应符合施工技术规律和合理的施工顺序，保证各工序在时间和空间上衔接顺利，全面分析影响施工进度的关键工作，制定关键节点的控制措施。</w:t>
      </w:r>
    </w:p>
    <w:p w14:paraId="6334A441">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7.供应商需明确进度计划的编制、动态更新及报批制度及施工过程的进度计划检查、落实保障与纠偏措施；制定进度管理同期记录制度及沟通协调保障措施，进行动态管理；制定劳动力、施工机具、建筑材料、构配件和设备等施工资源保障措施并分析各因素对施工进度的影响；制定资金保障及进度计划计算机软硬件保障措施；制定必要的成本控制纠偏措施和风险防控措施，成本管理与进度、质量、安全和环境管理协调进行。</w:t>
      </w:r>
    </w:p>
    <w:p w14:paraId="198A7D7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8.验收标准</w:t>
      </w:r>
    </w:p>
    <w:p w14:paraId="6ECFA4E1">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按照现行工程验收规范标准执行。</w:t>
      </w:r>
      <w:r>
        <w:rPr>
          <w:rFonts w:ascii="宋体" w:hAnsi="宋体"/>
          <w:color w:val="auto"/>
          <w:sz w:val="24"/>
          <w:highlight w:val="none"/>
        </w:rPr>
        <w:t>工程质量标准的要求不低于国家、地方现行施工规范、质量评定标准、验收规范、特殊专业有关规定、采购人要求及技术交底施工</w:t>
      </w:r>
      <w:r>
        <w:rPr>
          <w:rFonts w:hint="eastAsia" w:ascii="宋体" w:hAnsi="宋体"/>
          <w:color w:val="auto"/>
          <w:sz w:val="24"/>
          <w:highlight w:val="none"/>
        </w:rPr>
        <w:t>。</w:t>
      </w:r>
    </w:p>
    <w:p w14:paraId="42E2D9D7">
      <w:pPr>
        <w:numPr>
          <w:ilvl w:val="0"/>
          <w:numId w:val="14"/>
        </w:num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图纸（另行提供）。</w:t>
      </w:r>
    </w:p>
    <w:p w14:paraId="7FA45D60">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10.供应商需结合本项目图纸、工程量清单相关要求，提供具有针对性和可行性强的施工方案与技术措施。</w:t>
      </w:r>
    </w:p>
    <w:p w14:paraId="4F90A2D6">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四、报价和结算要求</w:t>
      </w:r>
    </w:p>
    <w:p w14:paraId="6F830328">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1.合同形式：单价合同。</w:t>
      </w:r>
    </w:p>
    <w:p w14:paraId="578DA226">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2.施工期间所发生的水费、电费由采购人承担。</w:t>
      </w:r>
    </w:p>
    <w:p w14:paraId="1636495F">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3.如供应商自行压缩工期，涉及的赶工措施费视为已包含在响应报价中，结算时不予调整。</w:t>
      </w:r>
    </w:p>
    <w:p w14:paraId="33C289E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4.双方配合接受审计，审计结论作为双方工程结算的依据。</w:t>
      </w:r>
    </w:p>
    <w:p w14:paraId="4B5EF6B4">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五、偏离</w:t>
      </w:r>
    </w:p>
    <w:p w14:paraId="6210DC97">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1.本章加注“★”内容均为实质性内容，供应商在响应文件中应全面响应。</w:t>
      </w:r>
    </w:p>
    <w:p w14:paraId="102E7C67">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2.除实质性内容以外，允许响应文件产生偏离，但应遵守竞争性磋商文件规定的偏离范围和幅度（如有），并应按照“响应文件格式”加以说明。</w:t>
      </w:r>
    </w:p>
    <w:p w14:paraId="08A8BFFC">
      <w:pPr>
        <w:tabs>
          <w:tab w:val="left" w:pos="567"/>
        </w:tabs>
        <w:spacing w:before="240" w:line="360" w:lineRule="auto"/>
        <w:outlineLvl w:val="1"/>
        <w:rPr>
          <w:rFonts w:ascii="宋体" w:hAnsi="宋体"/>
          <w:color w:val="auto"/>
          <w:sz w:val="24"/>
          <w:highlight w:val="none"/>
        </w:rPr>
      </w:pPr>
      <w:r>
        <w:rPr>
          <w:rFonts w:hint="eastAsia" w:ascii="宋体" w:hAnsi="宋体"/>
          <w:color w:val="auto"/>
          <w:sz w:val="24"/>
          <w:highlight w:val="none"/>
        </w:rPr>
        <w:t>六、其他</w:t>
      </w:r>
    </w:p>
    <w:p w14:paraId="55CE59E6">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1.供应商获取本项目磋商文件后务必仔细核对图纸与工程量清单，查看是否存在缺项漏项、工程量是否存在偏差等内容，并在</w:t>
      </w:r>
      <w:r>
        <w:rPr>
          <w:rFonts w:ascii="宋体" w:hAnsi="宋体"/>
          <w:color w:val="auto"/>
          <w:sz w:val="24"/>
          <w:highlight w:val="none"/>
          <w:u w:val="single"/>
        </w:rPr>
        <w:t xml:space="preserve">2025 </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 xml:space="preserve"> </w:t>
      </w:r>
      <w:r>
        <w:rPr>
          <w:rFonts w:hint="eastAsia" w:ascii="宋体" w:hAnsi="宋体"/>
          <w:color w:val="auto"/>
          <w:sz w:val="24"/>
          <w:highlight w:val="none"/>
        </w:rPr>
        <w:t>日前提交至采购人。</w:t>
      </w:r>
    </w:p>
    <w:p w14:paraId="2C64F4D8">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本工程范围是以图纸及工程量清单范围内的全部内容，当清单和图纸不一致时，以图纸为准，实际施工应以施工图纸为准，施工单位必须严格按照设计图纸和施工技术标准进行施工，任何偏离图纸的行为都将视为违约行为，并承担相应的法律责任。</w:t>
      </w:r>
    </w:p>
    <w:p w14:paraId="22B507D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★3.任何施工变更必须经过双方同意并签署书面文件，方可作为施工依据。</w:t>
      </w:r>
    </w:p>
    <w:p w14:paraId="509F1585">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★4.最终解释权归采购人所有。</w:t>
      </w:r>
    </w:p>
    <w:bookmarkEnd w:id="676"/>
    <w:p w14:paraId="74F098B6">
      <w:pPr>
        <w:widowControl/>
        <w:jc w:val="left"/>
        <w:rPr>
          <w:rFonts w:hint="eastAsia" w:ascii="宋体" w:hAnsi="宋体"/>
          <w:color w:val="auto"/>
          <w:sz w:val="24"/>
          <w:highlight w:val="none"/>
        </w:rPr>
      </w:pPr>
      <w:r>
        <w:rPr>
          <w:rFonts w:ascii="宋体" w:hAnsi="宋体"/>
          <w:color w:val="auto"/>
          <w:sz w:val="24"/>
          <w:highlight w:val="none"/>
        </w:rPr>
        <w:br w:type="page"/>
      </w:r>
    </w:p>
    <w:p w14:paraId="2845D2FC">
      <w:pPr>
        <w:widowControl/>
        <w:jc w:val="left"/>
        <w:rPr>
          <w:rFonts w:hint="eastAsia" w:ascii="宋体" w:hAnsi="宋体"/>
          <w:color w:val="auto"/>
          <w:sz w:val="24"/>
          <w:highlight w:val="none"/>
        </w:rPr>
      </w:pPr>
    </w:p>
    <w:p w14:paraId="228D6ED4">
      <w:pPr>
        <w:spacing w:line="360" w:lineRule="auto"/>
        <w:jc w:val="center"/>
        <w:outlineLvl w:val="0"/>
        <w:rPr>
          <w:rFonts w:hint="eastAsia" w:ascii="宋体" w:hAnsi="宋体"/>
          <w:b/>
          <w:color w:val="auto"/>
          <w:sz w:val="36"/>
          <w:szCs w:val="36"/>
          <w:highlight w:val="none"/>
        </w:rPr>
      </w:pPr>
      <w:bookmarkStart w:id="712" w:name="_Toc9169"/>
      <w:r>
        <w:rPr>
          <w:rFonts w:ascii="宋体" w:hAnsi="宋体"/>
          <w:b/>
          <w:color w:val="auto"/>
          <w:sz w:val="36"/>
          <w:szCs w:val="36"/>
          <w:highlight w:val="none"/>
        </w:rPr>
        <w:t>第五章   合同草案条款</w:t>
      </w:r>
      <w:bookmarkEnd w:id="712"/>
    </w:p>
    <w:p w14:paraId="4E4E9016">
      <w:pPr>
        <w:jc w:val="center"/>
        <w:rPr>
          <w:rFonts w:hint="eastAsia" w:ascii="宋体" w:hAnsi="宋体"/>
          <w:b/>
          <w:bCs/>
          <w:color w:val="auto"/>
          <w:sz w:val="24"/>
          <w:highlight w:val="none"/>
        </w:rPr>
      </w:pPr>
      <w:bookmarkStart w:id="713" w:name="_Toc10198300"/>
      <w:bookmarkStart w:id="714" w:name="_Toc9522176"/>
      <w:bookmarkStart w:id="715" w:name="_Toc97112705"/>
      <w:bookmarkStart w:id="716" w:name="_Toc9507674"/>
      <w:bookmarkStart w:id="717" w:name="_Toc21942752"/>
      <w:r>
        <w:rPr>
          <w:rFonts w:hint="eastAsia" w:ascii="宋体" w:hAnsi="宋体"/>
          <w:b/>
          <w:bCs/>
          <w:color w:val="auto"/>
          <w:sz w:val="24"/>
          <w:highlight w:val="none"/>
        </w:rPr>
        <w:t>（此合同仅供参考。以最终采购人与成交供应商签定的合同草案条款为准进行公示，最终签定合同的主要条款不能与磋商文件有冲突）</w:t>
      </w:r>
      <w:bookmarkEnd w:id="713"/>
      <w:bookmarkEnd w:id="714"/>
      <w:bookmarkEnd w:id="715"/>
      <w:bookmarkEnd w:id="716"/>
      <w:bookmarkEnd w:id="717"/>
    </w:p>
    <w:p w14:paraId="1712278C">
      <w:pPr>
        <w:rPr>
          <w:rFonts w:hint="eastAsia" w:ascii="宋体" w:hAnsi="宋体" w:cs="宋体"/>
          <w:b/>
          <w:color w:val="auto"/>
          <w:sz w:val="24"/>
          <w:highlight w:val="none"/>
        </w:rPr>
      </w:pPr>
      <w:bookmarkStart w:id="718" w:name="_Toc68258347"/>
    </w:p>
    <w:p w14:paraId="7B53C226">
      <w:pPr>
        <w:jc w:val="center"/>
        <w:rPr>
          <w:rFonts w:eastAsia="华文中宋"/>
          <w:b/>
          <w:color w:val="auto"/>
          <w:sz w:val="48"/>
          <w:szCs w:val="48"/>
          <w:highlight w:val="none"/>
        </w:rPr>
      </w:pPr>
    </w:p>
    <w:p w14:paraId="2559A992">
      <w:pPr>
        <w:jc w:val="center"/>
        <w:rPr>
          <w:rFonts w:eastAsia="华文中宋"/>
          <w:b/>
          <w:color w:val="auto"/>
          <w:sz w:val="48"/>
          <w:szCs w:val="48"/>
          <w:highlight w:val="none"/>
        </w:rPr>
      </w:pPr>
    </w:p>
    <w:p w14:paraId="05E752B3">
      <w:pPr>
        <w:jc w:val="center"/>
        <w:rPr>
          <w:rFonts w:eastAsia="华文中宋"/>
          <w:b/>
          <w:color w:val="auto"/>
          <w:sz w:val="48"/>
          <w:szCs w:val="48"/>
          <w:highlight w:val="none"/>
        </w:rPr>
      </w:pPr>
    </w:p>
    <w:p w14:paraId="27B82750">
      <w:pPr>
        <w:jc w:val="center"/>
        <w:rPr>
          <w:rFonts w:eastAsia="华文中宋"/>
          <w:b/>
          <w:color w:val="auto"/>
          <w:sz w:val="48"/>
          <w:szCs w:val="48"/>
          <w:highlight w:val="none"/>
        </w:rPr>
      </w:pPr>
    </w:p>
    <w:p w14:paraId="3168EAC0">
      <w:pPr>
        <w:jc w:val="center"/>
        <w:rPr>
          <w:rFonts w:eastAsia="黑体"/>
          <w:b/>
          <w:color w:val="auto"/>
          <w:sz w:val="60"/>
          <w:szCs w:val="60"/>
          <w:highlight w:val="none"/>
        </w:rPr>
      </w:pPr>
      <w:r>
        <w:rPr>
          <w:rFonts w:eastAsia="华文中宋"/>
          <w:b/>
          <w:color w:val="auto"/>
          <w:sz w:val="60"/>
          <w:szCs w:val="48"/>
          <w:highlight w:val="none"/>
        </w:rPr>
        <w:t>建设工程施工合同</w:t>
      </w:r>
      <w:r>
        <w:rPr>
          <w:rFonts w:eastAsia="华文中宋"/>
          <w:b/>
          <w:color w:val="auto"/>
          <w:sz w:val="48"/>
          <w:szCs w:val="48"/>
          <w:highlight w:val="none"/>
        </w:rPr>
        <w:br w:type="textWrapping"/>
      </w:r>
    </w:p>
    <w:p w14:paraId="1B7F61EC">
      <w:pPr>
        <w:jc w:val="center"/>
        <w:rPr>
          <w:rFonts w:eastAsia="楷体_GB2312"/>
          <w:b/>
          <w:color w:val="auto"/>
          <w:sz w:val="60"/>
          <w:szCs w:val="60"/>
          <w:highlight w:val="none"/>
        </w:rPr>
      </w:pPr>
    </w:p>
    <w:p w14:paraId="7C54904B">
      <w:pPr>
        <w:jc w:val="center"/>
        <w:rPr>
          <w:rFonts w:eastAsia="楷体_GB2312"/>
          <w:b/>
          <w:color w:val="auto"/>
          <w:sz w:val="60"/>
          <w:szCs w:val="60"/>
          <w:highlight w:val="none"/>
        </w:rPr>
      </w:pPr>
    </w:p>
    <w:p w14:paraId="7026DCE7">
      <w:pPr>
        <w:jc w:val="center"/>
        <w:rPr>
          <w:rFonts w:eastAsia="黑体"/>
          <w:b/>
          <w:color w:val="auto"/>
          <w:sz w:val="48"/>
          <w:szCs w:val="48"/>
          <w:highlight w:val="none"/>
        </w:rPr>
      </w:pPr>
    </w:p>
    <w:p w14:paraId="1F570C5A">
      <w:pPr>
        <w:spacing w:line="480" w:lineRule="auto"/>
        <w:ind w:left="1344" w:leftChars="570" w:hanging="147" w:hangingChars="61"/>
        <w:rPr>
          <w:rFonts w:hint="eastAsia" w:ascii="宋体" w:hAnsi="宋体" w:cs="宋体"/>
          <w:color w:val="auto"/>
          <w:sz w:val="28"/>
          <w:szCs w:val="28"/>
          <w:highlight w:val="none"/>
          <w:u w:val="single"/>
        </w:rPr>
      </w:pPr>
      <w:r>
        <w:rPr>
          <w:rFonts w:hint="eastAsia" w:ascii="Arial"/>
          <w:b/>
          <w:color w:val="auto"/>
          <w:sz w:val="24"/>
          <w:highlight w:val="none"/>
        </w:rPr>
        <w:t xml:space="preserve">工程名称： </w:t>
      </w:r>
      <w:r>
        <w:rPr>
          <w:rFonts w:hint="eastAsia" w:ascii="宋体" w:hAnsi="宋体" w:cs="宋体"/>
          <w:color w:val="auto"/>
          <w:sz w:val="28"/>
          <w:szCs w:val="28"/>
          <w:highlight w:val="none"/>
          <w:u w:val="single"/>
        </w:rPr>
        <w:t>基建-教育系统消防改造-顺义区仁和中学(教学楼)</w:t>
      </w:r>
      <w:r>
        <w:rPr>
          <w:rFonts w:hint="eastAsia" w:ascii="宋体" w:hAnsi="宋体" w:cs="宋体"/>
          <w:color w:val="auto"/>
          <w:sz w:val="28"/>
          <w:szCs w:val="28"/>
          <w:highlight w:val="none"/>
          <w:u w:val="single"/>
        </w:rPr>
        <w:br w:type="textWrapping"/>
      </w:r>
      <w:r>
        <w:rPr>
          <w:rFonts w:hint="eastAsia" w:ascii="Arial"/>
          <w:b/>
          <w:color w:val="auto"/>
          <w:sz w:val="24"/>
          <w:highlight w:val="none"/>
        </w:rPr>
        <w:t>发包人（全称）：</w:t>
      </w:r>
      <w:r>
        <w:rPr>
          <w:rFonts w:hint="eastAsia" w:ascii="宋体" w:hAnsi="宋体" w:cs="宋体"/>
          <w:color w:val="auto"/>
          <w:sz w:val="28"/>
          <w:szCs w:val="28"/>
          <w:highlight w:val="none"/>
          <w:u w:val="single"/>
        </w:rPr>
        <w:t xml:space="preserve">北京市顺义区仁和中学 </w:t>
      </w:r>
    </w:p>
    <w:p w14:paraId="67B7A123">
      <w:pPr>
        <w:spacing w:line="480" w:lineRule="auto"/>
        <w:ind w:firstLine="1301" w:firstLineChars="540"/>
        <w:rPr>
          <w:rFonts w:hint="eastAsia" w:ascii="宋体" w:hAnsi="宋体" w:cs="宋体"/>
          <w:b/>
          <w:color w:val="auto"/>
          <w:sz w:val="60"/>
          <w:szCs w:val="60"/>
          <w:highlight w:val="none"/>
        </w:rPr>
      </w:pPr>
      <w:r>
        <w:rPr>
          <w:rFonts w:hint="eastAsia" w:ascii="Arial"/>
          <w:b/>
          <w:color w:val="auto"/>
          <w:sz w:val="24"/>
          <w:highlight w:val="none"/>
        </w:rPr>
        <w:t>承包人（全称）：</w:t>
      </w:r>
      <w:r>
        <w:rPr>
          <w:rFonts w:hint="eastAsia" w:ascii="Arial"/>
          <w:b/>
          <w:color w:val="auto"/>
          <w:sz w:val="24"/>
          <w:highlight w:val="none"/>
          <w:u w:val="single"/>
        </w:rPr>
        <w:t xml:space="preserve">     </w:t>
      </w:r>
      <w:r>
        <w:rPr>
          <w:rFonts w:ascii="Arial"/>
          <w:b/>
          <w:color w:val="auto"/>
          <w:sz w:val="24"/>
          <w:highlight w:val="none"/>
          <w:u w:val="single"/>
        </w:rPr>
        <w:t xml:space="preserve">                     </w:t>
      </w:r>
      <w:r>
        <w:rPr>
          <w:rFonts w:hint="eastAsia" w:ascii="Arial"/>
          <w:b/>
          <w:color w:val="auto"/>
          <w:sz w:val="24"/>
          <w:highlight w:val="none"/>
          <w:u w:val="single"/>
        </w:rPr>
        <w:t xml:space="preserve">   </w:t>
      </w:r>
    </w:p>
    <w:p w14:paraId="5363AED0">
      <w:pPr>
        <w:jc w:val="center"/>
        <w:rPr>
          <w:rFonts w:eastAsia="黑体"/>
          <w:b/>
          <w:color w:val="auto"/>
          <w:sz w:val="48"/>
          <w:szCs w:val="48"/>
          <w:highlight w:val="none"/>
        </w:rPr>
      </w:pPr>
    </w:p>
    <w:p w14:paraId="748184A0">
      <w:pPr>
        <w:jc w:val="center"/>
        <w:rPr>
          <w:rFonts w:eastAsia="黑体"/>
          <w:b/>
          <w:color w:val="auto"/>
          <w:sz w:val="48"/>
          <w:szCs w:val="48"/>
          <w:highlight w:val="none"/>
        </w:rPr>
      </w:pPr>
    </w:p>
    <w:p w14:paraId="1C5BA5E7">
      <w:pPr>
        <w:rPr>
          <w:b/>
          <w:color w:val="auto"/>
          <w:sz w:val="24"/>
          <w:highlight w:val="none"/>
        </w:rPr>
      </w:pPr>
    </w:p>
    <w:p w14:paraId="66CF18BE">
      <w:pPr>
        <w:ind w:right="2719" w:rightChars="1295" w:firstLine="2600" w:firstLineChars="1300"/>
        <w:rPr>
          <w:b/>
          <w:color w:val="auto"/>
          <w:sz w:val="28"/>
          <w:highlight w:val="none"/>
        </w:rPr>
      </w:pPr>
      <w:r>
        <w:rPr>
          <w:color w:val="auto"/>
          <w:sz w:val="20"/>
          <w:szCs w:val="22"/>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14:paraId="690CEA51">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HNLXHYAAAACQEAAA8AAAAAAAAAAQAgAAAA&#10;IgAAAGRycy9kb3ducmV2LnhtbFBLAQIUABQAAAAIAIdO4kBJXIH2RAIAAGoEAAAOAAAAAAAAAAEA&#10;IAAAACcBAABkcnMvZTJvRG9jLnhtbFBLBQYAAAAABgAGAFkBAADdBQAAAAA=&#10;">
                <v:fill on="f" focussize="0,0"/>
                <v:stroke color="#FFFFFF" miterlimit="8" joinstyle="miter"/>
                <v:imagedata o:title=""/>
                <o:lock v:ext="edit" aspectratio="f"/>
                <v:textbox>
                  <w:txbxContent>
                    <w:p w14:paraId="690CEA51">
                      <w:pPr>
                        <w:rPr>
                          <w:b/>
                          <w:bCs/>
                          <w:sz w:val="32"/>
                        </w:rPr>
                      </w:pPr>
                      <w:r>
                        <w:rPr>
                          <w:rFonts w:hint="eastAsia"/>
                          <w:b/>
                          <w:bCs/>
                          <w:sz w:val="32"/>
                        </w:rPr>
                        <w:t>制定</w:t>
                      </w:r>
                    </w:p>
                  </w:txbxContent>
                </v:textbox>
              </v:shape>
            </w:pict>
          </mc:Fallback>
        </mc:AlternateContent>
      </w:r>
      <w:r>
        <w:rPr>
          <w:b/>
          <w:color w:val="auto"/>
          <w:sz w:val="28"/>
          <w:highlight w:val="none"/>
        </w:rPr>
        <w:t>住房城乡建设部</w:t>
      </w:r>
    </w:p>
    <w:p w14:paraId="6258E545">
      <w:pPr>
        <w:ind w:right="2719" w:rightChars="1295" w:firstLine="2249" w:firstLineChars="800"/>
        <w:rPr>
          <w:b/>
          <w:color w:val="auto"/>
          <w:sz w:val="28"/>
          <w:highlight w:val="none"/>
        </w:rPr>
      </w:pPr>
      <w:r>
        <w:rPr>
          <w:b/>
          <w:color w:val="auto"/>
          <w:sz w:val="28"/>
          <w:highlight w:val="none"/>
        </w:rPr>
        <w:t>国家工商行政管总局</w:t>
      </w:r>
    </w:p>
    <w:p w14:paraId="65FF151A">
      <w:pPr>
        <w:pStyle w:val="416"/>
        <w:spacing w:before="0" w:line="360" w:lineRule="auto"/>
        <w:jc w:val="center"/>
        <w:rPr>
          <w:b/>
          <w:color w:val="auto"/>
          <w:szCs w:val="28"/>
          <w:highlight w:val="none"/>
        </w:rPr>
        <w:sectPr>
          <w:footerReference r:id="rId15" w:type="first"/>
          <w:footerReference r:id="rId14" w:type="default"/>
          <w:type w:val="nextColumn"/>
          <w:pgSz w:w="11906" w:h="16838"/>
          <w:pgMar w:top="1440" w:right="1800" w:bottom="1440" w:left="1800" w:header="851" w:footer="992" w:gutter="0"/>
          <w:pgNumType w:fmt="decimal"/>
          <w:cols w:space="720" w:num="1"/>
          <w:docGrid w:type="lines" w:linePitch="312" w:charSpace="0"/>
        </w:sectPr>
      </w:pPr>
      <w:bookmarkStart w:id="719" w:name="_Toc241459659"/>
      <w:bookmarkStart w:id="720" w:name="_Toc497456883"/>
      <w:bookmarkStart w:id="721" w:name="_Toc342296418"/>
      <w:bookmarkStart w:id="722" w:name="_Toc485323148"/>
      <w:bookmarkStart w:id="723" w:name="_Toc480303381"/>
      <w:bookmarkStart w:id="724" w:name="_Toc490331665"/>
      <w:bookmarkStart w:id="725" w:name="_Toc10532"/>
      <w:bookmarkStart w:id="726" w:name="_Toc489280180"/>
      <w:bookmarkStart w:id="727" w:name="_Toc2610"/>
      <w:bookmarkStart w:id="728" w:name="_Toc151466284"/>
      <w:bookmarkStart w:id="729" w:name="_Toc486580374"/>
      <w:bookmarkStart w:id="730" w:name="_Toc119941033"/>
    </w:p>
    <w:bookmarkEnd w:id="719"/>
    <w:bookmarkEnd w:id="720"/>
    <w:bookmarkEnd w:id="721"/>
    <w:bookmarkEnd w:id="722"/>
    <w:bookmarkEnd w:id="723"/>
    <w:bookmarkEnd w:id="724"/>
    <w:bookmarkEnd w:id="725"/>
    <w:bookmarkEnd w:id="726"/>
    <w:bookmarkEnd w:id="727"/>
    <w:bookmarkEnd w:id="728"/>
    <w:bookmarkEnd w:id="729"/>
    <w:bookmarkEnd w:id="730"/>
    <w:p w14:paraId="2F45F227">
      <w:pPr>
        <w:pStyle w:val="3"/>
        <w:spacing w:before="0" w:line="360" w:lineRule="auto"/>
        <w:ind w:right="26"/>
        <w:rPr>
          <w:rFonts w:hint="eastAsia" w:ascii="宋体" w:hAnsi="宋体" w:eastAsia="宋体" w:cs="宋体"/>
          <w:color w:val="auto"/>
          <w:highlight w:val="none"/>
        </w:rPr>
      </w:pPr>
      <w:r>
        <w:rPr>
          <w:rFonts w:hint="eastAsia" w:ascii="宋体" w:hAnsi="宋体" w:eastAsia="宋体" w:cs="宋体"/>
          <w:color w:val="auto"/>
          <w:sz w:val="32"/>
          <w:szCs w:val="21"/>
          <w:highlight w:val="none"/>
        </w:rPr>
        <w:t>合同条款通用部分</w:t>
      </w:r>
    </w:p>
    <w:p w14:paraId="720B3DF5">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1.一般约定</w:t>
      </w:r>
    </w:p>
    <w:p w14:paraId="2F5F5D0F">
      <w:pPr>
        <w:spacing w:before="78"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1.1</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词语定义</w:t>
      </w:r>
    </w:p>
    <w:p w14:paraId="7DE4A44C">
      <w:pPr>
        <w:spacing w:before="296"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合同条款通用部分、合同条款专用部分中的下列词语应具有本款所赋予的含义。</w:t>
      </w:r>
    </w:p>
    <w:p w14:paraId="74C9DF73">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1"/>
          <w:sz w:val="20"/>
          <w:szCs w:val="20"/>
          <w:highlight w:val="none"/>
        </w:rPr>
        <w:t>1.1.1</w:t>
      </w:r>
      <w:r>
        <w:rPr>
          <w:rFonts w:hint="eastAsia" w:ascii="宋体" w:hAnsi="宋体" w:cs="宋体"/>
          <w:color w:val="auto"/>
          <w:spacing w:val="10"/>
          <w:sz w:val="20"/>
          <w:szCs w:val="20"/>
          <w:highlight w:val="none"/>
        </w:rPr>
        <w:t xml:space="preserve">  </w:t>
      </w:r>
      <w:r>
        <w:rPr>
          <w:rFonts w:hint="eastAsia" w:ascii="宋体" w:hAnsi="宋体" w:cs="宋体"/>
          <w:color w:val="auto"/>
          <w:spacing w:val="1"/>
          <w:sz w:val="20"/>
          <w:szCs w:val="20"/>
          <w:highlight w:val="none"/>
        </w:rPr>
        <w:t>合同</w:t>
      </w:r>
    </w:p>
    <w:p w14:paraId="01F0217B">
      <w:pPr>
        <w:spacing w:before="158" w:line="360" w:lineRule="auto"/>
        <w:ind w:left="20" w:right="23" w:firstLine="64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1.1.1.1  合同文件（或称合同</w:t>
      </w:r>
      <w:r>
        <w:rPr>
          <w:rFonts w:hint="eastAsia" w:ascii="宋体" w:hAnsi="宋体" w:cs="宋体"/>
          <w:color w:val="auto"/>
          <w:spacing w:val="-51"/>
          <w:w w:val="95"/>
          <w:sz w:val="20"/>
          <w:szCs w:val="20"/>
          <w:highlight w:val="none"/>
        </w:rPr>
        <w:t>）：</w:t>
      </w:r>
      <w:r>
        <w:rPr>
          <w:rFonts w:hint="eastAsia" w:ascii="宋体" w:hAnsi="宋体" w:cs="宋体"/>
          <w:color w:val="auto"/>
          <w:spacing w:val="4"/>
          <w:sz w:val="20"/>
          <w:szCs w:val="20"/>
          <w:highlight w:val="none"/>
        </w:rPr>
        <w:t>指合同协议书</w:t>
      </w:r>
      <w:r>
        <w:rPr>
          <w:rFonts w:hint="eastAsia" w:ascii="宋体" w:hAnsi="宋体" w:cs="宋体"/>
          <w:color w:val="auto"/>
          <w:spacing w:val="3"/>
          <w:sz w:val="20"/>
          <w:szCs w:val="20"/>
          <w:highlight w:val="none"/>
        </w:rPr>
        <w:t>、中标通知书、投标函及投标函附录、</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合同条款专用部分、合同条款通用部分、技术标准和要求、图纸、合同清单，以及其他合同</w:t>
      </w:r>
      <w:r>
        <w:rPr>
          <w:rFonts w:hint="eastAsia" w:ascii="宋体" w:hAnsi="宋体" w:cs="宋体"/>
          <w:color w:val="auto"/>
          <w:spacing w:val="2"/>
          <w:sz w:val="20"/>
          <w:szCs w:val="20"/>
          <w:highlight w:val="none"/>
        </w:rPr>
        <w:t>文件。</w:t>
      </w:r>
    </w:p>
    <w:p w14:paraId="69D0BA6A">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1.1.1.2  合同协议书：指第</w:t>
      </w:r>
      <w:r>
        <w:rPr>
          <w:rFonts w:hint="eastAsia" w:ascii="宋体" w:hAnsi="宋体" w:cs="宋体"/>
          <w:color w:val="auto"/>
          <w:spacing w:val="-21"/>
          <w:sz w:val="20"/>
          <w:szCs w:val="20"/>
          <w:highlight w:val="none"/>
        </w:rPr>
        <w:t xml:space="preserve"> </w:t>
      </w:r>
      <w:r>
        <w:rPr>
          <w:rFonts w:hint="eastAsia" w:ascii="宋体" w:hAnsi="宋体" w:cs="宋体"/>
          <w:color w:val="auto"/>
          <w:spacing w:val="6"/>
          <w:sz w:val="20"/>
          <w:szCs w:val="20"/>
          <w:highlight w:val="none"/>
        </w:rPr>
        <w:t>1.5</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款所指的合同协议书。</w:t>
      </w:r>
    </w:p>
    <w:p w14:paraId="6720392F">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1.1.1.3  中标通知书：指发包人通知承包人中标的函件。</w:t>
      </w:r>
    </w:p>
    <w:p w14:paraId="0D7A91B9">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1.1.1.4  投标函：指构成合同文件组成部分的由承包人填写并签署的投</w:t>
      </w:r>
      <w:r>
        <w:rPr>
          <w:rFonts w:hint="eastAsia" w:ascii="宋体" w:hAnsi="宋体" w:cs="宋体"/>
          <w:color w:val="auto"/>
          <w:spacing w:val="7"/>
          <w:sz w:val="20"/>
          <w:szCs w:val="20"/>
          <w:highlight w:val="none"/>
        </w:rPr>
        <w:t>标函。</w:t>
      </w:r>
    </w:p>
    <w:p w14:paraId="7BCE83F9">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1.1.1.5  投标函附录：指附在投标函后构成</w:t>
      </w:r>
      <w:r>
        <w:rPr>
          <w:rFonts w:hint="eastAsia" w:ascii="宋体" w:hAnsi="宋体" w:cs="宋体"/>
          <w:color w:val="auto"/>
          <w:spacing w:val="7"/>
          <w:sz w:val="20"/>
          <w:szCs w:val="20"/>
          <w:highlight w:val="none"/>
        </w:rPr>
        <w:t>合同文件的投标函附录。</w:t>
      </w:r>
    </w:p>
    <w:p w14:paraId="2CDF17CB">
      <w:pPr>
        <w:spacing w:before="161"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1.1.1.6  合同条款：指构成合同文件组成部分的合</w:t>
      </w:r>
      <w:r>
        <w:rPr>
          <w:rFonts w:hint="eastAsia" w:ascii="宋体" w:hAnsi="宋体" w:cs="宋体"/>
          <w:color w:val="auto"/>
          <w:spacing w:val="8"/>
          <w:sz w:val="20"/>
          <w:szCs w:val="20"/>
          <w:highlight w:val="none"/>
        </w:rPr>
        <w:t>同条款通用部分和（或）合同条</w:t>
      </w:r>
      <w:r>
        <w:rPr>
          <w:rFonts w:hint="eastAsia" w:ascii="宋体" w:hAnsi="宋体" w:cs="宋体"/>
          <w:color w:val="auto"/>
          <w:spacing w:val="6"/>
          <w:sz w:val="20"/>
          <w:szCs w:val="20"/>
          <w:highlight w:val="none"/>
        </w:rPr>
        <w:t>款专用部分。</w:t>
      </w:r>
    </w:p>
    <w:p w14:paraId="35FE5EE3">
      <w:pPr>
        <w:spacing w:before="161" w:line="360" w:lineRule="auto"/>
        <w:ind w:left="19" w:right="38" w:firstLine="6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1.1.1.7  技术标准和要求：指构成合同文件组成部分的名为技术标准和要求的文件，</w:t>
      </w:r>
      <w:r>
        <w:rPr>
          <w:rFonts w:hint="eastAsia" w:ascii="宋体" w:hAnsi="宋体" w:cs="宋体"/>
          <w:color w:val="auto"/>
          <w:spacing w:val="9"/>
          <w:sz w:val="20"/>
          <w:szCs w:val="20"/>
          <w:highlight w:val="none"/>
        </w:rPr>
        <w:t>包括合同双方当事人约定对其所作的修改或补充。</w:t>
      </w:r>
    </w:p>
    <w:p w14:paraId="26D61549">
      <w:pPr>
        <w:spacing w:before="160"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1.1.1.8  图纸：指包含在合同中的工程图纸，以及</w:t>
      </w:r>
      <w:r>
        <w:rPr>
          <w:rFonts w:hint="eastAsia" w:ascii="宋体" w:hAnsi="宋体" w:cs="宋体"/>
          <w:color w:val="auto"/>
          <w:spacing w:val="8"/>
          <w:sz w:val="20"/>
          <w:szCs w:val="20"/>
          <w:highlight w:val="none"/>
        </w:rPr>
        <w:t>由发包人按合同约定提供的任何补充和修改的图纸，包括配套的说明。</w:t>
      </w:r>
    </w:p>
    <w:p w14:paraId="370D40B7">
      <w:pPr>
        <w:spacing w:before="161" w:line="360" w:lineRule="auto"/>
        <w:ind w:left="19" w:right="94" w:firstLine="64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1.1.1.9  合同清单：指构成合同文件组成部分的由</w:t>
      </w:r>
      <w:r>
        <w:rPr>
          <w:rFonts w:hint="eastAsia" w:ascii="宋体" w:hAnsi="宋体" w:cs="宋体"/>
          <w:color w:val="auto"/>
          <w:spacing w:val="8"/>
          <w:sz w:val="20"/>
          <w:szCs w:val="20"/>
          <w:highlight w:val="none"/>
        </w:rPr>
        <w:t>承包人在投标时所填报并获得发包人接纳的已标明投标总价、合价及其综合单</w:t>
      </w:r>
      <w:r>
        <w:rPr>
          <w:rFonts w:hint="eastAsia" w:ascii="宋体" w:hAnsi="宋体" w:cs="宋体"/>
          <w:color w:val="auto"/>
          <w:spacing w:val="7"/>
          <w:sz w:val="20"/>
          <w:szCs w:val="20"/>
          <w:highlight w:val="none"/>
        </w:rPr>
        <w:t>价，以及投标报价澄清或说明修正价格的已标</w:t>
      </w:r>
      <w:r>
        <w:rPr>
          <w:rFonts w:hint="eastAsia" w:ascii="宋体" w:hAnsi="宋体" w:cs="宋体"/>
          <w:color w:val="auto"/>
          <w:spacing w:val="8"/>
          <w:sz w:val="20"/>
          <w:szCs w:val="20"/>
          <w:highlight w:val="none"/>
        </w:rPr>
        <w:t>价工程量清单，用以说明承包人所填报合同总</w:t>
      </w:r>
      <w:r>
        <w:rPr>
          <w:rFonts w:hint="eastAsia" w:ascii="宋体" w:hAnsi="宋体" w:cs="宋体"/>
          <w:color w:val="auto"/>
          <w:spacing w:val="7"/>
          <w:sz w:val="20"/>
          <w:szCs w:val="20"/>
          <w:highlight w:val="none"/>
        </w:rPr>
        <w:t>价的详细构成及综合单价分析，包括其说明和</w:t>
      </w:r>
      <w:r>
        <w:rPr>
          <w:rFonts w:hint="eastAsia" w:ascii="宋体" w:hAnsi="宋体" w:cs="宋体"/>
          <w:color w:val="auto"/>
          <w:spacing w:val="3"/>
          <w:sz w:val="20"/>
          <w:szCs w:val="20"/>
          <w:highlight w:val="none"/>
        </w:rPr>
        <w:t>表格。</w:t>
      </w:r>
    </w:p>
    <w:p w14:paraId="4DE15760">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1.1.1.10  其他合同文件：指经合同双方当事人确认构成合同文件的</w:t>
      </w:r>
      <w:r>
        <w:rPr>
          <w:rFonts w:hint="eastAsia" w:ascii="宋体" w:hAnsi="宋体" w:cs="宋体"/>
          <w:color w:val="auto"/>
          <w:spacing w:val="7"/>
          <w:sz w:val="20"/>
          <w:szCs w:val="20"/>
          <w:highlight w:val="none"/>
        </w:rPr>
        <w:t>其他文件。</w:t>
      </w:r>
    </w:p>
    <w:p w14:paraId="3417BB7B">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  合同当事人和人员</w:t>
      </w:r>
    </w:p>
    <w:p w14:paraId="149503BC">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1.1.2.1  合同当事人：指发包人和（或）承包人。</w:t>
      </w:r>
    </w:p>
    <w:p w14:paraId="2F87F9E2">
      <w:pPr>
        <w:spacing w:before="162" w:line="360" w:lineRule="auto"/>
        <w:ind w:left="21" w:right="92"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1.1.2.2  发包人：指合同协议书中约定，具有工程</w:t>
      </w:r>
      <w:r>
        <w:rPr>
          <w:rFonts w:hint="eastAsia" w:ascii="宋体" w:hAnsi="宋体" w:cs="宋体"/>
          <w:color w:val="auto"/>
          <w:spacing w:val="8"/>
          <w:sz w:val="20"/>
          <w:szCs w:val="20"/>
          <w:highlight w:val="none"/>
        </w:rPr>
        <w:t>发包主体资格和承诺按照合同约定的条件、期限和方式向承包人支付工程价款</w:t>
      </w:r>
      <w:r>
        <w:rPr>
          <w:rFonts w:hint="eastAsia" w:ascii="宋体" w:hAnsi="宋体" w:cs="宋体"/>
          <w:color w:val="auto"/>
          <w:spacing w:val="7"/>
          <w:sz w:val="20"/>
          <w:szCs w:val="20"/>
          <w:highlight w:val="none"/>
        </w:rPr>
        <w:t>的当事人，以及取得该当事人资格的合法继承</w:t>
      </w:r>
      <w:r>
        <w:rPr>
          <w:rFonts w:hint="eastAsia" w:ascii="宋体" w:hAnsi="宋体" w:cs="宋体"/>
          <w:color w:val="auto"/>
          <w:spacing w:val="8"/>
          <w:sz w:val="20"/>
          <w:szCs w:val="20"/>
          <w:highlight w:val="none"/>
        </w:rPr>
        <w:t>人。发包人名称见合同条款专用部分。</w:t>
      </w:r>
    </w:p>
    <w:p w14:paraId="38A27B2B">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1.1.2.3  承包人：指合同协议书中约定，具有合同</w:t>
      </w:r>
      <w:r>
        <w:rPr>
          <w:rFonts w:hint="eastAsia" w:ascii="宋体" w:hAnsi="宋体" w:cs="宋体"/>
          <w:color w:val="auto"/>
          <w:spacing w:val="8"/>
          <w:sz w:val="20"/>
          <w:szCs w:val="20"/>
          <w:highlight w:val="none"/>
        </w:rPr>
        <w:t>工程承包主体资格，并承诺按照</w:t>
      </w:r>
      <w:r>
        <w:rPr>
          <w:rFonts w:hint="eastAsia" w:ascii="宋体" w:hAnsi="宋体" w:cs="宋体"/>
          <w:color w:val="auto"/>
          <w:spacing w:val="7"/>
          <w:sz w:val="20"/>
          <w:szCs w:val="20"/>
          <w:highlight w:val="none"/>
        </w:rPr>
        <w:t>合同约定进行施工、竣工、交付并承担质量缺陷保修责任的当事人，以及取得该当事人资格</w:t>
      </w:r>
      <w:r>
        <w:rPr>
          <w:rFonts w:hint="eastAsia" w:ascii="宋体" w:hAnsi="宋体" w:cs="宋体"/>
          <w:color w:val="auto"/>
          <w:spacing w:val="9"/>
          <w:sz w:val="20"/>
          <w:szCs w:val="20"/>
          <w:highlight w:val="none"/>
        </w:rPr>
        <w:t>的合法继承人。承包人名称见合同条款专用部分。</w:t>
      </w:r>
    </w:p>
    <w:p w14:paraId="17CBFE2A">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1.1.2.4  承包人项目经理：指承包</w:t>
      </w:r>
      <w:r>
        <w:rPr>
          <w:rFonts w:hint="eastAsia" w:ascii="宋体" w:hAnsi="宋体" w:cs="宋体"/>
          <w:color w:val="auto"/>
          <w:spacing w:val="7"/>
          <w:sz w:val="20"/>
          <w:szCs w:val="20"/>
          <w:highlight w:val="none"/>
        </w:rPr>
        <w:t>人派驻施工场地的全权负责人。</w:t>
      </w:r>
    </w:p>
    <w:p w14:paraId="04F06F9A">
      <w:pPr>
        <w:spacing w:before="160"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1.1.2.5  分包人：指从承包人处分包合同中某一部</w:t>
      </w:r>
      <w:r>
        <w:rPr>
          <w:rFonts w:hint="eastAsia" w:ascii="宋体" w:hAnsi="宋体" w:cs="宋体"/>
          <w:color w:val="auto"/>
          <w:spacing w:val="8"/>
          <w:sz w:val="20"/>
          <w:szCs w:val="20"/>
          <w:highlight w:val="none"/>
        </w:rPr>
        <w:t>分工程，并与其签订分包合同的</w:t>
      </w:r>
      <w:r>
        <w:rPr>
          <w:rFonts w:hint="eastAsia" w:ascii="宋体" w:hAnsi="宋体" w:cs="宋体"/>
          <w:color w:val="auto"/>
          <w:spacing w:val="4"/>
          <w:sz w:val="20"/>
          <w:szCs w:val="20"/>
          <w:highlight w:val="none"/>
        </w:rPr>
        <w:t>分包人。</w:t>
      </w:r>
    </w:p>
    <w:p w14:paraId="4DDDCE47">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1.1.2.6  监理人：指发包人委托的对合同履行实施</w:t>
      </w:r>
      <w:r>
        <w:rPr>
          <w:rFonts w:hint="eastAsia" w:ascii="宋体" w:hAnsi="宋体" w:cs="宋体"/>
          <w:color w:val="auto"/>
          <w:spacing w:val="8"/>
          <w:sz w:val="20"/>
          <w:szCs w:val="20"/>
          <w:highlight w:val="none"/>
        </w:rPr>
        <w:t>管理的法人或其他组织。监理人名称见合同条款专用部分。</w:t>
      </w:r>
    </w:p>
    <w:p w14:paraId="64E93092">
      <w:pPr>
        <w:spacing w:before="158" w:line="360" w:lineRule="auto"/>
        <w:ind w:left="36" w:right="71"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1.1.2.7  总监理工程师（总监</w:t>
      </w:r>
      <w:r>
        <w:rPr>
          <w:rFonts w:hint="eastAsia" w:ascii="宋体" w:hAnsi="宋体" w:cs="宋体"/>
          <w:color w:val="auto"/>
          <w:spacing w:val="-52"/>
          <w:w w:val="97"/>
          <w:sz w:val="20"/>
          <w:szCs w:val="20"/>
          <w:highlight w:val="none"/>
        </w:rPr>
        <w:t>）：</w:t>
      </w:r>
      <w:r>
        <w:rPr>
          <w:rFonts w:hint="eastAsia" w:ascii="宋体" w:hAnsi="宋体" w:cs="宋体"/>
          <w:color w:val="auto"/>
          <w:spacing w:val="7"/>
          <w:sz w:val="20"/>
          <w:szCs w:val="20"/>
          <w:highlight w:val="none"/>
        </w:rPr>
        <w:t>指由监理人委派常驻施工场地</w:t>
      </w:r>
      <w:r>
        <w:rPr>
          <w:rFonts w:hint="eastAsia" w:ascii="宋体" w:hAnsi="宋体" w:cs="宋体"/>
          <w:color w:val="auto"/>
          <w:spacing w:val="6"/>
          <w:sz w:val="20"/>
          <w:szCs w:val="20"/>
          <w:highlight w:val="none"/>
        </w:rPr>
        <w:t>对合同履行实施管理</w:t>
      </w:r>
      <w:r>
        <w:rPr>
          <w:rFonts w:hint="eastAsia" w:ascii="宋体" w:hAnsi="宋体" w:cs="宋体"/>
          <w:color w:val="auto"/>
          <w:spacing w:val="4"/>
          <w:sz w:val="20"/>
          <w:szCs w:val="20"/>
          <w:highlight w:val="none"/>
        </w:rPr>
        <w:t>的全权负责人。</w:t>
      </w:r>
    </w:p>
    <w:p w14:paraId="6A5DA682">
      <w:pPr>
        <w:spacing w:before="160" w:line="360" w:lineRule="auto"/>
        <w:ind w:left="21" w:right="71"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1.1.2.8  发包人代表：指由发包人指定的派驻施工</w:t>
      </w:r>
      <w:r>
        <w:rPr>
          <w:rFonts w:hint="eastAsia" w:ascii="宋体" w:hAnsi="宋体" w:cs="宋体"/>
          <w:color w:val="auto"/>
          <w:spacing w:val="8"/>
          <w:sz w:val="20"/>
          <w:szCs w:val="20"/>
          <w:highlight w:val="none"/>
        </w:rPr>
        <w:t>场地（现场）的全权代表。发包人代表相关信息见合同条款专用部分。</w:t>
      </w:r>
    </w:p>
    <w:p w14:paraId="7D416290">
      <w:pPr>
        <w:spacing w:before="160"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1.1.2.9  专业分包人：指根据合同条款第</w:t>
      </w:r>
      <w:r>
        <w:rPr>
          <w:rFonts w:hint="eastAsia" w:ascii="宋体" w:hAnsi="宋体" w:cs="宋体"/>
          <w:color w:val="auto"/>
          <w:spacing w:val="-23"/>
          <w:sz w:val="20"/>
          <w:szCs w:val="20"/>
          <w:highlight w:val="none"/>
        </w:rPr>
        <w:t xml:space="preserve"> </w:t>
      </w:r>
      <w:r>
        <w:rPr>
          <w:rFonts w:hint="eastAsia" w:ascii="宋体" w:hAnsi="宋体" w:cs="宋体"/>
          <w:color w:val="auto"/>
          <w:spacing w:val="5"/>
          <w:sz w:val="20"/>
          <w:szCs w:val="20"/>
          <w:highlight w:val="none"/>
        </w:rPr>
        <w:t>15.8.1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项的约定，由发包</w:t>
      </w:r>
      <w:r>
        <w:rPr>
          <w:rFonts w:hint="eastAsia" w:ascii="宋体" w:hAnsi="宋体" w:cs="宋体"/>
          <w:color w:val="auto"/>
          <w:spacing w:val="4"/>
          <w:sz w:val="20"/>
          <w:szCs w:val="20"/>
          <w:highlight w:val="none"/>
        </w:rPr>
        <w:t>人和承包人以招</w:t>
      </w:r>
      <w:r>
        <w:rPr>
          <w:rFonts w:hint="eastAsia" w:ascii="宋体" w:hAnsi="宋体" w:cs="宋体"/>
          <w:color w:val="auto"/>
          <w:spacing w:val="7"/>
          <w:sz w:val="20"/>
          <w:szCs w:val="20"/>
          <w:highlight w:val="none"/>
        </w:rPr>
        <w:t>标方式选择的分包人。</w:t>
      </w:r>
    </w:p>
    <w:p w14:paraId="22FBB836">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1.1.2.10  专项供应商：指根据合同条款第</w:t>
      </w:r>
      <w:r>
        <w:rPr>
          <w:rFonts w:hint="eastAsia" w:ascii="宋体" w:hAnsi="宋体" w:cs="宋体"/>
          <w:color w:val="auto"/>
          <w:spacing w:val="-13"/>
          <w:sz w:val="20"/>
          <w:szCs w:val="20"/>
          <w:highlight w:val="none"/>
        </w:rPr>
        <w:t xml:space="preserve"> </w:t>
      </w:r>
      <w:r>
        <w:rPr>
          <w:rFonts w:hint="eastAsia" w:ascii="宋体" w:hAnsi="宋体" w:cs="宋体"/>
          <w:color w:val="auto"/>
          <w:spacing w:val="6"/>
          <w:sz w:val="20"/>
          <w:szCs w:val="20"/>
          <w:highlight w:val="none"/>
        </w:rPr>
        <w:t>15.8.1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6"/>
          <w:sz w:val="20"/>
          <w:szCs w:val="20"/>
          <w:highlight w:val="none"/>
        </w:rPr>
        <w:t>由发包人和承包人以</w:t>
      </w:r>
      <w:r>
        <w:rPr>
          <w:rFonts w:hint="eastAsia" w:ascii="宋体" w:hAnsi="宋体" w:cs="宋体"/>
          <w:color w:val="auto"/>
          <w:spacing w:val="8"/>
          <w:sz w:val="20"/>
          <w:szCs w:val="20"/>
          <w:highlight w:val="none"/>
        </w:rPr>
        <w:t>招标方式选择的供应商。</w:t>
      </w:r>
    </w:p>
    <w:p w14:paraId="1EDC7FBA">
      <w:pPr>
        <w:spacing w:before="161"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1.1.2.11  独立承包人：指与发包人直接订立工程承包合同，负责实施与工程有关的</w:t>
      </w:r>
      <w:r>
        <w:rPr>
          <w:rFonts w:hint="eastAsia" w:ascii="宋体" w:hAnsi="宋体" w:cs="宋体"/>
          <w:color w:val="auto"/>
          <w:spacing w:val="7"/>
          <w:sz w:val="20"/>
          <w:szCs w:val="20"/>
          <w:highlight w:val="none"/>
        </w:rPr>
        <w:t>其他工作的当事人。</w:t>
      </w:r>
    </w:p>
    <w:p w14:paraId="3CD86459">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1.1.3</w:t>
      </w:r>
      <w:r>
        <w:rPr>
          <w:rFonts w:hint="eastAsia" w:ascii="宋体" w:hAnsi="宋体" w:cs="宋体"/>
          <w:color w:val="auto"/>
          <w:spacing w:val="14"/>
          <w:sz w:val="20"/>
          <w:szCs w:val="20"/>
          <w:highlight w:val="none"/>
        </w:rPr>
        <w:t xml:space="preserve">  </w:t>
      </w:r>
      <w:r>
        <w:rPr>
          <w:rFonts w:hint="eastAsia" w:ascii="宋体" w:hAnsi="宋体" w:cs="宋体"/>
          <w:color w:val="auto"/>
          <w:spacing w:val="3"/>
          <w:sz w:val="20"/>
          <w:szCs w:val="20"/>
          <w:highlight w:val="none"/>
        </w:rPr>
        <w:t>工程和设备</w:t>
      </w:r>
    </w:p>
    <w:p w14:paraId="6D767FD3">
      <w:pPr>
        <w:spacing w:before="162"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1.1.3.1  工程：指永久工程和（或）临</w:t>
      </w:r>
      <w:r>
        <w:rPr>
          <w:rFonts w:hint="eastAsia" w:ascii="宋体" w:hAnsi="宋体" w:cs="宋体"/>
          <w:color w:val="auto"/>
          <w:spacing w:val="6"/>
          <w:sz w:val="20"/>
          <w:szCs w:val="20"/>
          <w:highlight w:val="none"/>
        </w:rPr>
        <w:t>时工程。</w:t>
      </w:r>
    </w:p>
    <w:p w14:paraId="3ABA9129">
      <w:pPr>
        <w:spacing w:before="161"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1.1.3.2  永久工程：指按照合同约定所需建造、完</w:t>
      </w:r>
      <w:r>
        <w:rPr>
          <w:rFonts w:hint="eastAsia" w:ascii="宋体" w:hAnsi="宋体" w:cs="宋体"/>
          <w:color w:val="auto"/>
          <w:spacing w:val="8"/>
          <w:sz w:val="20"/>
          <w:szCs w:val="20"/>
          <w:highlight w:val="none"/>
        </w:rPr>
        <w:t>成并移交给发包人的工程，包括</w:t>
      </w:r>
      <w:r>
        <w:rPr>
          <w:rFonts w:hint="eastAsia" w:ascii="宋体" w:hAnsi="宋体" w:cs="宋体"/>
          <w:color w:val="auto"/>
          <w:spacing w:val="9"/>
          <w:sz w:val="20"/>
          <w:szCs w:val="20"/>
          <w:highlight w:val="none"/>
        </w:rPr>
        <w:t>工程设备。永久工程的约定见合同条款专用部分。</w:t>
      </w:r>
    </w:p>
    <w:p w14:paraId="2736609D">
      <w:pPr>
        <w:spacing w:before="160" w:line="360" w:lineRule="auto"/>
        <w:ind w:left="19" w:right="71"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1.1.3.3  临时工程：指为完成合同约定的永久工程</w:t>
      </w:r>
      <w:r>
        <w:rPr>
          <w:rFonts w:hint="eastAsia" w:ascii="宋体" w:hAnsi="宋体" w:cs="宋体"/>
          <w:color w:val="auto"/>
          <w:spacing w:val="8"/>
          <w:sz w:val="20"/>
          <w:szCs w:val="20"/>
          <w:highlight w:val="none"/>
        </w:rPr>
        <w:t>所修建的各类临时性工程，不包</w:t>
      </w:r>
      <w:r>
        <w:rPr>
          <w:rFonts w:hint="eastAsia" w:ascii="宋体" w:hAnsi="宋体" w:cs="宋体"/>
          <w:color w:val="auto"/>
          <w:spacing w:val="9"/>
          <w:sz w:val="20"/>
          <w:szCs w:val="20"/>
          <w:highlight w:val="none"/>
        </w:rPr>
        <w:t>括施工设备。临时工程的约定见合同条款专用部分。</w:t>
      </w:r>
    </w:p>
    <w:p w14:paraId="13170653">
      <w:pPr>
        <w:spacing w:before="158"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1.1.3.4  单位工程：指具有相对独立的设计文件，</w:t>
      </w:r>
      <w:r>
        <w:rPr>
          <w:rFonts w:hint="eastAsia" w:ascii="宋体" w:hAnsi="宋体" w:cs="宋体"/>
          <w:color w:val="auto"/>
          <w:spacing w:val="8"/>
          <w:sz w:val="20"/>
          <w:szCs w:val="20"/>
          <w:highlight w:val="none"/>
        </w:rPr>
        <w:t>能够独立组织施工并能形成独立使用功能的永久工程的组成部分。</w:t>
      </w:r>
    </w:p>
    <w:p w14:paraId="6994015B">
      <w:pPr>
        <w:spacing w:before="160" w:line="360" w:lineRule="auto"/>
        <w:ind w:left="20"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1.1.3.5  工程设备：指构成或计划构成永久工程一部分的机电设备、金属结构设备、</w:t>
      </w:r>
      <w:r>
        <w:rPr>
          <w:rFonts w:hint="eastAsia" w:ascii="宋体" w:hAnsi="宋体" w:cs="宋体"/>
          <w:color w:val="auto"/>
          <w:spacing w:val="8"/>
          <w:sz w:val="20"/>
          <w:szCs w:val="20"/>
          <w:highlight w:val="none"/>
        </w:rPr>
        <w:t>仪器装置及其他类似的设备和装置。</w:t>
      </w:r>
    </w:p>
    <w:p w14:paraId="5C1A1864">
      <w:pPr>
        <w:spacing w:before="161" w:line="360" w:lineRule="auto"/>
        <w:ind w:left="23" w:right="121" w:firstLine="64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1.1.3.6  施工设备：指为完成合同约定的各项工作所需的设备、器具和其他物品，不包括临时工程和材料。</w:t>
      </w:r>
    </w:p>
    <w:p w14:paraId="2D055F20">
      <w:pPr>
        <w:spacing w:before="162" w:line="360" w:lineRule="auto"/>
        <w:jc w:val="right"/>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1.1.3.7  临时设施：指为完成合同约定的各项工作所服务的临时性生产和生活设施。</w:t>
      </w:r>
    </w:p>
    <w:p w14:paraId="46959EFC">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1.1.3.8  承包人设备：指承包人自带的施工设备。</w:t>
      </w:r>
    </w:p>
    <w:p w14:paraId="712FA2F5">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1.1.3.9  施工场地（或称工地、现场</w:t>
      </w:r>
      <w:r>
        <w:rPr>
          <w:rFonts w:hint="eastAsia" w:ascii="宋体" w:hAnsi="宋体" w:cs="宋体"/>
          <w:color w:val="auto"/>
          <w:spacing w:val="-43"/>
          <w:sz w:val="20"/>
          <w:szCs w:val="20"/>
          <w:highlight w:val="none"/>
        </w:rPr>
        <w:t>）：</w:t>
      </w:r>
      <w:r>
        <w:rPr>
          <w:rFonts w:hint="eastAsia" w:ascii="宋体" w:hAnsi="宋体" w:cs="宋体"/>
          <w:color w:val="auto"/>
          <w:spacing w:val="6"/>
          <w:sz w:val="20"/>
          <w:szCs w:val="20"/>
          <w:highlight w:val="none"/>
        </w:rPr>
        <w:t>指用于合同工程施工的场所，以及在合同中</w:t>
      </w:r>
      <w:r>
        <w:rPr>
          <w:rFonts w:hint="eastAsia" w:ascii="宋体" w:hAnsi="宋体" w:cs="宋体"/>
          <w:color w:val="auto"/>
          <w:spacing w:val="9"/>
          <w:sz w:val="20"/>
          <w:szCs w:val="20"/>
          <w:highlight w:val="none"/>
        </w:rPr>
        <w:t>指定作为施工场地组成部分的其他场所，包括永久占地和临时占地。</w:t>
      </w:r>
    </w:p>
    <w:p w14:paraId="2CD43AA2">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1.1.3.10  永久占地：指为实施合同工程需永久占用的土地。永久占地的约定见合同条款专用部分。</w:t>
      </w:r>
    </w:p>
    <w:p w14:paraId="32EA3C44">
      <w:pPr>
        <w:spacing w:before="161" w:line="360" w:lineRule="auto"/>
        <w:ind w:firstLine="636" w:firstLineChars="300"/>
        <w:jc w:val="left"/>
        <w:rPr>
          <w:rFonts w:hint="eastAsia" w:ascii="宋体" w:hAnsi="宋体" w:cs="宋体"/>
          <w:color w:val="auto"/>
          <w:spacing w:val="6"/>
          <w:sz w:val="20"/>
          <w:szCs w:val="20"/>
          <w:highlight w:val="none"/>
        </w:rPr>
      </w:pPr>
      <w:r>
        <w:rPr>
          <w:rFonts w:hint="eastAsia" w:ascii="宋体" w:hAnsi="宋体" w:cs="宋体"/>
          <w:color w:val="auto"/>
          <w:spacing w:val="6"/>
          <w:sz w:val="20"/>
          <w:szCs w:val="20"/>
          <w:highlight w:val="none"/>
        </w:rPr>
        <w:t>1.1.3.11  临时占地：指为实施合同工程需临时占用的土地。临时占地的约定见合同条款专用部分。</w:t>
      </w:r>
    </w:p>
    <w:p w14:paraId="220DE118">
      <w:pPr>
        <w:spacing w:before="157"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1.1.3.12  材料：指构成或将构成永久工程组成部分的各类物品(含工程设备)</w:t>
      </w:r>
      <w:r>
        <w:rPr>
          <w:rFonts w:hint="eastAsia" w:ascii="宋体" w:hAnsi="宋体" w:cs="宋体"/>
          <w:color w:val="auto"/>
          <w:spacing w:val="5"/>
          <w:sz w:val="20"/>
          <w:szCs w:val="20"/>
          <w:highlight w:val="none"/>
        </w:rPr>
        <w:t>，包括</w:t>
      </w:r>
      <w:r>
        <w:rPr>
          <w:rFonts w:hint="eastAsia" w:ascii="宋体" w:hAnsi="宋体" w:cs="宋体"/>
          <w:color w:val="auto"/>
          <w:spacing w:val="8"/>
          <w:sz w:val="20"/>
          <w:szCs w:val="20"/>
          <w:highlight w:val="none"/>
        </w:rPr>
        <w:t>合同中可能约定的承包人仅负责供应的材料。</w:t>
      </w:r>
    </w:p>
    <w:p w14:paraId="1B14313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1.1.4</w:t>
      </w:r>
      <w:r>
        <w:rPr>
          <w:rFonts w:hint="eastAsia" w:ascii="宋体" w:hAnsi="宋体" w:cs="宋体"/>
          <w:color w:val="auto"/>
          <w:spacing w:val="27"/>
          <w:sz w:val="20"/>
          <w:szCs w:val="20"/>
          <w:highlight w:val="none"/>
        </w:rPr>
        <w:t xml:space="preserve">  </w:t>
      </w:r>
      <w:r>
        <w:rPr>
          <w:rFonts w:hint="eastAsia" w:ascii="宋体" w:hAnsi="宋体" w:cs="宋体"/>
          <w:color w:val="auto"/>
          <w:spacing w:val="-4"/>
          <w:sz w:val="20"/>
          <w:szCs w:val="20"/>
          <w:highlight w:val="none"/>
        </w:rPr>
        <w:t>日期</w:t>
      </w:r>
    </w:p>
    <w:p w14:paraId="6762604F">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1.1.4.1  开工通知：指监理人按第11.1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款通知承包人开工的函件。</w:t>
      </w:r>
    </w:p>
    <w:p w14:paraId="5A287EB7">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1.1.4.2  开工日期：指监理人按第11.1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款发出的开工</w:t>
      </w:r>
      <w:r>
        <w:rPr>
          <w:rFonts w:hint="eastAsia" w:ascii="宋体" w:hAnsi="宋体" w:cs="宋体"/>
          <w:color w:val="auto"/>
          <w:spacing w:val="6"/>
          <w:sz w:val="20"/>
          <w:szCs w:val="20"/>
          <w:highlight w:val="none"/>
        </w:rPr>
        <w:t>通知中写明的开工日期。</w:t>
      </w:r>
    </w:p>
    <w:p w14:paraId="0A9F965B">
      <w:pPr>
        <w:spacing w:before="163" w:line="360" w:lineRule="auto"/>
        <w:ind w:firstLine="684" w:firstLineChars="300"/>
        <w:rPr>
          <w:rFonts w:hint="eastAsia" w:ascii="宋体" w:hAnsi="宋体" w:cs="宋体"/>
          <w:color w:val="auto"/>
          <w:sz w:val="20"/>
          <w:szCs w:val="20"/>
          <w:highlight w:val="none"/>
        </w:rPr>
      </w:pPr>
      <w:r>
        <w:rPr>
          <w:rFonts w:hint="eastAsia" w:ascii="宋体" w:hAnsi="宋体" w:cs="宋体"/>
          <w:color w:val="auto"/>
          <w:spacing w:val="14"/>
          <w:sz w:val="20"/>
          <w:szCs w:val="20"/>
          <w:highlight w:val="none"/>
        </w:rPr>
        <w:t>1.1.4.3  工期：指承包人在投标函中承诺的完成合同工程所需的期限，包</w:t>
      </w:r>
      <w:r>
        <w:rPr>
          <w:rFonts w:hint="eastAsia" w:ascii="宋体" w:hAnsi="宋体" w:cs="宋体"/>
          <w:color w:val="auto"/>
          <w:spacing w:val="13"/>
          <w:sz w:val="20"/>
          <w:szCs w:val="20"/>
          <w:highlight w:val="none"/>
        </w:rPr>
        <w:t>括按第</w:t>
      </w:r>
      <w:r>
        <w:rPr>
          <w:rFonts w:hint="eastAsia" w:ascii="宋体" w:hAnsi="宋体" w:cs="宋体"/>
          <w:color w:val="auto"/>
          <w:spacing w:val="3"/>
          <w:sz w:val="20"/>
          <w:szCs w:val="20"/>
          <w:highlight w:val="none"/>
        </w:rPr>
        <w:t>11.3</w:t>
      </w:r>
      <w:r>
        <w:rPr>
          <w:rFonts w:hint="eastAsia" w:ascii="宋体" w:hAnsi="宋体" w:cs="宋体"/>
          <w:color w:val="auto"/>
          <w:spacing w:val="-23"/>
          <w:sz w:val="20"/>
          <w:szCs w:val="20"/>
          <w:highlight w:val="none"/>
        </w:rPr>
        <w:t xml:space="preserve"> </w:t>
      </w:r>
      <w:r>
        <w:rPr>
          <w:rFonts w:hint="eastAsia" w:ascii="宋体" w:hAnsi="宋体" w:cs="宋体"/>
          <w:color w:val="auto"/>
          <w:spacing w:val="3"/>
          <w:sz w:val="20"/>
          <w:szCs w:val="20"/>
          <w:highlight w:val="none"/>
        </w:rPr>
        <w:t>款、第11.4</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款和第11.6</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款约定所作的变更。</w:t>
      </w:r>
    </w:p>
    <w:p w14:paraId="016D0A2F">
      <w:pPr>
        <w:spacing w:before="160"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1.1.4.4  竣工日期：指第1.1.4.3 目约定工期届满时的日期。实际竣工日期以工程</w:t>
      </w:r>
      <w:r>
        <w:rPr>
          <w:rFonts w:hint="eastAsia" w:ascii="宋体" w:hAnsi="宋体" w:cs="宋体"/>
          <w:color w:val="auto"/>
          <w:spacing w:val="8"/>
          <w:sz w:val="20"/>
          <w:szCs w:val="20"/>
          <w:highlight w:val="none"/>
        </w:rPr>
        <w:t>接收证书中写明的日期为准。</w:t>
      </w:r>
    </w:p>
    <w:p w14:paraId="5123526F">
      <w:pPr>
        <w:spacing w:before="163" w:line="360" w:lineRule="auto"/>
        <w:ind w:left="20" w:right="93" w:firstLine="6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1.1.4.5  缺陷责任期：指履行第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19.2</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款约</w:t>
      </w:r>
      <w:r>
        <w:rPr>
          <w:rFonts w:hint="eastAsia" w:ascii="宋体" w:hAnsi="宋体" w:cs="宋体"/>
          <w:color w:val="auto"/>
          <w:spacing w:val="7"/>
          <w:sz w:val="20"/>
          <w:szCs w:val="20"/>
          <w:highlight w:val="none"/>
        </w:rPr>
        <w:t>定的缺陷责任的期限，包括根据第19.3</w:t>
      </w:r>
      <w:r>
        <w:rPr>
          <w:rFonts w:hint="eastAsia" w:ascii="宋体" w:hAnsi="宋体" w:cs="宋体"/>
          <w:color w:val="auto"/>
          <w:spacing w:val="9"/>
          <w:sz w:val="20"/>
          <w:szCs w:val="20"/>
          <w:highlight w:val="none"/>
        </w:rPr>
        <w:t>款约定所作的延长。缺陷责任期的具体期限见合同条款专用部分。</w:t>
      </w:r>
    </w:p>
    <w:p w14:paraId="68BB6DF2">
      <w:pPr>
        <w:spacing w:before="160" w:line="360" w:lineRule="auto"/>
        <w:ind w:left="22" w:right="92"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1.1.4.6  基准日期：除合同条款专用部分另有约定外，指投标截止时间前28天的日</w:t>
      </w:r>
      <w:r>
        <w:rPr>
          <w:rFonts w:hint="eastAsia" w:ascii="宋体" w:hAnsi="宋体" w:cs="宋体"/>
          <w:color w:val="auto"/>
          <w:spacing w:val="-1"/>
          <w:sz w:val="20"/>
          <w:szCs w:val="20"/>
          <w:highlight w:val="none"/>
        </w:rPr>
        <w:t>期。</w:t>
      </w:r>
    </w:p>
    <w:p w14:paraId="155B7421">
      <w:pPr>
        <w:spacing w:before="158" w:line="360" w:lineRule="auto"/>
        <w:ind w:left="22" w:right="38"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1.1.4.7  天：除特别指明外，指日历天。合同中按天计算时间的，开始当天不计入，</w:t>
      </w:r>
      <w:r>
        <w:rPr>
          <w:rFonts w:hint="eastAsia" w:ascii="宋体" w:hAnsi="宋体" w:cs="宋体"/>
          <w:color w:val="auto"/>
          <w:spacing w:val="8"/>
          <w:sz w:val="20"/>
          <w:szCs w:val="20"/>
          <w:highlight w:val="none"/>
        </w:rPr>
        <w:t>从次日开始计算。期限最后一天的截止时间为当天</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w:t>
      </w:r>
      <w:r>
        <w:rPr>
          <w:rFonts w:hint="eastAsia" w:ascii="宋体" w:hAnsi="宋体" w:cs="宋体"/>
          <w:color w:val="auto"/>
          <w:spacing w:val="7"/>
          <w:sz w:val="20"/>
          <w:szCs w:val="20"/>
          <w:highlight w:val="none"/>
        </w:rPr>
        <w:t>4:00。</w:t>
      </w:r>
    </w:p>
    <w:p w14:paraId="48E392DE">
      <w:pPr>
        <w:spacing w:before="164"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1.1.4.8  保修期：是根据现行有关法律规定，在合同条款第</w:t>
      </w:r>
      <w:r>
        <w:rPr>
          <w:rFonts w:hint="eastAsia" w:ascii="宋体" w:hAnsi="宋体" w:cs="宋体"/>
          <w:color w:val="auto"/>
          <w:spacing w:val="-20"/>
          <w:sz w:val="20"/>
          <w:szCs w:val="20"/>
          <w:highlight w:val="none"/>
        </w:rPr>
        <w:t xml:space="preserve"> </w:t>
      </w:r>
      <w:r>
        <w:rPr>
          <w:rFonts w:hint="eastAsia" w:ascii="宋体" w:hAnsi="宋体" w:cs="宋体"/>
          <w:color w:val="auto"/>
          <w:spacing w:val="5"/>
          <w:sz w:val="20"/>
          <w:szCs w:val="20"/>
          <w:highlight w:val="none"/>
        </w:rPr>
        <w:t>19.7</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款中约定的由承包</w:t>
      </w:r>
      <w:r>
        <w:rPr>
          <w:rFonts w:hint="eastAsia" w:ascii="宋体" w:hAnsi="宋体" w:cs="宋体"/>
          <w:color w:val="auto"/>
          <w:spacing w:val="13"/>
          <w:sz w:val="20"/>
          <w:szCs w:val="20"/>
          <w:highlight w:val="none"/>
        </w:rPr>
        <w:t>人负责对合同约定的保修范围内发生的质量问题履行保修义务并对造成的损失</w:t>
      </w:r>
      <w:r>
        <w:rPr>
          <w:rFonts w:hint="eastAsia" w:ascii="宋体" w:hAnsi="宋体" w:cs="宋体"/>
          <w:color w:val="auto"/>
          <w:spacing w:val="12"/>
          <w:sz w:val="20"/>
          <w:szCs w:val="20"/>
          <w:highlight w:val="none"/>
        </w:rPr>
        <w:t>承担赔偿责</w:t>
      </w:r>
      <w:r>
        <w:rPr>
          <w:rFonts w:hint="eastAsia" w:ascii="宋体" w:hAnsi="宋体" w:cs="宋体"/>
          <w:color w:val="auto"/>
          <w:spacing w:val="6"/>
          <w:sz w:val="20"/>
          <w:szCs w:val="20"/>
          <w:highlight w:val="none"/>
        </w:rPr>
        <w:t>任的期限。</w:t>
      </w:r>
    </w:p>
    <w:p w14:paraId="1355E1B8">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1.1.5  合同价格和费用</w:t>
      </w:r>
    </w:p>
    <w:p w14:paraId="295F09E3">
      <w:pPr>
        <w:spacing w:before="165"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1.1.5.1  签约合同价：指签定合同时合同协议书中</w:t>
      </w:r>
      <w:r>
        <w:rPr>
          <w:rFonts w:hint="eastAsia" w:ascii="宋体" w:hAnsi="宋体" w:cs="宋体"/>
          <w:color w:val="auto"/>
          <w:spacing w:val="8"/>
          <w:sz w:val="20"/>
          <w:szCs w:val="20"/>
          <w:highlight w:val="none"/>
        </w:rPr>
        <w:t>写明的，包括了暂列金额、暂估</w:t>
      </w:r>
      <w:r>
        <w:rPr>
          <w:rFonts w:hint="eastAsia" w:ascii="宋体" w:hAnsi="宋体" w:cs="宋体"/>
          <w:color w:val="auto"/>
          <w:spacing w:val="7"/>
          <w:sz w:val="20"/>
          <w:szCs w:val="20"/>
          <w:highlight w:val="none"/>
        </w:rPr>
        <w:t>价的合同总金额。</w:t>
      </w:r>
    </w:p>
    <w:p w14:paraId="114E086F">
      <w:pPr>
        <w:spacing w:before="161"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1.1.5.2  合同价格：指承包人按合同约定完成了包</w:t>
      </w:r>
      <w:r>
        <w:rPr>
          <w:rFonts w:hint="eastAsia" w:ascii="宋体" w:hAnsi="宋体" w:cs="宋体"/>
          <w:color w:val="auto"/>
          <w:spacing w:val="8"/>
          <w:sz w:val="20"/>
          <w:szCs w:val="20"/>
          <w:highlight w:val="none"/>
        </w:rPr>
        <w:t>括缺陷责任期内的全部承包工作</w:t>
      </w:r>
      <w:r>
        <w:rPr>
          <w:rFonts w:hint="eastAsia" w:ascii="宋体" w:hAnsi="宋体" w:cs="宋体"/>
          <w:color w:val="auto"/>
          <w:spacing w:val="9"/>
          <w:sz w:val="20"/>
          <w:szCs w:val="20"/>
          <w:highlight w:val="none"/>
        </w:rPr>
        <w:t>后，发包人应付给承包人的金额，包括在履行合同过程中按合同约定进行的变更和调整。</w:t>
      </w:r>
    </w:p>
    <w:p w14:paraId="5E793EF3">
      <w:pPr>
        <w:spacing w:before="159"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1.1.5.3  费用：指为履行合同所发生的或将要发生</w:t>
      </w:r>
      <w:r>
        <w:rPr>
          <w:rFonts w:hint="eastAsia" w:ascii="宋体" w:hAnsi="宋体" w:cs="宋体"/>
          <w:color w:val="auto"/>
          <w:spacing w:val="8"/>
          <w:sz w:val="20"/>
          <w:szCs w:val="20"/>
          <w:highlight w:val="none"/>
        </w:rPr>
        <w:t>的所有合理开支，包括管理费和应分摊的其他费用，但不包括利润。</w:t>
      </w:r>
    </w:p>
    <w:p w14:paraId="080EA893">
      <w:pPr>
        <w:spacing w:before="163" w:line="360" w:lineRule="auto"/>
        <w:ind w:left="22" w:right="94"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1.1.5.4  暂列金额：指合同清单中所列的暂列金额</w:t>
      </w:r>
      <w:r>
        <w:rPr>
          <w:rFonts w:hint="eastAsia" w:ascii="宋体" w:hAnsi="宋体" w:cs="宋体"/>
          <w:color w:val="auto"/>
          <w:spacing w:val="8"/>
          <w:sz w:val="20"/>
          <w:szCs w:val="20"/>
          <w:highlight w:val="none"/>
        </w:rPr>
        <w:t>，用于在签订协议书时尚未确定</w:t>
      </w:r>
      <w:r>
        <w:rPr>
          <w:rFonts w:hint="eastAsia" w:ascii="宋体" w:hAnsi="宋体" w:cs="宋体"/>
          <w:color w:val="auto"/>
          <w:spacing w:val="9"/>
          <w:sz w:val="20"/>
          <w:szCs w:val="20"/>
          <w:highlight w:val="none"/>
        </w:rPr>
        <w:t>或不可预见变更的施工及其所需材料、服务等的金额，包括以计日工方式支付的金额。</w:t>
      </w:r>
    </w:p>
    <w:p w14:paraId="3D66AA45">
      <w:pPr>
        <w:spacing w:before="161" w:line="360" w:lineRule="auto"/>
        <w:ind w:left="24" w:right="94" w:firstLine="6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1.1.5.5  暂估价：指发包人在工程量清单中给定的</w:t>
      </w:r>
      <w:r>
        <w:rPr>
          <w:rFonts w:hint="eastAsia" w:ascii="宋体" w:hAnsi="宋体" w:cs="宋体"/>
          <w:color w:val="auto"/>
          <w:spacing w:val="8"/>
          <w:sz w:val="20"/>
          <w:szCs w:val="20"/>
          <w:highlight w:val="none"/>
        </w:rPr>
        <w:t>用于支付必然发生但暂时不能确定价格的材料以及专业工程的金额。</w:t>
      </w:r>
    </w:p>
    <w:p w14:paraId="482FF7F5">
      <w:pPr>
        <w:spacing w:before="164"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1.1.5.6  计日工：指对零星工作采取的一种计价方</w:t>
      </w:r>
      <w:r>
        <w:rPr>
          <w:rFonts w:hint="eastAsia" w:ascii="宋体" w:hAnsi="宋体" w:cs="宋体"/>
          <w:color w:val="auto"/>
          <w:spacing w:val="8"/>
          <w:sz w:val="20"/>
          <w:szCs w:val="20"/>
          <w:highlight w:val="none"/>
        </w:rPr>
        <w:t>式，按合同中的计日工项目及其</w:t>
      </w:r>
      <w:r>
        <w:rPr>
          <w:rFonts w:hint="eastAsia" w:ascii="宋体" w:hAnsi="宋体" w:cs="宋体"/>
          <w:color w:val="auto"/>
          <w:spacing w:val="6"/>
          <w:sz w:val="20"/>
          <w:szCs w:val="20"/>
          <w:highlight w:val="none"/>
        </w:rPr>
        <w:t>单价计价付款。</w:t>
      </w:r>
    </w:p>
    <w:p w14:paraId="64896B00">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1.1.5.7  工程量清单缺陷：指招标工程量清单的分</w:t>
      </w:r>
      <w:r>
        <w:rPr>
          <w:rFonts w:hint="eastAsia" w:ascii="宋体" w:hAnsi="宋体" w:cs="宋体"/>
          <w:color w:val="auto"/>
          <w:spacing w:val="8"/>
          <w:sz w:val="20"/>
          <w:szCs w:val="20"/>
          <w:highlight w:val="none"/>
        </w:rPr>
        <w:t>部分项工程项目清单中所列的</w:t>
      </w:r>
      <w:r>
        <w:rPr>
          <w:rFonts w:hint="eastAsia" w:ascii="宋体" w:hAnsi="宋体" w:cs="宋体"/>
          <w:color w:val="auto"/>
          <w:spacing w:val="9"/>
          <w:sz w:val="20"/>
          <w:szCs w:val="20"/>
          <w:highlight w:val="none"/>
        </w:rPr>
        <w:t>清单项目与对应的签约图纸及签约规范的清单项目在列项、项目特征、工程数量上存在的差异。</w:t>
      </w:r>
    </w:p>
    <w:p w14:paraId="74904F73">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包括工程量清单多列项、错漏项,项目特征不符、工程数量偏差及其他同类。</w:t>
      </w:r>
    </w:p>
    <w:p w14:paraId="7E3654D7">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1.1.5.8  质量保证金（或称保留金）：指按第17.4.1项约定用于保证在缺陷责任期内履行缺陷修复义务的金额。</w:t>
      </w:r>
    </w:p>
    <w:p w14:paraId="61B78CBB">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1.1.6</w:t>
      </w:r>
      <w:r>
        <w:rPr>
          <w:rFonts w:hint="eastAsia" w:ascii="宋体" w:hAnsi="宋体" w:cs="宋体"/>
          <w:color w:val="auto"/>
          <w:spacing w:val="14"/>
          <w:sz w:val="20"/>
          <w:szCs w:val="20"/>
          <w:highlight w:val="none"/>
        </w:rPr>
        <w:t xml:space="preserve">  </w:t>
      </w:r>
      <w:r>
        <w:rPr>
          <w:rFonts w:hint="eastAsia" w:ascii="宋体" w:hAnsi="宋体" w:cs="宋体"/>
          <w:color w:val="auto"/>
          <w:spacing w:val="2"/>
          <w:sz w:val="20"/>
          <w:szCs w:val="20"/>
          <w:highlight w:val="none"/>
        </w:rPr>
        <w:t>书面形式</w:t>
      </w:r>
    </w:p>
    <w:p w14:paraId="537389A5">
      <w:pPr>
        <w:spacing w:before="160" w:line="360" w:lineRule="auto"/>
        <w:ind w:left="4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书面形式：指合同文件、信函、</w:t>
      </w:r>
      <w:r>
        <w:rPr>
          <w:rFonts w:hint="eastAsia" w:ascii="宋体" w:hAnsi="宋体" w:cs="宋体"/>
          <w:color w:val="auto"/>
          <w:spacing w:val="-56"/>
          <w:sz w:val="20"/>
          <w:szCs w:val="20"/>
          <w:highlight w:val="none"/>
        </w:rPr>
        <w:t xml:space="preserve"> </w:t>
      </w:r>
      <w:r>
        <w:rPr>
          <w:rFonts w:hint="eastAsia" w:ascii="宋体" w:hAnsi="宋体" w:cs="宋体"/>
          <w:color w:val="auto"/>
          <w:spacing w:val="8"/>
          <w:sz w:val="20"/>
          <w:szCs w:val="20"/>
          <w:highlight w:val="none"/>
        </w:rPr>
        <w:t>电报、传真等可以有形地表现所载内容的形式。</w:t>
      </w:r>
    </w:p>
    <w:p w14:paraId="37567FD7">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1.1.7  争议评审委员会（或机构）</w:t>
      </w:r>
    </w:p>
    <w:p w14:paraId="60171EB3">
      <w:pPr>
        <w:spacing w:before="163" w:line="360" w:lineRule="auto"/>
        <w:ind w:left="19" w:firstLine="4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争议评审委员会（或机构</w:t>
      </w:r>
      <w:r>
        <w:rPr>
          <w:rFonts w:hint="eastAsia" w:ascii="宋体" w:hAnsi="宋体" w:cs="宋体"/>
          <w:color w:val="auto"/>
          <w:spacing w:val="-36"/>
          <w:sz w:val="20"/>
          <w:szCs w:val="20"/>
          <w:highlight w:val="none"/>
        </w:rPr>
        <w:t>）：</w:t>
      </w:r>
      <w:r>
        <w:rPr>
          <w:rFonts w:hint="eastAsia" w:ascii="宋体" w:hAnsi="宋体" w:cs="宋体"/>
          <w:color w:val="auto"/>
          <w:spacing w:val="10"/>
          <w:sz w:val="20"/>
          <w:szCs w:val="20"/>
          <w:highlight w:val="none"/>
        </w:rPr>
        <w:t>是由发包人和承包人共同聘</w:t>
      </w:r>
      <w:r>
        <w:rPr>
          <w:rFonts w:hint="eastAsia" w:ascii="宋体" w:hAnsi="宋体" w:cs="宋体"/>
          <w:color w:val="auto"/>
          <w:spacing w:val="9"/>
          <w:sz w:val="20"/>
          <w:szCs w:val="20"/>
          <w:highlight w:val="none"/>
        </w:rPr>
        <w:t>请的人员组成的独立、公正的第三方临时性组织，其组成人数为单数。争议评审委员会（或机构）负责对发包人和（或）</w:t>
      </w:r>
      <w:r>
        <w:rPr>
          <w:rFonts w:hint="eastAsia" w:ascii="宋体" w:hAnsi="宋体" w:cs="宋体"/>
          <w:color w:val="auto"/>
          <w:spacing w:val="8"/>
          <w:sz w:val="20"/>
          <w:szCs w:val="20"/>
          <w:highlight w:val="none"/>
        </w:rPr>
        <w:t>承包人提请进行评审的本合同项下的争议进行评审</w:t>
      </w:r>
      <w:r>
        <w:rPr>
          <w:rFonts w:hint="eastAsia" w:ascii="宋体" w:hAnsi="宋体" w:cs="宋体"/>
          <w:color w:val="auto"/>
          <w:spacing w:val="7"/>
          <w:sz w:val="20"/>
          <w:szCs w:val="20"/>
          <w:highlight w:val="none"/>
        </w:rPr>
        <w:t>并在规定的期限内给出评审意见，合同双</w:t>
      </w:r>
      <w:r>
        <w:rPr>
          <w:rFonts w:hint="eastAsia" w:ascii="宋体" w:hAnsi="宋体" w:cs="宋体"/>
          <w:color w:val="auto"/>
          <w:spacing w:val="8"/>
          <w:sz w:val="20"/>
          <w:szCs w:val="20"/>
          <w:highlight w:val="none"/>
        </w:rPr>
        <w:t>方在规定的期限内均未对评审意见提出异议时，评</w:t>
      </w:r>
      <w:r>
        <w:rPr>
          <w:rFonts w:hint="eastAsia" w:ascii="宋体" w:hAnsi="宋体" w:cs="宋体"/>
          <w:color w:val="auto"/>
          <w:spacing w:val="7"/>
          <w:sz w:val="20"/>
          <w:szCs w:val="20"/>
          <w:highlight w:val="none"/>
        </w:rPr>
        <w:t>审意见对合同双方有最终约束力。发包人</w:t>
      </w:r>
      <w:r>
        <w:rPr>
          <w:rFonts w:hint="eastAsia" w:ascii="宋体" w:hAnsi="宋体" w:cs="宋体"/>
          <w:color w:val="auto"/>
          <w:spacing w:val="8"/>
          <w:sz w:val="20"/>
          <w:szCs w:val="20"/>
          <w:highlight w:val="none"/>
        </w:rPr>
        <w:t>和承包人应当分别与接受聘请的争议评审专</w:t>
      </w:r>
      <w:r>
        <w:rPr>
          <w:rFonts w:hint="eastAsia" w:ascii="宋体" w:hAnsi="宋体" w:cs="宋体"/>
          <w:color w:val="auto"/>
          <w:spacing w:val="7"/>
          <w:sz w:val="20"/>
          <w:szCs w:val="20"/>
          <w:highlight w:val="none"/>
        </w:rPr>
        <w:t>家签订聘用协议，就评审的争议范围、评审意见</w:t>
      </w:r>
      <w:r>
        <w:rPr>
          <w:rFonts w:hint="eastAsia" w:ascii="宋体" w:hAnsi="宋体" w:cs="宋体"/>
          <w:color w:val="auto"/>
          <w:spacing w:val="8"/>
          <w:sz w:val="20"/>
          <w:szCs w:val="20"/>
          <w:highlight w:val="none"/>
        </w:rPr>
        <w:t>效力等必要事项做出约定。</w:t>
      </w:r>
    </w:p>
    <w:p w14:paraId="0AC1B757">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  其他需要补充的内容</w:t>
      </w:r>
    </w:p>
    <w:p w14:paraId="3A4C8E90">
      <w:pPr>
        <w:spacing w:before="159" w:line="360" w:lineRule="auto"/>
        <w:ind w:left="19" w:right="87"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1.1.8.1  签约图纸：指招标文件提供的设计文件和招标人在招标过程中发出的有关设计文件的补充、澄清或修改文件。</w:t>
      </w:r>
    </w:p>
    <w:p w14:paraId="1555FC71">
      <w:pPr>
        <w:spacing w:before="161" w:line="360" w:lineRule="auto"/>
        <w:ind w:left="21" w:right="68"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1.1.8.2  签约规范：指招标文件提供的说明合同工程的材料标准或要求、工程技术标准、施工验收标准等的技术要求文件，和招标</w:t>
      </w:r>
      <w:r>
        <w:rPr>
          <w:rFonts w:hint="eastAsia" w:ascii="宋体" w:hAnsi="宋体" w:cs="宋体"/>
          <w:color w:val="auto"/>
          <w:spacing w:val="7"/>
          <w:sz w:val="20"/>
          <w:szCs w:val="20"/>
          <w:highlight w:val="none"/>
        </w:rPr>
        <w:t>人在招标过程中发出的有关技术要求文件的补充、澄清或修改文件。</w:t>
      </w:r>
    </w:p>
    <w:p w14:paraId="74E5C432">
      <w:pPr>
        <w:spacing w:before="160" w:line="360" w:lineRule="auto"/>
        <w:ind w:left="36" w:right="87"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1.1.8.3  已标价工程量清单：指构成合同文件组成部分的由承包人在投标时按照规定的格式和要求填写并标明价格的工程量清单。</w:t>
      </w:r>
    </w:p>
    <w:p w14:paraId="583A40E4">
      <w:pPr>
        <w:spacing w:before="164" w:line="360" w:lineRule="auto"/>
        <w:ind w:left="20" w:right="7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1.1.8.4  合同单价：承包人在已标价工程量清单内所报的综合单价,以及承包人投标报</w:t>
      </w:r>
      <w:r>
        <w:rPr>
          <w:rFonts w:hint="eastAsia" w:ascii="宋体" w:hAnsi="宋体" w:cs="宋体"/>
          <w:color w:val="auto"/>
          <w:spacing w:val="9"/>
          <w:sz w:val="20"/>
          <w:szCs w:val="20"/>
          <w:highlight w:val="none"/>
        </w:rPr>
        <w:t>价澄清或说明中获得发包人接纳的修正综合单价。</w:t>
      </w:r>
    </w:p>
    <w:p w14:paraId="5BBDC13E">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1.1.8.5  其他需要补充的内容见合同条款专用部分。</w:t>
      </w:r>
    </w:p>
    <w:p w14:paraId="5C8ADD67">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语言文字</w:t>
      </w:r>
    </w:p>
    <w:p w14:paraId="2CE1F5B1">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除专用术语外，合同使用的语言文字为中文。必要时专用术语应附有中文注释。</w:t>
      </w:r>
    </w:p>
    <w:p w14:paraId="289C9053">
      <w:pPr>
        <w:spacing w:before="286"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1.3</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法律</w:t>
      </w:r>
    </w:p>
    <w:p w14:paraId="42B26D11">
      <w:pPr>
        <w:spacing w:before="297" w:line="360" w:lineRule="auto"/>
        <w:ind w:left="19" w:right="70"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适用于合同的法律包括中华人民共和国法律、行政法规、部门规章，以及工程所在地的地方法规、</w:t>
      </w:r>
      <w:r>
        <w:rPr>
          <w:rFonts w:hint="eastAsia" w:ascii="宋体" w:hAnsi="宋体" w:cs="宋体"/>
          <w:color w:val="auto"/>
          <w:spacing w:val="-52"/>
          <w:sz w:val="20"/>
          <w:szCs w:val="20"/>
          <w:highlight w:val="none"/>
        </w:rPr>
        <w:t xml:space="preserve"> </w:t>
      </w:r>
      <w:r>
        <w:rPr>
          <w:rFonts w:hint="eastAsia" w:ascii="宋体" w:hAnsi="宋体" w:cs="宋体"/>
          <w:color w:val="auto"/>
          <w:spacing w:val="7"/>
          <w:sz w:val="20"/>
          <w:szCs w:val="20"/>
          <w:highlight w:val="none"/>
        </w:rPr>
        <w:t>自治条例、单行条例和地方政府</w:t>
      </w:r>
      <w:r>
        <w:rPr>
          <w:rFonts w:hint="eastAsia" w:ascii="宋体" w:hAnsi="宋体" w:cs="宋体"/>
          <w:color w:val="auto"/>
          <w:spacing w:val="6"/>
          <w:sz w:val="20"/>
          <w:szCs w:val="20"/>
          <w:highlight w:val="none"/>
        </w:rPr>
        <w:t>规章。</w:t>
      </w:r>
    </w:p>
    <w:p w14:paraId="258C7953">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2"/>
          <w:sz w:val="24"/>
          <w:highlight w:val="none"/>
        </w:rPr>
        <w:t>1.4  合同文件的优先顺序</w:t>
      </w:r>
    </w:p>
    <w:p w14:paraId="49D5179C">
      <w:pPr>
        <w:spacing w:before="297" w:line="360" w:lineRule="auto"/>
        <w:ind w:left="40" w:right="68"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组成合同的各项文件应互相解释，互为说明。除合同条款专用部分另有约定外，解释合</w:t>
      </w:r>
      <w:r>
        <w:rPr>
          <w:rFonts w:hint="eastAsia" w:ascii="宋体" w:hAnsi="宋体" w:cs="宋体"/>
          <w:color w:val="auto"/>
          <w:spacing w:val="6"/>
          <w:sz w:val="20"/>
          <w:szCs w:val="20"/>
          <w:highlight w:val="none"/>
        </w:rPr>
        <w:t>同文件的优先顺序如下：</w:t>
      </w:r>
    </w:p>
    <w:p w14:paraId="5FD5612F">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（1）合同协议书</w:t>
      </w:r>
    </w:p>
    <w:p w14:paraId="21436E7C">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（2）中标通知书；</w:t>
      </w:r>
    </w:p>
    <w:p w14:paraId="54EF2020">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（3）投标函及投标函附录；</w:t>
      </w:r>
    </w:p>
    <w:p w14:paraId="61836AD8">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（4）合同条款专用部分；</w:t>
      </w:r>
    </w:p>
    <w:p w14:paraId="5B348AED">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（5）合同条款通用部分；</w:t>
      </w:r>
    </w:p>
    <w:p w14:paraId="7E49FEDF">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（6）技术标准和要求；</w:t>
      </w:r>
    </w:p>
    <w:p w14:paraId="3156FC6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（7）图纸；</w:t>
      </w:r>
    </w:p>
    <w:p w14:paraId="5DDAFA62">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（8）合同清单；</w:t>
      </w:r>
    </w:p>
    <w:p w14:paraId="54181EC7">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（9）其他合同文件。</w:t>
      </w:r>
    </w:p>
    <w:p w14:paraId="48136264">
      <w:pPr>
        <w:spacing w:before="160" w:line="360" w:lineRule="auto"/>
        <w:ind w:left="19" w:right="177"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附注：构成合同文件的图纸与技术标准和要求之间有矛盾或者不一致的，应以其</w:t>
      </w:r>
      <w:r>
        <w:rPr>
          <w:rFonts w:hint="eastAsia" w:ascii="宋体" w:hAnsi="宋体" w:cs="宋体"/>
          <w:color w:val="auto"/>
          <w:spacing w:val="6"/>
          <w:sz w:val="20"/>
          <w:szCs w:val="20"/>
          <w:highlight w:val="none"/>
        </w:rPr>
        <w:t>中要求</w:t>
      </w:r>
      <w:r>
        <w:rPr>
          <w:rFonts w:hint="eastAsia" w:ascii="宋体" w:hAnsi="宋体" w:cs="宋体"/>
          <w:color w:val="auto"/>
          <w:spacing w:val="7"/>
          <w:sz w:val="20"/>
          <w:szCs w:val="20"/>
          <w:highlight w:val="none"/>
        </w:rPr>
        <w:t>较严格的标准为准。</w:t>
      </w:r>
    </w:p>
    <w:p w14:paraId="4A995BBA">
      <w:pPr>
        <w:spacing w:before="2" w:line="360" w:lineRule="auto"/>
        <w:ind w:left="19" w:right="17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合同双方在合同履行过程中签署的不背离合同实质性内容的补充协议，应当视为合同文</w:t>
      </w:r>
      <w:r>
        <w:rPr>
          <w:rFonts w:hint="eastAsia" w:ascii="宋体" w:hAnsi="宋体" w:cs="宋体"/>
          <w:color w:val="auto"/>
          <w:spacing w:val="9"/>
          <w:sz w:val="20"/>
          <w:szCs w:val="20"/>
          <w:highlight w:val="none"/>
        </w:rPr>
        <w:t>件的有效组成部分，其解释顺序视其内容与其他合同文件的相互关系而定。</w:t>
      </w:r>
    </w:p>
    <w:p w14:paraId="40DFF33A">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1.5  合同协议书</w:t>
      </w:r>
    </w:p>
    <w:p w14:paraId="4B0B6D8D">
      <w:pPr>
        <w:spacing w:before="297" w:line="360" w:lineRule="auto"/>
        <w:ind w:left="20"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指由发包人与承包人共同签署的用于明确当事人合同关系的文件。承包人按照中标通知书规定的时间与发包人签订的合同协议书，除法律另有规定或合同条</w:t>
      </w:r>
      <w:r>
        <w:rPr>
          <w:rFonts w:hint="eastAsia" w:ascii="宋体" w:hAnsi="宋体" w:cs="宋体"/>
          <w:color w:val="auto"/>
          <w:spacing w:val="6"/>
          <w:sz w:val="20"/>
          <w:szCs w:val="20"/>
          <w:highlight w:val="none"/>
        </w:rPr>
        <w:t>款专用部分另有约定外，</w:t>
      </w:r>
      <w:r>
        <w:rPr>
          <w:rFonts w:hint="eastAsia" w:ascii="宋体" w:hAnsi="宋体" w:cs="宋体"/>
          <w:color w:val="auto"/>
          <w:spacing w:val="7"/>
          <w:sz w:val="20"/>
          <w:szCs w:val="20"/>
          <w:highlight w:val="none"/>
        </w:rPr>
        <w:t>发包人和承包人的法定代表人或其委托代理人在合同协议书上签字并</w:t>
      </w:r>
      <w:r>
        <w:rPr>
          <w:rFonts w:hint="eastAsia" w:ascii="宋体" w:hAnsi="宋体" w:cs="宋体"/>
          <w:color w:val="auto"/>
          <w:spacing w:val="6"/>
          <w:sz w:val="20"/>
          <w:szCs w:val="20"/>
          <w:highlight w:val="none"/>
        </w:rPr>
        <w:t>盖单位章后，合同生效。</w:t>
      </w:r>
      <w:r>
        <w:rPr>
          <w:rFonts w:hint="eastAsia" w:ascii="宋体" w:hAnsi="宋体" w:cs="宋体"/>
          <w:color w:val="auto"/>
          <w:spacing w:val="8"/>
          <w:sz w:val="20"/>
          <w:szCs w:val="20"/>
          <w:highlight w:val="none"/>
        </w:rPr>
        <w:t>合同生效的条件见合同条款专用部分。</w:t>
      </w:r>
    </w:p>
    <w:p w14:paraId="6412DBB0">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1.6</w:t>
      </w:r>
      <w:r>
        <w:rPr>
          <w:rFonts w:hint="eastAsia" w:ascii="宋体" w:hAnsi="宋体" w:cs="宋体"/>
          <w:color w:val="auto"/>
          <w:spacing w:val="18"/>
          <w:sz w:val="24"/>
          <w:highlight w:val="none"/>
        </w:rPr>
        <w:t xml:space="preserve">  </w:t>
      </w:r>
      <w:r>
        <w:rPr>
          <w:rFonts w:hint="eastAsia" w:ascii="宋体" w:hAnsi="宋体" w:cs="宋体"/>
          <w:color w:val="auto"/>
          <w:spacing w:val="-6"/>
          <w:sz w:val="24"/>
          <w:highlight w:val="none"/>
        </w:rPr>
        <w:t>图纸和承包人文件</w:t>
      </w:r>
    </w:p>
    <w:p w14:paraId="5D69D4FE">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1.6.1</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图纸的提供</w:t>
      </w:r>
    </w:p>
    <w:p w14:paraId="3711F1C0">
      <w:pPr>
        <w:spacing w:before="162" w:line="360" w:lineRule="auto"/>
        <w:ind w:left="19" w:right="121"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（1）发包人按照合同约定向承包人提供图纸。发包人未按时提供图</w:t>
      </w:r>
      <w:r>
        <w:rPr>
          <w:rFonts w:hint="eastAsia" w:ascii="宋体" w:hAnsi="宋体" w:cs="宋体"/>
          <w:color w:val="auto"/>
          <w:spacing w:val="5"/>
          <w:sz w:val="20"/>
          <w:szCs w:val="20"/>
          <w:highlight w:val="none"/>
        </w:rPr>
        <w:t>纸造成工期延误的，</w:t>
      </w:r>
      <w:r>
        <w:rPr>
          <w:rFonts w:hint="eastAsia" w:ascii="宋体" w:hAnsi="宋体" w:cs="宋体"/>
          <w:color w:val="auto"/>
          <w:spacing w:val="8"/>
          <w:sz w:val="20"/>
          <w:szCs w:val="20"/>
          <w:highlight w:val="none"/>
        </w:rPr>
        <w:t>按第11.3</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款的约定办理。承包人需要增加图纸套数的，发包人应代为复制，复制费用由承</w:t>
      </w:r>
      <w:r>
        <w:rPr>
          <w:rFonts w:hint="eastAsia" w:ascii="宋体" w:hAnsi="宋体" w:cs="宋体"/>
          <w:color w:val="auto"/>
          <w:spacing w:val="5"/>
          <w:sz w:val="20"/>
          <w:szCs w:val="20"/>
          <w:highlight w:val="none"/>
        </w:rPr>
        <w:t>包人承担。</w:t>
      </w:r>
    </w:p>
    <w:p w14:paraId="0D20487D">
      <w:pPr>
        <w:spacing w:before="164" w:line="360" w:lineRule="auto"/>
        <w:ind w:left="19" w:right="17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（2）依据合同条款专用部分第</w:t>
      </w:r>
      <w:r>
        <w:rPr>
          <w:rFonts w:hint="eastAsia" w:ascii="宋体" w:hAnsi="宋体" w:cs="宋体"/>
          <w:color w:val="auto"/>
          <w:spacing w:val="-24"/>
          <w:sz w:val="20"/>
          <w:szCs w:val="20"/>
          <w:highlight w:val="none"/>
        </w:rPr>
        <w:t xml:space="preserve"> </w:t>
      </w:r>
      <w:r>
        <w:rPr>
          <w:rFonts w:hint="eastAsia" w:ascii="宋体" w:hAnsi="宋体" w:cs="宋体"/>
          <w:color w:val="auto"/>
          <w:spacing w:val="6"/>
          <w:sz w:val="20"/>
          <w:szCs w:val="20"/>
          <w:highlight w:val="none"/>
        </w:rPr>
        <w:t>10.1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款约定制定的合同进度计划，或依据合</w:t>
      </w:r>
      <w:r>
        <w:rPr>
          <w:rFonts w:hint="eastAsia" w:ascii="宋体" w:hAnsi="宋体" w:cs="宋体"/>
          <w:color w:val="auto"/>
          <w:spacing w:val="5"/>
          <w:sz w:val="20"/>
          <w:szCs w:val="20"/>
          <w:highlight w:val="none"/>
        </w:rPr>
        <w:t>同条款专用</w:t>
      </w:r>
      <w:r>
        <w:rPr>
          <w:rFonts w:hint="eastAsia" w:ascii="宋体" w:hAnsi="宋体" w:cs="宋体"/>
          <w:color w:val="auto"/>
          <w:spacing w:val="7"/>
          <w:sz w:val="20"/>
          <w:szCs w:val="20"/>
          <w:highlight w:val="none"/>
        </w:rPr>
        <w:t>部分第10.2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款约定修订的合同进度计划，经监理人批准</w:t>
      </w:r>
      <w:r>
        <w:rPr>
          <w:rFonts w:hint="eastAsia" w:ascii="宋体" w:hAnsi="宋体" w:cs="宋体"/>
          <w:color w:val="auto"/>
          <w:spacing w:val="6"/>
          <w:sz w:val="20"/>
          <w:szCs w:val="20"/>
          <w:highlight w:val="none"/>
        </w:rPr>
        <w:t>后</w:t>
      </w:r>
      <w:r>
        <w:rPr>
          <w:rFonts w:hint="eastAsia" w:ascii="宋体" w:hAnsi="宋体" w:cs="宋体"/>
          <w:color w:val="auto"/>
          <w:spacing w:val="-32"/>
          <w:sz w:val="20"/>
          <w:szCs w:val="20"/>
          <w:highlight w:val="none"/>
        </w:rPr>
        <w:t xml:space="preserve"> </w:t>
      </w:r>
      <w:r>
        <w:rPr>
          <w:rFonts w:hint="eastAsia" w:ascii="宋体" w:hAnsi="宋体" w:cs="宋体"/>
          <w:color w:val="auto"/>
          <w:spacing w:val="6"/>
          <w:sz w:val="20"/>
          <w:szCs w:val="20"/>
          <w:highlight w:val="none"/>
        </w:rPr>
        <w:t>7日内，承包人应当根据合同进</w:t>
      </w:r>
      <w:r>
        <w:rPr>
          <w:rFonts w:hint="eastAsia" w:ascii="宋体" w:hAnsi="宋体" w:cs="宋体"/>
          <w:color w:val="auto"/>
          <w:spacing w:val="8"/>
          <w:sz w:val="20"/>
          <w:szCs w:val="20"/>
          <w:highlight w:val="none"/>
        </w:rPr>
        <w:t>度计划或合同进度计划修订和本项约定的图纸</w:t>
      </w:r>
      <w:r>
        <w:rPr>
          <w:rFonts w:hint="eastAsia" w:ascii="宋体" w:hAnsi="宋体" w:cs="宋体"/>
          <w:color w:val="auto"/>
          <w:spacing w:val="7"/>
          <w:sz w:val="20"/>
          <w:szCs w:val="20"/>
          <w:highlight w:val="none"/>
        </w:rPr>
        <w:t>提供期限和数量，编制或者修改图纸供应计划</w:t>
      </w:r>
      <w:r>
        <w:rPr>
          <w:rFonts w:hint="eastAsia" w:ascii="宋体" w:hAnsi="宋体" w:cs="宋体"/>
          <w:color w:val="auto"/>
          <w:spacing w:val="6"/>
          <w:sz w:val="20"/>
          <w:szCs w:val="20"/>
          <w:highlight w:val="none"/>
        </w:rPr>
        <w:t>并报送监理人，其中应当载明承包人对各最新版本图纸(包括第1.6.3</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项约定的图纸修改图)</w:t>
      </w:r>
      <w:r>
        <w:rPr>
          <w:rFonts w:hint="eastAsia" w:ascii="宋体" w:hAnsi="宋体" w:cs="宋体"/>
          <w:color w:val="auto"/>
          <w:spacing w:val="7"/>
          <w:sz w:val="20"/>
          <w:szCs w:val="20"/>
          <w:highlight w:val="none"/>
        </w:rPr>
        <w:t>的最迟需求时间，监理人应当在收到图纸供应计划后7天内批复</w:t>
      </w:r>
      <w:r>
        <w:rPr>
          <w:rFonts w:hint="eastAsia" w:ascii="宋体" w:hAnsi="宋体" w:cs="宋体"/>
          <w:color w:val="auto"/>
          <w:spacing w:val="6"/>
          <w:sz w:val="20"/>
          <w:szCs w:val="20"/>
          <w:highlight w:val="none"/>
        </w:rPr>
        <w:t>或提出修改意见，否则该图</w:t>
      </w:r>
      <w:r>
        <w:rPr>
          <w:rFonts w:hint="eastAsia" w:ascii="宋体" w:hAnsi="宋体" w:cs="宋体"/>
          <w:color w:val="auto"/>
          <w:spacing w:val="8"/>
          <w:sz w:val="20"/>
          <w:szCs w:val="20"/>
          <w:highlight w:val="none"/>
        </w:rPr>
        <w:t>纸供应计划视为得到批准。</w:t>
      </w:r>
    </w:p>
    <w:p w14:paraId="61E6387C">
      <w:pPr>
        <w:spacing w:before="162" w:line="360" w:lineRule="auto"/>
        <w:ind w:left="21" w:right="17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（3）经监理人批准最新的图纸供应计划对合同双方有合同约束力，应当作为发包人或</w:t>
      </w:r>
      <w:r>
        <w:rPr>
          <w:rFonts w:hint="eastAsia" w:ascii="宋体" w:hAnsi="宋体" w:cs="宋体"/>
          <w:color w:val="auto"/>
          <w:spacing w:val="7"/>
          <w:sz w:val="20"/>
          <w:szCs w:val="20"/>
          <w:highlight w:val="none"/>
        </w:rPr>
        <w:t>者监理人向承包人提供图纸的主要依据。发包人或者监理人不按照图纸供应计划提供图纸而</w:t>
      </w:r>
      <w:r>
        <w:rPr>
          <w:rFonts w:hint="eastAsia" w:ascii="宋体" w:hAnsi="宋体" w:cs="宋体"/>
          <w:color w:val="auto"/>
          <w:spacing w:val="9"/>
          <w:sz w:val="20"/>
          <w:szCs w:val="20"/>
          <w:highlight w:val="none"/>
        </w:rPr>
        <w:t>导致承包人费用增加和（或）工期延误的，由发包人承担赔偿责任。</w:t>
      </w:r>
    </w:p>
    <w:p w14:paraId="2DAF0A22">
      <w:pPr>
        <w:spacing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（4）承包人未按照约定的时间向监理人提交图纸供应计划,致使发包人或者监</w:t>
      </w:r>
      <w:r>
        <w:rPr>
          <w:rFonts w:hint="eastAsia" w:ascii="宋体" w:hAnsi="宋体" w:cs="宋体"/>
          <w:color w:val="auto"/>
          <w:spacing w:val="6"/>
          <w:sz w:val="20"/>
          <w:szCs w:val="20"/>
          <w:highlight w:val="none"/>
        </w:rPr>
        <w:t>理人未能</w:t>
      </w:r>
      <w:r>
        <w:rPr>
          <w:rFonts w:hint="eastAsia" w:ascii="宋体" w:hAnsi="宋体" w:cs="宋体"/>
          <w:color w:val="auto"/>
          <w:spacing w:val="10"/>
          <w:sz w:val="20"/>
          <w:szCs w:val="20"/>
          <w:highlight w:val="none"/>
        </w:rPr>
        <w:t>在约定的时间内提供相应图纸或者承包人未按照图纸供应计划组织</w:t>
      </w:r>
      <w:r>
        <w:rPr>
          <w:rFonts w:hint="eastAsia" w:ascii="宋体" w:hAnsi="宋体" w:cs="宋体"/>
          <w:color w:val="auto"/>
          <w:spacing w:val="9"/>
          <w:sz w:val="20"/>
          <w:szCs w:val="20"/>
          <w:highlight w:val="none"/>
        </w:rPr>
        <w:t>施工所造成的费用增加</w:t>
      </w:r>
      <w:r>
        <w:rPr>
          <w:rFonts w:hint="eastAsia" w:ascii="宋体" w:hAnsi="宋体" w:cs="宋体"/>
          <w:color w:val="auto"/>
          <w:spacing w:val="8"/>
          <w:sz w:val="20"/>
          <w:szCs w:val="20"/>
          <w:highlight w:val="none"/>
        </w:rPr>
        <w:t>和（或）工期延误由承包人承担。</w:t>
      </w:r>
    </w:p>
    <w:p w14:paraId="263BC1C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（5）发包人提供图纸的期限、数量和其他约定见合同</w:t>
      </w:r>
      <w:r>
        <w:rPr>
          <w:rFonts w:hint="eastAsia" w:ascii="宋体" w:hAnsi="宋体" w:cs="宋体"/>
          <w:color w:val="auto"/>
          <w:spacing w:val="8"/>
          <w:sz w:val="20"/>
          <w:szCs w:val="20"/>
          <w:highlight w:val="none"/>
        </w:rPr>
        <w:t>条款专用部分。</w:t>
      </w:r>
    </w:p>
    <w:p w14:paraId="57B58334">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1.6.2  承包人提供的文件</w:t>
      </w:r>
    </w:p>
    <w:p w14:paraId="3A76DE30">
      <w:pPr>
        <w:spacing w:before="159" w:line="360" w:lineRule="auto"/>
        <w:ind w:left="21" w:right="17"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w:t>
      </w:r>
      <w:r>
        <w:rPr>
          <w:rFonts w:hint="eastAsia" w:ascii="宋体" w:hAnsi="宋体" w:cs="宋体"/>
          <w:color w:val="auto"/>
          <w:spacing w:val="-52"/>
          <w:sz w:val="20"/>
          <w:szCs w:val="20"/>
          <w:highlight w:val="none"/>
        </w:rPr>
        <w:t xml:space="preserve"> </w:t>
      </w:r>
      <w:r>
        <w:rPr>
          <w:rFonts w:hint="eastAsia" w:ascii="宋体" w:hAnsi="宋体" w:cs="宋体"/>
          <w:color w:val="auto"/>
          <w:spacing w:val="8"/>
          <w:sz w:val="20"/>
          <w:szCs w:val="20"/>
          <w:highlight w:val="none"/>
        </w:rPr>
        <w:t>由承包人提供的文件包括部分工程的大样图、加工图等，承包人应当按照约定的</w:t>
      </w:r>
      <w:r>
        <w:rPr>
          <w:rFonts w:hint="eastAsia" w:ascii="宋体" w:hAnsi="宋体" w:cs="宋体"/>
          <w:color w:val="auto"/>
          <w:spacing w:val="9"/>
          <w:sz w:val="20"/>
          <w:szCs w:val="20"/>
          <w:highlight w:val="none"/>
        </w:rPr>
        <w:t>范围、数量和期限报送监理人，监理人应当在约定的期限内批复。承包人</w:t>
      </w:r>
      <w:r>
        <w:rPr>
          <w:rFonts w:hint="eastAsia" w:ascii="宋体" w:hAnsi="宋体" w:cs="宋体"/>
          <w:color w:val="auto"/>
          <w:spacing w:val="8"/>
          <w:sz w:val="20"/>
          <w:szCs w:val="20"/>
          <w:highlight w:val="none"/>
        </w:rPr>
        <w:t>提供文件的范围、</w:t>
      </w:r>
      <w:r>
        <w:rPr>
          <w:rFonts w:hint="eastAsia" w:ascii="宋体" w:hAnsi="宋体" w:cs="宋体"/>
          <w:color w:val="auto"/>
          <w:spacing w:val="9"/>
          <w:sz w:val="20"/>
          <w:szCs w:val="20"/>
          <w:highlight w:val="none"/>
        </w:rPr>
        <w:t>数量、期限和监理人批复期限以及其他约定见合同条款专用部分。</w:t>
      </w:r>
    </w:p>
    <w:p w14:paraId="3EC6F61E">
      <w:pPr>
        <w:spacing w:before="162" w:line="360" w:lineRule="auto"/>
        <w:ind w:left="19" w:right="1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（2）除合同条款第4.1.10</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项约定的由承包</w:t>
      </w:r>
      <w:r>
        <w:rPr>
          <w:rFonts w:hint="eastAsia" w:ascii="宋体" w:hAnsi="宋体" w:cs="宋体"/>
          <w:color w:val="auto"/>
          <w:spacing w:val="7"/>
          <w:sz w:val="20"/>
          <w:szCs w:val="20"/>
          <w:highlight w:val="none"/>
        </w:rPr>
        <w:t>人提供的设计文件外，本项约定的其他应由</w:t>
      </w:r>
      <w:r>
        <w:rPr>
          <w:rFonts w:hint="eastAsia" w:ascii="宋体" w:hAnsi="宋体" w:cs="宋体"/>
          <w:color w:val="auto"/>
          <w:spacing w:val="9"/>
          <w:sz w:val="20"/>
          <w:szCs w:val="20"/>
          <w:highlight w:val="none"/>
        </w:rPr>
        <w:t>承包人提供的文件，包括必要的加工图和大样图，均不能作为合同计量与支付</w:t>
      </w:r>
      <w:r>
        <w:rPr>
          <w:rFonts w:hint="eastAsia" w:ascii="宋体" w:hAnsi="宋体" w:cs="宋体"/>
          <w:color w:val="auto"/>
          <w:spacing w:val="8"/>
          <w:sz w:val="20"/>
          <w:szCs w:val="20"/>
          <w:highlight w:val="none"/>
        </w:rPr>
        <w:t>的依据文件。</w:t>
      </w:r>
    </w:p>
    <w:p w14:paraId="2754BCCC">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1.6.3</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图纸的修改</w:t>
      </w:r>
    </w:p>
    <w:p w14:paraId="668DD07D">
      <w:pPr>
        <w:spacing w:before="160" w:line="360" w:lineRule="auto"/>
        <w:ind w:left="23" w:right="141"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图纸需要修改和补充的，监理人应当按照合同条款第1.6.1（2）</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目约定的有合同约束</w:t>
      </w:r>
      <w:r>
        <w:rPr>
          <w:rFonts w:hint="eastAsia" w:ascii="宋体" w:hAnsi="宋体" w:cs="宋体"/>
          <w:color w:val="auto"/>
          <w:spacing w:val="9"/>
          <w:sz w:val="20"/>
          <w:szCs w:val="20"/>
          <w:highlight w:val="none"/>
        </w:rPr>
        <w:t>力的图纸供应计划，签发图纸修改图给承包人。承包人应按修改后的图纸施工。</w:t>
      </w:r>
    </w:p>
    <w:p w14:paraId="0E3663B9">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1.6.4</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图纸的错误</w:t>
      </w:r>
    </w:p>
    <w:p w14:paraId="02D9433F">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承包人发现发包人提供的图纸存在明显错误或疏忽，应及时通知监理人。</w:t>
      </w:r>
    </w:p>
    <w:p w14:paraId="5AC6FCC8">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1.6.5</w:t>
      </w:r>
      <w:r>
        <w:rPr>
          <w:rFonts w:hint="eastAsia" w:ascii="宋体" w:hAnsi="宋体" w:cs="宋体"/>
          <w:color w:val="auto"/>
          <w:spacing w:val="19"/>
          <w:sz w:val="20"/>
          <w:szCs w:val="20"/>
          <w:highlight w:val="none"/>
        </w:rPr>
        <w:t xml:space="preserve">  </w:t>
      </w:r>
      <w:r>
        <w:rPr>
          <w:rFonts w:hint="eastAsia" w:ascii="宋体" w:hAnsi="宋体" w:cs="宋体"/>
          <w:color w:val="auto"/>
          <w:spacing w:val="5"/>
          <w:sz w:val="20"/>
          <w:szCs w:val="20"/>
          <w:highlight w:val="none"/>
        </w:rPr>
        <w:t>图纸和承包人文件的保管</w:t>
      </w:r>
    </w:p>
    <w:p w14:paraId="0E53A985">
      <w:pPr>
        <w:spacing w:before="161" w:line="360" w:lineRule="auto"/>
        <w:ind w:left="35" w:right="191"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监理人和承包人均应在施工场地各保存一套完整的包含第1.6.</w:t>
      </w:r>
      <w:r>
        <w:rPr>
          <w:rFonts w:hint="eastAsia" w:ascii="宋体" w:hAnsi="宋体" w:cs="宋体"/>
          <w:color w:val="auto"/>
          <w:spacing w:val="6"/>
          <w:sz w:val="20"/>
          <w:szCs w:val="20"/>
          <w:highlight w:val="none"/>
        </w:rPr>
        <w:t>1项、第1.6.2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项、第1.6.3</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项约定内容的图纸和承包人文件。</w:t>
      </w:r>
    </w:p>
    <w:p w14:paraId="1EB01ED3">
      <w:pPr>
        <w:spacing w:before="124"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1.7</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联络</w:t>
      </w:r>
    </w:p>
    <w:p w14:paraId="7B60C27C">
      <w:pPr>
        <w:spacing w:before="293" w:line="360" w:lineRule="auto"/>
        <w:ind w:left="24" w:right="88"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1.7.1  与合同有关的通知、批准、</w:t>
      </w:r>
      <w:r>
        <w:rPr>
          <w:rFonts w:hint="eastAsia" w:ascii="宋体" w:hAnsi="宋体" w:cs="宋体"/>
          <w:color w:val="auto"/>
          <w:spacing w:val="8"/>
          <w:sz w:val="20"/>
          <w:szCs w:val="20"/>
          <w:highlight w:val="none"/>
        </w:rPr>
        <w:t>证明、证书、指示、要求、请求、同意、意见、确定和决定等，均应采用书面形式。</w:t>
      </w:r>
    </w:p>
    <w:p w14:paraId="12F8E40F">
      <w:pPr>
        <w:spacing w:before="162"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1.7.2  第1.7.1项中的通知、批准、证明、证书、指示、要求、请求、同意、意见、</w:t>
      </w:r>
      <w:r>
        <w:rPr>
          <w:rFonts w:hint="eastAsia" w:ascii="宋体" w:hAnsi="宋体" w:cs="宋体"/>
          <w:color w:val="auto"/>
          <w:spacing w:val="4"/>
          <w:sz w:val="20"/>
          <w:szCs w:val="20"/>
          <w:highlight w:val="none"/>
        </w:rPr>
        <w:t>确定和决定等来往函件，均应在合同约定的期限内送达指定地点和接收人，并办理签收手续。</w:t>
      </w:r>
    </w:p>
    <w:p w14:paraId="6EC65064">
      <w:pPr>
        <w:spacing w:before="162" w:line="360" w:lineRule="auto"/>
        <w:ind w:left="22" w:right="88" w:firstLine="42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（1）联络来往信函的送达期限：合同约定了发出期限的，送达期限为合同约定的发出期限后的24小时内；合同约定了通知、提供或者报送期限的，通</w:t>
      </w:r>
      <w:r>
        <w:rPr>
          <w:rFonts w:hint="eastAsia" w:ascii="宋体" w:hAnsi="宋体" w:cs="宋体"/>
          <w:color w:val="auto"/>
          <w:spacing w:val="8"/>
          <w:sz w:val="20"/>
          <w:szCs w:val="20"/>
          <w:highlight w:val="none"/>
        </w:rPr>
        <w:t>知、提供或者报送期限即</w:t>
      </w:r>
      <w:r>
        <w:rPr>
          <w:rFonts w:hint="eastAsia" w:ascii="宋体" w:hAnsi="宋体" w:cs="宋体"/>
          <w:color w:val="auto"/>
          <w:spacing w:val="6"/>
          <w:sz w:val="20"/>
          <w:szCs w:val="20"/>
          <w:highlight w:val="none"/>
        </w:rPr>
        <w:t>为送达期限。</w:t>
      </w:r>
    </w:p>
    <w:p w14:paraId="6DA0B05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（2）发包人指定的接收人和接收地点见合同条款专用部分。</w:t>
      </w:r>
    </w:p>
    <w:p w14:paraId="5B15547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（3）监理人指定的接收人和接收地点见合同条款专用部分。</w:t>
      </w:r>
    </w:p>
    <w:p w14:paraId="2CB0B9E5">
      <w:pPr>
        <w:spacing w:before="159" w:line="360" w:lineRule="auto"/>
        <w:ind w:left="19" w:right="6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（4）承包人指定的接收人为合同协议书中载明的承包人项目经理本人或者项目经理的</w:t>
      </w:r>
      <w:r>
        <w:rPr>
          <w:rFonts w:hint="eastAsia" w:ascii="宋体" w:hAnsi="宋体" w:cs="宋体"/>
          <w:color w:val="auto"/>
          <w:spacing w:val="7"/>
          <w:sz w:val="20"/>
          <w:szCs w:val="20"/>
          <w:highlight w:val="none"/>
        </w:rPr>
        <w:t>授权代表。承包人应在收到开工通知后7天内，按照合同条款第4.5.4</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项的约定，将授权代</w:t>
      </w:r>
      <w:r>
        <w:rPr>
          <w:rFonts w:hint="eastAsia" w:ascii="宋体" w:hAnsi="宋体" w:cs="宋体"/>
          <w:color w:val="auto"/>
          <w:spacing w:val="8"/>
          <w:sz w:val="20"/>
          <w:szCs w:val="20"/>
          <w:highlight w:val="none"/>
        </w:rPr>
        <w:t>表其接收来往信函的项目经理的授权代表姓名和授权</w:t>
      </w:r>
      <w:r>
        <w:rPr>
          <w:rFonts w:hint="eastAsia" w:ascii="宋体" w:hAnsi="宋体" w:cs="宋体"/>
          <w:color w:val="auto"/>
          <w:spacing w:val="7"/>
          <w:sz w:val="20"/>
          <w:szCs w:val="20"/>
          <w:highlight w:val="none"/>
        </w:rPr>
        <w:t>范围通知监理人。除合同条款专用部分</w:t>
      </w:r>
      <w:r>
        <w:rPr>
          <w:rFonts w:hint="eastAsia" w:ascii="宋体" w:hAnsi="宋体" w:cs="宋体"/>
          <w:color w:val="auto"/>
          <w:spacing w:val="9"/>
          <w:sz w:val="20"/>
          <w:szCs w:val="20"/>
          <w:highlight w:val="none"/>
        </w:rPr>
        <w:t>另有约定外，承包人施工场地管理机构的办公地点即为承包人指定的接收地点。</w:t>
      </w:r>
    </w:p>
    <w:p w14:paraId="7C14C5D4">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（5）发包人（包括监理人）和承包人中任何一方指定的接收人或者</w:t>
      </w:r>
      <w:r>
        <w:rPr>
          <w:rFonts w:hint="eastAsia" w:ascii="宋体" w:hAnsi="宋体" w:cs="宋体"/>
          <w:color w:val="auto"/>
          <w:spacing w:val="5"/>
          <w:sz w:val="20"/>
          <w:szCs w:val="20"/>
          <w:highlight w:val="none"/>
        </w:rPr>
        <w:t>接收地点发生变动，</w:t>
      </w:r>
      <w:r>
        <w:rPr>
          <w:rFonts w:hint="eastAsia" w:ascii="宋体" w:hAnsi="宋体" w:cs="宋体"/>
          <w:color w:val="auto"/>
          <w:spacing w:val="8"/>
          <w:sz w:val="20"/>
          <w:szCs w:val="20"/>
          <w:highlight w:val="none"/>
        </w:rPr>
        <w:t>应当在实际变动前提前至少一个工作日以书</w:t>
      </w:r>
      <w:r>
        <w:rPr>
          <w:rFonts w:hint="eastAsia" w:ascii="宋体" w:hAnsi="宋体" w:cs="宋体"/>
          <w:color w:val="auto"/>
          <w:spacing w:val="7"/>
          <w:sz w:val="20"/>
          <w:szCs w:val="20"/>
          <w:highlight w:val="none"/>
        </w:rPr>
        <w:t>面形式通知另一方。发包人（包括监理人）和承</w:t>
      </w:r>
      <w:r>
        <w:rPr>
          <w:rFonts w:hint="eastAsia" w:ascii="宋体" w:hAnsi="宋体" w:cs="宋体"/>
          <w:color w:val="auto"/>
          <w:spacing w:val="8"/>
          <w:sz w:val="20"/>
          <w:szCs w:val="20"/>
          <w:highlight w:val="none"/>
        </w:rPr>
        <w:t>包人应当确保其各自指定的接收人在法定的和（或</w:t>
      </w:r>
      <w:r>
        <w:rPr>
          <w:rFonts w:hint="eastAsia" w:ascii="宋体" w:hAnsi="宋体" w:cs="宋体"/>
          <w:color w:val="auto"/>
          <w:spacing w:val="7"/>
          <w:sz w:val="20"/>
          <w:szCs w:val="20"/>
          <w:highlight w:val="none"/>
        </w:rPr>
        <w:t>）符合合同约定的工作时间内始终工作在</w:t>
      </w:r>
      <w:r>
        <w:rPr>
          <w:rFonts w:hint="eastAsia" w:ascii="宋体" w:hAnsi="宋体" w:cs="宋体"/>
          <w:color w:val="auto"/>
          <w:spacing w:val="9"/>
          <w:sz w:val="20"/>
          <w:szCs w:val="20"/>
          <w:highlight w:val="none"/>
        </w:rPr>
        <w:t>指定的接收地点，指定接收人离开工作岗位而无法及时签收来往信函视为拒不签收。</w:t>
      </w:r>
    </w:p>
    <w:p w14:paraId="5F1C9FA6">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（6）发包人（包括监理人）和承包人中任何一方均应当及时签收另一方送达其指定接</w:t>
      </w:r>
      <w:r>
        <w:rPr>
          <w:rFonts w:hint="eastAsia" w:ascii="宋体" w:hAnsi="宋体" w:cs="宋体"/>
          <w:color w:val="auto"/>
          <w:spacing w:val="8"/>
          <w:sz w:val="20"/>
          <w:szCs w:val="20"/>
          <w:highlight w:val="none"/>
        </w:rPr>
        <w:t>收地点的来往信函，拒不签收的，送达信函的一方可</w:t>
      </w:r>
      <w:r>
        <w:rPr>
          <w:rFonts w:hint="eastAsia" w:ascii="宋体" w:hAnsi="宋体" w:cs="宋体"/>
          <w:color w:val="auto"/>
          <w:spacing w:val="7"/>
          <w:sz w:val="20"/>
          <w:szCs w:val="20"/>
          <w:highlight w:val="none"/>
        </w:rPr>
        <w:t>以采用挂号或者公证方式送达，由此所</w:t>
      </w:r>
      <w:r>
        <w:rPr>
          <w:rFonts w:hint="eastAsia" w:ascii="宋体" w:hAnsi="宋体" w:cs="宋体"/>
          <w:color w:val="auto"/>
          <w:spacing w:val="8"/>
          <w:sz w:val="20"/>
          <w:szCs w:val="20"/>
          <w:highlight w:val="none"/>
        </w:rPr>
        <w:t>造成的直接的和间接的费用增加（包括被迫采</w:t>
      </w:r>
      <w:r>
        <w:rPr>
          <w:rFonts w:hint="eastAsia" w:ascii="宋体" w:hAnsi="宋体" w:cs="宋体"/>
          <w:color w:val="auto"/>
          <w:spacing w:val="7"/>
          <w:sz w:val="20"/>
          <w:szCs w:val="20"/>
          <w:highlight w:val="none"/>
        </w:rPr>
        <w:t>用特殊送达方式所发生的费用）和（或）延误</w:t>
      </w:r>
      <w:r>
        <w:rPr>
          <w:rFonts w:hint="eastAsia" w:ascii="宋体" w:hAnsi="宋体" w:cs="宋体"/>
          <w:color w:val="auto"/>
          <w:spacing w:val="8"/>
          <w:sz w:val="20"/>
          <w:szCs w:val="20"/>
          <w:highlight w:val="none"/>
        </w:rPr>
        <w:t>的工期由拒绝签收一方承担。</w:t>
      </w:r>
    </w:p>
    <w:p w14:paraId="74368268">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1.8</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转让</w:t>
      </w:r>
    </w:p>
    <w:p w14:paraId="14078676">
      <w:pPr>
        <w:spacing w:before="296" w:line="360" w:lineRule="auto"/>
        <w:ind w:left="20" w:right="92" w:firstLine="43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除合同另有约定外，未经对方当事人同意，一方当事人不得将合同权利全部或部分转让</w:t>
      </w:r>
      <w:r>
        <w:rPr>
          <w:rFonts w:hint="eastAsia" w:ascii="宋体" w:hAnsi="宋体" w:cs="宋体"/>
          <w:color w:val="auto"/>
          <w:spacing w:val="8"/>
          <w:sz w:val="20"/>
          <w:szCs w:val="20"/>
          <w:highlight w:val="none"/>
        </w:rPr>
        <w:t>给第三人，也不得全部或部分转移合同义务。</w:t>
      </w:r>
    </w:p>
    <w:p w14:paraId="32491CB6">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1.9</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严禁贿赂</w:t>
      </w:r>
    </w:p>
    <w:p w14:paraId="563FA905">
      <w:pPr>
        <w:spacing w:before="297" w:line="360" w:lineRule="auto"/>
        <w:ind w:left="19"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合同双方当事人不得以贿赂或变相贿赂的方式，谋取不当利益或损害对方权益。因贿赂</w:t>
      </w:r>
      <w:r>
        <w:rPr>
          <w:rFonts w:hint="eastAsia" w:ascii="宋体" w:hAnsi="宋体" w:cs="宋体"/>
          <w:color w:val="auto"/>
          <w:spacing w:val="9"/>
          <w:sz w:val="20"/>
          <w:szCs w:val="20"/>
          <w:highlight w:val="none"/>
        </w:rPr>
        <w:t>造成对方损失的，行为人应赔偿损失，并承担相应的法律责任。</w:t>
      </w:r>
    </w:p>
    <w:p w14:paraId="19F93D2E">
      <w:pPr>
        <w:spacing w:before="121"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1.10  化石、文物</w:t>
      </w:r>
    </w:p>
    <w:p w14:paraId="73D13FC1">
      <w:pPr>
        <w:spacing w:before="298" w:line="360" w:lineRule="auto"/>
        <w:ind w:left="20" w:right="2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1.10.1  在施工场地发掘的所有文物、古迹以及具有地质研究或考古价值的其他遗</w:t>
      </w:r>
      <w:r>
        <w:rPr>
          <w:rFonts w:hint="eastAsia" w:ascii="宋体" w:hAnsi="宋体" w:cs="宋体"/>
          <w:color w:val="auto"/>
          <w:spacing w:val="7"/>
          <w:sz w:val="20"/>
          <w:szCs w:val="20"/>
          <w:highlight w:val="none"/>
        </w:rPr>
        <w:t>迹、</w:t>
      </w:r>
      <w:r>
        <w:rPr>
          <w:rFonts w:hint="eastAsia" w:ascii="宋体" w:hAnsi="宋体" w:cs="宋体"/>
          <w:color w:val="auto"/>
          <w:spacing w:val="9"/>
          <w:sz w:val="20"/>
          <w:szCs w:val="20"/>
          <w:highlight w:val="none"/>
        </w:rPr>
        <w:t>化石、钱币或物品属于国家所有。一旦发现上述文物，承包人应采取有效合理的保护措施，</w:t>
      </w:r>
      <w:r>
        <w:rPr>
          <w:rFonts w:hint="eastAsia" w:ascii="宋体" w:hAnsi="宋体" w:cs="宋体"/>
          <w:color w:val="auto"/>
          <w:spacing w:val="8"/>
          <w:sz w:val="20"/>
          <w:szCs w:val="20"/>
          <w:highlight w:val="none"/>
        </w:rPr>
        <w:t>防止任何人员移动或损坏上述物品，并立即</w:t>
      </w:r>
      <w:r>
        <w:rPr>
          <w:rFonts w:hint="eastAsia" w:ascii="宋体" w:hAnsi="宋体" w:cs="宋体"/>
          <w:color w:val="auto"/>
          <w:spacing w:val="7"/>
          <w:sz w:val="20"/>
          <w:szCs w:val="20"/>
          <w:highlight w:val="none"/>
        </w:rPr>
        <w:t>报告当地文物行政部门，同时通知监理人。发包</w:t>
      </w:r>
      <w:r>
        <w:rPr>
          <w:rFonts w:hint="eastAsia" w:ascii="宋体" w:hAnsi="宋体" w:cs="宋体"/>
          <w:color w:val="auto"/>
          <w:spacing w:val="8"/>
          <w:sz w:val="20"/>
          <w:szCs w:val="20"/>
          <w:highlight w:val="none"/>
        </w:rPr>
        <w:t>人、监理人和承包人应按文物行政部门要求采取妥善保护措施，</w:t>
      </w:r>
      <w:r>
        <w:rPr>
          <w:rFonts w:hint="eastAsia" w:ascii="宋体" w:hAnsi="宋体" w:cs="宋体"/>
          <w:color w:val="auto"/>
          <w:spacing w:val="-51"/>
          <w:sz w:val="20"/>
          <w:szCs w:val="20"/>
          <w:highlight w:val="none"/>
        </w:rPr>
        <w:t xml:space="preserve"> </w:t>
      </w:r>
      <w:r>
        <w:rPr>
          <w:rFonts w:hint="eastAsia" w:ascii="宋体" w:hAnsi="宋体" w:cs="宋体"/>
          <w:color w:val="auto"/>
          <w:spacing w:val="8"/>
          <w:sz w:val="20"/>
          <w:szCs w:val="20"/>
          <w:highlight w:val="none"/>
        </w:rPr>
        <w:t>由此导致费用增加和（或）工期延误由发包人承担。</w:t>
      </w:r>
    </w:p>
    <w:p w14:paraId="288B52D4">
      <w:pPr>
        <w:spacing w:before="159"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1.10.2  承包人发现文物后不及时报告或隐瞒不报，致使文物丢失或损坏的，应赔偿损</w:t>
      </w:r>
      <w:r>
        <w:rPr>
          <w:rFonts w:hint="eastAsia" w:ascii="宋体" w:hAnsi="宋体" w:cs="宋体"/>
          <w:color w:val="auto"/>
          <w:spacing w:val="8"/>
          <w:sz w:val="20"/>
          <w:szCs w:val="20"/>
          <w:highlight w:val="none"/>
        </w:rPr>
        <w:t>失，并承担相应的法律责任。</w:t>
      </w:r>
    </w:p>
    <w:p w14:paraId="6CEC56DC">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1.11</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专利技术</w:t>
      </w:r>
    </w:p>
    <w:p w14:paraId="0432FEDA">
      <w:pPr>
        <w:spacing w:before="298"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1.11.1  承包人在使用任何材料、承包人设备或采用施工工艺时，因侵犯专利权或其他</w:t>
      </w:r>
      <w:r>
        <w:rPr>
          <w:rFonts w:hint="eastAsia" w:ascii="宋体" w:hAnsi="宋体" w:cs="宋体"/>
          <w:color w:val="auto"/>
          <w:spacing w:val="7"/>
          <w:sz w:val="20"/>
          <w:szCs w:val="20"/>
          <w:highlight w:val="none"/>
        </w:rPr>
        <w:t>知识产权所引起的责任，由承包人承担，但由于遵照发包人提供的设计或技术标准和要求引</w:t>
      </w:r>
      <w:r>
        <w:rPr>
          <w:rFonts w:hint="eastAsia" w:ascii="宋体" w:hAnsi="宋体" w:cs="宋体"/>
          <w:color w:val="auto"/>
          <w:spacing w:val="5"/>
          <w:sz w:val="20"/>
          <w:szCs w:val="20"/>
          <w:highlight w:val="none"/>
        </w:rPr>
        <w:t>起的除外。</w:t>
      </w:r>
    </w:p>
    <w:p w14:paraId="4C155B14">
      <w:pPr>
        <w:spacing w:before="298" w:line="360" w:lineRule="auto"/>
        <w:ind w:left="20" w:right="92" w:firstLine="434"/>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1.11.2  承包人在投标文件中采用专利技术的，专利技术的使用费包含在投标报价内。</w:t>
      </w:r>
    </w:p>
    <w:p w14:paraId="7506601D">
      <w:pPr>
        <w:spacing w:before="162" w:line="360" w:lineRule="auto"/>
        <w:ind w:left="43" w:right="94" w:firstLine="41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1.11.3  承包人的技术秘密和声明需要保密的资料和信息，发包人和监理人不得为合同</w:t>
      </w:r>
      <w:r>
        <w:rPr>
          <w:rFonts w:hint="eastAsia" w:ascii="宋体" w:hAnsi="宋体" w:cs="宋体"/>
          <w:color w:val="auto"/>
          <w:spacing w:val="5"/>
          <w:sz w:val="20"/>
          <w:szCs w:val="20"/>
          <w:highlight w:val="none"/>
        </w:rPr>
        <w:t>以外的目的泄露给他人。</w:t>
      </w:r>
    </w:p>
    <w:p w14:paraId="270D5ECD">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1.12</w:t>
      </w:r>
      <w:r>
        <w:rPr>
          <w:rFonts w:hint="eastAsia" w:ascii="宋体" w:hAnsi="宋体" w:cs="宋体"/>
          <w:color w:val="auto"/>
          <w:spacing w:val="16"/>
          <w:sz w:val="24"/>
          <w:highlight w:val="none"/>
        </w:rPr>
        <w:t xml:space="preserve">  </w:t>
      </w:r>
      <w:r>
        <w:rPr>
          <w:rFonts w:hint="eastAsia" w:ascii="宋体" w:hAnsi="宋体" w:cs="宋体"/>
          <w:color w:val="auto"/>
          <w:spacing w:val="-5"/>
          <w:sz w:val="24"/>
          <w:highlight w:val="none"/>
        </w:rPr>
        <w:t>图纸和文件的保密</w:t>
      </w:r>
    </w:p>
    <w:p w14:paraId="60D79A3E">
      <w:pPr>
        <w:spacing w:before="297"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  发包人提供的图纸和文件，未经发包人同意，承包人不得为合同以外的目的泄</w:t>
      </w:r>
      <w:r>
        <w:rPr>
          <w:rFonts w:hint="eastAsia" w:ascii="宋体" w:hAnsi="宋体" w:cs="宋体"/>
          <w:color w:val="auto"/>
          <w:spacing w:val="8"/>
          <w:sz w:val="20"/>
          <w:szCs w:val="20"/>
          <w:highlight w:val="none"/>
        </w:rPr>
        <w:t>露给他人或公开发表与引用。</w:t>
      </w:r>
    </w:p>
    <w:p w14:paraId="262FAA8C">
      <w:pPr>
        <w:spacing w:before="159"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1.12.2  承包人提供的文件，未经承包人同意，发包人和监理人不得为合同以外的目的</w:t>
      </w:r>
      <w:r>
        <w:rPr>
          <w:rFonts w:hint="eastAsia" w:ascii="宋体" w:hAnsi="宋体" w:cs="宋体"/>
          <w:color w:val="auto"/>
          <w:spacing w:val="8"/>
          <w:sz w:val="20"/>
          <w:szCs w:val="20"/>
          <w:highlight w:val="none"/>
        </w:rPr>
        <w:t>泄露给他人或公开发表与引用。</w:t>
      </w:r>
    </w:p>
    <w:p w14:paraId="78826664">
      <w:pPr>
        <w:spacing w:before="283"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工程量清单缺陷引起的价格调整（适用于采用单价合同形式）</w:t>
      </w:r>
    </w:p>
    <w:p w14:paraId="0FD1EC72">
      <w:pPr>
        <w:spacing w:before="299" w:line="360" w:lineRule="auto"/>
        <w:ind w:left="45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因工程量清单缺陷引起价格调整的办法见合同条款专用部分。</w:t>
      </w:r>
    </w:p>
    <w:p w14:paraId="719C420C">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暂定数量单价计价项目的价格调整（适用于采用总价合同形式）</w:t>
      </w:r>
    </w:p>
    <w:p w14:paraId="635714FC">
      <w:pPr>
        <w:spacing w:before="298" w:line="360" w:lineRule="auto"/>
        <w:ind w:left="23" w:right="284" w:firstLine="41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分部分项工程项目清单工程量为暂定数量单价计</w:t>
      </w:r>
      <w:r>
        <w:rPr>
          <w:rFonts w:hint="eastAsia" w:ascii="宋体" w:hAnsi="宋体" w:cs="宋体"/>
          <w:color w:val="auto"/>
          <w:spacing w:val="9"/>
          <w:sz w:val="20"/>
          <w:szCs w:val="20"/>
          <w:highlight w:val="none"/>
        </w:rPr>
        <w:t>价项目的价格调整办法见合同条款专</w:t>
      </w:r>
      <w:r>
        <w:rPr>
          <w:rFonts w:hint="eastAsia" w:ascii="宋体" w:hAnsi="宋体" w:cs="宋体"/>
          <w:color w:val="auto"/>
          <w:spacing w:val="4"/>
          <w:sz w:val="20"/>
          <w:szCs w:val="20"/>
          <w:highlight w:val="none"/>
        </w:rPr>
        <w:t>用部分。</w:t>
      </w:r>
    </w:p>
    <w:p w14:paraId="610A14FC">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2.发包人义务</w:t>
      </w:r>
    </w:p>
    <w:p w14:paraId="6D83F4BA">
      <w:pPr>
        <w:spacing w:before="79"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  遵守法律</w:t>
      </w:r>
    </w:p>
    <w:p w14:paraId="7975CF8A">
      <w:pPr>
        <w:spacing w:before="297" w:line="360" w:lineRule="auto"/>
        <w:ind w:left="36" w:right="159" w:firstLine="40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发包人在履行合同过程中应遵守法律，并保证承包人免于承担因发包人违反法律而引起</w:t>
      </w:r>
      <w:r>
        <w:rPr>
          <w:rFonts w:hint="eastAsia" w:ascii="宋体" w:hAnsi="宋体" w:cs="宋体"/>
          <w:color w:val="auto"/>
          <w:spacing w:val="3"/>
          <w:sz w:val="20"/>
          <w:szCs w:val="20"/>
          <w:highlight w:val="none"/>
        </w:rPr>
        <w:t>的任何责任。</w:t>
      </w:r>
    </w:p>
    <w:p w14:paraId="255D3768">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  发出开工通知</w:t>
      </w:r>
    </w:p>
    <w:p w14:paraId="477267B1">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发包人应委托监理人按第11.1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款的约定向承包人发出开工通知。</w:t>
      </w:r>
    </w:p>
    <w:p w14:paraId="60513E56">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2.3  提供施工场地</w:t>
      </w:r>
    </w:p>
    <w:p w14:paraId="0B15B546">
      <w:pPr>
        <w:spacing w:before="294" w:line="360" w:lineRule="auto"/>
        <w:ind w:left="8" w:right="106" w:firstLine="43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发包人应在约定期限前确保施工场地具备施工条件并</w:t>
      </w:r>
      <w:r>
        <w:rPr>
          <w:rFonts w:hint="eastAsia" w:ascii="宋体" w:hAnsi="宋体" w:cs="宋体"/>
          <w:color w:val="auto"/>
          <w:spacing w:val="9"/>
          <w:sz w:val="20"/>
          <w:szCs w:val="20"/>
          <w:highlight w:val="none"/>
        </w:rPr>
        <w:t>移交给承包人，具体施工条件在</w:t>
      </w:r>
      <w:r>
        <w:rPr>
          <w:rFonts w:hint="eastAsia" w:ascii="宋体" w:hAnsi="宋体" w:cs="宋体"/>
          <w:color w:val="auto"/>
          <w:spacing w:val="6"/>
          <w:sz w:val="20"/>
          <w:szCs w:val="20"/>
          <w:highlight w:val="none"/>
        </w:rPr>
        <w:t>“技术标准和要求</w:t>
      </w:r>
      <w:r>
        <w:rPr>
          <w:rFonts w:hint="eastAsia" w:ascii="宋体" w:hAnsi="宋体" w:cs="宋体"/>
          <w:color w:val="auto"/>
          <w:spacing w:val="-59"/>
          <w:sz w:val="20"/>
          <w:szCs w:val="20"/>
          <w:highlight w:val="none"/>
        </w:rPr>
        <w:t xml:space="preserve"> </w:t>
      </w:r>
      <w:r>
        <w:rPr>
          <w:rFonts w:hint="eastAsia" w:ascii="宋体" w:hAnsi="宋体" w:cs="宋体"/>
          <w:color w:val="auto"/>
          <w:spacing w:val="6"/>
          <w:sz w:val="20"/>
          <w:szCs w:val="20"/>
          <w:highlight w:val="none"/>
        </w:rPr>
        <w:t>”第一节“一般要求</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”中约定。发包人最迟应当在移交施工场地的同时向</w:t>
      </w:r>
      <w:r>
        <w:rPr>
          <w:rFonts w:hint="eastAsia" w:ascii="宋体" w:hAnsi="宋体" w:cs="宋体"/>
          <w:color w:val="auto"/>
          <w:spacing w:val="9"/>
          <w:sz w:val="20"/>
          <w:szCs w:val="20"/>
          <w:highlight w:val="none"/>
        </w:rPr>
        <w:t>承包人提供施工场地内地下管线和地下设施等有关资料，并保证资料的真实、准确和完整。发包人移交施工场地的期限见合同条款专用部分。</w:t>
      </w:r>
    </w:p>
    <w:p w14:paraId="0BCD13D6">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  协助承包人办理证件和批件</w:t>
      </w:r>
    </w:p>
    <w:p w14:paraId="334D5C67">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发包人应协助承包人办理法律规定的有关施工证件和批件。</w:t>
      </w:r>
    </w:p>
    <w:p w14:paraId="183D4EFE">
      <w:pPr>
        <w:spacing w:before="284"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2.5  组织设计交底</w:t>
      </w:r>
    </w:p>
    <w:p w14:paraId="41CF1566">
      <w:pPr>
        <w:spacing w:before="296"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发包人应根据批准的合同进度计划，组织设计单位向承包人进行设计交底。</w:t>
      </w:r>
    </w:p>
    <w:p w14:paraId="12BF7C10">
      <w:pPr>
        <w:spacing w:before="161" w:line="360" w:lineRule="auto"/>
        <w:ind w:left="19" w:right="178"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发包人应在第11.1.1</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项约定的开工日期前，组织设计人向承包人进行合同工程</w:t>
      </w:r>
      <w:r>
        <w:rPr>
          <w:rFonts w:hint="eastAsia" w:ascii="宋体" w:hAnsi="宋体" w:cs="宋体"/>
          <w:color w:val="auto"/>
          <w:spacing w:val="7"/>
          <w:sz w:val="20"/>
          <w:szCs w:val="20"/>
          <w:highlight w:val="none"/>
        </w:rPr>
        <w:t>总体设计交底（包括图纸会审）。发包人还应按照合同进度计划中载明的阶段性设计交底时间，组织和安排阶段工程设计交底（包括图纸会审）。承包人应当以书面方式通过监理人向发包人</w:t>
      </w:r>
      <w:r>
        <w:rPr>
          <w:rFonts w:hint="eastAsia" w:ascii="宋体" w:hAnsi="宋体" w:cs="宋体"/>
          <w:color w:val="auto"/>
          <w:spacing w:val="9"/>
          <w:sz w:val="20"/>
          <w:szCs w:val="20"/>
          <w:highlight w:val="none"/>
        </w:rPr>
        <w:t>申请增加设计交底，发包人在认为确有必要且条件许可时，应当尽快组织这类设计交底。</w:t>
      </w:r>
    </w:p>
    <w:p w14:paraId="4E4A1026">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2.6  支付合同价款</w:t>
      </w:r>
    </w:p>
    <w:p w14:paraId="7D44251B">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发包人应按合同约定向承包人及时支付合同价</w:t>
      </w:r>
      <w:r>
        <w:rPr>
          <w:rFonts w:hint="eastAsia" w:ascii="宋体" w:hAnsi="宋体" w:cs="宋体"/>
          <w:color w:val="auto"/>
          <w:spacing w:val="8"/>
          <w:sz w:val="20"/>
          <w:szCs w:val="20"/>
          <w:highlight w:val="none"/>
        </w:rPr>
        <w:t>款。</w:t>
      </w:r>
    </w:p>
    <w:p w14:paraId="1CE542D9">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发包人应当严格落实人工费用与其他工程款分账管理制度，分解工程价款中的人工费用，</w:t>
      </w:r>
      <w:r>
        <w:rPr>
          <w:rFonts w:hint="eastAsia" w:ascii="宋体" w:hAnsi="宋体" w:cs="宋体"/>
          <w:color w:val="auto"/>
          <w:spacing w:val="9"/>
          <w:sz w:val="20"/>
          <w:szCs w:val="20"/>
          <w:highlight w:val="none"/>
        </w:rPr>
        <w:t>及时足额将人工费用拨付到承包人的工资专用账户。</w:t>
      </w:r>
    </w:p>
    <w:p w14:paraId="7267EBF9">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2.7  组织竣工验收</w:t>
      </w:r>
    </w:p>
    <w:p w14:paraId="36F90EA6">
      <w:pPr>
        <w:spacing w:before="297"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发包人应按合同约定及时组织竣工验收。发包人在组织竣工验收时，应对工程是否符合</w:t>
      </w:r>
      <w:r>
        <w:rPr>
          <w:rFonts w:hint="eastAsia" w:ascii="宋体" w:hAnsi="宋体" w:cs="宋体"/>
          <w:color w:val="auto"/>
          <w:spacing w:val="9"/>
          <w:sz w:val="20"/>
          <w:szCs w:val="20"/>
          <w:highlight w:val="none"/>
        </w:rPr>
        <w:t>消防要求进行查验。经查验不符合规定的，发包人不得编制工程竣工验收报告。</w:t>
      </w:r>
    </w:p>
    <w:p w14:paraId="185BB2D8">
      <w:pPr>
        <w:spacing w:before="123"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2.8</w:t>
      </w:r>
      <w:r>
        <w:rPr>
          <w:rFonts w:hint="eastAsia" w:ascii="宋体" w:hAnsi="宋体" w:cs="宋体"/>
          <w:color w:val="auto"/>
          <w:spacing w:val="19"/>
          <w:sz w:val="24"/>
          <w:highlight w:val="none"/>
        </w:rPr>
        <w:t xml:space="preserve">  </w:t>
      </w:r>
      <w:r>
        <w:rPr>
          <w:rFonts w:hint="eastAsia" w:ascii="宋体" w:hAnsi="宋体" w:cs="宋体"/>
          <w:color w:val="auto"/>
          <w:spacing w:val="-4"/>
          <w:sz w:val="24"/>
          <w:highlight w:val="none"/>
        </w:rPr>
        <w:t>向承包人提交支付担保</w:t>
      </w:r>
    </w:p>
    <w:p w14:paraId="06958958">
      <w:pPr>
        <w:spacing w:before="296"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（1）发包人要求承包人提交履约担保的，除合同条款专用部</w:t>
      </w:r>
      <w:r>
        <w:rPr>
          <w:rFonts w:hint="eastAsia" w:ascii="宋体" w:hAnsi="宋体" w:cs="宋体"/>
          <w:color w:val="auto"/>
          <w:spacing w:val="9"/>
          <w:sz w:val="20"/>
          <w:szCs w:val="20"/>
          <w:highlight w:val="none"/>
        </w:rPr>
        <w:t>分另有约定的，在承包人</w:t>
      </w:r>
      <w:r>
        <w:rPr>
          <w:rFonts w:hint="eastAsia" w:ascii="宋体" w:hAnsi="宋体" w:cs="宋体"/>
          <w:color w:val="auto"/>
          <w:spacing w:val="8"/>
          <w:sz w:val="20"/>
          <w:szCs w:val="20"/>
          <w:highlight w:val="none"/>
        </w:rPr>
        <w:t>按合同条款第4.2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款向发包人递交符合合同约定的履约担保的同时，发包人应当按照金额和</w:t>
      </w:r>
      <w:r>
        <w:rPr>
          <w:rFonts w:hint="eastAsia" w:ascii="宋体" w:hAnsi="宋体" w:cs="宋体"/>
          <w:color w:val="auto"/>
          <w:spacing w:val="13"/>
          <w:sz w:val="20"/>
          <w:szCs w:val="20"/>
          <w:highlight w:val="none"/>
        </w:rPr>
        <w:t>条件对等的原则和合同文件中规定的格式或者其他经过承包人事先认可的</w:t>
      </w:r>
      <w:r>
        <w:rPr>
          <w:rFonts w:hint="eastAsia" w:ascii="宋体" w:hAnsi="宋体" w:cs="宋体"/>
          <w:color w:val="auto"/>
          <w:spacing w:val="12"/>
          <w:sz w:val="20"/>
          <w:szCs w:val="20"/>
          <w:highlight w:val="none"/>
        </w:rPr>
        <w:t>格式向承包人递</w:t>
      </w:r>
      <w:r>
        <w:rPr>
          <w:rFonts w:hint="eastAsia" w:ascii="宋体" w:hAnsi="宋体" w:cs="宋体"/>
          <w:color w:val="auto"/>
          <w:spacing w:val="9"/>
          <w:sz w:val="20"/>
          <w:szCs w:val="20"/>
          <w:highlight w:val="none"/>
        </w:rPr>
        <w:t>交一份支付担保。发包人提供支付担保格式见合同条款专用部分附件六。</w:t>
      </w:r>
    </w:p>
    <w:p w14:paraId="02741C5A">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（2）支付担保的有效期应当自本合同生效之日起至发包人实际支付竣工付款之日止。</w:t>
      </w:r>
    </w:p>
    <w:p w14:paraId="1EFA084C">
      <w:pPr>
        <w:spacing w:before="162" w:line="360" w:lineRule="auto"/>
        <w:ind w:left="22" w:right="92"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（3）发包人无法获得一份不带具体截止日期的履约担保，支</w:t>
      </w:r>
      <w:r>
        <w:rPr>
          <w:rFonts w:hint="eastAsia" w:ascii="宋体" w:hAnsi="宋体" w:cs="宋体"/>
          <w:color w:val="auto"/>
          <w:spacing w:val="9"/>
          <w:sz w:val="20"/>
          <w:szCs w:val="20"/>
          <w:highlight w:val="none"/>
        </w:rPr>
        <w:t>付担保中应当约定有“变</w:t>
      </w:r>
      <w:r>
        <w:rPr>
          <w:rFonts w:hint="eastAsia" w:ascii="宋体" w:hAnsi="宋体" w:cs="宋体"/>
          <w:color w:val="auto"/>
          <w:spacing w:val="7"/>
          <w:sz w:val="20"/>
          <w:szCs w:val="20"/>
          <w:highlight w:val="none"/>
        </w:rPr>
        <w:t>更工程竣工付款支付日期的，保证期间按照变更后的竣工付款支付日期</w:t>
      </w:r>
      <w:r>
        <w:rPr>
          <w:rFonts w:hint="eastAsia" w:ascii="宋体" w:hAnsi="宋体" w:cs="宋体"/>
          <w:color w:val="auto"/>
          <w:spacing w:val="6"/>
          <w:sz w:val="20"/>
          <w:szCs w:val="20"/>
          <w:highlight w:val="none"/>
        </w:rPr>
        <w:t>做相应调整</w:t>
      </w:r>
      <w:r>
        <w:rPr>
          <w:rFonts w:hint="eastAsia" w:ascii="宋体" w:hAnsi="宋体" w:cs="宋体"/>
          <w:color w:val="auto"/>
          <w:spacing w:val="-72"/>
          <w:sz w:val="20"/>
          <w:szCs w:val="20"/>
          <w:highlight w:val="none"/>
        </w:rPr>
        <w:t xml:space="preserve"> </w:t>
      </w:r>
      <w:r>
        <w:rPr>
          <w:rFonts w:hint="eastAsia" w:ascii="宋体" w:hAnsi="宋体" w:cs="宋体"/>
          <w:color w:val="auto"/>
          <w:spacing w:val="6"/>
          <w:sz w:val="20"/>
          <w:szCs w:val="20"/>
          <w:highlight w:val="none"/>
        </w:rPr>
        <w:t>”或类似约定的条款。</w:t>
      </w:r>
    </w:p>
    <w:p w14:paraId="26A4E41F">
      <w:pPr>
        <w:spacing w:before="162"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（4）支付担保应当在发包人付清竣工付款之日后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天内退还给发包人；承包人不承担</w:t>
      </w:r>
      <w:r>
        <w:rPr>
          <w:rFonts w:hint="eastAsia" w:ascii="宋体" w:hAnsi="宋体" w:cs="宋体"/>
          <w:color w:val="auto"/>
          <w:spacing w:val="9"/>
          <w:sz w:val="20"/>
          <w:szCs w:val="20"/>
          <w:highlight w:val="none"/>
        </w:rPr>
        <w:t>发包人与支付担保有关的任何利息或其它类似的费用或者收益。</w:t>
      </w:r>
    </w:p>
    <w:p w14:paraId="3DD34ED5">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2.9  办理工程质量监督手续</w:t>
      </w:r>
    </w:p>
    <w:p w14:paraId="417E7ECA">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发包人应按有关规定及时办理工程质量监督手</w:t>
      </w:r>
      <w:r>
        <w:rPr>
          <w:rFonts w:hint="eastAsia" w:ascii="宋体" w:hAnsi="宋体" w:cs="宋体"/>
          <w:color w:val="auto"/>
          <w:spacing w:val="8"/>
          <w:sz w:val="20"/>
          <w:szCs w:val="20"/>
          <w:highlight w:val="none"/>
        </w:rPr>
        <w:t>续。</w:t>
      </w:r>
    </w:p>
    <w:p w14:paraId="4F76DC22">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2.10  环境保护责任</w:t>
      </w:r>
    </w:p>
    <w:p w14:paraId="41EA204A">
      <w:pPr>
        <w:spacing w:before="295" w:line="360" w:lineRule="auto"/>
        <w:ind w:left="3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发包人对建筑垃圾处理、施工扬尘治理负总责。</w:t>
      </w:r>
    </w:p>
    <w:p w14:paraId="4EBC8149">
      <w:pPr>
        <w:spacing w:before="28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2.11  移交工程档案</w:t>
      </w:r>
    </w:p>
    <w:p w14:paraId="5D1683CF">
      <w:pPr>
        <w:spacing w:before="294" w:line="360" w:lineRule="auto"/>
        <w:ind w:left="19" w:right="40"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发包人应根据建设行政主管部门和（或）城市建设档案管理</w:t>
      </w:r>
      <w:r>
        <w:rPr>
          <w:rFonts w:hint="eastAsia" w:ascii="宋体" w:hAnsi="宋体" w:cs="宋体"/>
          <w:color w:val="auto"/>
          <w:spacing w:val="8"/>
          <w:sz w:val="20"/>
          <w:szCs w:val="20"/>
          <w:highlight w:val="none"/>
        </w:rPr>
        <w:t>机构的规定，收集、整理、立卷、归档工程资料，并按规定时间向建设</w:t>
      </w:r>
      <w:r>
        <w:rPr>
          <w:rFonts w:hint="eastAsia" w:ascii="宋体" w:hAnsi="宋体" w:cs="宋体"/>
          <w:color w:val="auto"/>
          <w:spacing w:val="7"/>
          <w:sz w:val="20"/>
          <w:szCs w:val="20"/>
          <w:highlight w:val="none"/>
        </w:rPr>
        <w:t>行政主管部门或者城市建设档案管理机构移交规定的工程档案。</w:t>
      </w:r>
    </w:p>
    <w:p w14:paraId="2F4F8A71">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2.12  批准和确认</w:t>
      </w:r>
    </w:p>
    <w:p w14:paraId="462E905C">
      <w:pPr>
        <w:spacing w:before="294" w:line="360" w:lineRule="auto"/>
        <w:ind w:left="20" w:right="92" w:firstLine="420"/>
        <w:rPr>
          <w:rFonts w:hint="eastAsia" w:ascii="宋体" w:hAnsi="宋体" w:cs="宋体"/>
          <w:color w:val="auto"/>
          <w:highlight w:val="none"/>
        </w:rPr>
      </w:pPr>
      <w:r>
        <w:rPr>
          <w:rFonts w:hint="eastAsia" w:ascii="宋体" w:hAnsi="宋体" w:cs="宋体"/>
          <w:color w:val="auto"/>
          <w:spacing w:val="7"/>
          <w:sz w:val="20"/>
          <w:szCs w:val="20"/>
          <w:highlight w:val="none"/>
        </w:rPr>
        <w:t>按照合同约定应当由监理人或者发包人回复、批复、批准和确认，或承包人提出修改意</w:t>
      </w:r>
      <w:r>
        <w:rPr>
          <w:rFonts w:hint="eastAsia" w:ascii="宋体" w:hAnsi="宋体" w:cs="宋体"/>
          <w:color w:val="auto"/>
          <w:spacing w:val="8"/>
          <w:sz w:val="20"/>
          <w:szCs w:val="20"/>
          <w:highlight w:val="none"/>
        </w:rPr>
        <w:t>见的要求、请求、申请和报批等，自监理人或者</w:t>
      </w:r>
      <w:r>
        <w:rPr>
          <w:rFonts w:hint="eastAsia" w:ascii="宋体" w:hAnsi="宋体" w:cs="宋体"/>
          <w:color w:val="auto"/>
          <w:spacing w:val="7"/>
          <w:sz w:val="20"/>
          <w:szCs w:val="20"/>
          <w:highlight w:val="none"/>
        </w:rPr>
        <w:t>发包人指定的接收人收到承包人发出的相应</w:t>
      </w:r>
      <w:r>
        <w:rPr>
          <w:rFonts w:hint="eastAsia" w:ascii="宋体" w:hAnsi="宋体" w:cs="宋体"/>
          <w:color w:val="auto"/>
          <w:spacing w:val="8"/>
          <w:sz w:val="20"/>
          <w:szCs w:val="20"/>
          <w:highlight w:val="none"/>
        </w:rPr>
        <w:t>要求、请求、申请和报批之日起，如果监理人或</w:t>
      </w:r>
      <w:r>
        <w:rPr>
          <w:rFonts w:hint="eastAsia" w:ascii="宋体" w:hAnsi="宋体" w:cs="宋体"/>
          <w:color w:val="auto"/>
          <w:spacing w:val="7"/>
          <w:sz w:val="20"/>
          <w:szCs w:val="20"/>
          <w:highlight w:val="none"/>
        </w:rPr>
        <w:t>者发包人在合同约定的期限内未予回复、批</w:t>
      </w:r>
      <w:r>
        <w:rPr>
          <w:rFonts w:hint="eastAsia" w:ascii="宋体" w:hAnsi="宋体" w:cs="宋体"/>
          <w:color w:val="auto"/>
          <w:spacing w:val="9"/>
          <w:sz w:val="20"/>
          <w:szCs w:val="20"/>
          <w:highlight w:val="none"/>
        </w:rPr>
        <w:t>复、批准、确认或提出修改意见的，视为监理人和发包人已经同意、确认或者批准。</w:t>
      </w:r>
    </w:p>
    <w:p w14:paraId="26434ACA">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2.13  其他义务</w:t>
      </w:r>
    </w:p>
    <w:p w14:paraId="34144600">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发包人应履行的其他义务见合同条款专用部分。</w:t>
      </w:r>
    </w:p>
    <w:p w14:paraId="1E20C422">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3.监理人</w:t>
      </w:r>
    </w:p>
    <w:p w14:paraId="4543CEB3">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3.1  监理人的职责和权力</w:t>
      </w:r>
    </w:p>
    <w:p w14:paraId="514A9CB1">
      <w:pPr>
        <w:spacing w:before="296" w:line="360" w:lineRule="auto"/>
        <w:ind w:left="19" w:right="53"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3.1.1  监理人受发包人委托，享有合同约定的权力。监理人在行使某项权力前需要经</w:t>
      </w:r>
      <w:r>
        <w:rPr>
          <w:rFonts w:hint="eastAsia" w:ascii="宋体" w:hAnsi="宋体" w:cs="宋体"/>
          <w:color w:val="auto"/>
          <w:spacing w:val="8"/>
          <w:sz w:val="20"/>
          <w:szCs w:val="20"/>
          <w:highlight w:val="none"/>
        </w:rPr>
        <w:t>发包人事先批准，合同条款通用部分没有指明</w:t>
      </w:r>
      <w:r>
        <w:rPr>
          <w:rFonts w:hint="eastAsia" w:ascii="宋体" w:hAnsi="宋体" w:cs="宋体"/>
          <w:color w:val="auto"/>
          <w:spacing w:val="7"/>
          <w:sz w:val="20"/>
          <w:szCs w:val="20"/>
          <w:highlight w:val="none"/>
        </w:rPr>
        <w:t>的，应在合同中指明。监理人履行须经发包人</w:t>
      </w:r>
      <w:r>
        <w:rPr>
          <w:rFonts w:hint="eastAsia" w:ascii="宋体" w:hAnsi="宋体" w:cs="宋体"/>
          <w:color w:val="auto"/>
          <w:spacing w:val="8"/>
          <w:sz w:val="20"/>
          <w:szCs w:val="20"/>
          <w:highlight w:val="none"/>
        </w:rPr>
        <w:t>批准行使的权力时，应当向承包人出示其行使该权</w:t>
      </w:r>
      <w:r>
        <w:rPr>
          <w:rFonts w:hint="eastAsia" w:ascii="宋体" w:hAnsi="宋体" w:cs="宋体"/>
          <w:color w:val="auto"/>
          <w:spacing w:val="7"/>
          <w:sz w:val="20"/>
          <w:szCs w:val="20"/>
          <w:highlight w:val="none"/>
        </w:rPr>
        <w:t>力已经取得发包人批准的文件或者其他合</w:t>
      </w:r>
      <w:r>
        <w:rPr>
          <w:rFonts w:hint="eastAsia" w:ascii="宋体" w:hAnsi="宋体" w:cs="宋体"/>
          <w:color w:val="auto"/>
          <w:spacing w:val="9"/>
          <w:sz w:val="20"/>
          <w:szCs w:val="20"/>
          <w:highlight w:val="none"/>
        </w:rPr>
        <w:t>法有效的证明。发包人需批准明确行使的权力见合同条款专用部分。</w:t>
      </w:r>
    </w:p>
    <w:p w14:paraId="1880A2AB">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3.1.2  监理人发出的任何指示应视为已得到发包人的批准，但监理人无权免除或变更合同约定的发包人和承包人的权利、义务和责任。</w:t>
      </w:r>
    </w:p>
    <w:p w14:paraId="5CE53D38">
      <w:pPr>
        <w:spacing w:before="161" w:line="360" w:lineRule="auto"/>
        <w:ind w:left="22" w:right="56"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3.1.3  合同约定应由承包人承担的义务和责任，不因监理人对承包人提交文件的审查</w:t>
      </w:r>
      <w:r>
        <w:rPr>
          <w:rFonts w:hint="eastAsia" w:ascii="宋体" w:hAnsi="宋体" w:cs="宋体"/>
          <w:color w:val="auto"/>
          <w:spacing w:val="7"/>
          <w:sz w:val="20"/>
          <w:szCs w:val="20"/>
          <w:highlight w:val="none"/>
        </w:rPr>
        <w:t>或批准，对工程、材料和设备的检查和检验，以及为实施监理作出的指示等职务行为而减轻</w:t>
      </w:r>
      <w:r>
        <w:rPr>
          <w:rFonts w:hint="eastAsia" w:ascii="宋体" w:hAnsi="宋体" w:cs="宋体"/>
          <w:color w:val="auto"/>
          <w:spacing w:val="4"/>
          <w:sz w:val="20"/>
          <w:szCs w:val="20"/>
          <w:highlight w:val="none"/>
        </w:rPr>
        <w:t>或解除。</w:t>
      </w:r>
    </w:p>
    <w:p w14:paraId="524EF242">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3.2  总监理工程师</w:t>
      </w:r>
    </w:p>
    <w:p w14:paraId="37DEC8D5">
      <w:pPr>
        <w:spacing w:before="299" w:line="360" w:lineRule="auto"/>
        <w:ind w:left="1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发包人应在发出开工通知前将总监理工程师的任命通知承包人。</w:t>
      </w:r>
      <w:r>
        <w:rPr>
          <w:rFonts w:hint="eastAsia" w:ascii="宋体" w:hAnsi="宋体" w:cs="宋体"/>
          <w:color w:val="auto"/>
          <w:spacing w:val="8"/>
          <w:sz w:val="20"/>
          <w:szCs w:val="20"/>
          <w:highlight w:val="none"/>
        </w:rPr>
        <w:t>总监理工程师更换时，</w:t>
      </w:r>
      <w:r>
        <w:rPr>
          <w:rFonts w:hint="eastAsia" w:ascii="宋体" w:hAnsi="宋体" w:cs="宋体"/>
          <w:color w:val="auto"/>
          <w:spacing w:val="5"/>
          <w:sz w:val="20"/>
          <w:szCs w:val="20"/>
          <w:highlight w:val="none"/>
        </w:rPr>
        <w:t>应在调离14天前通知承包人。总监理工程师短期离开施工场地的，应委派代表代行其职责，</w:t>
      </w:r>
      <w:r>
        <w:rPr>
          <w:rFonts w:hint="eastAsia" w:ascii="宋体" w:hAnsi="宋体" w:cs="宋体"/>
          <w:color w:val="auto"/>
          <w:spacing w:val="7"/>
          <w:sz w:val="20"/>
          <w:szCs w:val="20"/>
          <w:highlight w:val="none"/>
        </w:rPr>
        <w:t>并通知承包人。</w:t>
      </w:r>
    </w:p>
    <w:p w14:paraId="76426085">
      <w:pPr>
        <w:spacing w:before="124"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3.3</w:t>
      </w:r>
      <w:r>
        <w:rPr>
          <w:rFonts w:hint="eastAsia" w:ascii="宋体" w:hAnsi="宋体" w:cs="宋体"/>
          <w:color w:val="auto"/>
          <w:spacing w:val="6"/>
          <w:sz w:val="24"/>
          <w:highlight w:val="none"/>
        </w:rPr>
        <w:t xml:space="preserve">  </w:t>
      </w:r>
      <w:r>
        <w:rPr>
          <w:rFonts w:hint="eastAsia" w:ascii="宋体" w:hAnsi="宋体" w:cs="宋体"/>
          <w:color w:val="auto"/>
          <w:spacing w:val="-4"/>
          <w:sz w:val="24"/>
          <w:highlight w:val="none"/>
        </w:rPr>
        <w:t>监理人员</w:t>
      </w:r>
    </w:p>
    <w:p w14:paraId="24BD92D5">
      <w:pPr>
        <w:spacing w:before="293" w:line="360" w:lineRule="auto"/>
        <w:ind w:left="19" w:right="5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3.3.1  总监理工程师可以授权其他监理人员负责执行其指派的一项或多项监理工作。</w:t>
      </w:r>
      <w:r>
        <w:rPr>
          <w:rFonts w:hint="eastAsia" w:ascii="宋体" w:hAnsi="宋体" w:cs="宋体"/>
          <w:color w:val="auto"/>
          <w:spacing w:val="8"/>
          <w:sz w:val="20"/>
          <w:szCs w:val="20"/>
          <w:highlight w:val="none"/>
        </w:rPr>
        <w:t>总监理工程师应将被授权监理人员的姓名及其</w:t>
      </w:r>
      <w:r>
        <w:rPr>
          <w:rFonts w:hint="eastAsia" w:ascii="宋体" w:hAnsi="宋体" w:cs="宋体"/>
          <w:color w:val="auto"/>
          <w:spacing w:val="7"/>
          <w:sz w:val="20"/>
          <w:szCs w:val="20"/>
          <w:highlight w:val="none"/>
        </w:rPr>
        <w:t>授权范围通知承包人。被授权的监理人员在授</w:t>
      </w:r>
      <w:r>
        <w:rPr>
          <w:rFonts w:hint="eastAsia" w:ascii="宋体" w:hAnsi="宋体" w:cs="宋体"/>
          <w:color w:val="auto"/>
          <w:spacing w:val="8"/>
          <w:sz w:val="20"/>
          <w:szCs w:val="20"/>
          <w:highlight w:val="none"/>
        </w:rPr>
        <w:t>权范围内发出的指示视为已得到总监理工程师</w:t>
      </w:r>
      <w:r>
        <w:rPr>
          <w:rFonts w:hint="eastAsia" w:ascii="宋体" w:hAnsi="宋体" w:cs="宋体"/>
          <w:color w:val="auto"/>
          <w:spacing w:val="7"/>
          <w:sz w:val="20"/>
          <w:szCs w:val="20"/>
          <w:highlight w:val="none"/>
        </w:rPr>
        <w:t>的同意，与总监理工程师发出的指示具有同等</w:t>
      </w:r>
      <w:r>
        <w:rPr>
          <w:rFonts w:hint="eastAsia" w:ascii="宋体" w:hAnsi="宋体" w:cs="宋体"/>
          <w:color w:val="auto"/>
          <w:spacing w:val="9"/>
          <w:sz w:val="20"/>
          <w:szCs w:val="20"/>
          <w:highlight w:val="none"/>
        </w:rPr>
        <w:t>效力。总监理工程师撤销某项授权时，应将撤销授权的决定及时通知承包人。</w:t>
      </w:r>
    </w:p>
    <w:p w14:paraId="29A8CC3F">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3.3.2  监理人员对承包人的任何工作、工程或其采用的材料未在约定的或合理的期限</w:t>
      </w:r>
      <w:r>
        <w:rPr>
          <w:rFonts w:hint="eastAsia" w:ascii="宋体" w:hAnsi="宋体" w:cs="宋体"/>
          <w:color w:val="auto"/>
          <w:spacing w:val="7"/>
          <w:sz w:val="20"/>
          <w:szCs w:val="20"/>
          <w:highlight w:val="none"/>
        </w:rPr>
        <w:t>内提出否定意见的，视为已获批准，但不影响监理人在以后拒绝该项工作、工程、材料的权</w:t>
      </w:r>
      <w:r>
        <w:rPr>
          <w:rFonts w:hint="eastAsia" w:ascii="宋体" w:hAnsi="宋体" w:cs="宋体"/>
          <w:color w:val="auto"/>
          <w:sz w:val="20"/>
          <w:szCs w:val="20"/>
          <w:highlight w:val="none"/>
        </w:rPr>
        <w:t>利。</w:t>
      </w:r>
    </w:p>
    <w:p w14:paraId="6DD39A8D">
      <w:pPr>
        <w:spacing w:before="161"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3.3.3  承包人对总监理工程师授权的监理人员发出的指示有疑问的，可向总监理工程</w:t>
      </w:r>
      <w:r>
        <w:rPr>
          <w:rFonts w:hint="eastAsia" w:ascii="宋体" w:hAnsi="宋体" w:cs="宋体"/>
          <w:color w:val="auto"/>
          <w:spacing w:val="10"/>
          <w:sz w:val="20"/>
          <w:szCs w:val="20"/>
          <w:highlight w:val="none"/>
        </w:rPr>
        <w:t>师提出书面异议，总监理工程师应在48小时内对该指示予以确认、更改或撤销。</w:t>
      </w:r>
    </w:p>
    <w:p w14:paraId="777D4180">
      <w:pPr>
        <w:spacing w:before="160" w:line="360" w:lineRule="auto"/>
        <w:ind w:left="24" w:right="56" w:firstLine="419"/>
        <w:rPr>
          <w:rFonts w:hint="eastAsia" w:ascii="宋体" w:hAnsi="宋体" w:cs="宋体"/>
          <w:color w:val="auto"/>
          <w:highlight w:val="none"/>
        </w:rPr>
      </w:pPr>
      <w:r>
        <w:rPr>
          <w:rFonts w:hint="eastAsia" w:ascii="宋体" w:hAnsi="宋体" w:cs="宋体"/>
          <w:color w:val="auto"/>
          <w:spacing w:val="8"/>
          <w:sz w:val="20"/>
          <w:szCs w:val="20"/>
          <w:highlight w:val="none"/>
        </w:rPr>
        <w:t>3.3.4  总监理工程师不应将合同条款通用部分第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3.5</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款约定应由总监理工程师作出确定的权力授权或者委托给其他监理人员。</w:t>
      </w:r>
    </w:p>
    <w:p w14:paraId="4BCC1685">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3.4  监理人的指示</w:t>
      </w:r>
    </w:p>
    <w:p w14:paraId="518EC67C">
      <w:pPr>
        <w:spacing w:before="296"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3.4.1  监理人应按第</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款的约定向承包人发出指示，监理人的指示应加盖监理人授</w:t>
      </w:r>
      <w:r>
        <w:rPr>
          <w:rFonts w:hint="eastAsia" w:ascii="宋体" w:hAnsi="宋体" w:cs="宋体"/>
          <w:color w:val="auto"/>
          <w:spacing w:val="6"/>
          <w:sz w:val="20"/>
          <w:szCs w:val="20"/>
          <w:highlight w:val="none"/>
        </w:rPr>
        <w:t>权的施工场地机构章，并由总监理工程师或总监理工程师按第3.3.1</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项约定授权的监理人员</w:t>
      </w:r>
      <w:r>
        <w:rPr>
          <w:rFonts w:hint="eastAsia" w:ascii="宋体" w:hAnsi="宋体" w:cs="宋体"/>
          <w:color w:val="auto"/>
          <w:spacing w:val="3"/>
          <w:sz w:val="20"/>
          <w:szCs w:val="20"/>
          <w:highlight w:val="none"/>
        </w:rPr>
        <w:t>签字。</w:t>
      </w:r>
    </w:p>
    <w:p w14:paraId="0DB5C01B">
      <w:pPr>
        <w:spacing w:before="159"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3.4.2  承包人收到监理人按第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3.4.1</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项作出</w:t>
      </w:r>
      <w:r>
        <w:rPr>
          <w:rFonts w:hint="eastAsia" w:ascii="宋体" w:hAnsi="宋体" w:cs="宋体"/>
          <w:color w:val="auto"/>
          <w:spacing w:val="4"/>
          <w:sz w:val="20"/>
          <w:szCs w:val="20"/>
          <w:highlight w:val="none"/>
        </w:rPr>
        <w:t>的指示后，应遵照执行。指示构成变更的，</w:t>
      </w:r>
      <w:r>
        <w:rPr>
          <w:rFonts w:hint="eastAsia" w:ascii="宋体" w:hAnsi="宋体" w:cs="宋体"/>
          <w:color w:val="auto"/>
          <w:spacing w:val="2"/>
          <w:sz w:val="20"/>
          <w:szCs w:val="20"/>
          <w:highlight w:val="none"/>
        </w:rPr>
        <w:t>应按第15</w:t>
      </w:r>
      <w:r>
        <w:rPr>
          <w:rFonts w:hint="eastAsia" w:ascii="宋体" w:hAnsi="宋体" w:cs="宋体"/>
          <w:color w:val="auto"/>
          <w:spacing w:val="-38"/>
          <w:sz w:val="20"/>
          <w:szCs w:val="20"/>
          <w:highlight w:val="none"/>
        </w:rPr>
        <w:t xml:space="preserve"> </w:t>
      </w:r>
      <w:r>
        <w:rPr>
          <w:rFonts w:hint="eastAsia" w:ascii="宋体" w:hAnsi="宋体" w:cs="宋体"/>
          <w:color w:val="auto"/>
          <w:spacing w:val="2"/>
          <w:sz w:val="20"/>
          <w:szCs w:val="20"/>
          <w:highlight w:val="none"/>
        </w:rPr>
        <w:t>条处理。</w:t>
      </w:r>
    </w:p>
    <w:p w14:paraId="1A371207">
      <w:pPr>
        <w:spacing w:before="165"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3.4.3  在紧急情况下，总监理工程师或</w:t>
      </w:r>
      <w:r>
        <w:rPr>
          <w:rFonts w:hint="eastAsia" w:ascii="宋体" w:hAnsi="宋体" w:cs="宋体"/>
          <w:color w:val="auto"/>
          <w:spacing w:val="5"/>
          <w:sz w:val="20"/>
          <w:szCs w:val="20"/>
          <w:highlight w:val="none"/>
        </w:rPr>
        <w:t>被授权的监理人员可以当场签发临时书面指示，</w:t>
      </w:r>
      <w:r>
        <w:rPr>
          <w:rFonts w:hint="eastAsia" w:ascii="宋体" w:hAnsi="宋体" w:cs="宋体"/>
          <w:color w:val="auto"/>
          <w:spacing w:val="9"/>
          <w:sz w:val="20"/>
          <w:szCs w:val="20"/>
          <w:highlight w:val="none"/>
        </w:rPr>
        <w:t>承包人应遵照执行。承包人应在收到上述临时书面指示后24小时内，向监理人发出书面确认函。监理人在收到书面确认函后</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24小时内未予答复的，该书面确认函应被视为监理人的</w:t>
      </w:r>
      <w:r>
        <w:rPr>
          <w:rFonts w:hint="eastAsia" w:ascii="宋体" w:hAnsi="宋体" w:cs="宋体"/>
          <w:color w:val="auto"/>
          <w:spacing w:val="5"/>
          <w:sz w:val="20"/>
          <w:szCs w:val="20"/>
          <w:highlight w:val="none"/>
        </w:rPr>
        <w:t>正式指示。</w:t>
      </w:r>
    </w:p>
    <w:p w14:paraId="7DB75D71">
      <w:pPr>
        <w:spacing w:before="157" w:line="360" w:lineRule="auto"/>
        <w:ind w:left="28" w:right="94"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3.4.4  除合同另有约定外，承包人只从总监理工程师或按第</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3.3.1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项被授权的监理人</w:t>
      </w:r>
      <w:r>
        <w:rPr>
          <w:rFonts w:hint="eastAsia" w:ascii="宋体" w:hAnsi="宋体" w:cs="宋体"/>
          <w:color w:val="auto"/>
          <w:spacing w:val="5"/>
          <w:sz w:val="20"/>
          <w:szCs w:val="20"/>
          <w:highlight w:val="none"/>
        </w:rPr>
        <w:t>员处取得指示。</w:t>
      </w:r>
    </w:p>
    <w:p w14:paraId="79103AEF">
      <w:pPr>
        <w:spacing w:before="159" w:line="360" w:lineRule="auto"/>
        <w:ind w:left="20" w:right="94"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3.4.5  由于监理人未能按合同约定发出指示、指示延误或指示错误而导致承包人费用</w:t>
      </w:r>
      <w:r>
        <w:rPr>
          <w:rFonts w:hint="eastAsia" w:ascii="宋体" w:hAnsi="宋体" w:cs="宋体"/>
          <w:color w:val="auto"/>
          <w:spacing w:val="7"/>
          <w:sz w:val="20"/>
          <w:szCs w:val="20"/>
          <w:highlight w:val="none"/>
        </w:rPr>
        <w:t>增加和（或）工期延误的，</w:t>
      </w:r>
      <w:r>
        <w:rPr>
          <w:rFonts w:hint="eastAsia" w:ascii="宋体" w:hAnsi="宋体" w:cs="宋体"/>
          <w:color w:val="auto"/>
          <w:spacing w:val="-54"/>
          <w:sz w:val="20"/>
          <w:szCs w:val="20"/>
          <w:highlight w:val="none"/>
        </w:rPr>
        <w:t xml:space="preserve"> </w:t>
      </w:r>
      <w:r>
        <w:rPr>
          <w:rFonts w:hint="eastAsia" w:ascii="宋体" w:hAnsi="宋体" w:cs="宋体"/>
          <w:color w:val="auto"/>
          <w:spacing w:val="7"/>
          <w:sz w:val="20"/>
          <w:szCs w:val="20"/>
          <w:highlight w:val="none"/>
        </w:rPr>
        <w:t>由发包人承担赔偿责任。</w:t>
      </w:r>
    </w:p>
    <w:p w14:paraId="22EB5BC9">
      <w:pPr>
        <w:spacing w:before="283"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3.5</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商定或确定</w:t>
      </w:r>
    </w:p>
    <w:p w14:paraId="79525FBC">
      <w:pPr>
        <w:spacing w:before="296" w:line="360" w:lineRule="auto"/>
        <w:ind w:left="40" w:right="94"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3.5.1  总监理工程师应按照本款对任何事项进行商定或确定时，总监理工程师应与合同当事人协商，尽量达成一致。不能达成一致的，总监理工程师应认真研究后审</w:t>
      </w:r>
      <w:r>
        <w:rPr>
          <w:rFonts w:hint="eastAsia" w:ascii="宋体" w:hAnsi="宋体" w:cs="宋体"/>
          <w:color w:val="auto"/>
          <w:spacing w:val="8"/>
          <w:sz w:val="20"/>
          <w:szCs w:val="20"/>
          <w:highlight w:val="none"/>
        </w:rPr>
        <w:t>慎确定。</w:t>
      </w:r>
    </w:p>
    <w:p w14:paraId="56300E7C">
      <w:pPr>
        <w:spacing w:before="162" w:line="360" w:lineRule="auto"/>
        <w:ind w:left="21" w:right="92"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3.5.2  总监理工程师应将商定或确定的事项通知合同当事人，并附详细依据。对总监理工程师的确定有异议的，构成争议，按照第24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条的约定处理。在争议解决前，双方应暂按总监理工程师的确定执行；按照第24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条的约定对总监理工程师的确定需要作出修改的，</w:t>
      </w:r>
      <w:r>
        <w:rPr>
          <w:rFonts w:hint="eastAsia" w:ascii="宋体" w:hAnsi="宋体" w:cs="宋体"/>
          <w:color w:val="auto"/>
          <w:spacing w:val="7"/>
          <w:sz w:val="20"/>
          <w:szCs w:val="20"/>
          <w:highlight w:val="none"/>
        </w:rPr>
        <w:t>按修改后的结果执行。</w:t>
      </w:r>
    </w:p>
    <w:p w14:paraId="4FABCDC8">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3.6  监理人的宽恕</w:t>
      </w:r>
    </w:p>
    <w:p w14:paraId="31C167AC">
      <w:pPr>
        <w:spacing w:before="295"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监理人或者发包人就承包人对合同约定的任何责任和义务的某种违约行为的宽恕，不影响监理人和发包人在此后的任何时间严格按合同约定处理承包人的其它违约行为，也不意味</w:t>
      </w:r>
      <w:r>
        <w:rPr>
          <w:rFonts w:hint="eastAsia" w:ascii="宋体" w:hAnsi="宋体" w:cs="宋体"/>
          <w:color w:val="auto"/>
          <w:spacing w:val="9"/>
          <w:sz w:val="20"/>
          <w:szCs w:val="20"/>
          <w:highlight w:val="none"/>
        </w:rPr>
        <w:t>发包人放弃合同约定的发包人与上述违约有关的任何权利和赔偿要求。</w:t>
      </w:r>
    </w:p>
    <w:p w14:paraId="5FE63692">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4.承包人</w:t>
      </w:r>
    </w:p>
    <w:p w14:paraId="5D7404E1">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  承包人的一般义务</w:t>
      </w:r>
    </w:p>
    <w:p w14:paraId="33B9F75B">
      <w:pPr>
        <w:spacing w:before="298"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  遵守法律</w:t>
      </w:r>
    </w:p>
    <w:p w14:paraId="241F16CC">
      <w:pPr>
        <w:spacing w:before="159" w:line="360" w:lineRule="auto"/>
        <w:ind w:left="36" w:right="92"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承包人在履行合同过程中应遵守法律，并保证发包人免于承担因承包人违反法律而引起</w:t>
      </w:r>
      <w:r>
        <w:rPr>
          <w:rFonts w:hint="eastAsia" w:ascii="宋体" w:hAnsi="宋体" w:cs="宋体"/>
          <w:color w:val="auto"/>
          <w:spacing w:val="3"/>
          <w:sz w:val="20"/>
          <w:szCs w:val="20"/>
          <w:highlight w:val="none"/>
        </w:rPr>
        <w:t>的任何责任。</w:t>
      </w:r>
    </w:p>
    <w:p w14:paraId="3978758A">
      <w:pPr>
        <w:spacing w:line="360" w:lineRule="auto"/>
        <w:ind w:firstLine="420" w:firstLineChars="200"/>
        <w:rPr>
          <w:rFonts w:hint="eastAsia" w:ascii="宋体" w:hAnsi="宋体" w:cs="宋体"/>
          <w:color w:val="auto"/>
          <w:highlight w:val="none"/>
        </w:rPr>
      </w:pPr>
      <w:r>
        <w:rPr>
          <w:rFonts w:hint="eastAsia" w:ascii="宋体" w:hAnsi="宋体" w:cs="宋体"/>
          <w:color w:val="auto"/>
          <w:spacing w:val="5"/>
          <w:sz w:val="20"/>
          <w:szCs w:val="20"/>
          <w:highlight w:val="none"/>
        </w:rPr>
        <w:t>4.1.2  依法纳税</w:t>
      </w:r>
    </w:p>
    <w:p w14:paraId="0A5549E7">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承包人应按有关法律规定纳税，应缴纳的增值税包括在合同价格内。</w:t>
      </w:r>
    </w:p>
    <w:p w14:paraId="4F4A76C9">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4.1.3  完成各项承包工作</w:t>
      </w:r>
    </w:p>
    <w:p w14:paraId="15777A4E">
      <w:pPr>
        <w:spacing w:before="161" w:line="360" w:lineRule="auto"/>
        <w:ind w:left="19"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（1）承包人应按合同约定以及监理人根据第</w:t>
      </w:r>
      <w:r>
        <w:rPr>
          <w:rFonts w:hint="eastAsia" w:ascii="宋体" w:hAnsi="宋体" w:cs="宋体"/>
          <w:color w:val="auto"/>
          <w:spacing w:val="-17"/>
          <w:sz w:val="20"/>
          <w:szCs w:val="20"/>
          <w:highlight w:val="none"/>
        </w:rPr>
        <w:t xml:space="preserve"> </w:t>
      </w:r>
      <w:r>
        <w:rPr>
          <w:rFonts w:hint="eastAsia" w:ascii="宋体" w:hAnsi="宋体" w:cs="宋体"/>
          <w:color w:val="auto"/>
          <w:spacing w:val="5"/>
          <w:sz w:val="20"/>
          <w:szCs w:val="20"/>
          <w:highlight w:val="none"/>
        </w:rPr>
        <w:t>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款作出的指示，实施、完成全部工程，</w:t>
      </w:r>
      <w:r>
        <w:rPr>
          <w:rFonts w:hint="eastAsia" w:ascii="宋体" w:hAnsi="宋体" w:cs="宋体"/>
          <w:color w:val="auto"/>
          <w:spacing w:val="6"/>
          <w:sz w:val="20"/>
          <w:szCs w:val="20"/>
          <w:highlight w:val="none"/>
        </w:rPr>
        <w:t>并修补工程中的任何缺陷。除第5.2</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款约定由发包人提供的材料和第6.2</w:t>
      </w:r>
      <w:r>
        <w:rPr>
          <w:rFonts w:hint="eastAsia" w:ascii="宋体" w:hAnsi="宋体" w:cs="宋体"/>
          <w:color w:val="auto"/>
          <w:spacing w:val="-40"/>
          <w:sz w:val="20"/>
          <w:szCs w:val="20"/>
          <w:highlight w:val="none"/>
        </w:rPr>
        <w:t xml:space="preserve"> </w:t>
      </w:r>
      <w:r>
        <w:rPr>
          <w:rFonts w:hint="eastAsia" w:ascii="宋体" w:hAnsi="宋体" w:cs="宋体"/>
          <w:color w:val="auto"/>
          <w:spacing w:val="6"/>
          <w:sz w:val="20"/>
          <w:szCs w:val="20"/>
          <w:highlight w:val="none"/>
        </w:rPr>
        <w:t>款约</w:t>
      </w:r>
      <w:r>
        <w:rPr>
          <w:rFonts w:hint="eastAsia" w:ascii="宋体" w:hAnsi="宋体" w:cs="宋体"/>
          <w:color w:val="auto"/>
          <w:spacing w:val="5"/>
          <w:sz w:val="20"/>
          <w:szCs w:val="20"/>
          <w:highlight w:val="none"/>
        </w:rPr>
        <w:t>定由发包人提</w:t>
      </w:r>
      <w:r>
        <w:rPr>
          <w:rFonts w:hint="eastAsia" w:ascii="宋体" w:hAnsi="宋体" w:cs="宋体"/>
          <w:color w:val="auto"/>
          <w:spacing w:val="8"/>
          <w:sz w:val="20"/>
          <w:szCs w:val="20"/>
          <w:highlight w:val="none"/>
        </w:rPr>
        <w:t>供的施工设备和临时设施外，承包人应负责提供为</w:t>
      </w:r>
      <w:r>
        <w:rPr>
          <w:rFonts w:hint="eastAsia" w:ascii="宋体" w:hAnsi="宋体" w:cs="宋体"/>
          <w:color w:val="auto"/>
          <w:spacing w:val="7"/>
          <w:sz w:val="20"/>
          <w:szCs w:val="20"/>
          <w:highlight w:val="none"/>
        </w:rPr>
        <w:t>完成合同工作所需的劳务、材料、施工设</w:t>
      </w:r>
      <w:r>
        <w:rPr>
          <w:rFonts w:hint="eastAsia" w:ascii="宋体" w:hAnsi="宋体" w:cs="宋体"/>
          <w:color w:val="auto"/>
          <w:spacing w:val="4"/>
          <w:sz w:val="20"/>
          <w:szCs w:val="20"/>
          <w:highlight w:val="none"/>
        </w:rPr>
        <w:t>备和其他物品，并按照合同约定负责临时设施的设计、建造、运行、维护、管理和拆除工作。</w:t>
      </w:r>
    </w:p>
    <w:p w14:paraId="3E046874">
      <w:pPr>
        <w:spacing w:before="16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（2）承包人应当依法合规建立施工扬尘综合治理、建筑垃圾、土方和砂石清运与消纳、 </w:t>
      </w:r>
      <w:r>
        <w:rPr>
          <w:rFonts w:hint="eastAsia" w:ascii="宋体" w:hAnsi="宋体" w:cs="宋体"/>
          <w:color w:val="auto"/>
          <w:spacing w:val="13"/>
          <w:sz w:val="20"/>
          <w:szCs w:val="20"/>
          <w:highlight w:val="none"/>
        </w:rPr>
        <w:t>保证使用已在本市进行信息编码登记符合排放标准的非道路移动机械和严禁使</w:t>
      </w:r>
      <w:r>
        <w:rPr>
          <w:rFonts w:hint="eastAsia" w:ascii="宋体" w:hAnsi="宋体" w:cs="宋体"/>
          <w:color w:val="auto"/>
          <w:spacing w:val="12"/>
          <w:sz w:val="20"/>
          <w:szCs w:val="20"/>
          <w:highlight w:val="none"/>
        </w:rPr>
        <w:t>用高排放非</w:t>
      </w:r>
      <w:r>
        <w:rPr>
          <w:rFonts w:hint="eastAsia" w:ascii="宋体" w:hAnsi="宋体" w:cs="宋体"/>
          <w:color w:val="auto"/>
          <w:spacing w:val="8"/>
          <w:sz w:val="20"/>
          <w:szCs w:val="20"/>
          <w:highlight w:val="none"/>
        </w:rPr>
        <w:t>道路移动机械以及行业挥发性有机物治理（如建筑</w:t>
      </w:r>
      <w:r>
        <w:rPr>
          <w:rFonts w:hint="eastAsia" w:ascii="宋体" w:hAnsi="宋体" w:cs="宋体"/>
          <w:color w:val="auto"/>
          <w:spacing w:val="7"/>
          <w:sz w:val="20"/>
          <w:szCs w:val="20"/>
          <w:highlight w:val="none"/>
        </w:rPr>
        <w:t>外墙涂装、钢结构等鼓励使用水性漆替代</w:t>
      </w:r>
      <w:r>
        <w:rPr>
          <w:rFonts w:hint="eastAsia" w:ascii="宋体" w:hAnsi="宋体" w:cs="宋体"/>
          <w:color w:val="auto"/>
          <w:spacing w:val="8"/>
          <w:sz w:val="20"/>
          <w:szCs w:val="20"/>
          <w:highlight w:val="none"/>
        </w:rPr>
        <w:t>油性漆；建筑施工、室外构筑物防护和道路交</w:t>
      </w:r>
      <w:r>
        <w:rPr>
          <w:rFonts w:hint="eastAsia" w:ascii="宋体" w:hAnsi="宋体" w:cs="宋体"/>
          <w:color w:val="auto"/>
          <w:spacing w:val="7"/>
          <w:sz w:val="20"/>
          <w:szCs w:val="20"/>
          <w:highlight w:val="none"/>
        </w:rPr>
        <w:t>通标识等其他涂装作业，推广使用水性、高固</w:t>
      </w:r>
      <w:r>
        <w:rPr>
          <w:rFonts w:hint="eastAsia" w:ascii="宋体" w:hAnsi="宋体" w:cs="宋体"/>
          <w:color w:val="auto"/>
          <w:spacing w:val="10"/>
          <w:sz w:val="20"/>
          <w:szCs w:val="20"/>
          <w:highlight w:val="none"/>
        </w:rPr>
        <w:t>体分、无溶剂、粉末等涂料和水基、本体型等低</w:t>
      </w:r>
      <w:r>
        <w:rPr>
          <w:rFonts w:hint="eastAsia" w:ascii="宋体" w:hAnsi="宋体" w:cs="宋体"/>
          <w:color w:val="auto"/>
          <w:spacing w:val="-30"/>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0"/>
          <w:sz w:val="20"/>
          <w:szCs w:val="20"/>
          <w:highlight w:val="none"/>
        </w:rPr>
        <w:t xml:space="preserve"> </w:t>
      </w:r>
      <w:r>
        <w:rPr>
          <w:rFonts w:hint="eastAsia" w:ascii="宋体" w:hAnsi="宋体" w:cs="宋体"/>
          <w:color w:val="auto"/>
          <w:spacing w:val="10"/>
          <w:sz w:val="20"/>
          <w:szCs w:val="20"/>
          <w:highlight w:val="none"/>
        </w:rPr>
        <w:t>含量胶粘剂）等责任制，制定具体的</w:t>
      </w:r>
      <w:r>
        <w:rPr>
          <w:rFonts w:hint="eastAsia" w:ascii="宋体" w:hAnsi="宋体" w:cs="宋体"/>
          <w:color w:val="auto"/>
          <w:spacing w:val="8"/>
          <w:sz w:val="20"/>
          <w:szCs w:val="20"/>
          <w:highlight w:val="none"/>
        </w:rPr>
        <w:t>管控机制和实施方案，严格落实。</w:t>
      </w:r>
    </w:p>
    <w:p w14:paraId="0F225E14">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（3）承包人应按法律法规、经消防设计审查合格或者满足工程需</w:t>
      </w:r>
      <w:r>
        <w:rPr>
          <w:rFonts w:hint="eastAsia" w:ascii="宋体" w:hAnsi="宋体" w:cs="宋体"/>
          <w:color w:val="auto"/>
          <w:spacing w:val="9"/>
          <w:sz w:val="20"/>
          <w:szCs w:val="20"/>
          <w:highlight w:val="none"/>
        </w:rPr>
        <w:t>要的消防设计文件等</w:t>
      </w:r>
      <w:r>
        <w:rPr>
          <w:rFonts w:hint="eastAsia" w:ascii="宋体" w:hAnsi="宋体" w:cs="宋体"/>
          <w:color w:val="auto"/>
          <w:spacing w:val="7"/>
          <w:sz w:val="20"/>
          <w:szCs w:val="20"/>
          <w:highlight w:val="none"/>
        </w:rPr>
        <w:t>规定组织施工，编制消防专项施工方案；按消防设计要求、施工技术标准和合同约定检验消</w:t>
      </w:r>
      <w:r>
        <w:rPr>
          <w:rFonts w:hint="eastAsia" w:ascii="宋体" w:hAnsi="宋体" w:cs="宋体"/>
          <w:color w:val="auto"/>
          <w:spacing w:val="8"/>
          <w:sz w:val="20"/>
          <w:szCs w:val="20"/>
          <w:highlight w:val="none"/>
        </w:rPr>
        <w:t>防产品和具有防火性能要求的建筑材料、建筑构</w:t>
      </w:r>
      <w:r>
        <w:rPr>
          <w:rFonts w:hint="eastAsia" w:ascii="宋体" w:hAnsi="宋体" w:cs="宋体"/>
          <w:color w:val="auto"/>
          <w:spacing w:val="7"/>
          <w:sz w:val="20"/>
          <w:szCs w:val="20"/>
          <w:highlight w:val="none"/>
        </w:rPr>
        <w:t>配件和设备的质量，保证消防施工质量；配</w:t>
      </w:r>
      <w:r>
        <w:rPr>
          <w:rFonts w:hint="eastAsia" w:ascii="宋体" w:hAnsi="宋体" w:cs="宋体"/>
          <w:color w:val="auto"/>
          <w:spacing w:val="9"/>
          <w:sz w:val="20"/>
          <w:szCs w:val="20"/>
          <w:highlight w:val="none"/>
        </w:rPr>
        <w:t>合发包人组织的竣工验收消防查验，对建设工程消防施工质量签章确认。</w:t>
      </w:r>
    </w:p>
    <w:p w14:paraId="253942CC">
      <w:pPr>
        <w:spacing w:before="164"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4.1.4  对施工作业和施工方法的完备性负责</w:t>
      </w:r>
    </w:p>
    <w:p w14:paraId="35724260">
      <w:pPr>
        <w:spacing w:before="160" w:line="360" w:lineRule="auto"/>
        <w:ind w:left="24" w:right="32"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承包人应按合同约定的工作内容和施工进度要求，编制施工组织设计和施工措施计划，</w:t>
      </w:r>
      <w:r>
        <w:rPr>
          <w:rFonts w:hint="eastAsia" w:ascii="宋体" w:hAnsi="宋体" w:cs="宋体"/>
          <w:color w:val="auto"/>
          <w:spacing w:val="9"/>
          <w:sz w:val="20"/>
          <w:szCs w:val="20"/>
          <w:highlight w:val="none"/>
        </w:rPr>
        <w:t>并对所有施工作业和施工方法的完备性和安全可靠性负责。</w:t>
      </w:r>
    </w:p>
    <w:p w14:paraId="5B4B72AB">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4.1.5  保证工程施工和人员的安全</w:t>
      </w:r>
    </w:p>
    <w:p w14:paraId="23992C4A">
      <w:pPr>
        <w:spacing w:before="161" w:line="360" w:lineRule="auto"/>
        <w:ind w:left="36" w:right="69" w:firstLine="40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款约定采取施工安全措施，确保工程及其人员、材料、设备和设施的安全，防止因工程施工造成的人身伤害和财产损失。</w:t>
      </w:r>
    </w:p>
    <w:p w14:paraId="7927B52B">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4.1.6  负责施工场地、周边环境和生态保护工作</w:t>
      </w:r>
    </w:p>
    <w:p w14:paraId="79C714D4">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承包人应按照第9.4</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款约定负责施工场地及其周边环境与生态的保护工作。</w:t>
      </w:r>
    </w:p>
    <w:p w14:paraId="7086BF58">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4.1.7  避免施工对公众与他人的利益造成损害</w:t>
      </w:r>
    </w:p>
    <w:p w14:paraId="1D6BC1CD">
      <w:pPr>
        <w:spacing w:before="161"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承包人在进行合同约定的各项工作时，不得侵害发包人与他人使用公用道路、水源、市</w:t>
      </w:r>
      <w:r>
        <w:rPr>
          <w:rFonts w:hint="eastAsia" w:ascii="宋体" w:hAnsi="宋体" w:cs="宋体"/>
          <w:color w:val="auto"/>
          <w:spacing w:val="8"/>
          <w:sz w:val="20"/>
          <w:szCs w:val="20"/>
          <w:highlight w:val="none"/>
        </w:rPr>
        <w:t>政管网等公共设施的权利，避免对邻近的公共设施</w:t>
      </w:r>
      <w:r>
        <w:rPr>
          <w:rFonts w:hint="eastAsia" w:ascii="宋体" w:hAnsi="宋体" w:cs="宋体"/>
          <w:color w:val="auto"/>
          <w:spacing w:val="7"/>
          <w:sz w:val="20"/>
          <w:szCs w:val="20"/>
          <w:highlight w:val="none"/>
        </w:rPr>
        <w:t>产生干扰。承包人占用或使用他人的施工</w:t>
      </w:r>
      <w:r>
        <w:rPr>
          <w:rFonts w:hint="eastAsia" w:ascii="宋体" w:hAnsi="宋体" w:cs="宋体"/>
          <w:color w:val="auto"/>
          <w:spacing w:val="9"/>
          <w:sz w:val="20"/>
          <w:szCs w:val="20"/>
          <w:highlight w:val="none"/>
        </w:rPr>
        <w:t>场地，影响他人作业或生活的，应承担相应责任。</w:t>
      </w:r>
    </w:p>
    <w:p w14:paraId="13CAE460">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4.1.8  为他人提供方便</w:t>
      </w:r>
    </w:p>
    <w:p w14:paraId="6AF21F69">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（1）承包人应当对在施工场地或者附近实施与合同工程有关</w:t>
      </w:r>
      <w:r>
        <w:rPr>
          <w:rFonts w:hint="eastAsia" w:ascii="宋体" w:hAnsi="宋体" w:cs="宋体"/>
          <w:color w:val="auto"/>
          <w:spacing w:val="9"/>
          <w:sz w:val="20"/>
          <w:szCs w:val="20"/>
          <w:highlight w:val="none"/>
        </w:rPr>
        <w:t>的其他工作的独立承包人</w:t>
      </w:r>
      <w:r>
        <w:rPr>
          <w:rFonts w:hint="eastAsia" w:ascii="宋体" w:hAnsi="宋体" w:cs="宋体"/>
          <w:color w:val="auto"/>
          <w:spacing w:val="8"/>
          <w:sz w:val="20"/>
          <w:szCs w:val="20"/>
          <w:highlight w:val="none"/>
        </w:rPr>
        <w:t>履行管理、协调、配合、照管和服务义务，由此</w:t>
      </w:r>
      <w:r>
        <w:rPr>
          <w:rFonts w:hint="eastAsia" w:ascii="宋体" w:hAnsi="宋体" w:cs="宋体"/>
          <w:color w:val="auto"/>
          <w:spacing w:val="7"/>
          <w:sz w:val="20"/>
          <w:szCs w:val="20"/>
          <w:highlight w:val="none"/>
        </w:rPr>
        <w:t>发生的费用被认为已经包括在承包人的签约</w:t>
      </w:r>
      <w:r>
        <w:rPr>
          <w:rFonts w:hint="eastAsia" w:ascii="宋体" w:hAnsi="宋体" w:cs="宋体"/>
          <w:color w:val="auto"/>
          <w:spacing w:val="9"/>
          <w:sz w:val="20"/>
          <w:szCs w:val="20"/>
          <w:highlight w:val="none"/>
        </w:rPr>
        <w:t>合同价（投标总报价）中，具体工作内容和要求见合同条款专用部分。</w:t>
      </w:r>
    </w:p>
    <w:p w14:paraId="52A38C5D">
      <w:pPr>
        <w:spacing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（2）承包人还应按照监理人指示为独立承包人以外的他人在</w:t>
      </w:r>
      <w:r>
        <w:rPr>
          <w:rFonts w:hint="eastAsia" w:ascii="宋体" w:hAnsi="宋体" w:cs="宋体"/>
          <w:color w:val="auto"/>
          <w:spacing w:val="9"/>
          <w:sz w:val="20"/>
          <w:szCs w:val="20"/>
          <w:highlight w:val="none"/>
        </w:rPr>
        <w:t>施工场地或者附近实施与</w:t>
      </w:r>
      <w:r>
        <w:rPr>
          <w:rFonts w:hint="eastAsia" w:ascii="宋体" w:hAnsi="宋体" w:cs="宋体"/>
          <w:color w:val="auto"/>
          <w:spacing w:val="13"/>
          <w:sz w:val="20"/>
          <w:szCs w:val="20"/>
          <w:highlight w:val="none"/>
        </w:rPr>
        <w:t>合同工程有关的其他工作提供可能的条件，可能发生费用由监理人按合同条</w:t>
      </w:r>
      <w:r>
        <w:rPr>
          <w:rFonts w:hint="eastAsia" w:ascii="宋体" w:hAnsi="宋体" w:cs="宋体"/>
          <w:color w:val="auto"/>
          <w:spacing w:val="12"/>
          <w:sz w:val="20"/>
          <w:szCs w:val="20"/>
          <w:highlight w:val="none"/>
        </w:rPr>
        <w:t>款通用部分第</w:t>
      </w:r>
      <w:r>
        <w:rPr>
          <w:rFonts w:hint="eastAsia" w:ascii="宋体" w:hAnsi="宋体" w:cs="宋体"/>
          <w:color w:val="auto"/>
          <w:spacing w:val="5"/>
          <w:sz w:val="20"/>
          <w:szCs w:val="20"/>
          <w:highlight w:val="none"/>
        </w:rPr>
        <w:t>3.5</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款商定或者确定。</w:t>
      </w:r>
    </w:p>
    <w:p w14:paraId="07467D5C">
      <w:pPr>
        <w:spacing w:before="160"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4.1.9  工程的维护和照管</w:t>
      </w:r>
    </w:p>
    <w:p w14:paraId="384EEAE8">
      <w:pPr>
        <w:spacing w:before="161" w:line="360" w:lineRule="auto"/>
        <w:ind w:left="20" w:right="9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工程接收证书颁发前，承包人应负责照管和维护工程。工程接收证书颁发时尚有部分未竣工工程的，承包人还应负责该未竣工工程的照管和维护工作，直至竣工后移交给发包人为</w:t>
      </w:r>
      <w:r>
        <w:rPr>
          <w:rFonts w:hint="eastAsia" w:ascii="宋体" w:hAnsi="宋体" w:cs="宋体"/>
          <w:color w:val="auto"/>
          <w:sz w:val="20"/>
          <w:szCs w:val="20"/>
          <w:highlight w:val="none"/>
        </w:rPr>
        <w:t>止。</w:t>
      </w:r>
    </w:p>
    <w:p w14:paraId="50960B43">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4.1.10  承包人的设计工作</w:t>
      </w:r>
    </w:p>
    <w:p w14:paraId="5C0EB159">
      <w:pPr>
        <w:spacing w:before="162"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根据发包人委托，在其设计资质等级和业务允许的范围内，完成约定的施工图设计或与</w:t>
      </w:r>
      <w:r>
        <w:rPr>
          <w:rFonts w:hint="eastAsia" w:ascii="宋体" w:hAnsi="宋体" w:cs="宋体"/>
          <w:color w:val="auto"/>
          <w:spacing w:val="8"/>
          <w:sz w:val="20"/>
          <w:szCs w:val="20"/>
          <w:highlight w:val="none"/>
        </w:rPr>
        <w:t>工程配套的设计工作，经监理人确认后使用</w:t>
      </w:r>
      <w:r>
        <w:rPr>
          <w:rFonts w:hint="eastAsia" w:ascii="宋体" w:hAnsi="宋体" w:cs="宋体"/>
          <w:color w:val="auto"/>
          <w:spacing w:val="7"/>
          <w:sz w:val="20"/>
          <w:szCs w:val="20"/>
          <w:highlight w:val="none"/>
        </w:rPr>
        <w:t>，发包人承担由此发生的费用和合理利润。由承</w:t>
      </w:r>
      <w:r>
        <w:rPr>
          <w:rFonts w:hint="eastAsia" w:ascii="宋体" w:hAnsi="宋体" w:cs="宋体"/>
          <w:color w:val="auto"/>
          <w:spacing w:val="6"/>
          <w:sz w:val="20"/>
          <w:szCs w:val="20"/>
          <w:highlight w:val="none"/>
        </w:rPr>
        <w:t>包人负责完成的设计文件属于合同条款第1.6.2项约定的承包人提供的文件，承包人应按照合同条款专用部分第1.6.2项约定的期限和数量提交，由此发生的费用被认为已经包括在承</w:t>
      </w:r>
      <w:r>
        <w:rPr>
          <w:rFonts w:hint="eastAsia" w:ascii="宋体" w:hAnsi="宋体" w:cs="宋体"/>
          <w:color w:val="auto"/>
          <w:spacing w:val="8"/>
          <w:sz w:val="20"/>
          <w:szCs w:val="20"/>
          <w:highlight w:val="none"/>
        </w:rPr>
        <w:t>包人的签约合同价（投标总报价）中。承包人承担</w:t>
      </w:r>
      <w:r>
        <w:rPr>
          <w:rFonts w:hint="eastAsia" w:ascii="宋体" w:hAnsi="宋体" w:cs="宋体"/>
          <w:color w:val="auto"/>
          <w:spacing w:val="7"/>
          <w:sz w:val="20"/>
          <w:szCs w:val="20"/>
          <w:highlight w:val="none"/>
        </w:rPr>
        <w:t>的施工图设计或与工程配套的设计工作内</w:t>
      </w:r>
      <w:r>
        <w:rPr>
          <w:rFonts w:hint="eastAsia" w:ascii="宋体" w:hAnsi="宋体" w:cs="宋体"/>
          <w:color w:val="auto"/>
          <w:spacing w:val="8"/>
          <w:sz w:val="20"/>
          <w:szCs w:val="20"/>
          <w:highlight w:val="none"/>
        </w:rPr>
        <w:t>容见合同条款专用部分。</w:t>
      </w:r>
    </w:p>
    <w:p w14:paraId="7660ED37">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4.1.11  农民工工资保证金</w:t>
      </w:r>
    </w:p>
    <w:p w14:paraId="484BF536">
      <w:pPr>
        <w:spacing w:before="159" w:line="360" w:lineRule="auto"/>
        <w:ind w:left="20"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承包人应在银行设立工资保证金专用账户，专项用于发生欠薪时支付农民工工资的应急</w:t>
      </w:r>
      <w:r>
        <w:rPr>
          <w:rFonts w:hint="eastAsia" w:ascii="宋体" w:hAnsi="宋体" w:cs="宋体"/>
          <w:color w:val="auto"/>
          <w:spacing w:val="9"/>
          <w:sz w:val="20"/>
          <w:szCs w:val="20"/>
          <w:highlight w:val="none"/>
        </w:rPr>
        <w:t>保障。账户内资金启用应当经建设主管部门和劳动保障行政部门批准。</w:t>
      </w:r>
    </w:p>
    <w:p w14:paraId="2DD39B8C">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4.1.12  保障妇女的劳动和社会保障权益</w:t>
      </w:r>
    </w:p>
    <w:p w14:paraId="0053C2BE">
      <w:pPr>
        <w:spacing w:before="163" w:line="360" w:lineRule="auto"/>
        <w:ind w:left="23" w:right="9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承包人应遵守《中华人民共和国妇女权益保障法</w:t>
      </w:r>
      <w:r>
        <w:rPr>
          <w:rFonts w:hint="eastAsia" w:ascii="宋体" w:hAnsi="宋体" w:cs="宋体"/>
          <w:color w:val="auto"/>
          <w:spacing w:val="6"/>
          <w:sz w:val="20"/>
          <w:szCs w:val="20"/>
          <w:highlight w:val="none"/>
        </w:rPr>
        <w:t>》中关于“劳动和社会保障权益</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”的有</w:t>
      </w:r>
      <w:r>
        <w:rPr>
          <w:rFonts w:hint="eastAsia" w:ascii="宋体" w:hAnsi="宋体" w:cs="宋体"/>
          <w:color w:val="auto"/>
          <w:spacing w:val="4"/>
          <w:sz w:val="20"/>
          <w:szCs w:val="20"/>
          <w:highlight w:val="none"/>
        </w:rPr>
        <w:t>关要求。</w:t>
      </w:r>
    </w:p>
    <w:p w14:paraId="5D8EE35D">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4.1.13  其他义务</w:t>
      </w:r>
    </w:p>
    <w:p w14:paraId="50588F34">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承包人应履行的其他义务见合同条款专用部分。</w:t>
      </w:r>
    </w:p>
    <w:p w14:paraId="260409DE">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4.2</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履约担保</w:t>
      </w:r>
    </w:p>
    <w:p w14:paraId="797E07AB">
      <w:pPr>
        <w:spacing w:before="294"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4.2.1  履约担保的格式和金额</w:t>
      </w:r>
    </w:p>
    <w:p w14:paraId="4B715EC5">
      <w:pPr>
        <w:spacing w:before="161" w:line="360" w:lineRule="auto"/>
        <w:ind w:left="19" w:right="3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合同约定承包人提交履约担保的，承包人应在签订合同前，按照发包人约定的格式或者</w:t>
      </w:r>
      <w:r>
        <w:rPr>
          <w:rFonts w:hint="eastAsia" w:ascii="宋体" w:hAnsi="宋体" w:cs="宋体"/>
          <w:color w:val="auto"/>
          <w:spacing w:val="8"/>
          <w:sz w:val="20"/>
          <w:szCs w:val="20"/>
          <w:highlight w:val="none"/>
        </w:rPr>
        <w:t>其他经过发包人认可的格式向发包人递交一份履约</w:t>
      </w:r>
      <w:r>
        <w:rPr>
          <w:rFonts w:hint="eastAsia" w:ascii="宋体" w:hAnsi="宋体" w:cs="宋体"/>
          <w:color w:val="auto"/>
          <w:spacing w:val="7"/>
          <w:sz w:val="20"/>
          <w:szCs w:val="20"/>
          <w:highlight w:val="none"/>
        </w:rPr>
        <w:t>担保。经过发包人事先书面认可的其他格</w:t>
      </w:r>
      <w:r>
        <w:rPr>
          <w:rFonts w:hint="eastAsia" w:ascii="宋体" w:hAnsi="宋体" w:cs="宋体"/>
          <w:color w:val="auto"/>
          <w:spacing w:val="9"/>
          <w:sz w:val="20"/>
          <w:szCs w:val="20"/>
          <w:highlight w:val="none"/>
        </w:rPr>
        <w:t>式的履约担保，其担保条款的实质性内容应当与发包人合同文件约定的格式内</w:t>
      </w:r>
      <w:r>
        <w:rPr>
          <w:rFonts w:hint="eastAsia" w:ascii="宋体" w:hAnsi="宋体" w:cs="宋体"/>
          <w:color w:val="auto"/>
          <w:spacing w:val="8"/>
          <w:sz w:val="20"/>
          <w:szCs w:val="20"/>
          <w:highlight w:val="none"/>
        </w:rPr>
        <w:t>容保持一致。承包人是否提交履约担保及需要提交履约担</w:t>
      </w:r>
      <w:r>
        <w:rPr>
          <w:rFonts w:hint="eastAsia" w:ascii="宋体" w:hAnsi="宋体" w:cs="宋体"/>
          <w:color w:val="auto"/>
          <w:spacing w:val="7"/>
          <w:sz w:val="20"/>
          <w:szCs w:val="20"/>
          <w:highlight w:val="none"/>
        </w:rPr>
        <w:t>保的金额见合同条款专用部分。承包人履约担保</w:t>
      </w:r>
      <w:r>
        <w:rPr>
          <w:rFonts w:hint="eastAsia" w:ascii="宋体" w:hAnsi="宋体" w:cs="宋体"/>
          <w:color w:val="auto"/>
          <w:spacing w:val="8"/>
          <w:sz w:val="20"/>
          <w:szCs w:val="20"/>
          <w:highlight w:val="none"/>
        </w:rPr>
        <w:t>格式见合同条款专用部分附件五。</w:t>
      </w:r>
    </w:p>
    <w:p w14:paraId="15EF96AA">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4.2.2  履约担保的有效期</w:t>
      </w:r>
    </w:p>
    <w:p w14:paraId="5D5DDDE6">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履约担保的有效期应当自本合同生效之日起至发包人签认并由监理人向承包人</w:t>
      </w:r>
      <w:r>
        <w:rPr>
          <w:rFonts w:hint="eastAsia" w:ascii="宋体" w:hAnsi="宋体" w:cs="宋体"/>
          <w:color w:val="auto"/>
          <w:spacing w:val="12"/>
          <w:sz w:val="20"/>
          <w:szCs w:val="20"/>
          <w:highlight w:val="none"/>
        </w:rPr>
        <w:t>出具工</w:t>
      </w:r>
      <w:r>
        <w:rPr>
          <w:rFonts w:hint="eastAsia" w:ascii="宋体" w:hAnsi="宋体" w:cs="宋体"/>
          <w:color w:val="auto"/>
          <w:spacing w:val="8"/>
          <w:sz w:val="20"/>
          <w:szCs w:val="20"/>
          <w:highlight w:val="none"/>
        </w:rPr>
        <w:t>程接收证书之日止。如果承包人无法获得一份</w:t>
      </w:r>
      <w:r>
        <w:rPr>
          <w:rFonts w:hint="eastAsia" w:ascii="宋体" w:hAnsi="宋体" w:cs="宋体"/>
          <w:color w:val="auto"/>
          <w:spacing w:val="7"/>
          <w:sz w:val="20"/>
          <w:szCs w:val="20"/>
          <w:highlight w:val="none"/>
        </w:rPr>
        <w:t>不带具体截止日期的担保，履约担保中就应当约定有“变更工程竣工日期的，保证期间按照变更后的竣工日期做相</w:t>
      </w:r>
      <w:r>
        <w:rPr>
          <w:rFonts w:hint="eastAsia" w:ascii="宋体" w:hAnsi="宋体" w:cs="宋体"/>
          <w:color w:val="auto"/>
          <w:spacing w:val="6"/>
          <w:sz w:val="20"/>
          <w:szCs w:val="20"/>
          <w:highlight w:val="none"/>
        </w:rPr>
        <w:t>应调整</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”或类似约定的</w:t>
      </w:r>
      <w:r>
        <w:rPr>
          <w:rFonts w:hint="eastAsia" w:ascii="宋体" w:hAnsi="宋体" w:cs="宋体"/>
          <w:color w:val="auto"/>
          <w:spacing w:val="3"/>
          <w:sz w:val="20"/>
          <w:szCs w:val="20"/>
          <w:highlight w:val="none"/>
        </w:rPr>
        <w:t>条款。</w:t>
      </w:r>
    </w:p>
    <w:p w14:paraId="72F1A99F">
      <w:pPr>
        <w:spacing w:before="1" w:line="360" w:lineRule="auto"/>
        <w:ind w:left="439"/>
        <w:rPr>
          <w:rFonts w:hint="eastAsia" w:ascii="宋体" w:hAnsi="宋体" w:cs="宋体"/>
          <w:color w:val="auto"/>
          <w:highlight w:val="none"/>
        </w:rPr>
      </w:pPr>
      <w:r>
        <w:rPr>
          <w:rFonts w:hint="eastAsia" w:ascii="宋体" w:hAnsi="宋体" w:cs="宋体"/>
          <w:color w:val="auto"/>
          <w:spacing w:val="6"/>
          <w:sz w:val="20"/>
          <w:szCs w:val="20"/>
          <w:highlight w:val="none"/>
        </w:rPr>
        <w:t>4.2.3  履约担保的退</w:t>
      </w:r>
    </w:p>
    <w:p w14:paraId="4C662D53">
      <w:pPr>
        <w:spacing w:before="65" w:line="360" w:lineRule="auto"/>
        <w:ind w:left="23"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履约担保应在监理人向承包人颁发（出具）工程接收证书</w:t>
      </w:r>
      <w:r>
        <w:rPr>
          <w:rFonts w:hint="eastAsia" w:ascii="宋体" w:hAnsi="宋体" w:cs="宋体"/>
          <w:color w:val="auto"/>
          <w:spacing w:val="5"/>
          <w:sz w:val="20"/>
          <w:szCs w:val="20"/>
          <w:highlight w:val="none"/>
        </w:rPr>
        <w:t>之日后</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天内退还给承包人。</w:t>
      </w:r>
      <w:r>
        <w:rPr>
          <w:rFonts w:hint="eastAsia" w:ascii="宋体" w:hAnsi="宋体" w:cs="宋体"/>
          <w:color w:val="auto"/>
          <w:spacing w:val="9"/>
          <w:sz w:val="20"/>
          <w:szCs w:val="20"/>
          <w:highlight w:val="none"/>
        </w:rPr>
        <w:t>发包人不承担承包人与履约担保有关的任何利息或其它类似的费用或者收益。</w:t>
      </w:r>
    </w:p>
    <w:p w14:paraId="03555834">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4.2.4  通知义务</w:t>
      </w:r>
    </w:p>
    <w:p w14:paraId="5D12C2B5">
      <w:pPr>
        <w:spacing w:before="158" w:line="360" w:lineRule="auto"/>
        <w:ind w:left="19" w:right="6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不管履约担保条款中如何约定，发包人根据担保条款提出索赔或兑现要求28天前，应</w:t>
      </w:r>
      <w:r>
        <w:rPr>
          <w:rFonts w:hint="eastAsia" w:ascii="宋体" w:hAnsi="宋体" w:cs="宋体"/>
          <w:color w:val="auto"/>
          <w:spacing w:val="7"/>
          <w:sz w:val="20"/>
          <w:szCs w:val="20"/>
          <w:highlight w:val="none"/>
        </w:rPr>
        <w:t>通知承包人并说明导致此类索赔或兑现的违约性质或原因。相应地，</w:t>
      </w:r>
      <w:r>
        <w:rPr>
          <w:rFonts w:hint="eastAsia" w:ascii="宋体" w:hAnsi="宋体" w:cs="宋体"/>
          <w:color w:val="auto"/>
          <w:spacing w:val="6"/>
          <w:sz w:val="20"/>
          <w:szCs w:val="20"/>
          <w:highlight w:val="none"/>
        </w:rPr>
        <w:t>不管第</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2.8款约定的支</w:t>
      </w:r>
      <w:r>
        <w:rPr>
          <w:rFonts w:hint="eastAsia" w:ascii="宋体" w:hAnsi="宋体" w:cs="宋体"/>
          <w:color w:val="auto"/>
          <w:spacing w:val="9"/>
          <w:sz w:val="20"/>
          <w:szCs w:val="20"/>
          <w:highlight w:val="none"/>
        </w:rPr>
        <w:t>付担保条款中如何约定，承包人根据担保条款提出索赔或兑现要求28天前，也应通知发包</w:t>
      </w:r>
      <w:r>
        <w:rPr>
          <w:rFonts w:hint="eastAsia" w:ascii="宋体" w:hAnsi="宋体" w:cs="宋体"/>
          <w:color w:val="auto"/>
          <w:spacing w:val="8"/>
          <w:sz w:val="20"/>
          <w:szCs w:val="20"/>
          <w:highlight w:val="none"/>
        </w:rPr>
        <w:t>人并说明导致此类索赔或兑现的违约性质或原因。</w:t>
      </w:r>
      <w:r>
        <w:rPr>
          <w:rFonts w:hint="eastAsia" w:ascii="宋体" w:hAnsi="宋体" w:cs="宋体"/>
          <w:color w:val="auto"/>
          <w:spacing w:val="7"/>
          <w:sz w:val="20"/>
          <w:szCs w:val="20"/>
          <w:highlight w:val="none"/>
        </w:rPr>
        <w:t>但是，本项约定的通知不应理解为是在任</w:t>
      </w:r>
      <w:r>
        <w:rPr>
          <w:rFonts w:hint="eastAsia" w:ascii="宋体" w:hAnsi="宋体" w:cs="宋体"/>
          <w:color w:val="auto"/>
          <w:spacing w:val="8"/>
          <w:sz w:val="20"/>
          <w:szCs w:val="20"/>
          <w:highlight w:val="none"/>
        </w:rPr>
        <w:t>何意义上寻求承包人或者发包人的同意。</w:t>
      </w:r>
    </w:p>
    <w:p w14:paraId="03CA2365">
      <w:pPr>
        <w:spacing w:before="120" w:line="360" w:lineRule="auto"/>
        <w:ind w:left="20"/>
        <w:outlineLvl w:val="2"/>
        <w:rPr>
          <w:rFonts w:hint="eastAsia" w:ascii="宋体" w:hAnsi="宋体" w:cs="宋体"/>
          <w:color w:val="auto"/>
          <w:sz w:val="24"/>
          <w:highlight w:val="none"/>
        </w:rPr>
      </w:pPr>
      <w:r>
        <w:rPr>
          <w:rFonts w:hint="eastAsia" w:ascii="宋体" w:hAnsi="宋体" w:cs="宋体"/>
          <w:color w:val="auto"/>
          <w:spacing w:val="-5"/>
          <w:sz w:val="24"/>
          <w:highlight w:val="none"/>
        </w:rPr>
        <w:t>4.3</w:t>
      </w:r>
      <w:r>
        <w:rPr>
          <w:rFonts w:hint="eastAsia" w:ascii="宋体" w:hAnsi="宋体" w:cs="宋体"/>
          <w:color w:val="auto"/>
          <w:spacing w:val="7"/>
          <w:sz w:val="24"/>
          <w:highlight w:val="none"/>
        </w:rPr>
        <w:t xml:space="preserve">  </w:t>
      </w:r>
      <w:r>
        <w:rPr>
          <w:rFonts w:hint="eastAsia" w:ascii="宋体" w:hAnsi="宋体" w:cs="宋体"/>
          <w:color w:val="auto"/>
          <w:spacing w:val="-5"/>
          <w:sz w:val="24"/>
          <w:highlight w:val="none"/>
        </w:rPr>
        <w:t>分包</w:t>
      </w:r>
    </w:p>
    <w:p w14:paraId="1BB33E28">
      <w:pPr>
        <w:spacing w:before="295" w:line="360" w:lineRule="auto"/>
        <w:ind w:left="43" w:right="71" w:firstLine="39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4.3.1  承包人不得将其承包的全部工程转包给第三人，或将其承包的全部工程肢解后</w:t>
      </w:r>
      <w:r>
        <w:rPr>
          <w:rFonts w:hint="eastAsia" w:ascii="宋体" w:hAnsi="宋体" w:cs="宋体"/>
          <w:color w:val="auto"/>
          <w:spacing w:val="6"/>
          <w:sz w:val="20"/>
          <w:szCs w:val="20"/>
          <w:highlight w:val="none"/>
        </w:rPr>
        <w:t>以分包的名义转包给第三人。</w:t>
      </w:r>
    </w:p>
    <w:p w14:paraId="05B38C39">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4.3.2  承包人不得将工程主体、关键性工作分包给第三人。</w:t>
      </w:r>
    </w:p>
    <w:p w14:paraId="697A07C5">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4.3.3  未经发包人同意，承包人不得将其自行施工范围工程的其他部分或工作分包给第三人。发包人同意承包人分包的非主体、非关键性工作包括：</w:t>
      </w:r>
    </w:p>
    <w:p w14:paraId="2DAC742A">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（1）投标函附录约定的分包工程；</w:t>
      </w:r>
    </w:p>
    <w:p w14:paraId="6FE09A08">
      <w:pPr>
        <w:spacing w:before="162" w:line="360" w:lineRule="auto"/>
        <w:ind w:left="18" w:right="69" w:firstLine="3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（2）除投标函附录中约定的分包内容外，经过发包人和监理人同意的其他非主体、非关</w:t>
      </w:r>
      <w:r>
        <w:rPr>
          <w:rFonts w:hint="eastAsia" w:ascii="宋体" w:hAnsi="宋体" w:cs="宋体"/>
          <w:color w:val="auto"/>
          <w:spacing w:val="8"/>
          <w:sz w:val="20"/>
          <w:szCs w:val="20"/>
          <w:highlight w:val="none"/>
        </w:rPr>
        <w:t>键性工作，但分包人应当经过发包人和监理人审批。</w:t>
      </w:r>
      <w:r>
        <w:rPr>
          <w:rFonts w:hint="eastAsia" w:ascii="宋体" w:hAnsi="宋体" w:cs="宋体"/>
          <w:color w:val="auto"/>
          <w:spacing w:val="7"/>
          <w:sz w:val="20"/>
          <w:szCs w:val="20"/>
          <w:highlight w:val="none"/>
        </w:rPr>
        <w:t>发包人和监理人有权拒绝承包人的分包</w:t>
      </w:r>
      <w:r>
        <w:rPr>
          <w:rFonts w:hint="eastAsia" w:ascii="宋体" w:hAnsi="宋体" w:cs="宋体"/>
          <w:color w:val="auto"/>
          <w:spacing w:val="8"/>
          <w:sz w:val="20"/>
          <w:szCs w:val="20"/>
          <w:highlight w:val="none"/>
        </w:rPr>
        <w:t>请求和承包人选择的分包人。</w:t>
      </w:r>
    </w:p>
    <w:p w14:paraId="49948AFB">
      <w:pPr>
        <w:spacing w:before="159"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4.3.4  发包人在工程量清单中给定暂估价的专业工程，包括从暂列金额开支的专业工</w:t>
      </w:r>
      <w:r>
        <w:rPr>
          <w:rFonts w:hint="eastAsia" w:ascii="宋体" w:hAnsi="宋体" w:cs="宋体"/>
          <w:color w:val="auto"/>
          <w:spacing w:val="8"/>
          <w:sz w:val="20"/>
          <w:szCs w:val="20"/>
          <w:highlight w:val="none"/>
        </w:rPr>
        <w:t>程，达到依法应当招标的规模标准的，以及虽未达</w:t>
      </w:r>
      <w:r>
        <w:rPr>
          <w:rFonts w:hint="eastAsia" w:ascii="宋体" w:hAnsi="宋体" w:cs="宋体"/>
          <w:color w:val="auto"/>
          <w:spacing w:val="7"/>
          <w:sz w:val="20"/>
          <w:szCs w:val="20"/>
          <w:highlight w:val="none"/>
        </w:rPr>
        <w:t>到规定的规模标准但合同中约定采用招标</w:t>
      </w:r>
      <w:r>
        <w:rPr>
          <w:rFonts w:hint="eastAsia" w:ascii="宋体" w:hAnsi="宋体" w:cs="宋体"/>
          <w:color w:val="auto"/>
          <w:spacing w:val="9"/>
          <w:sz w:val="20"/>
          <w:szCs w:val="20"/>
          <w:highlight w:val="none"/>
        </w:rPr>
        <w:t>方式实施的，应当按第15.8.1项的约定，由发包人</w:t>
      </w:r>
      <w:r>
        <w:rPr>
          <w:rFonts w:hint="eastAsia" w:ascii="宋体" w:hAnsi="宋体" w:cs="宋体"/>
          <w:color w:val="auto"/>
          <w:spacing w:val="8"/>
          <w:sz w:val="20"/>
          <w:szCs w:val="20"/>
          <w:highlight w:val="none"/>
        </w:rPr>
        <w:t>和承包人以招标方式确定专业分包人。除项目审批部门有特别核准外，暂估价的专业</w:t>
      </w:r>
      <w:r>
        <w:rPr>
          <w:rFonts w:hint="eastAsia" w:ascii="宋体" w:hAnsi="宋体" w:cs="宋体"/>
          <w:color w:val="auto"/>
          <w:spacing w:val="7"/>
          <w:sz w:val="20"/>
          <w:szCs w:val="20"/>
          <w:highlight w:val="none"/>
        </w:rPr>
        <w:t>工程的招标应当采用与施工总承包同样的招标</w:t>
      </w:r>
      <w:r>
        <w:rPr>
          <w:rFonts w:hint="eastAsia" w:ascii="宋体" w:hAnsi="宋体" w:cs="宋体"/>
          <w:color w:val="auto"/>
          <w:spacing w:val="3"/>
          <w:sz w:val="20"/>
          <w:szCs w:val="20"/>
          <w:highlight w:val="none"/>
        </w:rPr>
        <w:t>方式。</w:t>
      </w:r>
    </w:p>
    <w:p w14:paraId="3A128BA8">
      <w:pPr>
        <w:spacing w:before="162"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4.3.5  在相关分包合同签订并报送有关建设行政主管部门后7天内，承包人应当将一</w:t>
      </w:r>
      <w:r>
        <w:rPr>
          <w:rFonts w:hint="eastAsia" w:ascii="宋体" w:hAnsi="宋体" w:cs="宋体"/>
          <w:color w:val="auto"/>
          <w:spacing w:val="9"/>
          <w:sz w:val="20"/>
          <w:szCs w:val="20"/>
          <w:highlight w:val="none"/>
        </w:rPr>
        <w:t>份副本提交给监理人，承包人应保障分包工作不得再次分包。</w:t>
      </w:r>
    </w:p>
    <w:p w14:paraId="0458688A">
      <w:pPr>
        <w:spacing w:before="159" w:line="360" w:lineRule="auto"/>
        <w:ind w:left="19"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4.3.6  分包工程价款由承包人与分包人（包括专</w:t>
      </w:r>
      <w:r>
        <w:rPr>
          <w:rFonts w:hint="eastAsia" w:ascii="宋体" w:hAnsi="宋体" w:cs="宋体"/>
          <w:color w:val="auto"/>
          <w:spacing w:val="9"/>
          <w:sz w:val="20"/>
          <w:szCs w:val="20"/>
          <w:highlight w:val="none"/>
        </w:rPr>
        <w:t>业分包人）结算。未经承包人同意，</w:t>
      </w:r>
      <w:r>
        <w:rPr>
          <w:rFonts w:hint="eastAsia" w:ascii="宋体" w:hAnsi="宋体" w:cs="宋体"/>
          <w:color w:val="auto"/>
          <w:sz w:val="20"/>
          <w:szCs w:val="20"/>
          <w:highlight w:val="none"/>
        </w:rPr>
        <w:t xml:space="preserve"> </w:t>
      </w:r>
      <w:r>
        <w:rPr>
          <w:rFonts w:hint="eastAsia" w:ascii="宋体" w:hAnsi="宋体" w:cs="宋体"/>
          <w:color w:val="auto"/>
          <w:spacing w:val="4"/>
          <w:sz w:val="20"/>
          <w:szCs w:val="20"/>
          <w:highlight w:val="none"/>
        </w:rPr>
        <w:t>发包人不得以任何形式向分包人（包括专业分包人）支付相关分包合同项下的任何工程款项。</w:t>
      </w:r>
      <w:r>
        <w:rPr>
          <w:rFonts w:hint="eastAsia" w:ascii="宋体" w:hAnsi="宋体" w:cs="宋体"/>
          <w:color w:val="auto"/>
          <w:spacing w:val="8"/>
          <w:sz w:val="20"/>
          <w:szCs w:val="20"/>
          <w:highlight w:val="none"/>
        </w:rPr>
        <w:t>因发包人未经承包人同意直接向分包人（包括</w:t>
      </w:r>
      <w:r>
        <w:rPr>
          <w:rFonts w:hint="eastAsia" w:ascii="宋体" w:hAnsi="宋体" w:cs="宋体"/>
          <w:color w:val="auto"/>
          <w:spacing w:val="7"/>
          <w:sz w:val="20"/>
          <w:szCs w:val="20"/>
          <w:highlight w:val="none"/>
        </w:rPr>
        <w:t>专业分包人）支付相关分包合同项下的任何工</w:t>
      </w:r>
      <w:r>
        <w:rPr>
          <w:rFonts w:hint="eastAsia" w:ascii="宋体" w:hAnsi="宋体" w:cs="宋体"/>
          <w:color w:val="auto"/>
          <w:spacing w:val="9"/>
          <w:sz w:val="20"/>
          <w:szCs w:val="20"/>
          <w:highlight w:val="none"/>
        </w:rPr>
        <w:t>程款项而影响承包人工作的，所造成的承包人费用增加和（或）延误的工期由发</w:t>
      </w:r>
      <w:r>
        <w:rPr>
          <w:rFonts w:hint="eastAsia" w:ascii="宋体" w:hAnsi="宋体" w:cs="宋体"/>
          <w:color w:val="auto"/>
          <w:spacing w:val="8"/>
          <w:sz w:val="20"/>
          <w:szCs w:val="20"/>
          <w:highlight w:val="none"/>
        </w:rPr>
        <w:t>包人承担。</w:t>
      </w:r>
    </w:p>
    <w:p w14:paraId="15B796EE">
      <w:pPr>
        <w:spacing w:before="162" w:line="360" w:lineRule="auto"/>
        <w:ind w:left="22" w:right="7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4.3.7  未经发包人和监理人审批同意的分包工程和分包人，发包人有权拒绝验收分包</w:t>
      </w:r>
      <w:r>
        <w:rPr>
          <w:rFonts w:hint="eastAsia" w:ascii="宋体" w:hAnsi="宋体" w:cs="宋体"/>
          <w:color w:val="auto"/>
          <w:spacing w:val="8"/>
          <w:sz w:val="20"/>
          <w:szCs w:val="20"/>
          <w:highlight w:val="none"/>
        </w:rPr>
        <w:t>工程和支付相应款项，</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由此引起的承包人费用增加和（或）延误的工期由承包人承担。</w:t>
      </w:r>
    </w:p>
    <w:p w14:paraId="2786A156">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4.3.8  分包人的资格能力应与其分包工程的标准和规模相适应。</w:t>
      </w:r>
    </w:p>
    <w:p w14:paraId="5C418F06">
      <w:pPr>
        <w:spacing w:before="160" w:line="360" w:lineRule="auto"/>
        <w:ind w:left="439"/>
        <w:rPr>
          <w:rFonts w:hint="eastAsia" w:ascii="宋体" w:hAnsi="宋体" w:cs="宋体"/>
          <w:color w:val="auto"/>
          <w:highlight w:val="none"/>
        </w:rPr>
      </w:pPr>
      <w:r>
        <w:rPr>
          <w:rFonts w:hint="eastAsia" w:ascii="宋体" w:hAnsi="宋体" w:cs="宋体"/>
          <w:color w:val="auto"/>
          <w:spacing w:val="8"/>
          <w:sz w:val="20"/>
          <w:szCs w:val="20"/>
          <w:highlight w:val="none"/>
        </w:rPr>
        <w:t>4.3.9  发包人同意的分包工程，承包人应向发包人和监理人提供合同副本。</w:t>
      </w:r>
    </w:p>
    <w:p w14:paraId="60C6FE30">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4.3.10  承包人应与分包人就分包工程向发包人承担连带责任。</w:t>
      </w:r>
    </w:p>
    <w:p w14:paraId="465EA010">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4.4</w:t>
      </w:r>
      <w:r>
        <w:rPr>
          <w:rFonts w:hint="eastAsia" w:ascii="宋体" w:hAnsi="宋体" w:cs="宋体"/>
          <w:color w:val="auto"/>
          <w:spacing w:val="7"/>
          <w:sz w:val="24"/>
          <w:highlight w:val="none"/>
        </w:rPr>
        <w:t xml:space="preserve">  </w:t>
      </w:r>
      <w:r>
        <w:rPr>
          <w:rFonts w:hint="eastAsia" w:ascii="宋体" w:hAnsi="宋体" w:cs="宋体"/>
          <w:color w:val="auto"/>
          <w:spacing w:val="-4"/>
          <w:sz w:val="24"/>
          <w:highlight w:val="none"/>
        </w:rPr>
        <w:t>联合体</w:t>
      </w:r>
    </w:p>
    <w:p w14:paraId="02F9812A">
      <w:pPr>
        <w:spacing w:before="294" w:line="360" w:lineRule="auto"/>
        <w:ind w:left="23" w:right="145" w:firstLine="41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4.4.1  联合体各方应共同与发包人签订合同协议书。联合体各方应为履行合同承担连</w:t>
      </w:r>
      <w:r>
        <w:rPr>
          <w:rFonts w:hint="eastAsia" w:ascii="宋体" w:hAnsi="宋体" w:cs="宋体"/>
          <w:color w:val="auto"/>
          <w:spacing w:val="4"/>
          <w:sz w:val="20"/>
          <w:szCs w:val="20"/>
          <w:highlight w:val="none"/>
        </w:rPr>
        <w:t>带责任。</w:t>
      </w:r>
    </w:p>
    <w:p w14:paraId="4C9C6D11">
      <w:pPr>
        <w:spacing w:before="159" w:line="360" w:lineRule="auto"/>
        <w:ind w:left="25" w:right="145"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4.4.2  联合体协议经发包人确认后作为合同附件。在履行合同过程中，未经发包人同</w:t>
      </w:r>
      <w:r>
        <w:rPr>
          <w:rFonts w:hint="eastAsia" w:ascii="宋体" w:hAnsi="宋体" w:cs="宋体"/>
          <w:color w:val="auto"/>
          <w:spacing w:val="7"/>
          <w:sz w:val="20"/>
          <w:szCs w:val="20"/>
          <w:highlight w:val="none"/>
        </w:rPr>
        <w:t>意，不得修改联合体协议。</w:t>
      </w:r>
    </w:p>
    <w:p w14:paraId="7CB1D25D">
      <w:pPr>
        <w:spacing w:before="162" w:line="360" w:lineRule="auto"/>
        <w:ind w:left="28" w:right="145" w:firstLine="41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4.4.3  联合体牵头人负责与发包人和监理人联系，并接受指示，负责组织联合体各成</w:t>
      </w:r>
      <w:r>
        <w:rPr>
          <w:rFonts w:hint="eastAsia" w:ascii="宋体" w:hAnsi="宋体" w:cs="宋体"/>
          <w:color w:val="auto"/>
          <w:spacing w:val="6"/>
          <w:sz w:val="20"/>
          <w:szCs w:val="20"/>
          <w:highlight w:val="none"/>
        </w:rPr>
        <w:t>员全面履行合同。</w:t>
      </w:r>
    </w:p>
    <w:p w14:paraId="5FE04650">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4.5  承包人项目经理</w:t>
      </w:r>
    </w:p>
    <w:p w14:paraId="7EC4812B">
      <w:pPr>
        <w:spacing w:before="295"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12"/>
          <w:sz w:val="20"/>
          <w:szCs w:val="20"/>
          <w:highlight w:val="none"/>
        </w:rPr>
        <w:t>4.5.1  承包人项目经理必须与承包人投标时所承</w:t>
      </w:r>
      <w:r>
        <w:rPr>
          <w:rFonts w:hint="eastAsia" w:ascii="宋体" w:hAnsi="宋体" w:cs="宋体"/>
          <w:color w:val="auto"/>
          <w:spacing w:val="11"/>
          <w:sz w:val="20"/>
          <w:szCs w:val="20"/>
          <w:highlight w:val="none"/>
        </w:rPr>
        <w:t>诺的人员一致，并在根据第11.1.1</w:t>
      </w:r>
      <w:r>
        <w:rPr>
          <w:rFonts w:hint="eastAsia" w:ascii="宋体" w:hAnsi="宋体" w:cs="宋体"/>
          <w:color w:val="auto"/>
          <w:spacing w:val="8"/>
          <w:sz w:val="20"/>
          <w:szCs w:val="20"/>
          <w:highlight w:val="none"/>
        </w:rPr>
        <w:t>项确定的开工日期前到任。在监理人向承包</w:t>
      </w:r>
      <w:r>
        <w:rPr>
          <w:rFonts w:hint="eastAsia" w:ascii="宋体" w:hAnsi="宋体" w:cs="宋体"/>
          <w:color w:val="auto"/>
          <w:spacing w:val="7"/>
          <w:sz w:val="20"/>
          <w:szCs w:val="20"/>
          <w:highlight w:val="none"/>
        </w:rPr>
        <w:t>人颁发（出具）工程接收证书前，项目经理不得</w:t>
      </w:r>
      <w:r>
        <w:rPr>
          <w:rFonts w:hint="eastAsia" w:ascii="宋体" w:hAnsi="宋体" w:cs="宋体"/>
          <w:color w:val="auto"/>
          <w:spacing w:val="8"/>
          <w:sz w:val="20"/>
          <w:szCs w:val="20"/>
          <w:highlight w:val="none"/>
        </w:rPr>
        <w:t>同时兼任其他任何项目的项目经理。未经发</w:t>
      </w:r>
      <w:r>
        <w:rPr>
          <w:rFonts w:hint="eastAsia" w:ascii="宋体" w:hAnsi="宋体" w:cs="宋体"/>
          <w:color w:val="auto"/>
          <w:spacing w:val="7"/>
          <w:sz w:val="20"/>
          <w:szCs w:val="20"/>
          <w:highlight w:val="none"/>
        </w:rPr>
        <w:t>包人书面许可，承包人不得更换项目经理。承包</w:t>
      </w:r>
      <w:r>
        <w:rPr>
          <w:rFonts w:hint="eastAsia" w:ascii="宋体" w:hAnsi="宋体" w:cs="宋体"/>
          <w:color w:val="auto"/>
          <w:spacing w:val="8"/>
          <w:sz w:val="20"/>
          <w:szCs w:val="20"/>
          <w:highlight w:val="none"/>
        </w:rPr>
        <w:t>人项目经理的姓名、职称、身份证号、执业资格证</w:t>
      </w:r>
      <w:r>
        <w:rPr>
          <w:rFonts w:hint="eastAsia" w:ascii="宋体" w:hAnsi="宋体" w:cs="宋体"/>
          <w:color w:val="auto"/>
          <w:spacing w:val="7"/>
          <w:sz w:val="20"/>
          <w:szCs w:val="20"/>
          <w:highlight w:val="none"/>
        </w:rPr>
        <w:t>书号、注册证书号、执业印章号、安全生</w:t>
      </w:r>
      <w:r>
        <w:rPr>
          <w:rFonts w:hint="eastAsia" w:ascii="宋体" w:hAnsi="宋体" w:cs="宋体"/>
          <w:color w:val="auto"/>
          <w:spacing w:val="8"/>
          <w:sz w:val="20"/>
          <w:szCs w:val="20"/>
          <w:highlight w:val="none"/>
        </w:rPr>
        <w:t>产考核合格证书号等细节资料应当在合同协议书中</w:t>
      </w:r>
      <w:r>
        <w:rPr>
          <w:rFonts w:hint="eastAsia" w:ascii="宋体" w:hAnsi="宋体" w:cs="宋体"/>
          <w:color w:val="auto"/>
          <w:spacing w:val="7"/>
          <w:sz w:val="20"/>
          <w:szCs w:val="20"/>
          <w:highlight w:val="none"/>
        </w:rPr>
        <w:t>载明。承包人更换项目经理应事先征得发</w:t>
      </w:r>
      <w:r>
        <w:rPr>
          <w:rFonts w:hint="eastAsia" w:ascii="宋体" w:hAnsi="宋体" w:cs="宋体"/>
          <w:color w:val="auto"/>
          <w:spacing w:val="9"/>
          <w:sz w:val="20"/>
          <w:szCs w:val="20"/>
          <w:highlight w:val="none"/>
        </w:rPr>
        <w:t>包人同意，并应在更换14天前通知发包人和监理人。承包人项目经理短期离开施工场地，应事先征得监理人同意，并委派代表代行其职责。</w:t>
      </w:r>
    </w:p>
    <w:p w14:paraId="63DF9E40">
      <w:pPr>
        <w:spacing w:before="162"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4.5.2  承包人项目经理应按合同约定以及监理人按第3.4</w:t>
      </w:r>
      <w:r>
        <w:rPr>
          <w:rFonts w:hint="eastAsia" w:ascii="宋体" w:hAnsi="宋体" w:cs="宋体"/>
          <w:color w:val="auto"/>
          <w:spacing w:val="-38"/>
          <w:sz w:val="20"/>
          <w:szCs w:val="20"/>
          <w:highlight w:val="none"/>
        </w:rPr>
        <w:t xml:space="preserve"> </w:t>
      </w:r>
      <w:r>
        <w:rPr>
          <w:rFonts w:hint="eastAsia" w:ascii="宋体" w:hAnsi="宋体" w:cs="宋体"/>
          <w:color w:val="auto"/>
          <w:spacing w:val="8"/>
          <w:sz w:val="20"/>
          <w:szCs w:val="20"/>
          <w:highlight w:val="none"/>
        </w:rPr>
        <w:t>款作出的指示，负责组织合同工程的实施。在情况紧急且无法与监理人取得联</w:t>
      </w:r>
      <w:r>
        <w:rPr>
          <w:rFonts w:hint="eastAsia" w:ascii="宋体" w:hAnsi="宋体" w:cs="宋体"/>
          <w:color w:val="auto"/>
          <w:spacing w:val="7"/>
          <w:sz w:val="20"/>
          <w:szCs w:val="20"/>
          <w:highlight w:val="none"/>
        </w:rPr>
        <w:t>系时，可采取保证工程和人员生命财产安</w:t>
      </w:r>
      <w:r>
        <w:rPr>
          <w:rFonts w:hint="eastAsia" w:ascii="宋体" w:hAnsi="宋体" w:cs="宋体"/>
          <w:color w:val="auto"/>
          <w:spacing w:val="8"/>
          <w:sz w:val="20"/>
          <w:szCs w:val="20"/>
          <w:highlight w:val="none"/>
        </w:rPr>
        <w:t>全的紧急措施，并在采取措施后24小时内向监理人提交书面报告。</w:t>
      </w:r>
    </w:p>
    <w:p w14:paraId="5383B836">
      <w:pPr>
        <w:spacing w:before="161" w:line="360" w:lineRule="auto"/>
        <w:ind w:left="24"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4.5.3  承包人为履行合同发出的一切函件均应盖有承包人授权</w:t>
      </w:r>
      <w:r>
        <w:rPr>
          <w:rFonts w:hint="eastAsia" w:ascii="宋体" w:hAnsi="宋体" w:cs="宋体"/>
          <w:color w:val="auto"/>
          <w:spacing w:val="7"/>
          <w:sz w:val="20"/>
          <w:szCs w:val="20"/>
          <w:highlight w:val="none"/>
        </w:rPr>
        <w:t>的施工场地管理机构章，</w:t>
      </w:r>
      <w:r>
        <w:rPr>
          <w:rFonts w:hint="eastAsia" w:ascii="宋体" w:hAnsi="宋体" w:cs="宋体"/>
          <w:color w:val="auto"/>
          <w:spacing w:val="8"/>
          <w:sz w:val="20"/>
          <w:szCs w:val="20"/>
          <w:highlight w:val="none"/>
        </w:rPr>
        <w:t>并由承包人项目经理或其授权代表签字。</w:t>
      </w:r>
    </w:p>
    <w:p w14:paraId="4B48C74B">
      <w:pPr>
        <w:spacing w:before="160" w:line="360" w:lineRule="auto"/>
        <w:ind w:left="19" w:right="145"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4.5.4  承包人项目经理可以授权其下属人员履行其某项职责，但事先应将这些人员的</w:t>
      </w:r>
      <w:r>
        <w:rPr>
          <w:rFonts w:hint="eastAsia" w:ascii="宋体" w:hAnsi="宋体" w:cs="宋体"/>
          <w:color w:val="auto"/>
          <w:spacing w:val="8"/>
          <w:sz w:val="20"/>
          <w:szCs w:val="20"/>
          <w:highlight w:val="none"/>
        </w:rPr>
        <w:t>姓名和授权范围通知监理人。</w:t>
      </w:r>
    </w:p>
    <w:p w14:paraId="6E313369">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4.6  承包人人员的管理</w:t>
      </w:r>
    </w:p>
    <w:p w14:paraId="2681BFB6">
      <w:pPr>
        <w:spacing w:before="294" w:line="360" w:lineRule="auto"/>
        <w:ind w:left="19" w:right="14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4.6.1  承包人应在接到开工通知后28天内，向监理人提交承包人在施工场地的管</w:t>
      </w:r>
      <w:r>
        <w:rPr>
          <w:rFonts w:hint="eastAsia" w:ascii="宋体" w:hAnsi="宋体" w:cs="宋体"/>
          <w:color w:val="auto"/>
          <w:spacing w:val="5"/>
          <w:sz w:val="20"/>
          <w:szCs w:val="20"/>
          <w:highlight w:val="none"/>
        </w:rPr>
        <w:t>理机</w:t>
      </w:r>
      <w:r>
        <w:rPr>
          <w:rFonts w:hint="eastAsia" w:ascii="宋体" w:hAnsi="宋体" w:cs="宋体"/>
          <w:color w:val="auto"/>
          <w:spacing w:val="8"/>
          <w:sz w:val="20"/>
          <w:szCs w:val="20"/>
          <w:highlight w:val="none"/>
        </w:rPr>
        <w:t>构以及人员安排的报告，其内容应包括管理机构的</w:t>
      </w:r>
      <w:r>
        <w:rPr>
          <w:rFonts w:hint="eastAsia" w:ascii="宋体" w:hAnsi="宋体" w:cs="宋体"/>
          <w:color w:val="auto"/>
          <w:spacing w:val="7"/>
          <w:sz w:val="20"/>
          <w:szCs w:val="20"/>
          <w:highlight w:val="none"/>
        </w:rPr>
        <w:t>设置、各主要岗位的技术和管理人员名单</w:t>
      </w:r>
      <w:r>
        <w:rPr>
          <w:rFonts w:hint="eastAsia" w:ascii="宋体" w:hAnsi="宋体" w:cs="宋体"/>
          <w:color w:val="auto"/>
          <w:spacing w:val="8"/>
          <w:sz w:val="20"/>
          <w:szCs w:val="20"/>
          <w:highlight w:val="none"/>
        </w:rPr>
        <w:t>及其资格，以及各工种技术工人的安排状况。</w:t>
      </w:r>
      <w:r>
        <w:rPr>
          <w:rFonts w:hint="eastAsia" w:ascii="宋体" w:hAnsi="宋体" w:cs="宋体"/>
          <w:color w:val="auto"/>
          <w:spacing w:val="7"/>
          <w:sz w:val="20"/>
          <w:szCs w:val="20"/>
          <w:highlight w:val="none"/>
        </w:rPr>
        <w:t>承包人应向监理人提交施工场地人员变动情况</w:t>
      </w:r>
      <w:r>
        <w:rPr>
          <w:rFonts w:hint="eastAsia" w:ascii="宋体" w:hAnsi="宋体" w:cs="宋体"/>
          <w:color w:val="auto"/>
          <w:spacing w:val="5"/>
          <w:sz w:val="20"/>
          <w:szCs w:val="20"/>
          <w:highlight w:val="none"/>
        </w:rPr>
        <w:t>的报告。</w:t>
      </w:r>
    </w:p>
    <w:p w14:paraId="7FC594C3">
      <w:pPr>
        <w:spacing w:before="163" w:line="360" w:lineRule="auto"/>
        <w:ind w:left="21"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4.6.2  为完成合同约定的各项工作，承包人应向施工场地派遣或雇佣足够数量的下列</w:t>
      </w:r>
      <w:r>
        <w:rPr>
          <w:rFonts w:hint="eastAsia" w:ascii="宋体" w:hAnsi="宋体" w:cs="宋体"/>
          <w:color w:val="auto"/>
          <w:spacing w:val="2"/>
          <w:sz w:val="20"/>
          <w:szCs w:val="20"/>
          <w:highlight w:val="none"/>
        </w:rPr>
        <w:t>人员：</w:t>
      </w:r>
    </w:p>
    <w:p w14:paraId="5E59E906">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（1）具有相应资格的专业技工和合格的普工；</w:t>
      </w:r>
    </w:p>
    <w:p w14:paraId="3B80300A">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（2）具有相应施工经验的技术人员；</w:t>
      </w:r>
    </w:p>
    <w:p w14:paraId="37FF37CB">
      <w:pPr>
        <w:spacing w:before="65" w:line="360" w:lineRule="auto"/>
        <w:ind w:left="22" w:right="71" w:firstLine="3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（3）具有相应岗位资格的各级管理人员（包含符合工程项目规模和技术难度的涉及消防</w:t>
      </w:r>
      <w:r>
        <w:rPr>
          <w:rFonts w:hint="eastAsia" w:ascii="宋体" w:hAnsi="宋体" w:cs="宋体"/>
          <w:color w:val="auto"/>
          <w:spacing w:val="5"/>
          <w:sz w:val="20"/>
          <w:szCs w:val="20"/>
          <w:highlight w:val="none"/>
        </w:rPr>
        <w:t>各专业齐全、具备相应能力的质量管理人员）。</w:t>
      </w:r>
    </w:p>
    <w:p w14:paraId="61351048">
      <w:pPr>
        <w:spacing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4.6.3  承包人安排在施工场地的主要管理人员和技术骨干应相对稳定。承包人更换主要管理人员和技术骨干时，应取得监理人的同意。</w:t>
      </w:r>
    </w:p>
    <w:p w14:paraId="7BB5A7A8">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4.6.4  特殊岗位的工作人员均应持有相应的资格证明，监理人有权随时检查。监理人</w:t>
      </w:r>
      <w:r>
        <w:rPr>
          <w:rFonts w:hint="eastAsia" w:ascii="宋体" w:hAnsi="宋体" w:cs="宋体"/>
          <w:color w:val="auto"/>
          <w:spacing w:val="8"/>
          <w:sz w:val="20"/>
          <w:szCs w:val="20"/>
          <w:highlight w:val="none"/>
        </w:rPr>
        <w:t>认为有必要时，可进行现场考核。</w:t>
      </w:r>
    </w:p>
    <w:p w14:paraId="64AF1FFB">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4.7  撤换承包人项目经理和其他人员</w:t>
      </w:r>
    </w:p>
    <w:p w14:paraId="600CF5E4">
      <w:pPr>
        <w:spacing w:before="294" w:line="360" w:lineRule="auto"/>
        <w:ind w:left="23" w:right="17"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承包人应对其项目经理和其他人员进行有效管理。监理人要求撤换</w:t>
      </w:r>
      <w:r>
        <w:rPr>
          <w:rFonts w:hint="eastAsia" w:ascii="宋体" w:hAnsi="宋体" w:cs="宋体"/>
          <w:color w:val="auto"/>
          <w:spacing w:val="8"/>
          <w:sz w:val="20"/>
          <w:szCs w:val="20"/>
          <w:highlight w:val="none"/>
        </w:rPr>
        <w:t>不能胜任本职工作、</w:t>
      </w:r>
      <w:r>
        <w:rPr>
          <w:rFonts w:hint="eastAsia" w:ascii="宋体" w:hAnsi="宋体" w:cs="宋体"/>
          <w:color w:val="auto"/>
          <w:spacing w:val="9"/>
          <w:sz w:val="20"/>
          <w:szCs w:val="20"/>
          <w:highlight w:val="none"/>
        </w:rPr>
        <w:t>行为不端或玩忽职守的承包人项目经理和其他人员的，承包人应予以撤换。</w:t>
      </w:r>
    </w:p>
    <w:p w14:paraId="43C0160A">
      <w:pPr>
        <w:spacing w:before="12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4.8  保障承包人人员的合法权益</w:t>
      </w:r>
    </w:p>
    <w:p w14:paraId="3138359D">
      <w:pPr>
        <w:spacing w:before="29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4.8.1  承包人应与其雇佣的人员签订劳动合同，并按时发放工资。</w:t>
      </w:r>
    </w:p>
    <w:p w14:paraId="7AE19A04">
      <w:pPr>
        <w:spacing w:before="161"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4.8.2  承包人应按劳动法的规定安排工作时间，保证其雇佣人员享有休息和休假的权</w:t>
      </w:r>
      <w:r>
        <w:rPr>
          <w:rFonts w:hint="eastAsia" w:ascii="宋体" w:hAnsi="宋体" w:cs="宋体"/>
          <w:color w:val="auto"/>
          <w:spacing w:val="8"/>
          <w:sz w:val="20"/>
          <w:szCs w:val="20"/>
          <w:highlight w:val="none"/>
        </w:rPr>
        <w:t>利。因工程施工的特殊需要占用休假日或延</w:t>
      </w:r>
      <w:r>
        <w:rPr>
          <w:rFonts w:hint="eastAsia" w:ascii="宋体" w:hAnsi="宋体" w:cs="宋体"/>
          <w:color w:val="auto"/>
          <w:spacing w:val="7"/>
          <w:sz w:val="20"/>
          <w:szCs w:val="20"/>
          <w:highlight w:val="none"/>
        </w:rPr>
        <w:t>长工作时间的，应不超过法律规定的限度，并按</w:t>
      </w:r>
      <w:r>
        <w:rPr>
          <w:rFonts w:hint="eastAsia" w:ascii="宋体" w:hAnsi="宋体" w:cs="宋体"/>
          <w:color w:val="auto"/>
          <w:spacing w:val="8"/>
          <w:sz w:val="20"/>
          <w:szCs w:val="20"/>
          <w:highlight w:val="none"/>
        </w:rPr>
        <w:t>法律规定给予补休或付酬。</w:t>
      </w:r>
    </w:p>
    <w:p w14:paraId="3358734B">
      <w:pPr>
        <w:spacing w:before="159" w:line="360" w:lineRule="auto"/>
        <w:ind w:left="21"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4.8.3  承包人应为其雇佣人员提供必要的食宿条件，以及符合环境保护和卫生要求的</w:t>
      </w:r>
      <w:r>
        <w:rPr>
          <w:rFonts w:hint="eastAsia" w:ascii="宋体" w:hAnsi="宋体" w:cs="宋体"/>
          <w:color w:val="auto"/>
          <w:spacing w:val="4"/>
          <w:sz w:val="20"/>
          <w:szCs w:val="20"/>
          <w:highlight w:val="none"/>
        </w:rPr>
        <w:t>生活环境，在远离城镇的施工场地，还应配备必要的伤病防治和急救的医务人员与医疗设施。</w:t>
      </w:r>
    </w:p>
    <w:p w14:paraId="3F8DAC69">
      <w:pPr>
        <w:spacing w:before="160" w:line="360" w:lineRule="auto"/>
        <w:ind w:left="20" w:right="69"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4.8.4  承包人应按国家有关劳动保护的规定，采取有效的防止粉尘、降低噪声、控制</w:t>
      </w:r>
      <w:r>
        <w:rPr>
          <w:rFonts w:hint="eastAsia" w:ascii="宋体" w:hAnsi="宋体" w:cs="宋体"/>
          <w:color w:val="auto"/>
          <w:spacing w:val="8"/>
          <w:sz w:val="20"/>
          <w:szCs w:val="20"/>
          <w:highlight w:val="none"/>
        </w:rPr>
        <w:t>有害气体和保障高温、高寒、高空作业安全等劳</w:t>
      </w:r>
      <w:r>
        <w:rPr>
          <w:rFonts w:hint="eastAsia" w:ascii="宋体" w:hAnsi="宋体" w:cs="宋体"/>
          <w:color w:val="auto"/>
          <w:spacing w:val="7"/>
          <w:sz w:val="20"/>
          <w:szCs w:val="20"/>
          <w:highlight w:val="none"/>
        </w:rPr>
        <w:t>动保护措施。其雇佣人员在施工中受到伤害</w:t>
      </w:r>
      <w:r>
        <w:rPr>
          <w:rFonts w:hint="eastAsia" w:ascii="宋体" w:hAnsi="宋体" w:cs="宋体"/>
          <w:color w:val="auto"/>
          <w:spacing w:val="9"/>
          <w:sz w:val="20"/>
          <w:szCs w:val="20"/>
          <w:highlight w:val="none"/>
        </w:rPr>
        <w:t>的，承包人应立即采取有效措施进行抢救和治疗。</w:t>
      </w:r>
    </w:p>
    <w:p w14:paraId="41F060A5">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4.8.5  承包人应按有关法律规定和合同约定，为其雇佣人员办理保险。</w:t>
      </w:r>
    </w:p>
    <w:p w14:paraId="114DF8F8">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4.8.6  承包人应负责处理其雇佣人员因工伤亡事故的善后事宜。</w:t>
      </w:r>
    </w:p>
    <w:p w14:paraId="3D68539C">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4.9  工程价款应专款专用</w:t>
      </w:r>
    </w:p>
    <w:p w14:paraId="758A085A">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发包人按合同约定支付给承包人的各项价款应专用于合同工程。</w:t>
      </w:r>
    </w:p>
    <w:p w14:paraId="4D77E8E3">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4.10  承包人现场查勘</w:t>
      </w:r>
    </w:p>
    <w:p w14:paraId="69A87A95">
      <w:pPr>
        <w:spacing w:before="296" w:line="360" w:lineRule="auto"/>
        <w:ind w:left="21" w:right="69"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4.10.1  发包人应将其持有的现场地质勘探资料、水文气象资</w:t>
      </w:r>
      <w:r>
        <w:rPr>
          <w:rFonts w:hint="eastAsia" w:ascii="宋体" w:hAnsi="宋体" w:cs="宋体"/>
          <w:color w:val="auto"/>
          <w:spacing w:val="6"/>
          <w:sz w:val="20"/>
          <w:szCs w:val="20"/>
          <w:highlight w:val="none"/>
        </w:rPr>
        <w:t>料提供给承包人，并对其</w:t>
      </w:r>
      <w:r>
        <w:rPr>
          <w:rFonts w:hint="eastAsia" w:ascii="宋体" w:hAnsi="宋体" w:cs="宋体"/>
          <w:color w:val="auto"/>
          <w:spacing w:val="9"/>
          <w:sz w:val="20"/>
          <w:szCs w:val="20"/>
          <w:highlight w:val="none"/>
        </w:rPr>
        <w:t>准确性负责。但承包人应对其阅读上述有关资料后所作出的解释和推断负责。</w:t>
      </w:r>
    </w:p>
    <w:p w14:paraId="66FE295A">
      <w:pPr>
        <w:spacing w:before="160" w:line="360" w:lineRule="auto"/>
        <w:ind w:left="19" w:firstLine="419"/>
        <w:rPr>
          <w:rFonts w:hint="eastAsia" w:ascii="宋体" w:hAnsi="宋体" w:cs="宋体"/>
          <w:color w:val="auto"/>
          <w:highlight w:val="none"/>
        </w:rPr>
      </w:pPr>
      <w:r>
        <w:rPr>
          <w:rFonts w:hint="eastAsia" w:ascii="宋体" w:hAnsi="宋体" w:cs="宋体"/>
          <w:color w:val="auto"/>
          <w:spacing w:val="4"/>
          <w:sz w:val="20"/>
          <w:szCs w:val="20"/>
          <w:highlight w:val="none"/>
        </w:rPr>
        <w:t>4.10.2  承包人应对施工场地和周围环境</w:t>
      </w:r>
      <w:r>
        <w:rPr>
          <w:rFonts w:hint="eastAsia" w:ascii="宋体" w:hAnsi="宋体" w:cs="宋体"/>
          <w:color w:val="auto"/>
          <w:spacing w:val="3"/>
          <w:sz w:val="20"/>
          <w:szCs w:val="20"/>
          <w:highlight w:val="none"/>
        </w:rPr>
        <w:t>进行查勘，并收集有关地质、水文、气象条件、</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交通条件、风俗习惯以及其他为完成合同工作有关</w:t>
      </w:r>
      <w:r>
        <w:rPr>
          <w:rFonts w:hint="eastAsia" w:ascii="宋体" w:hAnsi="宋体" w:cs="宋体"/>
          <w:color w:val="auto"/>
          <w:spacing w:val="7"/>
          <w:sz w:val="20"/>
          <w:szCs w:val="20"/>
          <w:highlight w:val="none"/>
        </w:rPr>
        <w:t>的当地资料。在全部合同工作中，应视为</w:t>
      </w:r>
      <w:r>
        <w:rPr>
          <w:rFonts w:hint="eastAsia" w:ascii="宋体" w:hAnsi="宋体" w:cs="宋体"/>
          <w:color w:val="auto"/>
          <w:spacing w:val="8"/>
          <w:sz w:val="20"/>
          <w:szCs w:val="20"/>
          <w:highlight w:val="none"/>
        </w:rPr>
        <w:t>承包人已充分估计了应承担的责任和风险。</w:t>
      </w:r>
    </w:p>
    <w:p w14:paraId="6CB34D86">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4.11  不利物质条件</w:t>
      </w:r>
    </w:p>
    <w:p w14:paraId="53AF3AC3">
      <w:pPr>
        <w:spacing w:before="295"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4.11.1  不利物质条件一般是指承包人在施工场地遇到的不可</w:t>
      </w:r>
      <w:r>
        <w:rPr>
          <w:rFonts w:hint="eastAsia" w:ascii="宋体" w:hAnsi="宋体" w:cs="宋体"/>
          <w:color w:val="auto"/>
          <w:spacing w:val="6"/>
          <w:sz w:val="20"/>
          <w:szCs w:val="20"/>
          <w:highlight w:val="none"/>
        </w:rPr>
        <w:t>预见的自然物质条件、非</w:t>
      </w:r>
      <w:r>
        <w:rPr>
          <w:rFonts w:hint="eastAsia" w:ascii="宋体" w:hAnsi="宋体" w:cs="宋体"/>
          <w:color w:val="auto"/>
          <w:spacing w:val="7"/>
          <w:sz w:val="20"/>
          <w:szCs w:val="20"/>
          <w:highlight w:val="none"/>
        </w:rPr>
        <w:t>自然的物质障碍和污染物，包括地下和水文条件，但不包括气候条件。不利物质条件的具体范围见合同条款专用部分。</w:t>
      </w:r>
    </w:p>
    <w:p w14:paraId="3D7B3519">
      <w:pPr>
        <w:spacing w:before="158" w:line="360" w:lineRule="auto"/>
        <w:ind w:left="22" w:right="22"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4.11.2  承包人遇到不利物质条件时，应采取适应不利物质条件的合理措施继续施工，</w:t>
      </w:r>
      <w:r>
        <w:rPr>
          <w:rFonts w:hint="eastAsia" w:ascii="宋体" w:hAnsi="宋体" w:cs="宋体"/>
          <w:color w:val="auto"/>
          <w:spacing w:val="9"/>
          <w:sz w:val="20"/>
          <w:szCs w:val="20"/>
          <w:highlight w:val="none"/>
        </w:rPr>
        <w:t>并及时通知监理人。监理人应当及时发出指示，指示构成变更的，按第15条约定办理。监</w:t>
      </w:r>
      <w:r>
        <w:rPr>
          <w:rFonts w:hint="eastAsia" w:ascii="宋体" w:hAnsi="宋体" w:cs="宋体"/>
          <w:color w:val="auto"/>
          <w:spacing w:val="4"/>
          <w:sz w:val="20"/>
          <w:szCs w:val="20"/>
          <w:highlight w:val="none"/>
        </w:rPr>
        <w:t>理人没有发出指示的，承包人因采取合理措施增加的费用和（或）工期延误，由发包人承担。</w:t>
      </w:r>
    </w:p>
    <w:p w14:paraId="25AC4B81">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5.材料</w:t>
      </w:r>
    </w:p>
    <w:p w14:paraId="1B670036">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5.1  承包人提供的材料</w:t>
      </w:r>
    </w:p>
    <w:p w14:paraId="763779D6">
      <w:pPr>
        <w:spacing w:before="298"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5.1.1  除第5.2款约定由发包人提供的材料外，</w:t>
      </w:r>
      <w:r>
        <w:rPr>
          <w:rFonts w:hint="eastAsia" w:ascii="宋体" w:hAnsi="宋体" w:cs="宋体"/>
          <w:color w:val="auto"/>
          <w:spacing w:val="-60"/>
          <w:sz w:val="20"/>
          <w:szCs w:val="20"/>
          <w:highlight w:val="none"/>
        </w:rPr>
        <w:t xml:space="preserve"> </w:t>
      </w:r>
      <w:r>
        <w:rPr>
          <w:rFonts w:hint="eastAsia" w:ascii="宋体" w:hAnsi="宋体" w:cs="宋体"/>
          <w:color w:val="auto"/>
          <w:spacing w:val="7"/>
          <w:sz w:val="20"/>
          <w:szCs w:val="20"/>
          <w:highlight w:val="none"/>
        </w:rPr>
        <w:t>由承包人提供的材料均由承包人负责</w:t>
      </w:r>
      <w:r>
        <w:rPr>
          <w:rFonts w:hint="eastAsia" w:ascii="宋体" w:hAnsi="宋体" w:cs="宋体"/>
          <w:color w:val="auto"/>
          <w:spacing w:val="8"/>
          <w:sz w:val="20"/>
          <w:szCs w:val="20"/>
          <w:highlight w:val="none"/>
        </w:rPr>
        <w:t>采购、运输和保管。但是，发包人在工程量清单中给</w:t>
      </w:r>
      <w:r>
        <w:rPr>
          <w:rFonts w:hint="eastAsia" w:ascii="宋体" w:hAnsi="宋体" w:cs="宋体"/>
          <w:color w:val="auto"/>
          <w:spacing w:val="7"/>
          <w:sz w:val="20"/>
          <w:szCs w:val="20"/>
          <w:highlight w:val="none"/>
        </w:rPr>
        <w:t>定暂估价的材料，包括从暂列金额开支</w:t>
      </w:r>
      <w:r>
        <w:rPr>
          <w:rFonts w:hint="eastAsia" w:ascii="宋体" w:hAnsi="宋体" w:cs="宋体"/>
          <w:color w:val="auto"/>
          <w:spacing w:val="8"/>
          <w:sz w:val="20"/>
          <w:szCs w:val="20"/>
          <w:highlight w:val="none"/>
        </w:rPr>
        <w:t>的材料，其中属于依法必须招标的范围并达到规定的</w:t>
      </w:r>
      <w:r>
        <w:rPr>
          <w:rFonts w:hint="eastAsia" w:ascii="宋体" w:hAnsi="宋体" w:cs="宋体"/>
          <w:color w:val="auto"/>
          <w:spacing w:val="7"/>
          <w:sz w:val="20"/>
          <w:szCs w:val="20"/>
          <w:highlight w:val="none"/>
        </w:rPr>
        <w:t>规模标准的，以及虽不属于依法必须招</w:t>
      </w:r>
      <w:r>
        <w:rPr>
          <w:rFonts w:hint="eastAsia" w:ascii="宋体" w:hAnsi="宋体" w:cs="宋体"/>
          <w:color w:val="auto"/>
          <w:spacing w:val="9"/>
          <w:sz w:val="20"/>
          <w:szCs w:val="20"/>
          <w:highlight w:val="none"/>
        </w:rPr>
        <w:t>标的范围但合同中约定采用招标方式采购的，应当</w:t>
      </w:r>
      <w:r>
        <w:rPr>
          <w:rFonts w:hint="eastAsia" w:ascii="宋体" w:hAnsi="宋体" w:cs="宋体"/>
          <w:color w:val="auto"/>
          <w:spacing w:val="8"/>
          <w:sz w:val="20"/>
          <w:szCs w:val="20"/>
          <w:highlight w:val="none"/>
        </w:rPr>
        <w:t>按第15.8.1项的约定，由发包人和承包人以招标方式确定专项供应商。承包人负责提</w:t>
      </w:r>
      <w:r>
        <w:rPr>
          <w:rFonts w:hint="eastAsia" w:ascii="宋体" w:hAnsi="宋体" w:cs="宋体"/>
          <w:color w:val="auto"/>
          <w:spacing w:val="7"/>
          <w:sz w:val="20"/>
          <w:szCs w:val="20"/>
          <w:highlight w:val="none"/>
        </w:rPr>
        <w:t>供的主要材料清单见合同条款专用部分“附件</w:t>
      </w:r>
      <w:r>
        <w:rPr>
          <w:rFonts w:hint="eastAsia" w:ascii="宋体" w:hAnsi="宋体" w:cs="宋体"/>
          <w:color w:val="auto"/>
          <w:spacing w:val="8"/>
          <w:sz w:val="20"/>
          <w:szCs w:val="20"/>
          <w:highlight w:val="none"/>
        </w:rPr>
        <w:t>三：承包人提供的材料一览表”。</w:t>
      </w:r>
    </w:p>
    <w:p w14:paraId="03AFE69A">
      <w:pPr>
        <w:spacing w:before="2" w:line="360" w:lineRule="auto"/>
        <w:ind w:left="23" w:right="9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5.1.2  承包人应在合同约定的期限内，将各项材料的供货人和品种、规格、数量及供</w:t>
      </w:r>
      <w:r>
        <w:rPr>
          <w:rFonts w:hint="eastAsia" w:ascii="宋体" w:hAnsi="宋体" w:cs="宋体"/>
          <w:color w:val="auto"/>
          <w:spacing w:val="7"/>
          <w:sz w:val="20"/>
          <w:szCs w:val="20"/>
          <w:highlight w:val="none"/>
        </w:rPr>
        <w:t>货时间等报送监理人审批。承包人应向监理人提交其负责提供的材料的质量证明文件，并满足合同约定的质量标准。承包人将其提供的各项材料的供货人和品种、规格、数量及供货时</w:t>
      </w:r>
      <w:r>
        <w:rPr>
          <w:rFonts w:hint="eastAsia" w:ascii="宋体" w:hAnsi="宋体" w:cs="宋体"/>
          <w:color w:val="auto"/>
          <w:spacing w:val="9"/>
          <w:sz w:val="20"/>
          <w:szCs w:val="20"/>
          <w:highlight w:val="none"/>
        </w:rPr>
        <w:t>间等报送监理人审批的期限见合同条款专用部</w:t>
      </w:r>
      <w:r>
        <w:rPr>
          <w:rFonts w:hint="eastAsia" w:ascii="宋体" w:hAnsi="宋体" w:cs="宋体"/>
          <w:color w:val="auto"/>
          <w:spacing w:val="8"/>
          <w:sz w:val="20"/>
          <w:szCs w:val="20"/>
          <w:highlight w:val="none"/>
        </w:rPr>
        <w:t>分。</w:t>
      </w:r>
    </w:p>
    <w:p w14:paraId="6D6AF57E">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5.1.3  对承包人提供的材料，承包人应会同监理人进行检验和交货验收，查验材料合</w:t>
      </w:r>
      <w:r>
        <w:rPr>
          <w:rFonts w:hint="eastAsia" w:ascii="宋体" w:hAnsi="宋体" w:cs="宋体"/>
          <w:color w:val="auto"/>
          <w:spacing w:val="8"/>
          <w:sz w:val="20"/>
          <w:szCs w:val="20"/>
          <w:highlight w:val="none"/>
        </w:rPr>
        <w:t>格证明和产品合格证书，并按照合同约定和监理人</w:t>
      </w:r>
      <w:r>
        <w:rPr>
          <w:rFonts w:hint="eastAsia" w:ascii="宋体" w:hAnsi="宋体" w:cs="宋体"/>
          <w:color w:val="auto"/>
          <w:spacing w:val="7"/>
          <w:sz w:val="20"/>
          <w:szCs w:val="20"/>
          <w:highlight w:val="none"/>
        </w:rPr>
        <w:t>指示，进行材料的抽样检验和工程设备的</w:t>
      </w:r>
      <w:r>
        <w:rPr>
          <w:rFonts w:hint="eastAsia" w:ascii="宋体" w:hAnsi="宋体" w:cs="宋体"/>
          <w:color w:val="auto"/>
          <w:spacing w:val="9"/>
          <w:sz w:val="20"/>
          <w:szCs w:val="20"/>
          <w:highlight w:val="none"/>
        </w:rPr>
        <w:t>检验测试，检验和测试结果应提交监理人。除合同另有约定外，所需费用由承包人承担。</w:t>
      </w:r>
    </w:p>
    <w:p w14:paraId="0FC4D32D">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5.2  发包人提供的材料</w:t>
      </w:r>
    </w:p>
    <w:p w14:paraId="62A0F1A8">
      <w:pPr>
        <w:spacing w:before="299"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5.2.1  发包人负责提供的材料名称、规格、数量、价格、有效损耗率、交货方式、交货地点和计划交货日期等见合同条款专用部分“附件四：发包人提供的材料一览表”。</w:t>
      </w:r>
    </w:p>
    <w:p w14:paraId="06CBEB0C">
      <w:pPr>
        <w:spacing w:before="160" w:line="360" w:lineRule="auto"/>
        <w:ind w:left="23" w:right="2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5.2.2  承包人应根据合同进度计划的安排，向监理人报送要求发包人交货的</w:t>
      </w:r>
      <w:r>
        <w:rPr>
          <w:rFonts w:hint="eastAsia" w:ascii="宋体" w:hAnsi="宋体" w:cs="宋体"/>
          <w:color w:val="auto"/>
          <w:spacing w:val="5"/>
          <w:sz w:val="20"/>
          <w:szCs w:val="20"/>
          <w:highlight w:val="none"/>
        </w:rPr>
        <w:t>日期计划。</w:t>
      </w:r>
      <w:r>
        <w:rPr>
          <w:rFonts w:hint="eastAsia" w:ascii="宋体" w:hAnsi="宋体" w:cs="宋体"/>
          <w:color w:val="auto"/>
          <w:spacing w:val="9"/>
          <w:sz w:val="20"/>
          <w:szCs w:val="20"/>
          <w:highlight w:val="none"/>
        </w:rPr>
        <w:t>发包人应按照监理人与合同双方当事人商定的交货日期，向承包人提交材料。</w:t>
      </w:r>
    </w:p>
    <w:p w14:paraId="37C41AD6">
      <w:pPr>
        <w:spacing w:before="164"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5.2.3  发包人应在材料到货</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天前通知承包人，承包人应会同</w:t>
      </w:r>
      <w:r>
        <w:rPr>
          <w:rFonts w:hint="eastAsia" w:ascii="宋体" w:hAnsi="宋体" w:cs="宋体"/>
          <w:color w:val="auto"/>
          <w:spacing w:val="4"/>
          <w:sz w:val="20"/>
          <w:szCs w:val="20"/>
          <w:highlight w:val="none"/>
        </w:rPr>
        <w:t>监理人在约定的时间内，</w:t>
      </w:r>
      <w:r>
        <w:rPr>
          <w:rFonts w:hint="eastAsia" w:ascii="宋体" w:hAnsi="宋体" w:cs="宋体"/>
          <w:color w:val="auto"/>
          <w:spacing w:val="8"/>
          <w:sz w:val="20"/>
          <w:szCs w:val="20"/>
          <w:highlight w:val="none"/>
        </w:rPr>
        <w:t>赴交货地点共同进行验收。</w:t>
      </w:r>
      <w:r>
        <w:rPr>
          <w:rFonts w:hint="eastAsia" w:ascii="宋体" w:hAnsi="宋体" w:cs="宋体"/>
          <w:color w:val="auto"/>
          <w:spacing w:val="-59"/>
          <w:sz w:val="20"/>
          <w:szCs w:val="20"/>
          <w:highlight w:val="none"/>
        </w:rPr>
        <w:t xml:space="preserve"> </w:t>
      </w:r>
      <w:r>
        <w:rPr>
          <w:rFonts w:hint="eastAsia" w:ascii="宋体" w:hAnsi="宋体" w:cs="宋体"/>
          <w:color w:val="auto"/>
          <w:spacing w:val="8"/>
          <w:sz w:val="20"/>
          <w:szCs w:val="20"/>
          <w:highlight w:val="none"/>
        </w:rPr>
        <w:t>由发包人提供的材料验收后，由承包人负责接收</w:t>
      </w:r>
      <w:r>
        <w:rPr>
          <w:rFonts w:hint="eastAsia" w:ascii="宋体" w:hAnsi="宋体" w:cs="宋体"/>
          <w:color w:val="auto"/>
          <w:spacing w:val="7"/>
          <w:sz w:val="20"/>
          <w:szCs w:val="20"/>
          <w:highlight w:val="none"/>
        </w:rPr>
        <w:t>、运输和保管。</w:t>
      </w:r>
    </w:p>
    <w:p w14:paraId="03F90936">
      <w:pPr>
        <w:spacing w:line="360" w:lineRule="auto"/>
        <w:ind w:firstLine="436" w:firstLineChars="200"/>
        <w:rPr>
          <w:rFonts w:hint="eastAsia" w:ascii="宋体" w:hAnsi="宋体" w:cs="宋体"/>
          <w:color w:val="auto"/>
          <w:highlight w:val="none"/>
        </w:rPr>
      </w:pPr>
      <w:r>
        <w:rPr>
          <w:rFonts w:hint="eastAsia" w:ascii="宋体" w:hAnsi="宋体" w:cs="宋体"/>
          <w:color w:val="auto"/>
          <w:spacing w:val="9"/>
          <w:sz w:val="20"/>
          <w:szCs w:val="20"/>
          <w:highlight w:val="none"/>
        </w:rPr>
        <w:t>5.2.4  发包人要求向承包人提前交货的，承包人不得拒绝，但发包人应承担承包人由</w:t>
      </w:r>
      <w:r>
        <w:rPr>
          <w:rFonts w:hint="eastAsia" w:ascii="宋体" w:hAnsi="宋体" w:cs="宋体"/>
          <w:color w:val="auto"/>
          <w:spacing w:val="6"/>
          <w:sz w:val="20"/>
          <w:szCs w:val="20"/>
          <w:highlight w:val="none"/>
        </w:rPr>
        <w:t>此增加的费用。</w:t>
      </w:r>
    </w:p>
    <w:p w14:paraId="53A19DB9">
      <w:pPr>
        <w:spacing w:before="65" w:line="360" w:lineRule="auto"/>
        <w:ind w:left="22" w:right="161" w:firstLine="4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5.2.5  承包人要求更改交货日期或地点的，应事先报请监理人批准。</w:t>
      </w:r>
      <w:r>
        <w:rPr>
          <w:rFonts w:hint="eastAsia" w:ascii="宋体" w:hAnsi="宋体" w:cs="宋体"/>
          <w:color w:val="auto"/>
          <w:spacing w:val="-53"/>
          <w:sz w:val="20"/>
          <w:szCs w:val="20"/>
          <w:highlight w:val="none"/>
        </w:rPr>
        <w:t xml:space="preserve"> </w:t>
      </w:r>
      <w:r>
        <w:rPr>
          <w:rFonts w:hint="eastAsia" w:ascii="宋体" w:hAnsi="宋体" w:cs="宋体"/>
          <w:color w:val="auto"/>
          <w:spacing w:val="8"/>
          <w:sz w:val="20"/>
          <w:szCs w:val="20"/>
          <w:highlight w:val="none"/>
        </w:rPr>
        <w:t>由于承包人要求</w:t>
      </w:r>
      <w:r>
        <w:rPr>
          <w:rFonts w:hint="eastAsia" w:ascii="宋体" w:hAnsi="宋体" w:cs="宋体"/>
          <w:color w:val="auto"/>
          <w:spacing w:val="9"/>
          <w:sz w:val="20"/>
          <w:szCs w:val="20"/>
          <w:highlight w:val="none"/>
        </w:rPr>
        <w:t>更改交货时间或地点所增加的费用和（或）工期延误由承包人承担。</w:t>
      </w:r>
    </w:p>
    <w:p w14:paraId="5C884D19">
      <w:pPr>
        <w:spacing w:before="164" w:line="360" w:lineRule="auto"/>
        <w:ind w:left="21" w:right="105"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5.2.6  发包人提供的材料的规格、数量或质量不符合合同要求，或由于发包人原因发</w:t>
      </w:r>
      <w:r>
        <w:rPr>
          <w:rFonts w:hint="eastAsia" w:ascii="宋体" w:hAnsi="宋体" w:cs="宋体"/>
          <w:color w:val="auto"/>
          <w:spacing w:val="4"/>
          <w:sz w:val="20"/>
          <w:szCs w:val="20"/>
          <w:highlight w:val="none"/>
        </w:rPr>
        <w:t>生交货日期延误及交货地点变更等情况的，发包人应承担由此增加的费</w:t>
      </w:r>
      <w:r>
        <w:rPr>
          <w:rFonts w:hint="eastAsia" w:ascii="宋体" w:hAnsi="宋体" w:cs="宋体"/>
          <w:color w:val="auto"/>
          <w:spacing w:val="3"/>
          <w:sz w:val="20"/>
          <w:szCs w:val="20"/>
          <w:highlight w:val="none"/>
        </w:rPr>
        <w:t>用和（或）工期延误，</w:t>
      </w:r>
      <w:r>
        <w:rPr>
          <w:rFonts w:hint="eastAsia" w:ascii="宋体" w:hAnsi="宋体" w:cs="宋体"/>
          <w:color w:val="auto"/>
          <w:spacing w:val="8"/>
          <w:sz w:val="20"/>
          <w:szCs w:val="20"/>
          <w:highlight w:val="none"/>
        </w:rPr>
        <w:t>并向承包人支付合理利润。</w:t>
      </w:r>
    </w:p>
    <w:p w14:paraId="0067BA93">
      <w:pPr>
        <w:spacing w:before="162" w:line="360" w:lineRule="auto"/>
        <w:ind w:left="19" w:right="10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5.2.7  因承包人原因引起发包人提供的材料的实际领用数量超过合同条款专用部分约</w:t>
      </w:r>
      <w:r>
        <w:rPr>
          <w:rFonts w:hint="eastAsia" w:ascii="宋体" w:hAnsi="宋体" w:cs="宋体"/>
          <w:color w:val="auto"/>
          <w:spacing w:val="8"/>
          <w:sz w:val="20"/>
          <w:szCs w:val="20"/>
          <w:highlight w:val="none"/>
        </w:rPr>
        <w:t>定的数量时，超出部分的材料费用由承包人承</w:t>
      </w:r>
      <w:r>
        <w:rPr>
          <w:rFonts w:hint="eastAsia" w:ascii="宋体" w:hAnsi="宋体" w:cs="宋体"/>
          <w:color w:val="auto"/>
          <w:spacing w:val="7"/>
          <w:sz w:val="20"/>
          <w:szCs w:val="20"/>
          <w:highlight w:val="none"/>
        </w:rPr>
        <w:t>担。发包人可按相应供货合同的单价计算确定</w:t>
      </w:r>
      <w:r>
        <w:rPr>
          <w:rFonts w:hint="eastAsia" w:ascii="宋体" w:hAnsi="宋体" w:cs="宋体"/>
          <w:color w:val="auto"/>
          <w:spacing w:val="9"/>
          <w:sz w:val="20"/>
          <w:szCs w:val="20"/>
          <w:highlight w:val="none"/>
        </w:rPr>
        <w:t>超领数量的材料费用，并从承包人完成合同工程的施工过程结算或竣工结算的价</w:t>
      </w:r>
      <w:r>
        <w:rPr>
          <w:rFonts w:hint="eastAsia" w:ascii="宋体" w:hAnsi="宋体" w:cs="宋体"/>
          <w:color w:val="auto"/>
          <w:spacing w:val="8"/>
          <w:sz w:val="20"/>
          <w:szCs w:val="20"/>
          <w:highlight w:val="none"/>
        </w:rPr>
        <w:t>款中扣除。</w:t>
      </w:r>
      <w:r>
        <w:rPr>
          <w:rFonts w:hint="eastAsia" w:ascii="宋体" w:hAnsi="宋体" w:cs="宋体"/>
          <w:color w:val="auto"/>
          <w:spacing w:val="13"/>
          <w:sz w:val="20"/>
          <w:szCs w:val="20"/>
          <w:highlight w:val="none"/>
        </w:rPr>
        <w:t>因发包人实际提供材料的规格型号与招标文件中规定的规格型号不同而引起材</w:t>
      </w:r>
      <w:r>
        <w:rPr>
          <w:rFonts w:hint="eastAsia" w:ascii="宋体" w:hAnsi="宋体" w:cs="宋体"/>
          <w:color w:val="auto"/>
          <w:spacing w:val="12"/>
          <w:sz w:val="20"/>
          <w:szCs w:val="20"/>
          <w:highlight w:val="none"/>
        </w:rPr>
        <w:t>料实际损耗</w:t>
      </w:r>
      <w:r>
        <w:rPr>
          <w:rFonts w:hint="eastAsia" w:ascii="宋体" w:hAnsi="宋体" w:cs="宋体"/>
          <w:color w:val="auto"/>
          <w:spacing w:val="9"/>
          <w:sz w:val="20"/>
          <w:szCs w:val="20"/>
          <w:highlight w:val="none"/>
        </w:rPr>
        <w:t>率超出有效损耗率的，超出部分应由发包人承担。</w:t>
      </w:r>
    </w:p>
    <w:p w14:paraId="4A9405B4">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5.3  材料专用于合同工程</w:t>
      </w:r>
    </w:p>
    <w:p w14:paraId="130A6C88">
      <w:pPr>
        <w:spacing w:before="297" w:line="360" w:lineRule="auto"/>
        <w:ind w:left="23"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5.3.1  运入施工场地的材料，包括备品备件、安装专用工器具与随机资料，必须专用于合同工程，未经监理人同意，承包人不得运出施工场地或挪作他用。</w:t>
      </w:r>
    </w:p>
    <w:p w14:paraId="1D763D01">
      <w:pPr>
        <w:spacing w:before="163" w:line="360" w:lineRule="auto"/>
        <w:ind w:left="19" w:right="159"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5.3.2  随同工程设备运入施工场地的备品备件、专用工器具与随机资料，应由承包人</w:t>
      </w:r>
      <w:r>
        <w:rPr>
          <w:rFonts w:hint="eastAsia" w:ascii="宋体" w:hAnsi="宋体" w:cs="宋体"/>
          <w:color w:val="auto"/>
          <w:spacing w:val="8"/>
          <w:sz w:val="20"/>
          <w:szCs w:val="20"/>
          <w:highlight w:val="none"/>
        </w:rPr>
        <w:t>会同监理人按供货人的装箱单清点后共同封存，未经</w:t>
      </w:r>
      <w:r>
        <w:rPr>
          <w:rFonts w:hint="eastAsia" w:ascii="宋体" w:hAnsi="宋体" w:cs="宋体"/>
          <w:color w:val="auto"/>
          <w:spacing w:val="7"/>
          <w:sz w:val="20"/>
          <w:szCs w:val="20"/>
          <w:highlight w:val="none"/>
        </w:rPr>
        <w:t>监理人同意不得启用。承包人因合同工</w:t>
      </w:r>
      <w:r>
        <w:rPr>
          <w:rFonts w:hint="eastAsia" w:ascii="宋体" w:hAnsi="宋体" w:cs="宋体"/>
          <w:color w:val="auto"/>
          <w:spacing w:val="9"/>
          <w:sz w:val="20"/>
          <w:szCs w:val="20"/>
          <w:highlight w:val="none"/>
        </w:rPr>
        <w:t>作需要使用上述物品时，应向监理人提出申请。</w:t>
      </w:r>
    </w:p>
    <w:p w14:paraId="16B0E698">
      <w:pPr>
        <w:spacing w:before="286" w:line="360" w:lineRule="auto"/>
        <w:ind w:left="25"/>
        <w:outlineLvl w:val="2"/>
        <w:rPr>
          <w:rFonts w:hint="eastAsia" w:ascii="宋体" w:hAnsi="宋体" w:cs="宋体"/>
          <w:color w:val="auto"/>
          <w:sz w:val="24"/>
          <w:highlight w:val="none"/>
        </w:rPr>
      </w:pPr>
      <w:r>
        <w:rPr>
          <w:rFonts w:hint="eastAsia" w:ascii="宋体" w:hAnsi="宋体" w:cs="宋体"/>
          <w:color w:val="auto"/>
          <w:spacing w:val="-1"/>
          <w:sz w:val="24"/>
          <w:highlight w:val="none"/>
        </w:rPr>
        <w:t>5.4  禁止使用不合格的材料</w:t>
      </w:r>
    </w:p>
    <w:p w14:paraId="6491F843">
      <w:pPr>
        <w:spacing w:before="297" w:line="360" w:lineRule="auto"/>
        <w:ind w:left="21" w:right="161"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5.4.1  监理人有权拒绝承包人提供的不合格材料，并要求承包人立即进行更换。监理</w:t>
      </w:r>
      <w:r>
        <w:rPr>
          <w:rFonts w:hint="eastAsia" w:ascii="宋体" w:hAnsi="宋体" w:cs="宋体"/>
          <w:color w:val="auto"/>
          <w:spacing w:val="8"/>
          <w:sz w:val="20"/>
          <w:szCs w:val="20"/>
          <w:highlight w:val="none"/>
        </w:rPr>
        <w:t>人应在更换后再次进行检查和检验，</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由此增加的费用和（或）工期延误由承包人承担。</w:t>
      </w:r>
    </w:p>
    <w:p w14:paraId="49CEA899">
      <w:pPr>
        <w:spacing w:before="161" w:line="360" w:lineRule="auto"/>
        <w:ind w:left="24" w:right="105"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5.4.2  监理人发现承包人使用了不合格</w:t>
      </w:r>
      <w:r>
        <w:rPr>
          <w:rFonts w:hint="eastAsia" w:ascii="宋体" w:hAnsi="宋体" w:cs="宋体"/>
          <w:color w:val="auto"/>
          <w:spacing w:val="5"/>
          <w:sz w:val="20"/>
          <w:szCs w:val="20"/>
          <w:highlight w:val="none"/>
        </w:rPr>
        <w:t>的材料，应即时发出指示要求承包人立即改正，</w:t>
      </w:r>
      <w:r>
        <w:rPr>
          <w:rFonts w:hint="eastAsia" w:ascii="宋体" w:hAnsi="宋体" w:cs="宋体"/>
          <w:color w:val="auto"/>
          <w:spacing w:val="8"/>
          <w:sz w:val="20"/>
          <w:szCs w:val="20"/>
          <w:highlight w:val="none"/>
        </w:rPr>
        <w:t>并禁止在工程中继续使用不合格的材料。</w:t>
      </w:r>
    </w:p>
    <w:p w14:paraId="7AC97019">
      <w:pPr>
        <w:spacing w:before="161" w:line="360" w:lineRule="auto"/>
        <w:ind w:left="45" w:right="105" w:firstLine="39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5.4.3  发包人提供的材料不符合合同要</w:t>
      </w:r>
      <w:r>
        <w:rPr>
          <w:rFonts w:hint="eastAsia" w:ascii="宋体" w:hAnsi="宋体" w:cs="宋体"/>
          <w:color w:val="auto"/>
          <w:spacing w:val="5"/>
          <w:sz w:val="20"/>
          <w:szCs w:val="20"/>
          <w:highlight w:val="none"/>
        </w:rPr>
        <w:t>求的，承包人有权拒绝，并可要求发包人更换，</w:t>
      </w:r>
      <w:r>
        <w:rPr>
          <w:rFonts w:hint="eastAsia" w:ascii="宋体" w:hAnsi="宋体" w:cs="宋体"/>
          <w:color w:val="auto"/>
          <w:spacing w:val="8"/>
          <w:sz w:val="20"/>
          <w:szCs w:val="20"/>
          <w:highlight w:val="none"/>
        </w:rPr>
        <w:t>由此增加的费用和（或）工期延误由发包人承</w:t>
      </w:r>
      <w:r>
        <w:rPr>
          <w:rFonts w:hint="eastAsia" w:ascii="宋体" w:hAnsi="宋体" w:cs="宋体"/>
          <w:color w:val="auto"/>
          <w:spacing w:val="7"/>
          <w:sz w:val="20"/>
          <w:szCs w:val="20"/>
          <w:highlight w:val="none"/>
        </w:rPr>
        <w:t>担。</w:t>
      </w:r>
    </w:p>
    <w:p w14:paraId="450ADA07">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6.施工设备和临时设施</w:t>
      </w:r>
    </w:p>
    <w:p w14:paraId="0D670BF3">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6.1  承包人提供的施工设备和临时设施</w:t>
      </w:r>
    </w:p>
    <w:p w14:paraId="49D99231">
      <w:pPr>
        <w:spacing w:before="296" w:line="360" w:lineRule="auto"/>
        <w:ind w:left="1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6.1.1  承包人应按合同进度计划的要求，及时配置施工设备和修建临时设施。进入施</w:t>
      </w:r>
      <w:r>
        <w:rPr>
          <w:rFonts w:hint="eastAsia" w:ascii="宋体" w:hAnsi="宋体" w:cs="宋体"/>
          <w:color w:val="auto"/>
          <w:spacing w:val="6"/>
          <w:sz w:val="20"/>
          <w:szCs w:val="20"/>
          <w:highlight w:val="none"/>
        </w:rPr>
        <w:t>工场地的承包人设备需经监理人核查后才能投入使用。承包人更换合同约定的承包人设备的，</w:t>
      </w:r>
      <w:r>
        <w:rPr>
          <w:rFonts w:hint="eastAsia" w:ascii="宋体" w:hAnsi="宋体" w:cs="宋体"/>
          <w:color w:val="auto"/>
          <w:spacing w:val="7"/>
          <w:sz w:val="20"/>
          <w:szCs w:val="20"/>
          <w:highlight w:val="none"/>
        </w:rPr>
        <w:t>应报监理人批准。</w:t>
      </w:r>
    </w:p>
    <w:p w14:paraId="6AECCA53">
      <w:pPr>
        <w:spacing w:before="159" w:line="360" w:lineRule="auto"/>
        <w:ind w:left="19" w:right="105" w:firstLine="421"/>
        <w:rPr>
          <w:rFonts w:hint="eastAsia" w:ascii="宋体" w:hAnsi="宋体" w:cs="宋体"/>
          <w:color w:val="auto"/>
          <w:highlight w:val="none"/>
        </w:rPr>
      </w:pPr>
      <w:r>
        <w:rPr>
          <w:rFonts w:hint="eastAsia" w:ascii="宋体" w:hAnsi="宋体" w:cs="宋体"/>
          <w:color w:val="auto"/>
          <w:spacing w:val="6"/>
          <w:sz w:val="20"/>
          <w:szCs w:val="20"/>
          <w:highlight w:val="none"/>
        </w:rPr>
        <w:t>6.1.2  除合同另有约定外，承包人应承担自行</w:t>
      </w:r>
      <w:r>
        <w:rPr>
          <w:rFonts w:hint="eastAsia" w:ascii="宋体" w:hAnsi="宋体" w:cs="宋体"/>
          <w:color w:val="auto"/>
          <w:spacing w:val="5"/>
          <w:sz w:val="20"/>
          <w:szCs w:val="20"/>
          <w:highlight w:val="none"/>
        </w:rPr>
        <w:t>修建临时设施的费用。需要临时占地的，</w:t>
      </w:r>
      <w:r>
        <w:rPr>
          <w:rFonts w:hint="eastAsia" w:ascii="宋体" w:hAnsi="宋体" w:cs="宋体"/>
          <w:color w:val="auto"/>
          <w:spacing w:val="8"/>
          <w:sz w:val="20"/>
          <w:szCs w:val="20"/>
          <w:highlight w:val="none"/>
        </w:rPr>
        <w:t>应由发包人办理申请手续并承担相应费用。承包人</w:t>
      </w:r>
      <w:r>
        <w:rPr>
          <w:rFonts w:hint="eastAsia" w:ascii="宋体" w:hAnsi="宋体" w:cs="宋体"/>
          <w:color w:val="auto"/>
          <w:spacing w:val="7"/>
          <w:sz w:val="20"/>
          <w:szCs w:val="20"/>
          <w:highlight w:val="none"/>
        </w:rPr>
        <w:t>自行修建临时设施的范围以及所需临时占</w:t>
      </w:r>
      <w:r>
        <w:rPr>
          <w:rFonts w:hint="eastAsia" w:ascii="宋体" w:hAnsi="宋体" w:cs="宋体"/>
          <w:color w:val="auto"/>
          <w:spacing w:val="8"/>
          <w:sz w:val="20"/>
          <w:szCs w:val="20"/>
          <w:highlight w:val="none"/>
        </w:rPr>
        <w:t>地见合同条款专用部分。</w:t>
      </w:r>
    </w:p>
    <w:p w14:paraId="79D45A87">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6.2  发包人提供的施工设备和临时设施</w:t>
      </w:r>
    </w:p>
    <w:p w14:paraId="688974BA">
      <w:pPr>
        <w:spacing w:before="297" w:line="360" w:lineRule="auto"/>
        <w:ind w:left="20" w:right="92"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发包人提供的施工设备或临时设施，以及相关运行、维护、拆除、清运费用的承担人见合同条款专用部分。</w:t>
      </w:r>
    </w:p>
    <w:p w14:paraId="7331366B">
      <w:pPr>
        <w:spacing w:before="122"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6.3  要求承包人增加或更换施工设备</w:t>
      </w:r>
    </w:p>
    <w:p w14:paraId="265026A2">
      <w:pPr>
        <w:spacing w:before="295"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承人使用的施工设备不能满足合同进度计划和（或）质量要求时，监理人有权要求承</w:t>
      </w:r>
      <w:r>
        <w:rPr>
          <w:rFonts w:hint="eastAsia" w:ascii="宋体" w:hAnsi="宋体" w:cs="宋体"/>
          <w:color w:val="auto"/>
          <w:spacing w:val="13"/>
          <w:sz w:val="20"/>
          <w:szCs w:val="20"/>
          <w:highlight w:val="none"/>
        </w:rPr>
        <w:t xml:space="preserve"> </w:t>
      </w:r>
      <w:r>
        <w:rPr>
          <w:rFonts w:hint="eastAsia" w:ascii="宋体" w:hAnsi="宋体" w:cs="宋体"/>
          <w:color w:val="auto"/>
          <w:spacing w:val="8"/>
          <w:sz w:val="20"/>
          <w:szCs w:val="20"/>
          <w:highlight w:val="none"/>
        </w:rPr>
        <w:t>包人增加或更换施工设备，承包人应及时增加或更</w:t>
      </w:r>
      <w:r>
        <w:rPr>
          <w:rFonts w:hint="eastAsia" w:ascii="宋体" w:hAnsi="宋体" w:cs="宋体"/>
          <w:color w:val="auto"/>
          <w:spacing w:val="7"/>
          <w:sz w:val="20"/>
          <w:szCs w:val="20"/>
          <w:highlight w:val="none"/>
        </w:rPr>
        <w:t>换，由此增加的费用和（或）工期延误由</w:t>
      </w:r>
      <w:r>
        <w:rPr>
          <w:rFonts w:hint="eastAsia" w:ascii="宋体" w:hAnsi="宋体" w:cs="宋体"/>
          <w:color w:val="auto"/>
          <w:spacing w:val="6"/>
          <w:sz w:val="20"/>
          <w:szCs w:val="20"/>
          <w:highlight w:val="none"/>
        </w:rPr>
        <w:t>承包人承担。</w:t>
      </w:r>
    </w:p>
    <w:p w14:paraId="5F5228DA">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6.4  施工设备和临时设施专用于合同工程</w:t>
      </w:r>
    </w:p>
    <w:p w14:paraId="036EE64D">
      <w:pPr>
        <w:spacing w:before="298" w:line="360" w:lineRule="auto"/>
        <w:ind w:left="20" w:right="94"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6.4.1  除为第4.1.8项约定的其他独立承包人和监理人指示的他人提供条件外,承包</w:t>
      </w:r>
      <w:r>
        <w:rPr>
          <w:rFonts w:hint="eastAsia" w:ascii="宋体" w:hAnsi="宋体" w:cs="宋体"/>
          <w:color w:val="auto"/>
          <w:spacing w:val="8"/>
          <w:sz w:val="20"/>
          <w:szCs w:val="20"/>
          <w:highlight w:val="none"/>
        </w:rPr>
        <w:t>人运入施工场地的所有施工设备以及在施工</w:t>
      </w:r>
      <w:r>
        <w:rPr>
          <w:rFonts w:hint="eastAsia" w:ascii="宋体" w:hAnsi="宋体" w:cs="宋体"/>
          <w:color w:val="auto"/>
          <w:spacing w:val="7"/>
          <w:sz w:val="20"/>
          <w:szCs w:val="20"/>
          <w:highlight w:val="none"/>
        </w:rPr>
        <w:t>场地建设的临时设施仅限于用于合同工程。未经</w:t>
      </w:r>
      <w:r>
        <w:rPr>
          <w:rFonts w:hint="eastAsia" w:ascii="宋体" w:hAnsi="宋体" w:cs="宋体"/>
          <w:color w:val="auto"/>
          <w:spacing w:val="9"/>
          <w:sz w:val="20"/>
          <w:szCs w:val="20"/>
          <w:highlight w:val="none"/>
        </w:rPr>
        <w:t>监理人同意，不得将上述施工设备和临时设施中的任何部分运出施工场地或挪作他用。</w:t>
      </w:r>
    </w:p>
    <w:p w14:paraId="3EC50C7C">
      <w:pPr>
        <w:spacing w:before="161" w:line="360" w:lineRule="auto"/>
        <w:ind w:left="44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6.4.2  经监理人同意，承包人可根据合同进度计划撤走闲置的施工设备。</w:t>
      </w:r>
    </w:p>
    <w:p w14:paraId="0851895E">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7.交通运输</w:t>
      </w:r>
    </w:p>
    <w:p w14:paraId="090E5BD0">
      <w:pPr>
        <w:spacing w:before="79"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7.1  道路通行权和场外设施</w:t>
      </w:r>
    </w:p>
    <w:p w14:paraId="494A0058">
      <w:pPr>
        <w:spacing w:before="296" w:line="360" w:lineRule="auto"/>
        <w:ind w:left="19" w:right="92"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除合同条款专用部分另有约定外，发包人应根据合同工程的施工需要，负责办理取得出</w:t>
      </w:r>
      <w:r>
        <w:rPr>
          <w:rFonts w:hint="eastAsia" w:ascii="宋体" w:hAnsi="宋体" w:cs="宋体"/>
          <w:color w:val="auto"/>
          <w:spacing w:val="8"/>
          <w:sz w:val="20"/>
          <w:szCs w:val="20"/>
          <w:highlight w:val="none"/>
        </w:rPr>
        <w:t>入施工场地的专用和临时道路的通行权，以及取得为</w:t>
      </w:r>
      <w:r>
        <w:rPr>
          <w:rFonts w:hint="eastAsia" w:ascii="宋体" w:hAnsi="宋体" w:cs="宋体"/>
          <w:color w:val="auto"/>
          <w:spacing w:val="7"/>
          <w:sz w:val="20"/>
          <w:szCs w:val="20"/>
          <w:highlight w:val="none"/>
        </w:rPr>
        <w:t>工程建设所需修建场外设施的权利，并</w:t>
      </w:r>
      <w:r>
        <w:rPr>
          <w:rFonts w:hint="eastAsia" w:ascii="宋体" w:hAnsi="宋体" w:cs="宋体"/>
          <w:color w:val="auto"/>
          <w:spacing w:val="9"/>
          <w:sz w:val="20"/>
          <w:szCs w:val="20"/>
          <w:highlight w:val="none"/>
        </w:rPr>
        <w:t>承担有关费用。承包人应协助发包人办理上述手续。</w:t>
      </w:r>
    </w:p>
    <w:p w14:paraId="12CF66B1">
      <w:pPr>
        <w:spacing w:before="120"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7.2  场内施工道路</w:t>
      </w:r>
    </w:p>
    <w:p w14:paraId="7ACB2E5F">
      <w:pPr>
        <w:spacing w:before="299"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7.2.1  除合同条款专用部分另有约定外，承包人应负责修建、维修、养护和管理施工</w:t>
      </w:r>
      <w:r>
        <w:rPr>
          <w:rFonts w:hint="eastAsia" w:ascii="宋体" w:hAnsi="宋体" w:cs="宋体"/>
          <w:color w:val="auto"/>
          <w:spacing w:val="8"/>
          <w:sz w:val="20"/>
          <w:szCs w:val="20"/>
          <w:highlight w:val="none"/>
        </w:rPr>
        <w:t>所需的临时道路和交通设施，包括维修、养护和管</w:t>
      </w:r>
      <w:r>
        <w:rPr>
          <w:rFonts w:hint="eastAsia" w:ascii="宋体" w:hAnsi="宋体" w:cs="宋体"/>
          <w:color w:val="auto"/>
          <w:spacing w:val="7"/>
          <w:sz w:val="20"/>
          <w:szCs w:val="20"/>
          <w:highlight w:val="none"/>
        </w:rPr>
        <w:t>理发包人提供的道路和交通设施，并承担</w:t>
      </w:r>
      <w:r>
        <w:rPr>
          <w:rFonts w:hint="eastAsia" w:ascii="宋体" w:hAnsi="宋体" w:cs="宋体"/>
          <w:color w:val="auto"/>
          <w:spacing w:val="5"/>
          <w:sz w:val="20"/>
          <w:szCs w:val="20"/>
          <w:highlight w:val="none"/>
        </w:rPr>
        <w:t>相应费用。</w:t>
      </w:r>
    </w:p>
    <w:p w14:paraId="582CF64F">
      <w:pPr>
        <w:spacing w:before="159"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7.2.2  发包人和监理人有权无偿使用承包人修建的临时道路和交通设施，不需要交纳</w:t>
      </w:r>
      <w:r>
        <w:rPr>
          <w:rFonts w:hint="eastAsia" w:ascii="宋体" w:hAnsi="宋体" w:cs="宋体"/>
          <w:color w:val="auto"/>
          <w:spacing w:val="6"/>
          <w:sz w:val="20"/>
          <w:szCs w:val="20"/>
          <w:highlight w:val="none"/>
        </w:rPr>
        <w:t>任何费用。</w:t>
      </w:r>
    </w:p>
    <w:p w14:paraId="55516994">
      <w:pPr>
        <w:spacing w:before="285"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7.3  场外交通</w:t>
      </w:r>
    </w:p>
    <w:p w14:paraId="21A4E55F">
      <w:pPr>
        <w:spacing w:before="295"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7.3.1  承包人车辆外出行驶所需的场外公共道路的通行费、养路费和税款等由承包人</w:t>
      </w:r>
      <w:r>
        <w:rPr>
          <w:rFonts w:hint="eastAsia" w:ascii="宋体" w:hAnsi="宋体" w:cs="宋体"/>
          <w:color w:val="auto"/>
          <w:spacing w:val="3"/>
          <w:sz w:val="20"/>
          <w:szCs w:val="20"/>
          <w:highlight w:val="none"/>
        </w:rPr>
        <w:t>承担。</w:t>
      </w:r>
    </w:p>
    <w:p w14:paraId="603DDEEC">
      <w:pPr>
        <w:spacing w:before="160" w:line="360" w:lineRule="auto"/>
        <w:ind w:left="22" w:right="94" w:firstLine="422"/>
        <w:rPr>
          <w:rFonts w:hint="eastAsia" w:ascii="宋体" w:hAnsi="宋体" w:cs="宋体"/>
          <w:color w:val="auto"/>
          <w:highlight w:val="none"/>
        </w:rPr>
      </w:pPr>
      <w:r>
        <w:rPr>
          <w:rFonts w:hint="eastAsia" w:ascii="宋体" w:hAnsi="宋体" w:cs="宋体"/>
          <w:color w:val="auto"/>
          <w:spacing w:val="9"/>
          <w:sz w:val="20"/>
          <w:szCs w:val="20"/>
          <w:highlight w:val="none"/>
        </w:rPr>
        <w:t>7.3.2  承包人应遵守有关交通法规，严格按照道路和桥梁的限制荷重安全行驶，并服</w:t>
      </w:r>
      <w:r>
        <w:rPr>
          <w:rFonts w:hint="eastAsia" w:ascii="宋体" w:hAnsi="宋体" w:cs="宋体"/>
          <w:color w:val="auto"/>
          <w:spacing w:val="8"/>
          <w:sz w:val="20"/>
          <w:szCs w:val="20"/>
          <w:highlight w:val="none"/>
        </w:rPr>
        <w:t>从交通管理部门的检查和监督。</w:t>
      </w:r>
    </w:p>
    <w:p w14:paraId="0101C359">
      <w:pPr>
        <w:spacing w:before="78"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7.4  超大件和超重件的运输</w:t>
      </w:r>
    </w:p>
    <w:p w14:paraId="00717CBC">
      <w:pPr>
        <w:spacing w:before="298" w:line="360" w:lineRule="auto"/>
        <w:ind w:left="23" w:firstLine="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由承包人负责运输的超大件或超重件，应由承包人负责向交通管理部门办理申请手续，</w:t>
      </w:r>
      <w:r>
        <w:rPr>
          <w:rFonts w:hint="eastAsia" w:ascii="宋体" w:hAnsi="宋体" w:cs="宋体"/>
          <w:color w:val="auto"/>
          <w:spacing w:val="6"/>
          <w:sz w:val="20"/>
          <w:szCs w:val="20"/>
          <w:highlight w:val="none"/>
        </w:rPr>
        <w:t>发包人给予协助。运输超大件或超重件所需的道路和桥梁临时加固改造费用和其他有关费用，</w:t>
      </w:r>
      <w:r>
        <w:rPr>
          <w:rFonts w:hint="eastAsia" w:ascii="宋体" w:hAnsi="宋体" w:cs="宋体"/>
          <w:color w:val="auto"/>
          <w:spacing w:val="9"/>
          <w:sz w:val="20"/>
          <w:szCs w:val="20"/>
          <w:highlight w:val="none"/>
        </w:rPr>
        <w:t>由承包人承担，但合同条款专用部分另有约定除</w:t>
      </w:r>
      <w:r>
        <w:rPr>
          <w:rFonts w:hint="eastAsia" w:ascii="宋体" w:hAnsi="宋体" w:cs="宋体"/>
          <w:color w:val="auto"/>
          <w:spacing w:val="8"/>
          <w:sz w:val="20"/>
          <w:szCs w:val="20"/>
          <w:highlight w:val="none"/>
        </w:rPr>
        <w:t>外。</w:t>
      </w:r>
    </w:p>
    <w:p w14:paraId="56B0C69F">
      <w:pPr>
        <w:spacing w:before="121"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7.5  道路和桥梁的损坏责任</w:t>
      </w:r>
    </w:p>
    <w:p w14:paraId="5643BF5F">
      <w:pPr>
        <w:spacing w:before="297" w:line="360" w:lineRule="auto"/>
        <w:ind w:left="31" w:right="159"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因承包人运输造成施工场地内外公共道路和桥梁损坏的，由承包人承担修复损坏的全部费用和可能引起的赔偿。</w:t>
      </w:r>
    </w:p>
    <w:p w14:paraId="45D436E9">
      <w:pPr>
        <w:spacing w:before="122"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7.6  水路和航空运输</w:t>
      </w:r>
    </w:p>
    <w:p w14:paraId="6D24D62B">
      <w:pPr>
        <w:spacing w:before="298" w:line="360" w:lineRule="auto"/>
        <w:ind w:left="19" w:right="107" w:firstLine="42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本条上述各款的内容适用于水路运输和航空运输，其中“道路”一词的涵义包括河</w:t>
      </w:r>
      <w:r>
        <w:rPr>
          <w:rFonts w:hint="eastAsia" w:ascii="宋体" w:hAnsi="宋体" w:cs="宋体"/>
          <w:color w:val="auto"/>
          <w:spacing w:val="7"/>
          <w:sz w:val="20"/>
          <w:szCs w:val="20"/>
          <w:highlight w:val="none"/>
        </w:rPr>
        <w:t>道、航线、船闸、机场、码头、堤防以及水路或航空运输中其他相似结</w:t>
      </w:r>
      <w:r>
        <w:rPr>
          <w:rFonts w:hint="eastAsia" w:ascii="宋体" w:hAnsi="宋体" w:cs="宋体"/>
          <w:color w:val="auto"/>
          <w:spacing w:val="6"/>
          <w:sz w:val="20"/>
          <w:szCs w:val="20"/>
          <w:highlight w:val="none"/>
        </w:rPr>
        <w:t>构物；“车辆</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”一词的涵</w:t>
      </w:r>
      <w:r>
        <w:rPr>
          <w:rFonts w:hint="eastAsia" w:ascii="宋体" w:hAnsi="宋体" w:cs="宋体"/>
          <w:color w:val="auto"/>
          <w:spacing w:val="8"/>
          <w:sz w:val="20"/>
          <w:szCs w:val="20"/>
          <w:highlight w:val="none"/>
        </w:rPr>
        <w:t>义包括船舶和飞机等。</w:t>
      </w:r>
    </w:p>
    <w:p w14:paraId="35BDB438">
      <w:pPr>
        <w:spacing w:before="290" w:line="360" w:lineRule="auto"/>
        <w:ind w:left="43"/>
        <w:outlineLvl w:val="0"/>
        <w:rPr>
          <w:rFonts w:hint="eastAsia" w:ascii="宋体" w:hAnsi="宋体" w:cs="宋体"/>
          <w:color w:val="auto"/>
          <w:spacing w:val="-5"/>
          <w:sz w:val="28"/>
          <w:szCs w:val="28"/>
          <w:highlight w:val="none"/>
        </w:rPr>
      </w:pPr>
      <w:r>
        <w:rPr>
          <w:rFonts w:hint="eastAsia" w:ascii="宋体" w:hAnsi="宋体" w:cs="宋体"/>
          <w:color w:val="auto"/>
          <w:spacing w:val="-5"/>
          <w:sz w:val="28"/>
          <w:szCs w:val="28"/>
          <w:highlight w:val="none"/>
        </w:rPr>
        <w:t>8.测量放线</w:t>
      </w:r>
    </w:p>
    <w:p w14:paraId="23878DC4">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8.1  施工控制网</w:t>
      </w:r>
    </w:p>
    <w:p w14:paraId="0182FA7E">
      <w:pPr>
        <w:spacing w:before="296" w:line="360" w:lineRule="auto"/>
        <w:ind w:left="20"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8.1.1  发包人应在合同约定的期限内，通过监理人向承包人提供测量基准点、基准线</w:t>
      </w:r>
      <w:r>
        <w:rPr>
          <w:rFonts w:hint="eastAsia" w:ascii="宋体" w:hAnsi="宋体" w:cs="宋体"/>
          <w:color w:val="auto"/>
          <w:spacing w:val="8"/>
          <w:sz w:val="20"/>
          <w:szCs w:val="20"/>
          <w:highlight w:val="none"/>
        </w:rPr>
        <w:t>和水准点及其书面资料。向承包人提供测量基准</w:t>
      </w:r>
      <w:r>
        <w:rPr>
          <w:rFonts w:hint="eastAsia" w:ascii="宋体" w:hAnsi="宋体" w:cs="宋体"/>
          <w:color w:val="auto"/>
          <w:spacing w:val="7"/>
          <w:sz w:val="20"/>
          <w:szCs w:val="20"/>
          <w:highlight w:val="none"/>
        </w:rPr>
        <w:t>点、基准线和水准点及其书面资料的期限见合同条款专用部分。</w:t>
      </w:r>
    </w:p>
    <w:p w14:paraId="24B4E3FD">
      <w:pPr>
        <w:spacing w:before="158" w:line="360" w:lineRule="auto"/>
        <w:ind w:left="23" w:right="74" w:firstLine="417"/>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8.1.2  承包人应根据国家测绘基准、测绘系</w:t>
      </w:r>
      <w:r>
        <w:rPr>
          <w:rFonts w:hint="eastAsia" w:ascii="宋体" w:hAnsi="宋体" w:cs="宋体"/>
          <w:color w:val="auto"/>
          <w:spacing w:val="1"/>
          <w:sz w:val="20"/>
          <w:szCs w:val="20"/>
          <w:highlight w:val="none"/>
        </w:rPr>
        <w:t>统和工程测量技术规范，按上述基准点（线）</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以及合同工程精度要求，测设施工控制网，承包人测设施工控制网的其他要求见合同条款专用部分。并将施工控制网资料在约定期限内报送监理人审批，其报送监理人审批的期限见合同条款专用部分。</w:t>
      </w:r>
    </w:p>
    <w:p w14:paraId="49A458DE">
      <w:pPr>
        <w:spacing w:before="158" w:line="360" w:lineRule="auto"/>
        <w:ind w:left="19"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8.1.3  承包人应负责管理施工控制网点。施工控制网点丢失或损坏的，承包人应及时修复，并承担施工控制网点的管理与修复费用。工程竣工后将施工控制网点移交发包人。</w:t>
      </w:r>
    </w:p>
    <w:p w14:paraId="13748DDA">
      <w:pPr>
        <w:spacing w:before="78" w:line="360" w:lineRule="auto"/>
        <w:ind w:left="22"/>
        <w:outlineLvl w:val="2"/>
        <w:rPr>
          <w:rFonts w:hint="eastAsia" w:ascii="宋体" w:hAnsi="宋体" w:cs="宋体"/>
          <w:color w:val="auto"/>
          <w:spacing w:val="-2"/>
          <w:sz w:val="24"/>
          <w:highlight w:val="none"/>
        </w:rPr>
      </w:pPr>
      <w:r>
        <w:rPr>
          <w:rFonts w:hint="eastAsia" w:ascii="宋体" w:hAnsi="宋体" w:cs="宋体"/>
          <w:color w:val="auto"/>
          <w:spacing w:val="-2"/>
          <w:sz w:val="24"/>
          <w:highlight w:val="none"/>
        </w:rPr>
        <w:t>8.2  施工测量</w:t>
      </w:r>
    </w:p>
    <w:p w14:paraId="4CCF0829">
      <w:pPr>
        <w:spacing w:before="293" w:line="360" w:lineRule="auto"/>
        <w:ind w:left="23" w:right="90" w:firstLine="41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8.2.1  承包人应负责施工过程中的全部施工测量放线工作，并配置合格的人员、</w:t>
      </w:r>
      <w:r>
        <w:rPr>
          <w:rFonts w:hint="eastAsia" w:ascii="宋体" w:hAnsi="宋体" w:cs="宋体"/>
          <w:color w:val="auto"/>
          <w:spacing w:val="5"/>
          <w:sz w:val="20"/>
          <w:szCs w:val="20"/>
          <w:highlight w:val="none"/>
        </w:rPr>
        <w:t>仪器、</w:t>
      </w:r>
      <w:r>
        <w:rPr>
          <w:rFonts w:hint="eastAsia" w:ascii="宋体" w:hAnsi="宋体" w:cs="宋体"/>
          <w:color w:val="auto"/>
          <w:spacing w:val="7"/>
          <w:sz w:val="20"/>
          <w:szCs w:val="20"/>
          <w:highlight w:val="none"/>
        </w:rPr>
        <w:t>设备和其他物品。</w:t>
      </w:r>
    </w:p>
    <w:p w14:paraId="2AE15BBF">
      <w:pPr>
        <w:spacing w:before="159" w:line="360" w:lineRule="auto"/>
        <w:ind w:left="36" w:right="161"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8.2.2  监理人可以指示承包人进行抽样复测，当复测中发现错误或出现超过合同约定的误差时，承包人应按监理人指示进行修正或补测，并承担相应的复</w:t>
      </w:r>
      <w:r>
        <w:rPr>
          <w:rFonts w:hint="eastAsia" w:ascii="宋体" w:hAnsi="宋体" w:cs="宋体"/>
          <w:color w:val="auto"/>
          <w:spacing w:val="8"/>
          <w:sz w:val="20"/>
          <w:szCs w:val="20"/>
          <w:highlight w:val="none"/>
        </w:rPr>
        <w:t>测费用。</w:t>
      </w:r>
    </w:p>
    <w:p w14:paraId="2094FCBC">
      <w:pPr>
        <w:spacing w:before="285"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8.3  基准资料错误的责任</w:t>
      </w:r>
    </w:p>
    <w:p w14:paraId="33D69154">
      <w:pPr>
        <w:spacing w:before="297"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发包人应对其提供的测量基准点、基准线和水准点及其书面资料的真实性、准确性和完</w:t>
      </w:r>
      <w:r>
        <w:rPr>
          <w:rFonts w:hint="eastAsia" w:ascii="宋体" w:hAnsi="宋体" w:cs="宋体"/>
          <w:color w:val="auto"/>
          <w:spacing w:val="6"/>
          <w:sz w:val="20"/>
          <w:szCs w:val="20"/>
          <w:highlight w:val="none"/>
        </w:rPr>
        <w:t>整性负责。发包人提供上述基准资料错误导致承包人测量放线工作的返工或造成工程损失的，</w:t>
      </w:r>
      <w:r>
        <w:rPr>
          <w:rFonts w:hint="eastAsia" w:ascii="宋体" w:hAnsi="宋体" w:cs="宋体"/>
          <w:color w:val="auto"/>
          <w:spacing w:val="7"/>
          <w:sz w:val="20"/>
          <w:szCs w:val="20"/>
          <w:highlight w:val="none"/>
        </w:rPr>
        <w:t>发包人应当承担由此增加的费用和（或）工期延误，并向承包人支付合理利润。承包人发现</w:t>
      </w:r>
      <w:r>
        <w:rPr>
          <w:rFonts w:hint="eastAsia" w:ascii="宋体" w:hAnsi="宋体" w:cs="宋体"/>
          <w:color w:val="auto"/>
          <w:spacing w:val="9"/>
          <w:sz w:val="20"/>
          <w:szCs w:val="20"/>
          <w:highlight w:val="none"/>
        </w:rPr>
        <w:t>发包人提供的上述基准资料存在明显错误或疏忽的，应及时通知监理人。</w:t>
      </w:r>
    </w:p>
    <w:p w14:paraId="52077CF9">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8.4  监理人使用施工控制网</w:t>
      </w:r>
    </w:p>
    <w:p w14:paraId="487090B3">
      <w:pPr>
        <w:spacing w:before="294"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监理人需要使用施工控制网的，承包人应提供必要的协助，发包人不再为此支付费用。</w:t>
      </w:r>
    </w:p>
    <w:p w14:paraId="6DEDE489">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9.施工安全、治安保卫和环境保护</w:t>
      </w:r>
    </w:p>
    <w:p w14:paraId="6A19722E">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9.1  发包人的施工安全责任</w:t>
      </w:r>
    </w:p>
    <w:p w14:paraId="32912B7C">
      <w:pPr>
        <w:spacing w:before="297" w:line="360" w:lineRule="auto"/>
        <w:ind w:left="24" w:right="16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9.1.1  发包人应按合同约定履行安全职责，授权监理人按合同约定的安全工作内容监督、检查承包人安全工作的实施，组织承包人和有关单位进行安全检查。</w:t>
      </w:r>
    </w:p>
    <w:p w14:paraId="7626B706">
      <w:pPr>
        <w:spacing w:before="159" w:line="360" w:lineRule="auto"/>
        <w:ind w:left="36" w:right="161" w:firstLine="40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9.1.2  发包人应对其现场机构雇佣的全部人员的工伤事故承担责任，但由于承包人原</w:t>
      </w:r>
      <w:r>
        <w:rPr>
          <w:rFonts w:hint="eastAsia" w:ascii="宋体" w:hAnsi="宋体" w:cs="宋体"/>
          <w:color w:val="auto"/>
          <w:spacing w:val="8"/>
          <w:sz w:val="20"/>
          <w:szCs w:val="20"/>
          <w:highlight w:val="none"/>
        </w:rPr>
        <w:t>因造成发包人人员工伤的，应由承包人承担责任。</w:t>
      </w:r>
    </w:p>
    <w:p w14:paraId="054261E1">
      <w:pPr>
        <w:spacing w:before="161" w:line="360" w:lineRule="auto"/>
        <w:ind w:left="44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9.1.3  发包人应负责赔偿以下各种情况造成的第三者人身伤亡和财产损失：</w:t>
      </w:r>
    </w:p>
    <w:p w14:paraId="3E93129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（1）工程或工程的任何部分对土地的占用所造成的第</w:t>
      </w:r>
      <w:r>
        <w:rPr>
          <w:rFonts w:hint="eastAsia" w:ascii="宋体" w:hAnsi="宋体" w:cs="宋体"/>
          <w:color w:val="auto"/>
          <w:spacing w:val="8"/>
          <w:sz w:val="20"/>
          <w:szCs w:val="20"/>
          <w:highlight w:val="none"/>
        </w:rPr>
        <w:t>三者财产损失；</w:t>
      </w:r>
    </w:p>
    <w:p w14:paraId="06ABCFD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w:t>
      </w:r>
      <w:r>
        <w:rPr>
          <w:rFonts w:hint="eastAsia" w:ascii="宋体" w:hAnsi="宋体" w:cs="宋体"/>
          <w:color w:val="auto"/>
          <w:spacing w:val="-57"/>
          <w:sz w:val="20"/>
          <w:szCs w:val="20"/>
          <w:highlight w:val="none"/>
        </w:rPr>
        <w:t xml:space="preserve"> </w:t>
      </w:r>
      <w:r>
        <w:rPr>
          <w:rFonts w:hint="eastAsia" w:ascii="宋体" w:hAnsi="宋体" w:cs="宋体"/>
          <w:color w:val="auto"/>
          <w:spacing w:val="8"/>
          <w:sz w:val="20"/>
          <w:szCs w:val="20"/>
          <w:highlight w:val="none"/>
        </w:rPr>
        <w:t>由于发包人原因在施工场地及其毗邻地带造成的第三者人身伤</w:t>
      </w:r>
      <w:r>
        <w:rPr>
          <w:rFonts w:hint="eastAsia" w:ascii="宋体" w:hAnsi="宋体" w:cs="宋体"/>
          <w:color w:val="auto"/>
          <w:spacing w:val="7"/>
          <w:sz w:val="20"/>
          <w:szCs w:val="20"/>
          <w:highlight w:val="none"/>
        </w:rPr>
        <w:t>亡和财产损失。</w:t>
      </w:r>
    </w:p>
    <w:p w14:paraId="51F4A753">
      <w:pPr>
        <w:spacing w:before="28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9.2  承包人的施工安全责任</w:t>
      </w:r>
    </w:p>
    <w:p w14:paraId="0D244F9B">
      <w:pPr>
        <w:spacing w:before="294"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9.2.1  承包人应按合同约定履行安全职责,执行监理人有关安全工作的指示,并在合同</w:t>
      </w:r>
      <w:r>
        <w:rPr>
          <w:rFonts w:hint="eastAsia" w:ascii="宋体" w:hAnsi="宋体" w:cs="宋体"/>
          <w:color w:val="auto"/>
          <w:spacing w:val="7"/>
          <w:sz w:val="20"/>
          <w:szCs w:val="20"/>
          <w:highlight w:val="none"/>
        </w:rPr>
        <w:t>条款专用部分约定的期限内，按合同约定的安全工作内容，编制施工安全措施计划报送监理</w:t>
      </w:r>
      <w:r>
        <w:rPr>
          <w:rFonts w:hint="eastAsia" w:ascii="宋体" w:hAnsi="宋体" w:cs="宋体"/>
          <w:color w:val="auto"/>
          <w:spacing w:val="9"/>
          <w:sz w:val="20"/>
          <w:szCs w:val="20"/>
          <w:highlight w:val="none"/>
        </w:rPr>
        <w:t>人审批。监理人应在合同条款专用部分约定的期限内完成批复。</w:t>
      </w:r>
    </w:p>
    <w:p w14:paraId="722E28F4">
      <w:pPr>
        <w:spacing w:before="162"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9.2.2  承包人应加强施工作业安全管理，特别应加强易燃、易爆材料、火工器材、有</w:t>
      </w:r>
      <w:r>
        <w:rPr>
          <w:rFonts w:hint="eastAsia" w:ascii="宋体" w:hAnsi="宋体" w:cs="宋体"/>
          <w:color w:val="auto"/>
          <w:spacing w:val="7"/>
          <w:sz w:val="20"/>
          <w:szCs w:val="20"/>
          <w:highlight w:val="none"/>
        </w:rPr>
        <w:t>毒与腐蚀性材料、行业挥发性有机物和其他危险品的管理，以及对爆破作业和地下工程施工等危险作业的管理。</w:t>
      </w:r>
    </w:p>
    <w:p w14:paraId="6550F91C">
      <w:pPr>
        <w:spacing w:before="162" w:line="360" w:lineRule="auto"/>
        <w:ind w:left="20"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9.2.3  承包人应严格按照国家安全标准制定施工安全操作规程，配备必要的安全生产和劳动保护设施，加强对承包人人员的安全教育，并发放安全工作手册和劳动保护用具。</w:t>
      </w:r>
    </w:p>
    <w:p w14:paraId="466CB6B5">
      <w:pPr>
        <w:spacing w:before="159"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9.2.4  承包人应按监理人的指示制定应对灾害的紧急预案，报送监理人审批。承包人</w:t>
      </w:r>
      <w:r>
        <w:rPr>
          <w:rFonts w:hint="eastAsia" w:ascii="宋体" w:hAnsi="宋体" w:cs="宋体"/>
          <w:color w:val="auto"/>
          <w:spacing w:val="8"/>
          <w:sz w:val="20"/>
          <w:szCs w:val="20"/>
          <w:highlight w:val="none"/>
        </w:rPr>
        <w:t>还应按预案做好安全检查，配置必要的救助物资和</w:t>
      </w:r>
      <w:r>
        <w:rPr>
          <w:rFonts w:hint="eastAsia" w:ascii="宋体" w:hAnsi="宋体" w:cs="宋体"/>
          <w:color w:val="auto"/>
          <w:spacing w:val="7"/>
          <w:sz w:val="20"/>
          <w:szCs w:val="20"/>
          <w:highlight w:val="none"/>
        </w:rPr>
        <w:t>器材，切实保护好有关人员的人身和财产</w:t>
      </w:r>
      <w:r>
        <w:rPr>
          <w:rFonts w:hint="eastAsia" w:ascii="宋体" w:hAnsi="宋体" w:cs="宋体"/>
          <w:color w:val="auto"/>
          <w:spacing w:val="3"/>
          <w:sz w:val="20"/>
          <w:szCs w:val="20"/>
          <w:highlight w:val="none"/>
        </w:rPr>
        <w:t>安全。</w:t>
      </w:r>
    </w:p>
    <w:p w14:paraId="12D2B38B">
      <w:pPr>
        <w:spacing w:before="159"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9.2.5  合同约定的安全作业环境及安全施工措施所需费用应遵守有关规定，并包括在</w:t>
      </w:r>
      <w:r>
        <w:rPr>
          <w:rFonts w:hint="eastAsia" w:ascii="宋体" w:hAnsi="宋体" w:cs="宋体"/>
          <w:color w:val="auto"/>
          <w:spacing w:val="8"/>
          <w:sz w:val="20"/>
          <w:szCs w:val="20"/>
          <w:highlight w:val="none"/>
        </w:rPr>
        <w:t>相关工作的合同价格中。因采取合同未约定的安全</w:t>
      </w:r>
      <w:r>
        <w:rPr>
          <w:rFonts w:hint="eastAsia" w:ascii="宋体" w:hAnsi="宋体" w:cs="宋体"/>
          <w:color w:val="auto"/>
          <w:spacing w:val="7"/>
          <w:sz w:val="20"/>
          <w:szCs w:val="20"/>
          <w:highlight w:val="none"/>
        </w:rPr>
        <w:t>作业环境及安全施工措施增加的费用，由</w:t>
      </w:r>
      <w:r>
        <w:rPr>
          <w:rFonts w:hint="eastAsia" w:ascii="宋体" w:hAnsi="宋体" w:cs="宋体"/>
          <w:color w:val="auto"/>
          <w:spacing w:val="6"/>
          <w:sz w:val="20"/>
          <w:szCs w:val="20"/>
          <w:highlight w:val="none"/>
        </w:rPr>
        <w:t>监理人按第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w:t>
      </w:r>
    </w:p>
    <w:p w14:paraId="7AF2966C">
      <w:pPr>
        <w:spacing w:before="160" w:line="360" w:lineRule="auto"/>
        <w:ind w:left="19" w:right="161" w:firstLine="421"/>
        <w:rPr>
          <w:rFonts w:hint="eastAsia" w:ascii="宋体" w:hAnsi="宋体" w:cs="宋体"/>
          <w:color w:val="auto"/>
          <w:highlight w:val="none"/>
        </w:rPr>
      </w:pPr>
      <w:r>
        <w:rPr>
          <w:rFonts w:hint="eastAsia" w:ascii="宋体" w:hAnsi="宋体" w:cs="宋体"/>
          <w:color w:val="auto"/>
          <w:spacing w:val="9"/>
          <w:sz w:val="20"/>
          <w:szCs w:val="20"/>
          <w:highlight w:val="none"/>
        </w:rPr>
        <w:t>9.2.6  承包人应对其履行合同所雇佣的全部人员，包括分包人人员的工伤事故承担责任，但由于发包人原因造成承包人人员工伤事故的，应由发包人承担责任。</w:t>
      </w:r>
    </w:p>
    <w:p w14:paraId="641A8EE2">
      <w:pPr>
        <w:spacing w:before="65" w:line="360" w:lineRule="auto"/>
        <w:ind w:left="45" w:firstLine="39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9.2.7  由于承包人原因在施工场地内及其毗邻地带造成的</w:t>
      </w:r>
      <w:r>
        <w:rPr>
          <w:rFonts w:hint="eastAsia" w:ascii="宋体" w:hAnsi="宋体" w:cs="宋体"/>
          <w:color w:val="auto"/>
          <w:spacing w:val="7"/>
          <w:sz w:val="20"/>
          <w:szCs w:val="20"/>
          <w:highlight w:val="none"/>
        </w:rPr>
        <w:t>第三者人员伤亡和财产损失，</w:t>
      </w:r>
      <w:r>
        <w:rPr>
          <w:rFonts w:hint="eastAsia" w:ascii="宋体" w:hAnsi="宋体" w:cs="宋体"/>
          <w:color w:val="auto"/>
          <w:spacing w:val="4"/>
          <w:sz w:val="20"/>
          <w:szCs w:val="20"/>
          <w:highlight w:val="none"/>
        </w:rPr>
        <w:t>由承包人负责赔偿。</w:t>
      </w:r>
    </w:p>
    <w:p w14:paraId="457860DA">
      <w:pPr>
        <w:spacing w:before="123" w:line="360" w:lineRule="auto"/>
        <w:ind w:left="22"/>
        <w:outlineLvl w:val="2"/>
        <w:rPr>
          <w:rFonts w:hint="eastAsia" w:ascii="宋体" w:hAnsi="宋体" w:cs="宋体"/>
          <w:color w:val="auto"/>
          <w:sz w:val="24"/>
          <w:highlight w:val="none"/>
        </w:rPr>
      </w:pPr>
      <w:r>
        <w:rPr>
          <w:rFonts w:hint="eastAsia" w:ascii="宋体" w:hAnsi="宋体" w:cs="宋体"/>
          <w:color w:val="auto"/>
          <w:spacing w:val="-4"/>
          <w:sz w:val="24"/>
          <w:highlight w:val="none"/>
        </w:rPr>
        <w:t>9.3</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治安保卫</w:t>
      </w:r>
    </w:p>
    <w:p w14:paraId="450D688C">
      <w:pPr>
        <w:spacing w:before="292" w:line="360" w:lineRule="auto"/>
        <w:ind w:left="23"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9.3.1  发包人应与当地公安部门协商，在现场建立治安管理机构或联防组织，负责统一管理施工场地的治安保卫事项，履行合同工程的治安保卫职责。</w:t>
      </w:r>
    </w:p>
    <w:p w14:paraId="51210922">
      <w:pPr>
        <w:spacing w:before="161" w:line="360" w:lineRule="auto"/>
        <w:ind w:left="24" w:right="145"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9.3.2  发包人和承包人除应协助现场治安管理机构或联防组织维护施工场地的社会治安外，还应做好包括生活区在内的各自管辖区的治安保卫工作。</w:t>
      </w:r>
    </w:p>
    <w:p w14:paraId="2E120D67">
      <w:pPr>
        <w:spacing w:before="159" w:line="360" w:lineRule="auto"/>
        <w:ind w:left="19" w:right="144"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9.3.3  在工程开工前应当明确责任人编制施工场地治安管理计划，并制定应对突发治</w:t>
      </w:r>
      <w:r>
        <w:rPr>
          <w:rFonts w:hint="eastAsia" w:ascii="宋体" w:hAnsi="宋体" w:cs="宋体"/>
          <w:color w:val="auto"/>
          <w:spacing w:val="8"/>
          <w:sz w:val="20"/>
          <w:szCs w:val="20"/>
          <w:highlight w:val="none"/>
        </w:rPr>
        <w:t>安事件的紧急预案。在工程施工过程中，发生</w:t>
      </w:r>
      <w:r>
        <w:rPr>
          <w:rFonts w:hint="eastAsia" w:ascii="宋体" w:hAnsi="宋体" w:cs="宋体"/>
          <w:color w:val="auto"/>
          <w:spacing w:val="7"/>
          <w:sz w:val="20"/>
          <w:szCs w:val="20"/>
          <w:highlight w:val="none"/>
        </w:rPr>
        <w:t>暴乱、爆炸等恐怖事件，以及群殴、械斗等群</w:t>
      </w:r>
      <w:r>
        <w:rPr>
          <w:rFonts w:hint="eastAsia" w:ascii="宋体" w:hAnsi="宋体" w:cs="宋体"/>
          <w:color w:val="auto"/>
          <w:spacing w:val="8"/>
          <w:sz w:val="20"/>
          <w:szCs w:val="20"/>
          <w:highlight w:val="none"/>
        </w:rPr>
        <w:t>体性突发治安事件的，发包人和承包人应立即</w:t>
      </w:r>
      <w:r>
        <w:rPr>
          <w:rFonts w:hint="eastAsia" w:ascii="宋体" w:hAnsi="宋体" w:cs="宋体"/>
          <w:color w:val="auto"/>
          <w:spacing w:val="7"/>
          <w:sz w:val="20"/>
          <w:szCs w:val="20"/>
          <w:highlight w:val="none"/>
        </w:rPr>
        <w:t>向当地政府报告。发包人和承包人应积极协助</w:t>
      </w:r>
      <w:r>
        <w:rPr>
          <w:rFonts w:hint="eastAsia" w:ascii="宋体" w:hAnsi="宋体" w:cs="宋体"/>
          <w:color w:val="auto"/>
          <w:spacing w:val="8"/>
          <w:sz w:val="20"/>
          <w:szCs w:val="20"/>
          <w:highlight w:val="none"/>
        </w:rPr>
        <w:t>当地有关部门采取措施平息事态，防止事态扩</w:t>
      </w:r>
      <w:r>
        <w:rPr>
          <w:rFonts w:hint="eastAsia" w:ascii="宋体" w:hAnsi="宋体" w:cs="宋体"/>
          <w:color w:val="auto"/>
          <w:spacing w:val="7"/>
          <w:sz w:val="20"/>
          <w:szCs w:val="20"/>
          <w:highlight w:val="none"/>
        </w:rPr>
        <w:t>大，尽量减少财产损失和避免人员伤亡。制定</w:t>
      </w:r>
      <w:r>
        <w:rPr>
          <w:rFonts w:hint="eastAsia" w:ascii="宋体" w:hAnsi="宋体" w:cs="宋体"/>
          <w:color w:val="auto"/>
          <w:spacing w:val="9"/>
          <w:sz w:val="20"/>
          <w:szCs w:val="20"/>
          <w:highlight w:val="none"/>
        </w:rPr>
        <w:t>施工场地治安管理计划和突发治安事件紧急预案的责任人见合同条款专用部分。</w:t>
      </w:r>
    </w:p>
    <w:p w14:paraId="7052BA75">
      <w:pPr>
        <w:spacing w:before="284"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9.4  环境保护</w:t>
      </w:r>
    </w:p>
    <w:p w14:paraId="5AD3BC6E">
      <w:pPr>
        <w:spacing w:before="295" w:line="360" w:lineRule="auto"/>
        <w:ind w:left="22" w:right="1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9.4.1  承包人在施工过程中，应遵守有关环境保护的法律，履行合同约定的环境保护义务，并对违反法律和合同约定义务所造成的环境破坏、人身伤害和财产损失负责。</w:t>
      </w:r>
    </w:p>
    <w:p w14:paraId="6850DB60">
      <w:pPr>
        <w:spacing w:before="159" w:line="360" w:lineRule="auto"/>
        <w:ind w:left="19" w:right="90"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9.4.2  承包人应建立施工扬尘治理、建筑垃圾、土方和砂石清运与消纳、保证使用已</w:t>
      </w:r>
      <w:r>
        <w:rPr>
          <w:rFonts w:hint="eastAsia" w:ascii="宋体" w:hAnsi="宋体" w:cs="宋体"/>
          <w:color w:val="auto"/>
          <w:spacing w:val="13"/>
          <w:sz w:val="20"/>
          <w:szCs w:val="20"/>
          <w:highlight w:val="none"/>
        </w:rPr>
        <w:t>在本市进行信息编码登记符合排放标准的非道路移动机械和严禁使用高排放非</w:t>
      </w:r>
      <w:r>
        <w:rPr>
          <w:rFonts w:hint="eastAsia" w:ascii="宋体" w:hAnsi="宋体" w:cs="宋体"/>
          <w:color w:val="auto"/>
          <w:spacing w:val="12"/>
          <w:sz w:val="20"/>
          <w:szCs w:val="20"/>
          <w:highlight w:val="none"/>
        </w:rPr>
        <w:t>道路移动机</w:t>
      </w:r>
      <w:r>
        <w:rPr>
          <w:rFonts w:hint="eastAsia" w:ascii="宋体" w:hAnsi="宋体" w:cs="宋体"/>
          <w:color w:val="auto"/>
          <w:spacing w:val="8"/>
          <w:sz w:val="20"/>
          <w:szCs w:val="20"/>
          <w:highlight w:val="none"/>
        </w:rPr>
        <w:t>械以及行业挥发性有机物治理（如建筑外墙涂装、钢</w:t>
      </w:r>
      <w:r>
        <w:rPr>
          <w:rFonts w:hint="eastAsia" w:ascii="宋体" w:hAnsi="宋体" w:cs="宋体"/>
          <w:color w:val="auto"/>
          <w:spacing w:val="7"/>
          <w:sz w:val="20"/>
          <w:szCs w:val="20"/>
          <w:highlight w:val="none"/>
        </w:rPr>
        <w:t>结构等鼓励使用水性漆替代油性漆；建</w:t>
      </w:r>
      <w:r>
        <w:rPr>
          <w:rFonts w:hint="eastAsia" w:ascii="宋体" w:hAnsi="宋体" w:cs="宋体"/>
          <w:color w:val="auto"/>
          <w:spacing w:val="8"/>
          <w:sz w:val="20"/>
          <w:szCs w:val="20"/>
          <w:highlight w:val="none"/>
        </w:rPr>
        <w:t>筑施工、室外构筑物防护和道路交通标识等其</w:t>
      </w:r>
      <w:r>
        <w:rPr>
          <w:rFonts w:hint="eastAsia" w:ascii="宋体" w:hAnsi="宋体" w:cs="宋体"/>
          <w:color w:val="auto"/>
          <w:spacing w:val="7"/>
          <w:sz w:val="20"/>
          <w:szCs w:val="20"/>
          <w:highlight w:val="none"/>
        </w:rPr>
        <w:t>他涂装作业，推广使用水性、高固体分、无溶</w:t>
      </w:r>
      <w:r>
        <w:rPr>
          <w:rFonts w:hint="eastAsia" w:ascii="宋体" w:hAnsi="宋体" w:cs="宋体"/>
          <w:color w:val="auto"/>
          <w:spacing w:val="10"/>
          <w:sz w:val="20"/>
          <w:szCs w:val="20"/>
          <w:highlight w:val="none"/>
        </w:rPr>
        <w:t>剂、粉末等涂料和水基、本体型等低</w:t>
      </w:r>
      <w:r>
        <w:rPr>
          <w:rFonts w:hint="eastAsia" w:ascii="宋体" w:hAnsi="宋体" w:cs="宋体"/>
          <w:color w:val="auto"/>
          <w:spacing w:val="-27"/>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1"/>
          <w:sz w:val="20"/>
          <w:szCs w:val="20"/>
          <w:highlight w:val="none"/>
        </w:rPr>
        <w:t xml:space="preserve"> </w:t>
      </w:r>
      <w:r>
        <w:rPr>
          <w:rFonts w:hint="eastAsia" w:ascii="宋体" w:hAnsi="宋体" w:cs="宋体"/>
          <w:color w:val="auto"/>
          <w:spacing w:val="10"/>
          <w:sz w:val="20"/>
          <w:szCs w:val="20"/>
          <w:highlight w:val="none"/>
        </w:rPr>
        <w:t>含量胶粘剂）等责任制，针对工程项目特点制定</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具体的实施方案，并严格实施。如扬尘治理，承包人应在建筑工地公示施工扬</w:t>
      </w:r>
      <w:r>
        <w:rPr>
          <w:rFonts w:hint="eastAsia" w:ascii="宋体" w:hAnsi="宋体" w:cs="宋体"/>
          <w:color w:val="auto"/>
          <w:spacing w:val="8"/>
          <w:sz w:val="20"/>
          <w:szCs w:val="20"/>
          <w:highlight w:val="none"/>
        </w:rPr>
        <w:t>尘治理措施、</w:t>
      </w:r>
      <w:r>
        <w:rPr>
          <w:rFonts w:hint="eastAsia" w:ascii="宋体" w:hAnsi="宋体" w:cs="宋体"/>
          <w:color w:val="auto"/>
          <w:spacing w:val="9"/>
          <w:sz w:val="20"/>
          <w:szCs w:val="20"/>
          <w:highlight w:val="none"/>
        </w:rPr>
        <w:t>责任人、主管部门等信息，并及时向当地主管部门报送施工扬尘治理措施落实情况。</w:t>
      </w:r>
    </w:p>
    <w:p w14:paraId="05989C18">
      <w:pPr>
        <w:spacing w:before="164" w:line="360" w:lineRule="auto"/>
        <w:ind w:left="20" w:right="14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9.4.3  承包人应在合同条款专用部分约定的时限内，按合同约定的环保工作内容，编</w:t>
      </w:r>
      <w:r>
        <w:rPr>
          <w:rFonts w:hint="eastAsia" w:ascii="宋体" w:hAnsi="宋体" w:cs="宋体"/>
          <w:color w:val="auto"/>
          <w:spacing w:val="10"/>
          <w:sz w:val="20"/>
          <w:szCs w:val="20"/>
          <w:highlight w:val="none"/>
        </w:rPr>
        <w:t>制施工环保措施计划（包含第9.4.2</w:t>
      </w:r>
      <w:r>
        <w:rPr>
          <w:rFonts w:hint="eastAsia" w:ascii="宋体" w:hAnsi="宋体" w:cs="宋体"/>
          <w:color w:val="auto"/>
          <w:spacing w:val="-34"/>
          <w:sz w:val="20"/>
          <w:szCs w:val="20"/>
          <w:highlight w:val="none"/>
        </w:rPr>
        <w:t xml:space="preserve"> </w:t>
      </w:r>
      <w:r>
        <w:rPr>
          <w:rFonts w:hint="eastAsia" w:ascii="宋体" w:hAnsi="宋体" w:cs="宋体"/>
          <w:color w:val="auto"/>
          <w:spacing w:val="10"/>
          <w:sz w:val="20"/>
          <w:szCs w:val="20"/>
          <w:highlight w:val="none"/>
        </w:rPr>
        <w:t>项约定的实施方案内容</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报送监理人审批。监理人在</w:t>
      </w:r>
      <w:r>
        <w:rPr>
          <w:rFonts w:hint="eastAsia" w:ascii="宋体" w:hAnsi="宋体" w:cs="宋体"/>
          <w:color w:val="auto"/>
          <w:spacing w:val="8"/>
          <w:sz w:val="20"/>
          <w:szCs w:val="20"/>
          <w:highlight w:val="none"/>
        </w:rPr>
        <w:t>合同条款专用部分约定的期限内给予批复。</w:t>
      </w:r>
    </w:p>
    <w:p w14:paraId="6936F52A">
      <w:pPr>
        <w:spacing w:before="161" w:line="360" w:lineRule="auto"/>
        <w:ind w:left="19" w:right="73"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9.4.4  承包人应按照批准的施工环保措施计划有序地堆放和处理施工废弃物，避免对</w:t>
      </w:r>
      <w:r>
        <w:rPr>
          <w:rFonts w:hint="eastAsia" w:ascii="宋体" w:hAnsi="宋体" w:cs="宋体"/>
          <w:color w:val="auto"/>
          <w:spacing w:val="4"/>
          <w:sz w:val="20"/>
          <w:szCs w:val="20"/>
          <w:highlight w:val="none"/>
        </w:rPr>
        <w:t>环境造成破坏。因承包人任意堆放或弃置施工废弃物造成妨碍公共交通、影响城镇居民生活、</w:t>
      </w:r>
      <w:r>
        <w:rPr>
          <w:rFonts w:hint="eastAsia" w:ascii="宋体" w:hAnsi="宋体" w:cs="宋体"/>
          <w:color w:val="auto"/>
          <w:spacing w:val="9"/>
          <w:sz w:val="20"/>
          <w:szCs w:val="20"/>
          <w:highlight w:val="none"/>
        </w:rPr>
        <w:t>降低河流行洪能力、危及居民安全、破坏和污染环境，或者影响其他承包人施工等后果的，</w:t>
      </w:r>
      <w:r>
        <w:rPr>
          <w:rFonts w:hint="eastAsia" w:ascii="宋体" w:hAnsi="宋体" w:cs="宋体"/>
          <w:color w:val="auto"/>
          <w:spacing w:val="7"/>
          <w:sz w:val="20"/>
          <w:szCs w:val="20"/>
          <w:highlight w:val="none"/>
        </w:rPr>
        <w:t>承包人应承担责任。</w:t>
      </w:r>
    </w:p>
    <w:p w14:paraId="72CE5FAA">
      <w:pPr>
        <w:spacing w:before="159" w:line="360" w:lineRule="auto"/>
        <w:ind w:left="23" w:right="14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9.4.5  承包人应按合同约定采取有效措施，对施工</w:t>
      </w:r>
      <w:r>
        <w:rPr>
          <w:rFonts w:hint="eastAsia" w:ascii="宋体" w:hAnsi="宋体" w:cs="宋体"/>
          <w:color w:val="auto"/>
          <w:spacing w:val="6"/>
          <w:sz w:val="20"/>
          <w:szCs w:val="20"/>
          <w:highlight w:val="none"/>
        </w:rPr>
        <w:t>开挖的边坡及时进行支护,维护排水</w:t>
      </w:r>
      <w:r>
        <w:rPr>
          <w:rFonts w:hint="eastAsia" w:ascii="宋体" w:hAnsi="宋体" w:cs="宋体"/>
          <w:color w:val="auto"/>
          <w:spacing w:val="9"/>
          <w:sz w:val="20"/>
          <w:szCs w:val="20"/>
          <w:highlight w:val="none"/>
        </w:rPr>
        <w:t>设施，并进行水土保护，避免因施工造成的地质灾害。</w:t>
      </w:r>
    </w:p>
    <w:p w14:paraId="57D57A6D">
      <w:pPr>
        <w:spacing w:before="160" w:line="360" w:lineRule="auto"/>
        <w:ind w:left="19" w:right="145" w:firstLine="420"/>
        <w:rPr>
          <w:rFonts w:hint="eastAsia" w:ascii="宋体" w:hAnsi="宋体" w:cs="宋体"/>
          <w:color w:val="auto"/>
          <w:highlight w:val="none"/>
        </w:rPr>
      </w:pPr>
      <w:r>
        <w:rPr>
          <w:rFonts w:hint="eastAsia" w:ascii="宋体" w:hAnsi="宋体" w:cs="宋体"/>
          <w:color w:val="auto"/>
          <w:spacing w:val="9"/>
          <w:sz w:val="20"/>
          <w:szCs w:val="20"/>
          <w:highlight w:val="none"/>
        </w:rPr>
        <w:t>9.4.6  承包人应按国家饮用水管理标准定期对饮用水源进行监测，防止施工活动污染</w:t>
      </w:r>
      <w:r>
        <w:rPr>
          <w:rFonts w:hint="eastAsia" w:ascii="宋体" w:hAnsi="宋体" w:cs="宋体"/>
          <w:color w:val="auto"/>
          <w:spacing w:val="5"/>
          <w:sz w:val="20"/>
          <w:szCs w:val="20"/>
          <w:highlight w:val="none"/>
        </w:rPr>
        <w:t>饮用水源。</w:t>
      </w:r>
    </w:p>
    <w:p w14:paraId="3C3ED598">
      <w:pPr>
        <w:spacing w:before="65" w:line="360" w:lineRule="auto"/>
        <w:ind w:left="19" w:right="159"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9.4.7  承包人应按合同约定，加强对噪声、粉尘、废气、废水和废油的控制，努力降低噪声，控制粉尘和废气浓度，做好废水和废油的治理和排放。</w:t>
      </w:r>
    </w:p>
    <w:p w14:paraId="58D4B33C">
      <w:pPr>
        <w:spacing w:before="123" w:line="360" w:lineRule="auto"/>
        <w:ind w:left="22"/>
        <w:outlineLvl w:val="1"/>
        <w:rPr>
          <w:rFonts w:hint="eastAsia" w:ascii="宋体" w:hAnsi="宋体" w:cs="宋体"/>
          <w:color w:val="auto"/>
          <w:sz w:val="24"/>
          <w:highlight w:val="none"/>
        </w:rPr>
      </w:pPr>
      <w:r>
        <w:rPr>
          <w:rFonts w:hint="eastAsia" w:ascii="宋体" w:hAnsi="宋体" w:cs="宋体"/>
          <w:color w:val="auto"/>
          <w:spacing w:val="-2"/>
          <w:sz w:val="24"/>
          <w:highlight w:val="none"/>
        </w:rPr>
        <w:t>9.5  事故处理</w:t>
      </w:r>
    </w:p>
    <w:p w14:paraId="32ADE39A">
      <w:pPr>
        <w:spacing w:before="291" w:line="360" w:lineRule="auto"/>
        <w:ind w:left="19" w:right="159"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工程施工过程中发生事故的，承包人应立即通知监理人，监理人应立即通知发包人。发</w:t>
      </w:r>
      <w:r>
        <w:rPr>
          <w:rFonts w:hint="eastAsia" w:ascii="宋体" w:hAnsi="宋体" w:cs="宋体"/>
          <w:color w:val="auto"/>
          <w:spacing w:val="8"/>
          <w:sz w:val="20"/>
          <w:szCs w:val="20"/>
          <w:highlight w:val="none"/>
        </w:rPr>
        <w:t>包人和承包人应立即组织人员和设备进行紧急</w:t>
      </w:r>
      <w:r>
        <w:rPr>
          <w:rFonts w:hint="eastAsia" w:ascii="宋体" w:hAnsi="宋体" w:cs="宋体"/>
          <w:color w:val="auto"/>
          <w:spacing w:val="7"/>
          <w:sz w:val="20"/>
          <w:szCs w:val="20"/>
          <w:highlight w:val="none"/>
        </w:rPr>
        <w:t>抢救和抢修，减少人员伤亡和财产损失，防止</w:t>
      </w:r>
      <w:r>
        <w:rPr>
          <w:rFonts w:hint="eastAsia" w:ascii="宋体" w:hAnsi="宋体" w:cs="宋体"/>
          <w:color w:val="auto"/>
          <w:spacing w:val="8"/>
          <w:sz w:val="20"/>
          <w:szCs w:val="20"/>
          <w:highlight w:val="none"/>
        </w:rPr>
        <w:t>事故扩大，并保护事故现场。需要移动现场物</w:t>
      </w:r>
      <w:r>
        <w:rPr>
          <w:rFonts w:hint="eastAsia" w:ascii="宋体" w:hAnsi="宋体" w:cs="宋体"/>
          <w:color w:val="auto"/>
          <w:spacing w:val="7"/>
          <w:sz w:val="20"/>
          <w:szCs w:val="20"/>
          <w:highlight w:val="none"/>
        </w:rPr>
        <w:t>品时，应作出标记和书面记录，妥善保管有关</w:t>
      </w:r>
      <w:r>
        <w:rPr>
          <w:rFonts w:hint="eastAsia" w:ascii="宋体" w:hAnsi="宋体" w:cs="宋体"/>
          <w:color w:val="auto"/>
          <w:spacing w:val="8"/>
          <w:sz w:val="20"/>
          <w:szCs w:val="20"/>
          <w:highlight w:val="none"/>
        </w:rPr>
        <w:t>证据。发包人和承包人应按国家有关规定，及时如实</w:t>
      </w:r>
      <w:r>
        <w:rPr>
          <w:rFonts w:hint="eastAsia" w:ascii="宋体" w:hAnsi="宋体" w:cs="宋体"/>
          <w:color w:val="auto"/>
          <w:spacing w:val="7"/>
          <w:sz w:val="20"/>
          <w:szCs w:val="20"/>
          <w:highlight w:val="none"/>
        </w:rPr>
        <w:t>地向有关部门报告事故发生的情况，以</w:t>
      </w:r>
      <w:r>
        <w:rPr>
          <w:rFonts w:hint="eastAsia" w:ascii="宋体" w:hAnsi="宋体" w:cs="宋体"/>
          <w:color w:val="auto"/>
          <w:spacing w:val="8"/>
          <w:sz w:val="20"/>
          <w:szCs w:val="20"/>
          <w:highlight w:val="none"/>
        </w:rPr>
        <w:t>及正在采取的紧急措施等。</w:t>
      </w:r>
    </w:p>
    <w:p w14:paraId="4C3FEFE5">
      <w:pPr>
        <w:spacing w:before="121"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9.6  施工现场安全生产标准化管理目标</w:t>
      </w:r>
    </w:p>
    <w:p w14:paraId="053D7DAE">
      <w:pPr>
        <w:spacing w:before="297"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9.6.1</w:t>
      </w:r>
      <w:r>
        <w:rPr>
          <w:rFonts w:hint="eastAsia" w:ascii="宋体" w:hAnsi="宋体" w:cs="宋体"/>
          <w:color w:val="auto"/>
          <w:spacing w:val="1"/>
          <w:sz w:val="20"/>
          <w:szCs w:val="20"/>
          <w:highlight w:val="none"/>
        </w:rPr>
        <w:t xml:space="preserve"> </w:t>
      </w:r>
      <w:r>
        <w:rPr>
          <w:rFonts w:hint="eastAsia" w:ascii="宋体" w:hAnsi="宋体" w:cs="宋体"/>
          <w:color w:val="auto"/>
          <w:spacing w:val="1"/>
          <w:sz w:val="20"/>
          <w:szCs w:val="20"/>
          <w:highlight w:val="none"/>
          <w:lang w:val="en-US" w:eastAsia="zh-CN"/>
        </w:rPr>
        <w:t xml:space="preserve"> </w:t>
      </w:r>
      <w:r>
        <w:rPr>
          <w:rFonts w:hint="eastAsia" w:ascii="宋体" w:hAnsi="宋体" w:cs="宋体"/>
          <w:color w:val="auto"/>
          <w:spacing w:val="7"/>
          <w:sz w:val="20"/>
          <w:szCs w:val="20"/>
          <w:highlight w:val="none"/>
        </w:rPr>
        <w:t>由于承包人原因，施工现场安全生产标准化评定、认定等级未达到合同协议书中</w:t>
      </w:r>
      <w:r>
        <w:rPr>
          <w:rFonts w:hint="eastAsia" w:ascii="宋体" w:hAnsi="宋体" w:cs="宋体"/>
          <w:color w:val="auto"/>
          <w:spacing w:val="8"/>
          <w:sz w:val="20"/>
          <w:szCs w:val="20"/>
          <w:highlight w:val="none"/>
        </w:rPr>
        <w:t>约定的管理目标等级但“达标（合格）”的</w:t>
      </w:r>
      <w:r>
        <w:rPr>
          <w:rFonts w:hint="eastAsia" w:ascii="宋体" w:hAnsi="宋体" w:cs="宋体"/>
          <w:color w:val="auto"/>
          <w:spacing w:val="7"/>
          <w:sz w:val="20"/>
          <w:szCs w:val="20"/>
          <w:highlight w:val="none"/>
        </w:rPr>
        <w:t>，承包人应当向发包人支付未达到合同协议书中</w:t>
      </w:r>
      <w:r>
        <w:rPr>
          <w:rFonts w:hint="eastAsia" w:ascii="宋体" w:hAnsi="宋体" w:cs="宋体"/>
          <w:color w:val="auto"/>
          <w:spacing w:val="8"/>
          <w:sz w:val="20"/>
          <w:szCs w:val="20"/>
          <w:highlight w:val="none"/>
        </w:rPr>
        <w:t>约定的安全生产标准化管理目标等级的违约金或损</w:t>
      </w:r>
      <w:r>
        <w:rPr>
          <w:rFonts w:hint="eastAsia" w:ascii="宋体" w:hAnsi="宋体" w:cs="宋体"/>
          <w:color w:val="auto"/>
          <w:spacing w:val="7"/>
          <w:sz w:val="20"/>
          <w:szCs w:val="20"/>
          <w:highlight w:val="none"/>
        </w:rPr>
        <w:t>失赔偿金。未达到合同协议书中约定的安</w:t>
      </w:r>
      <w:r>
        <w:rPr>
          <w:rFonts w:hint="eastAsia" w:ascii="宋体" w:hAnsi="宋体" w:cs="宋体"/>
          <w:color w:val="auto"/>
          <w:spacing w:val="13"/>
          <w:sz w:val="20"/>
          <w:szCs w:val="20"/>
          <w:highlight w:val="none"/>
        </w:rPr>
        <w:t>全生产标准化管理目标等级的违约金或损失赔偿金的金额或者计算方法</w:t>
      </w:r>
      <w:r>
        <w:rPr>
          <w:rFonts w:hint="eastAsia" w:ascii="宋体" w:hAnsi="宋体" w:cs="宋体"/>
          <w:color w:val="auto"/>
          <w:spacing w:val="12"/>
          <w:sz w:val="20"/>
          <w:szCs w:val="20"/>
          <w:highlight w:val="none"/>
        </w:rPr>
        <w:t>见合同条款专用部</w:t>
      </w:r>
      <w:r>
        <w:rPr>
          <w:rFonts w:hint="eastAsia" w:ascii="宋体" w:hAnsi="宋体" w:cs="宋体"/>
          <w:color w:val="auto"/>
          <w:sz w:val="20"/>
          <w:szCs w:val="20"/>
          <w:highlight w:val="none"/>
        </w:rPr>
        <w:t>分。</w:t>
      </w:r>
    </w:p>
    <w:p w14:paraId="2721133B">
      <w:pPr>
        <w:spacing w:before="156" w:line="360" w:lineRule="auto"/>
        <w:ind w:left="19" w:right="106"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 xml:space="preserve">9.6.2 </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发包人鼓励承包人提高施工现场安全生产标准化管理。施工现场安</w:t>
      </w:r>
      <w:r>
        <w:rPr>
          <w:rFonts w:hint="eastAsia" w:ascii="宋体" w:hAnsi="宋体" w:cs="宋体"/>
          <w:color w:val="auto"/>
          <w:spacing w:val="6"/>
          <w:sz w:val="20"/>
          <w:szCs w:val="20"/>
          <w:highlight w:val="none"/>
        </w:rPr>
        <w:t>全生产标准化</w:t>
      </w:r>
      <w:r>
        <w:rPr>
          <w:rFonts w:hint="eastAsia" w:ascii="宋体" w:hAnsi="宋体" w:cs="宋体"/>
          <w:color w:val="auto"/>
          <w:spacing w:val="9"/>
          <w:sz w:val="20"/>
          <w:szCs w:val="20"/>
          <w:highlight w:val="none"/>
        </w:rPr>
        <w:t>评定、认定等级高于合同协议书中约定的管理目标等级的，发包人可给予承包人</w:t>
      </w:r>
      <w:r>
        <w:rPr>
          <w:rFonts w:hint="eastAsia" w:ascii="宋体" w:hAnsi="宋体" w:cs="宋体"/>
          <w:color w:val="auto"/>
          <w:spacing w:val="8"/>
          <w:sz w:val="20"/>
          <w:szCs w:val="20"/>
          <w:highlight w:val="none"/>
        </w:rPr>
        <w:t>创优奖励。</w:t>
      </w:r>
      <w:r>
        <w:rPr>
          <w:rFonts w:hint="eastAsia" w:ascii="宋体" w:hAnsi="宋体" w:cs="宋体"/>
          <w:color w:val="auto"/>
          <w:spacing w:val="9"/>
          <w:sz w:val="20"/>
          <w:szCs w:val="20"/>
          <w:highlight w:val="none"/>
        </w:rPr>
        <w:t>发包人是否给予承包人创优奖励及创优奖励金额或者计算方法见合同条款专用部分。</w:t>
      </w:r>
    </w:p>
    <w:p w14:paraId="536B584D">
      <w:pPr>
        <w:spacing w:before="284"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9.7  特殊安全生产标准化</w:t>
      </w:r>
    </w:p>
    <w:p w14:paraId="6E964764">
      <w:pPr>
        <w:spacing w:before="297" w:line="360" w:lineRule="auto"/>
        <w:ind w:left="24" w:right="159"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9.7.1</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由于承包人原因，特殊安全生产标准化要求未达到合同约定的要求，承包人应当向发包人支付未达到合同约定的特殊安全生产标准化要求的违约金或损失赔偿金。未达到合</w:t>
      </w:r>
      <w:r>
        <w:rPr>
          <w:rFonts w:hint="eastAsia" w:ascii="宋体" w:hAnsi="宋体" w:cs="宋体"/>
          <w:color w:val="auto"/>
          <w:spacing w:val="13"/>
          <w:sz w:val="20"/>
          <w:szCs w:val="20"/>
          <w:highlight w:val="none"/>
        </w:rPr>
        <w:t>同约定的特殊安全生产标准化要求的违约金或损失赔偿金的金</w:t>
      </w:r>
      <w:r>
        <w:rPr>
          <w:rFonts w:hint="eastAsia" w:ascii="宋体" w:hAnsi="宋体" w:cs="宋体"/>
          <w:color w:val="auto"/>
          <w:spacing w:val="12"/>
          <w:sz w:val="20"/>
          <w:szCs w:val="20"/>
          <w:highlight w:val="none"/>
        </w:rPr>
        <w:t>额或者计算方法见合同条款</w:t>
      </w:r>
      <w:r>
        <w:rPr>
          <w:rFonts w:hint="eastAsia" w:ascii="宋体" w:hAnsi="宋体" w:cs="宋体"/>
          <w:color w:val="auto"/>
          <w:spacing w:val="5"/>
          <w:sz w:val="20"/>
          <w:szCs w:val="20"/>
          <w:highlight w:val="none"/>
        </w:rPr>
        <w:t>专用部分。</w:t>
      </w:r>
    </w:p>
    <w:p w14:paraId="2AD0FD6F">
      <w:pPr>
        <w:spacing w:before="156"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9.7.2</w:t>
      </w: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 xml:space="preserve"> 发包人鼓励承包人提高特殊安全生产标准化要求。特殊安全生产标</w:t>
      </w:r>
      <w:r>
        <w:rPr>
          <w:rFonts w:hint="eastAsia" w:ascii="宋体" w:hAnsi="宋体" w:cs="宋体"/>
          <w:color w:val="auto"/>
          <w:spacing w:val="6"/>
          <w:sz w:val="20"/>
          <w:szCs w:val="20"/>
          <w:highlight w:val="none"/>
        </w:rPr>
        <w:t>准化要求高于</w:t>
      </w:r>
      <w:r>
        <w:rPr>
          <w:rFonts w:hint="eastAsia" w:ascii="宋体" w:hAnsi="宋体" w:cs="宋体"/>
          <w:color w:val="auto"/>
          <w:spacing w:val="8"/>
          <w:sz w:val="20"/>
          <w:szCs w:val="20"/>
          <w:highlight w:val="none"/>
        </w:rPr>
        <w:t>合同约定的要求，发包人可给予承包人创优奖</w:t>
      </w:r>
      <w:r>
        <w:rPr>
          <w:rFonts w:hint="eastAsia" w:ascii="宋体" w:hAnsi="宋体" w:cs="宋体"/>
          <w:color w:val="auto"/>
          <w:spacing w:val="7"/>
          <w:sz w:val="20"/>
          <w:szCs w:val="20"/>
          <w:highlight w:val="none"/>
        </w:rPr>
        <w:t>励。发包人是否给予承包人创优奖励及创优奖</w:t>
      </w:r>
      <w:r>
        <w:rPr>
          <w:rFonts w:hint="eastAsia" w:ascii="宋体" w:hAnsi="宋体" w:cs="宋体"/>
          <w:color w:val="auto"/>
          <w:spacing w:val="8"/>
          <w:sz w:val="20"/>
          <w:szCs w:val="20"/>
          <w:highlight w:val="none"/>
        </w:rPr>
        <w:t>励金额或者计算方法见合同条款专用部分。</w:t>
      </w:r>
    </w:p>
    <w:p w14:paraId="331959C8">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10.进度计划</w:t>
      </w:r>
    </w:p>
    <w:p w14:paraId="5B3BD63A">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10.1  合同进度计划</w:t>
      </w:r>
    </w:p>
    <w:p w14:paraId="79355188">
      <w:pPr>
        <w:spacing w:before="298"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10.1.1  承包人应当在收到监理人按照第11</w:t>
      </w:r>
      <w:r>
        <w:rPr>
          <w:rFonts w:hint="eastAsia" w:ascii="宋体" w:hAnsi="宋体" w:cs="宋体"/>
          <w:color w:val="auto"/>
          <w:spacing w:val="6"/>
          <w:sz w:val="20"/>
          <w:szCs w:val="20"/>
          <w:highlight w:val="none"/>
        </w:rPr>
        <w:t>.1.1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项发出的开工通知后7天内，编制详细的施工进度计划和施工方案说明报送监理人，施工进度计划应当反映进度管理的相关要素，</w:t>
      </w:r>
      <w:r>
        <w:rPr>
          <w:rFonts w:hint="eastAsia" w:ascii="宋体" w:hAnsi="宋体" w:cs="宋体"/>
          <w:color w:val="auto"/>
          <w:spacing w:val="8"/>
          <w:sz w:val="20"/>
          <w:szCs w:val="20"/>
          <w:highlight w:val="none"/>
        </w:rPr>
        <w:t>包括开工日期和竣工日期、要求发包人组织设计人</w:t>
      </w:r>
      <w:r>
        <w:rPr>
          <w:rFonts w:hint="eastAsia" w:ascii="宋体" w:hAnsi="宋体" w:cs="宋体"/>
          <w:color w:val="auto"/>
          <w:spacing w:val="7"/>
          <w:sz w:val="20"/>
          <w:szCs w:val="20"/>
          <w:highlight w:val="none"/>
        </w:rPr>
        <w:t>进行阶段性工程设计交底的时间、区段工</w:t>
      </w:r>
      <w:r>
        <w:rPr>
          <w:rFonts w:hint="eastAsia" w:ascii="宋体" w:hAnsi="宋体" w:cs="宋体"/>
          <w:color w:val="auto"/>
          <w:spacing w:val="8"/>
          <w:sz w:val="20"/>
          <w:szCs w:val="20"/>
          <w:highlight w:val="none"/>
        </w:rPr>
        <w:t>程的开始时间和完成时间、施工次序和方法、</w:t>
      </w:r>
      <w:r>
        <w:rPr>
          <w:rFonts w:hint="eastAsia" w:ascii="宋体" w:hAnsi="宋体" w:cs="宋体"/>
          <w:color w:val="auto"/>
          <w:spacing w:val="7"/>
          <w:sz w:val="20"/>
          <w:szCs w:val="20"/>
          <w:highlight w:val="none"/>
        </w:rPr>
        <w:t>施工活动的逻辑关系，主要材料进场时间和数</w:t>
      </w:r>
      <w:r>
        <w:rPr>
          <w:rFonts w:hint="eastAsia" w:ascii="宋体" w:hAnsi="宋体" w:cs="宋体"/>
          <w:color w:val="auto"/>
          <w:spacing w:val="8"/>
          <w:sz w:val="20"/>
          <w:szCs w:val="20"/>
          <w:highlight w:val="none"/>
        </w:rPr>
        <w:t>量，管理人员、劳动力及主要施工机械设备进出场时</w:t>
      </w:r>
      <w:r>
        <w:rPr>
          <w:rFonts w:hint="eastAsia" w:ascii="宋体" w:hAnsi="宋体" w:cs="宋体"/>
          <w:color w:val="auto"/>
          <w:spacing w:val="7"/>
          <w:sz w:val="20"/>
          <w:szCs w:val="20"/>
          <w:highlight w:val="none"/>
        </w:rPr>
        <w:t>间和数量，保障工程安全、质量和工期</w:t>
      </w:r>
      <w:r>
        <w:rPr>
          <w:rFonts w:hint="eastAsia" w:ascii="宋体" w:hAnsi="宋体" w:cs="宋体"/>
          <w:color w:val="auto"/>
          <w:spacing w:val="9"/>
          <w:sz w:val="20"/>
          <w:szCs w:val="20"/>
          <w:highlight w:val="none"/>
        </w:rPr>
        <w:t>的技术措施等。监理人应在收到承包人报送的相关进度计划和施工方案说明后14天内批复</w:t>
      </w:r>
      <w:r>
        <w:rPr>
          <w:rFonts w:hint="eastAsia" w:ascii="宋体" w:hAnsi="宋体" w:cs="宋体"/>
          <w:color w:val="auto"/>
          <w:spacing w:val="8"/>
          <w:sz w:val="20"/>
          <w:szCs w:val="20"/>
          <w:highlight w:val="none"/>
        </w:rPr>
        <w:t>或提出修改意见，否则该进度计划视为已得到批准</w:t>
      </w:r>
      <w:r>
        <w:rPr>
          <w:rFonts w:hint="eastAsia" w:ascii="宋体" w:hAnsi="宋体" w:cs="宋体"/>
          <w:color w:val="auto"/>
          <w:spacing w:val="7"/>
          <w:sz w:val="20"/>
          <w:szCs w:val="20"/>
          <w:highlight w:val="none"/>
        </w:rPr>
        <w:t>。经监理人批准的施工进度计划称合同进</w:t>
      </w:r>
      <w:r>
        <w:rPr>
          <w:rFonts w:hint="eastAsia" w:ascii="宋体" w:hAnsi="宋体" w:cs="宋体"/>
          <w:color w:val="auto"/>
          <w:spacing w:val="8"/>
          <w:sz w:val="20"/>
          <w:szCs w:val="20"/>
          <w:highlight w:val="none"/>
        </w:rPr>
        <w:t>度计划，是控制合同工程进度的依据。承包人</w:t>
      </w:r>
      <w:r>
        <w:rPr>
          <w:rFonts w:hint="eastAsia" w:ascii="宋体" w:hAnsi="宋体" w:cs="宋体"/>
          <w:color w:val="auto"/>
          <w:spacing w:val="7"/>
          <w:sz w:val="20"/>
          <w:szCs w:val="20"/>
          <w:highlight w:val="none"/>
        </w:rPr>
        <w:t>编制施工进度计划和施工方案说明的内容见合同条款专用部分。</w:t>
      </w:r>
    </w:p>
    <w:p w14:paraId="5B7A6A71">
      <w:pPr>
        <w:spacing w:before="1" w:line="360" w:lineRule="auto"/>
        <w:ind w:left="28" w:right="52" w:firstLine="4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10.1.2  承包人还应根据合同进度计划，按照第10.1.1项相关约定编制更为详细的分阶段或分项进度计划，报监理人审批。承包人编制分阶段或分项施工进度计划和施工方案说</w:t>
      </w:r>
      <w:r>
        <w:rPr>
          <w:rFonts w:hint="eastAsia" w:ascii="宋体" w:hAnsi="宋体" w:cs="宋体"/>
          <w:color w:val="auto"/>
          <w:spacing w:val="8"/>
          <w:sz w:val="20"/>
          <w:szCs w:val="20"/>
          <w:highlight w:val="none"/>
        </w:rPr>
        <w:t>明的内容及时限要求见合同条款专用部分。</w:t>
      </w:r>
    </w:p>
    <w:p w14:paraId="2D825598">
      <w:pPr>
        <w:spacing w:before="160" w:line="360" w:lineRule="auto"/>
        <w:ind w:left="19" w:right="5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10.1.3  群体工程中单位工程分期进行施工的，承包人应当按照发包人提供图纸及有关</w:t>
      </w:r>
      <w:r>
        <w:rPr>
          <w:rFonts w:hint="eastAsia" w:ascii="宋体" w:hAnsi="宋体" w:cs="宋体"/>
          <w:color w:val="auto"/>
          <w:spacing w:val="8"/>
          <w:sz w:val="20"/>
          <w:szCs w:val="20"/>
          <w:highlight w:val="none"/>
        </w:rPr>
        <w:t>资料的时间要求，编制单位工程进度计划和施</w:t>
      </w:r>
      <w:r>
        <w:rPr>
          <w:rFonts w:hint="eastAsia" w:ascii="宋体" w:hAnsi="宋体" w:cs="宋体"/>
          <w:color w:val="auto"/>
          <w:spacing w:val="7"/>
          <w:sz w:val="20"/>
          <w:szCs w:val="20"/>
          <w:highlight w:val="none"/>
        </w:rPr>
        <w:t>工方案说明。群体工程中有关编制进度计划和</w:t>
      </w:r>
      <w:r>
        <w:rPr>
          <w:rFonts w:hint="eastAsia" w:ascii="宋体" w:hAnsi="宋体" w:cs="宋体"/>
          <w:color w:val="auto"/>
          <w:spacing w:val="8"/>
          <w:sz w:val="20"/>
          <w:szCs w:val="20"/>
          <w:highlight w:val="none"/>
        </w:rPr>
        <w:t>施工方案说明的要求见合同条款专用部分。</w:t>
      </w:r>
    </w:p>
    <w:p w14:paraId="41233ECB">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10.2  合同进度计划的修订</w:t>
      </w:r>
    </w:p>
    <w:p w14:paraId="31AF5E98">
      <w:pPr>
        <w:spacing w:before="298" w:line="360" w:lineRule="auto"/>
        <w:ind w:left="20" w:right="5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10.2.1  不论何种原因造成工程的实际进度</w:t>
      </w:r>
      <w:r>
        <w:rPr>
          <w:rFonts w:hint="eastAsia" w:ascii="宋体" w:hAnsi="宋体" w:cs="宋体"/>
          <w:color w:val="auto"/>
          <w:spacing w:val="7"/>
          <w:sz w:val="20"/>
          <w:szCs w:val="20"/>
          <w:highlight w:val="none"/>
        </w:rPr>
        <w:t>与第10.1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款的合同进度计划不符时，承包</w:t>
      </w:r>
      <w:r>
        <w:rPr>
          <w:rFonts w:hint="eastAsia" w:ascii="宋体" w:hAnsi="宋体" w:cs="宋体"/>
          <w:color w:val="auto"/>
          <w:spacing w:val="8"/>
          <w:sz w:val="20"/>
          <w:szCs w:val="20"/>
          <w:highlight w:val="none"/>
        </w:rPr>
        <w:t>人可以在合同条款专用部分约定的期限内向</w:t>
      </w:r>
      <w:r>
        <w:rPr>
          <w:rFonts w:hint="eastAsia" w:ascii="宋体" w:hAnsi="宋体" w:cs="宋体"/>
          <w:color w:val="auto"/>
          <w:spacing w:val="7"/>
          <w:sz w:val="20"/>
          <w:szCs w:val="20"/>
          <w:highlight w:val="none"/>
        </w:rPr>
        <w:t>监理人提交修订合同进度计划的申请报告，并附</w:t>
      </w:r>
      <w:r>
        <w:rPr>
          <w:rFonts w:hint="eastAsia" w:ascii="宋体" w:hAnsi="宋体" w:cs="宋体"/>
          <w:color w:val="auto"/>
          <w:spacing w:val="8"/>
          <w:sz w:val="20"/>
          <w:szCs w:val="20"/>
          <w:highlight w:val="none"/>
        </w:rPr>
        <w:t>有关措施和相关资料，报监理人审批；</w:t>
      </w:r>
    </w:p>
    <w:p w14:paraId="33A3DFDE">
      <w:pPr>
        <w:spacing w:before="161"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10.2.2  监理人也可以直接向承包人作出修订合同进度计划的指示，承包人应按该指示</w:t>
      </w:r>
      <w:r>
        <w:rPr>
          <w:rFonts w:hint="eastAsia" w:ascii="宋体" w:hAnsi="宋体" w:cs="宋体"/>
          <w:color w:val="auto"/>
          <w:spacing w:val="9"/>
          <w:sz w:val="20"/>
          <w:szCs w:val="20"/>
          <w:highlight w:val="none"/>
        </w:rPr>
        <w:t>修订合同进度计划，报监理人审批。监理人应在合同条款专用部分约定的期限</w:t>
      </w:r>
      <w:r>
        <w:rPr>
          <w:rFonts w:hint="eastAsia" w:ascii="宋体" w:hAnsi="宋体" w:cs="宋体"/>
          <w:color w:val="auto"/>
          <w:spacing w:val="8"/>
          <w:sz w:val="20"/>
          <w:szCs w:val="20"/>
          <w:highlight w:val="none"/>
        </w:rPr>
        <w:t>内完成批复。监理人在批复前应获得发包人同意。</w:t>
      </w:r>
    </w:p>
    <w:p w14:paraId="7F1A515B">
      <w:pPr>
        <w:spacing w:before="161" w:line="360" w:lineRule="auto"/>
        <w:ind w:left="19" w:right="73" w:firstLine="43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10.2.3</w:t>
      </w:r>
      <w:r>
        <w:rPr>
          <w:rFonts w:hint="eastAsia" w:ascii="宋体" w:hAnsi="宋体" w:cs="宋体"/>
          <w:color w:val="auto"/>
          <w:spacing w:val="-15"/>
          <w:sz w:val="20"/>
          <w:szCs w:val="20"/>
          <w:highlight w:val="none"/>
        </w:rPr>
        <w:t xml:space="preserve"> </w:t>
      </w:r>
      <w:r>
        <w:rPr>
          <w:rFonts w:hint="eastAsia" w:ascii="宋体" w:hAnsi="宋体" w:cs="宋体"/>
          <w:color w:val="auto"/>
          <w:spacing w:val="9"/>
          <w:sz w:val="20"/>
          <w:szCs w:val="20"/>
          <w:highlight w:val="none"/>
        </w:rPr>
        <w:t>发包人对修订合同进度计划的批准，不影响发包人主张逾期损失赔偿和（或）</w:t>
      </w:r>
      <w:r>
        <w:rPr>
          <w:rFonts w:hint="eastAsia" w:ascii="宋体" w:hAnsi="宋体" w:cs="宋体"/>
          <w:color w:val="auto"/>
          <w:spacing w:val="8"/>
          <w:sz w:val="20"/>
          <w:szCs w:val="20"/>
          <w:highlight w:val="none"/>
        </w:rPr>
        <w:t>承包人主张工期顺延的权利。</w:t>
      </w:r>
    </w:p>
    <w:p w14:paraId="0D3AE3A5">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10.3  合同进度计划的其他要求</w:t>
      </w:r>
    </w:p>
    <w:p w14:paraId="52342675">
      <w:pPr>
        <w:spacing w:before="295" w:line="360" w:lineRule="auto"/>
        <w:ind w:left="19" w:right="52"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10.3.1  经发包人批准的合同进度计划或最新版本合同进度计划的修订是合同双方调</w:t>
      </w:r>
      <w:r>
        <w:rPr>
          <w:rFonts w:hint="eastAsia" w:ascii="宋体" w:hAnsi="宋体" w:cs="宋体"/>
          <w:color w:val="auto"/>
          <w:spacing w:val="8"/>
          <w:sz w:val="20"/>
          <w:szCs w:val="20"/>
          <w:highlight w:val="none"/>
        </w:rPr>
        <w:t>配施工生产资源和实施进度管理的根据。</w:t>
      </w:r>
    </w:p>
    <w:p w14:paraId="79E77748">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10.3.2  施工进度计划管理的人员配置要</w:t>
      </w:r>
      <w:r>
        <w:rPr>
          <w:rFonts w:hint="eastAsia" w:ascii="宋体" w:hAnsi="宋体" w:cs="宋体"/>
          <w:color w:val="auto"/>
          <w:spacing w:val="7"/>
          <w:sz w:val="20"/>
          <w:szCs w:val="20"/>
          <w:highlight w:val="none"/>
        </w:rPr>
        <w:t>求见合同条款专用部分。</w:t>
      </w:r>
    </w:p>
    <w:p w14:paraId="2A9E0D78">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10.3.3  施工进度计划的计算机应用软件要求见合</w:t>
      </w:r>
      <w:r>
        <w:rPr>
          <w:rFonts w:hint="eastAsia" w:ascii="宋体" w:hAnsi="宋体" w:cs="宋体"/>
          <w:color w:val="auto"/>
          <w:spacing w:val="7"/>
          <w:sz w:val="20"/>
          <w:szCs w:val="20"/>
          <w:highlight w:val="none"/>
        </w:rPr>
        <w:t>同条款专用部分。</w:t>
      </w:r>
    </w:p>
    <w:p w14:paraId="4020D5E9">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11.开工和竣工</w:t>
      </w:r>
    </w:p>
    <w:p w14:paraId="3EC9E7F3">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开工</w:t>
      </w:r>
    </w:p>
    <w:p w14:paraId="1913D3ED">
      <w:pPr>
        <w:spacing w:before="294" w:line="360" w:lineRule="auto"/>
        <w:ind w:left="19" w:right="52" w:firstLine="435"/>
        <w:rPr>
          <w:rFonts w:hint="eastAsia" w:ascii="宋体" w:hAnsi="宋体" w:cs="宋体"/>
          <w:color w:val="auto"/>
          <w:highlight w:val="none"/>
        </w:rPr>
      </w:pPr>
      <w:r>
        <w:rPr>
          <w:rFonts w:hint="eastAsia" w:ascii="宋体" w:hAnsi="宋体" w:cs="宋体"/>
          <w:color w:val="auto"/>
          <w:spacing w:val="6"/>
          <w:sz w:val="20"/>
          <w:szCs w:val="20"/>
          <w:highlight w:val="none"/>
        </w:rPr>
        <w:t>11.1.1  监理人应在开工日期7天前向承包人</w:t>
      </w:r>
      <w:r>
        <w:rPr>
          <w:rFonts w:hint="eastAsia" w:ascii="宋体" w:hAnsi="宋体" w:cs="宋体"/>
          <w:color w:val="auto"/>
          <w:spacing w:val="5"/>
          <w:sz w:val="20"/>
          <w:szCs w:val="20"/>
          <w:highlight w:val="none"/>
        </w:rPr>
        <w:t>发出开工通知。监理人在发出开工通知前</w:t>
      </w:r>
      <w:r>
        <w:rPr>
          <w:rFonts w:hint="eastAsia" w:ascii="宋体" w:hAnsi="宋体" w:cs="宋体"/>
          <w:color w:val="auto"/>
          <w:spacing w:val="8"/>
          <w:sz w:val="20"/>
          <w:szCs w:val="20"/>
          <w:highlight w:val="none"/>
        </w:rPr>
        <w:t>应获得发包人同意。工期自监理人发出的开</w:t>
      </w:r>
      <w:r>
        <w:rPr>
          <w:rFonts w:hint="eastAsia" w:ascii="宋体" w:hAnsi="宋体" w:cs="宋体"/>
          <w:color w:val="auto"/>
          <w:spacing w:val="7"/>
          <w:sz w:val="20"/>
          <w:szCs w:val="20"/>
          <w:highlight w:val="none"/>
        </w:rPr>
        <w:t>工通知中载明的开工日期起计算。承包人应在开工日期后尽快施工。</w:t>
      </w:r>
    </w:p>
    <w:p w14:paraId="309823E7">
      <w:pPr>
        <w:spacing w:before="65"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11.1.2  承包人应按第10.1</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款约定的合同进度计划，</w:t>
      </w:r>
      <w:r>
        <w:rPr>
          <w:rFonts w:hint="eastAsia" w:ascii="宋体" w:hAnsi="宋体" w:cs="宋体"/>
          <w:color w:val="auto"/>
          <w:spacing w:val="7"/>
          <w:sz w:val="20"/>
          <w:szCs w:val="20"/>
          <w:highlight w:val="none"/>
        </w:rPr>
        <w:t>向监理人提交工程开工报审表，</w:t>
      </w:r>
      <w:r>
        <w:rPr>
          <w:rFonts w:hint="eastAsia" w:ascii="宋体" w:hAnsi="宋体" w:cs="宋体"/>
          <w:color w:val="auto"/>
          <w:spacing w:val="8"/>
          <w:sz w:val="20"/>
          <w:szCs w:val="20"/>
          <w:highlight w:val="none"/>
        </w:rPr>
        <w:t>经监理人审批后执行。开工报审表应详细说明</w:t>
      </w:r>
      <w:r>
        <w:rPr>
          <w:rFonts w:hint="eastAsia" w:ascii="宋体" w:hAnsi="宋体" w:cs="宋体"/>
          <w:color w:val="auto"/>
          <w:spacing w:val="7"/>
          <w:sz w:val="20"/>
          <w:szCs w:val="20"/>
          <w:highlight w:val="none"/>
        </w:rPr>
        <w:t>按合同进度计划正常施工所需的施工道路、临</w:t>
      </w:r>
      <w:r>
        <w:rPr>
          <w:rFonts w:hint="eastAsia" w:ascii="宋体" w:hAnsi="宋体" w:cs="宋体"/>
          <w:color w:val="auto"/>
          <w:spacing w:val="9"/>
          <w:sz w:val="20"/>
          <w:szCs w:val="20"/>
          <w:highlight w:val="none"/>
        </w:rPr>
        <w:t>时设施、材料设备、施工人员等施工组织措施的落实情况以及工程的进度安排。</w:t>
      </w:r>
    </w:p>
    <w:p w14:paraId="3304A706">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11.2</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竣工</w:t>
      </w:r>
    </w:p>
    <w:p w14:paraId="35366371">
      <w:pPr>
        <w:spacing w:before="294" w:line="360" w:lineRule="auto"/>
        <w:jc w:val="right"/>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承包人应在第1.1.4.3目约定的期限内完成合同工程。实际竣工日期在接收证书中写明。</w:t>
      </w:r>
    </w:p>
    <w:p w14:paraId="6E76DDBA">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11.3  发包人的工期延误</w:t>
      </w:r>
    </w:p>
    <w:p w14:paraId="5C2625E7">
      <w:pPr>
        <w:spacing w:before="297"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在履行合同过程中，由于发包人的下列原因造成承包人关键线路工期延误的，承包人有</w:t>
      </w:r>
      <w:r>
        <w:rPr>
          <w:rFonts w:hint="eastAsia" w:ascii="宋体" w:hAnsi="宋体" w:cs="宋体"/>
          <w:color w:val="auto"/>
          <w:spacing w:val="8"/>
          <w:sz w:val="20"/>
          <w:szCs w:val="20"/>
          <w:highlight w:val="none"/>
        </w:rPr>
        <w:t>权要求发包人延长工期和（或）增加费用，并支付合</w:t>
      </w:r>
      <w:r>
        <w:rPr>
          <w:rFonts w:hint="eastAsia" w:ascii="宋体" w:hAnsi="宋体" w:cs="宋体"/>
          <w:color w:val="auto"/>
          <w:spacing w:val="7"/>
          <w:sz w:val="20"/>
          <w:szCs w:val="20"/>
          <w:highlight w:val="none"/>
        </w:rPr>
        <w:t>理利润。需要修订合同进度计划的，按</w:t>
      </w:r>
      <w:r>
        <w:rPr>
          <w:rFonts w:hint="eastAsia" w:ascii="宋体" w:hAnsi="宋体" w:cs="宋体"/>
          <w:color w:val="auto"/>
          <w:spacing w:val="4"/>
          <w:sz w:val="20"/>
          <w:szCs w:val="20"/>
          <w:highlight w:val="none"/>
        </w:rPr>
        <w:t>照第10.2款的约定办理。</w:t>
      </w:r>
    </w:p>
    <w:p w14:paraId="41934CE1">
      <w:pPr>
        <w:spacing w:before="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（1）增加合同工作内容；</w:t>
      </w:r>
    </w:p>
    <w:p w14:paraId="3DA6FFA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（2）改变合同中任何一项工作的质量要求或其他特性；</w:t>
      </w:r>
    </w:p>
    <w:p w14:paraId="14A6FFF9">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（3）发包人迟延提供材料或变更交货地点的；</w:t>
      </w:r>
    </w:p>
    <w:p w14:paraId="1C0E952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（4）因发包人原因导致的暂停施工；</w:t>
      </w:r>
    </w:p>
    <w:p w14:paraId="1207D885">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（5）提供图纸延误；</w:t>
      </w:r>
    </w:p>
    <w:p w14:paraId="191F01D1">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（6）未按合同约定及时支付预付款、进度款；</w:t>
      </w:r>
    </w:p>
    <w:p w14:paraId="5B11910F">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（7）因发包人原因不能按照监理人发出的开工通知中载明的开工日期</w:t>
      </w:r>
      <w:r>
        <w:rPr>
          <w:rFonts w:hint="eastAsia" w:ascii="宋体" w:hAnsi="宋体" w:cs="宋体"/>
          <w:color w:val="auto"/>
          <w:spacing w:val="8"/>
          <w:sz w:val="20"/>
          <w:szCs w:val="20"/>
          <w:highlight w:val="none"/>
        </w:rPr>
        <w:t>开工；</w:t>
      </w:r>
    </w:p>
    <w:p w14:paraId="6E7C0E25">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（8）发包人造成工期延误的其他原因见合</w:t>
      </w:r>
      <w:r>
        <w:rPr>
          <w:rFonts w:hint="eastAsia" w:ascii="宋体" w:hAnsi="宋体" w:cs="宋体"/>
          <w:color w:val="auto"/>
          <w:spacing w:val="8"/>
          <w:sz w:val="20"/>
          <w:szCs w:val="20"/>
          <w:highlight w:val="none"/>
        </w:rPr>
        <w:t>同条款专用部分。</w:t>
      </w:r>
    </w:p>
    <w:p w14:paraId="766C6487">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11.4  异常恶劣的气候条件</w:t>
      </w:r>
    </w:p>
    <w:p w14:paraId="2417996A">
      <w:pPr>
        <w:spacing w:before="297" w:line="360" w:lineRule="auto"/>
        <w:ind w:left="20" w:right="177"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由于出现异常恶劣气候的条件导致工期延误的，承包人有权</w:t>
      </w:r>
      <w:r>
        <w:rPr>
          <w:rFonts w:hint="eastAsia" w:ascii="宋体" w:hAnsi="宋体" w:cs="宋体"/>
          <w:color w:val="auto"/>
          <w:spacing w:val="6"/>
          <w:sz w:val="20"/>
          <w:szCs w:val="20"/>
          <w:highlight w:val="none"/>
        </w:rPr>
        <w:t>要求发包人延长工期。异常</w:t>
      </w:r>
      <w:r>
        <w:rPr>
          <w:rFonts w:hint="eastAsia" w:ascii="宋体" w:hAnsi="宋体" w:cs="宋体"/>
          <w:color w:val="auto"/>
          <w:spacing w:val="9"/>
          <w:sz w:val="20"/>
          <w:szCs w:val="20"/>
          <w:highlight w:val="none"/>
        </w:rPr>
        <w:t>恶劣的气候条件的范围和标准见合同条款专用部分。</w:t>
      </w:r>
    </w:p>
    <w:p w14:paraId="64D9CAAB">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11.5  承包人的工期延误</w:t>
      </w:r>
    </w:p>
    <w:p w14:paraId="64718AD1">
      <w:pPr>
        <w:spacing w:before="297" w:line="360" w:lineRule="auto"/>
        <w:ind w:left="19" w:right="17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11.5.1  由于承包人原因，未能按合同进度计划完成工作，或监理人认为承包人施工进</w:t>
      </w:r>
      <w:r>
        <w:rPr>
          <w:rFonts w:hint="eastAsia" w:ascii="宋体" w:hAnsi="宋体" w:cs="宋体"/>
          <w:color w:val="auto"/>
          <w:spacing w:val="8"/>
          <w:sz w:val="20"/>
          <w:szCs w:val="20"/>
          <w:highlight w:val="none"/>
        </w:rPr>
        <w:t>度不能满足合同工期要求的，承包人应在不影响工</w:t>
      </w:r>
      <w:r>
        <w:rPr>
          <w:rFonts w:hint="eastAsia" w:ascii="宋体" w:hAnsi="宋体" w:cs="宋体"/>
          <w:color w:val="auto"/>
          <w:spacing w:val="7"/>
          <w:sz w:val="20"/>
          <w:szCs w:val="20"/>
          <w:highlight w:val="none"/>
        </w:rPr>
        <w:t>程安全和质量的前提下采取必要的赶工措</w:t>
      </w:r>
      <w:r>
        <w:rPr>
          <w:rFonts w:hint="eastAsia" w:ascii="宋体" w:hAnsi="宋体" w:cs="宋体"/>
          <w:color w:val="auto"/>
          <w:spacing w:val="9"/>
          <w:sz w:val="20"/>
          <w:szCs w:val="20"/>
          <w:highlight w:val="none"/>
        </w:rPr>
        <w:t>施加快进度，并承担加快进度所增加的费用。</w:t>
      </w:r>
    </w:p>
    <w:p w14:paraId="1BC68270">
      <w:pPr>
        <w:spacing w:before="161" w:line="360" w:lineRule="auto"/>
        <w:ind w:left="20" w:right="17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11.5.2  由于承包人原因造成不能按期竣工的，按照合同约定的竣工日期（包括按合同</w:t>
      </w:r>
      <w:r>
        <w:rPr>
          <w:rFonts w:hint="eastAsia" w:ascii="宋体" w:hAnsi="宋体" w:cs="宋体"/>
          <w:color w:val="auto"/>
          <w:spacing w:val="14"/>
          <w:sz w:val="20"/>
          <w:szCs w:val="20"/>
          <w:highlight w:val="none"/>
        </w:rPr>
        <w:t xml:space="preserve"> </w:t>
      </w:r>
      <w:r>
        <w:rPr>
          <w:rFonts w:hint="eastAsia" w:ascii="宋体" w:hAnsi="宋体" w:cs="宋体"/>
          <w:color w:val="auto"/>
          <w:spacing w:val="6"/>
          <w:sz w:val="20"/>
          <w:szCs w:val="20"/>
          <w:highlight w:val="none"/>
        </w:rPr>
        <w:t>工期延长）后7天内，监理人应当按第23.4.1</w:t>
      </w:r>
      <w:r>
        <w:rPr>
          <w:rFonts w:hint="eastAsia" w:ascii="宋体" w:hAnsi="宋体" w:cs="宋体"/>
          <w:color w:val="auto"/>
          <w:spacing w:val="5"/>
          <w:sz w:val="20"/>
          <w:szCs w:val="20"/>
          <w:highlight w:val="none"/>
        </w:rPr>
        <w:t>项的约定书面通知承包人,说明发包人有权得</w:t>
      </w:r>
      <w:r>
        <w:rPr>
          <w:rFonts w:hint="eastAsia" w:ascii="宋体" w:hAnsi="宋体" w:cs="宋体"/>
          <w:color w:val="auto"/>
          <w:spacing w:val="8"/>
          <w:sz w:val="20"/>
          <w:szCs w:val="20"/>
          <w:highlight w:val="none"/>
        </w:rPr>
        <w:t>到逾期竣工违约金，逾期竣工违约金计算标准和</w:t>
      </w:r>
      <w:r>
        <w:rPr>
          <w:rFonts w:hint="eastAsia" w:ascii="宋体" w:hAnsi="宋体" w:cs="宋体"/>
          <w:color w:val="auto"/>
          <w:spacing w:val="7"/>
          <w:sz w:val="20"/>
          <w:szCs w:val="20"/>
          <w:highlight w:val="none"/>
        </w:rPr>
        <w:t>计算方法见合同条款专用部分。但最终逾期</w:t>
      </w:r>
      <w:r>
        <w:rPr>
          <w:rFonts w:hint="eastAsia" w:ascii="宋体" w:hAnsi="宋体" w:cs="宋体"/>
          <w:color w:val="auto"/>
          <w:spacing w:val="8"/>
          <w:sz w:val="20"/>
          <w:szCs w:val="20"/>
          <w:highlight w:val="none"/>
        </w:rPr>
        <w:t>竣工违约金的金额不应超过合同约定的逾期竣工</w:t>
      </w:r>
      <w:r>
        <w:rPr>
          <w:rFonts w:hint="eastAsia" w:ascii="宋体" w:hAnsi="宋体" w:cs="宋体"/>
          <w:color w:val="auto"/>
          <w:spacing w:val="7"/>
          <w:sz w:val="20"/>
          <w:szCs w:val="20"/>
          <w:highlight w:val="none"/>
        </w:rPr>
        <w:t>违约金最高限额。逾期竣工违约金最高限额见合同条款专用部分。</w:t>
      </w:r>
    </w:p>
    <w:p w14:paraId="4E874EA8">
      <w:pPr>
        <w:spacing w:before="162" w:line="360" w:lineRule="auto"/>
        <w:ind w:left="36" w:right="177" w:firstLine="403"/>
        <w:rPr>
          <w:rFonts w:hint="eastAsia" w:ascii="宋体" w:hAnsi="宋体" w:cs="宋体"/>
          <w:color w:val="auto"/>
          <w:highlight w:val="none"/>
        </w:rPr>
      </w:pPr>
      <w:r>
        <w:rPr>
          <w:rFonts w:hint="eastAsia" w:ascii="宋体" w:hAnsi="宋体" w:cs="宋体"/>
          <w:color w:val="auto"/>
          <w:spacing w:val="7"/>
          <w:sz w:val="20"/>
          <w:szCs w:val="20"/>
          <w:highlight w:val="none"/>
        </w:rPr>
        <w:t>监理人未在规定的期限内发出本款约定的书面通知的，发包人丧失主张逾期竣工违约金</w:t>
      </w:r>
      <w:r>
        <w:rPr>
          <w:rFonts w:hint="eastAsia" w:ascii="宋体" w:hAnsi="宋体" w:cs="宋体"/>
          <w:color w:val="auto"/>
          <w:sz w:val="20"/>
          <w:szCs w:val="20"/>
          <w:highlight w:val="none"/>
        </w:rPr>
        <w:t>的权利。</w:t>
      </w:r>
    </w:p>
    <w:p w14:paraId="7B741561">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11.5.3  承包人支付逾期竣工违约金，不免除承包人完成工程及修补缺陷的义务。</w:t>
      </w:r>
    </w:p>
    <w:p w14:paraId="69611746">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11.6  合同双方原因导致的工期延误</w:t>
      </w:r>
    </w:p>
    <w:p w14:paraId="0DF0DAEE">
      <w:pPr>
        <w:spacing w:before="297" w:line="360" w:lineRule="auto"/>
        <w:ind w:left="19" w:right="12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在履行合同过程中，由于合同双方的原因造成承包人关键线路工期延误或窝工降效的，承包人可根据实际影响情况并按照合同约定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人应当在合同约定的期限内及时处理，并按</w:t>
      </w:r>
      <w:r>
        <w:rPr>
          <w:rFonts w:hint="eastAsia" w:ascii="宋体" w:hAnsi="宋体" w:cs="宋体"/>
          <w:color w:val="auto"/>
          <w:spacing w:val="7"/>
          <w:sz w:val="20"/>
          <w:szCs w:val="20"/>
          <w:highlight w:val="none"/>
        </w:rPr>
        <w:t>过错责任分担工期和（或）费用损失；责任划分</w:t>
      </w:r>
      <w:r>
        <w:rPr>
          <w:rFonts w:hint="eastAsia" w:ascii="宋体" w:hAnsi="宋体" w:cs="宋体"/>
          <w:color w:val="auto"/>
          <w:spacing w:val="13"/>
          <w:sz w:val="20"/>
          <w:szCs w:val="20"/>
          <w:highlight w:val="none"/>
        </w:rPr>
        <w:t>不清的，以主导原因为主承担工期和（或）费用损失。需要修订合同进度计划</w:t>
      </w:r>
      <w:r>
        <w:rPr>
          <w:rFonts w:hint="eastAsia" w:ascii="宋体" w:hAnsi="宋体" w:cs="宋体"/>
          <w:color w:val="auto"/>
          <w:spacing w:val="12"/>
          <w:sz w:val="20"/>
          <w:szCs w:val="20"/>
          <w:highlight w:val="none"/>
        </w:rPr>
        <w:t>的，按照第</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10.2</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款的约定办理。合同双方导致工期延误的原因见合同条款专用部分。</w:t>
      </w:r>
    </w:p>
    <w:p w14:paraId="32392874">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11.7  非合同双方原因导致的工期延误</w:t>
      </w:r>
    </w:p>
    <w:p w14:paraId="6A0B21B4">
      <w:pPr>
        <w:spacing w:before="294" w:line="360" w:lineRule="auto"/>
        <w:ind w:left="19"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在履行合同过程中，由于非合同双方的原因造成承包人关键线路工期延误或窝工降效的，</w:t>
      </w:r>
      <w:r>
        <w:rPr>
          <w:rFonts w:hint="eastAsia" w:ascii="宋体" w:hAnsi="宋体" w:cs="宋体"/>
          <w:color w:val="auto"/>
          <w:spacing w:val="8"/>
          <w:sz w:val="20"/>
          <w:szCs w:val="20"/>
          <w:highlight w:val="none"/>
        </w:rPr>
        <w:t>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人应当在合同约定的期限内及时处理，给予</w:t>
      </w:r>
      <w:r>
        <w:rPr>
          <w:rFonts w:hint="eastAsia" w:ascii="宋体" w:hAnsi="宋体" w:cs="宋体"/>
          <w:color w:val="auto"/>
          <w:spacing w:val="7"/>
          <w:sz w:val="20"/>
          <w:szCs w:val="20"/>
          <w:highlight w:val="none"/>
        </w:rPr>
        <w:t>顺延工期，合同双方应根据公平原则分担费用损</w:t>
      </w:r>
      <w:r>
        <w:rPr>
          <w:rFonts w:hint="eastAsia" w:ascii="宋体" w:hAnsi="宋体" w:cs="宋体"/>
          <w:color w:val="auto"/>
          <w:spacing w:val="9"/>
          <w:sz w:val="20"/>
          <w:szCs w:val="20"/>
          <w:highlight w:val="none"/>
        </w:rPr>
        <w:t>失。需要修订合同进度计划的，按照第10.2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款的约定办理。非合同双方导</w:t>
      </w:r>
      <w:r>
        <w:rPr>
          <w:rFonts w:hint="eastAsia" w:ascii="宋体" w:hAnsi="宋体" w:cs="宋体"/>
          <w:color w:val="auto"/>
          <w:spacing w:val="8"/>
          <w:sz w:val="20"/>
          <w:szCs w:val="20"/>
          <w:highlight w:val="none"/>
        </w:rPr>
        <w:t>致工期延误的原因见合同条款专用部分。</w:t>
      </w:r>
    </w:p>
    <w:p w14:paraId="5115F076">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11.8</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工期提前</w:t>
      </w:r>
    </w:p>
    <w:p w14:paraId="4BF8C609">
      <w:pPr>
        <w:spacing w:before="292" w:line="360" w:lineRule="auto"/>
        <w:ind w:left="19" w:right="122"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发包人要求承包人提前竣工，或承包人提出提前竣工的建议能够给发包人带来效益的，应由监理人与承包人共同协商采取加快工程</w:t>
      </w:r>
      <w:r>
        <w:rPr>
          <w:rFonts w:hint="eastAsia" w:ascii="宋体" w:hAnsi="宋体" w:cs="宋体"/>
          <w:color w:val="auto"/>
          <w:spacing w:val="7"/>
          <w:sz w:val="20"/>
          <w:szCs w:val="20"/>
          <w:highlight w:val="none"/>
        </w:rPr>
        <w:t>进度的措施和修订合同进度计划。发包人应承担</w:t>
      </w:r>
      <w:r>
        <w:rPr>
          <w:rFonts w:hint="eastAsia" w:ascii="宋体" w:hAnsi="宋体" w:cs="宋体"/>
          <w:color w:val="auto"/>
          <w:spacing w:val="8"/>
          <w:sz w:val="20"/>
          <w:szCs w:val="20"/>
          <w:highlight w:val="none"/>
        </w:rPr>
        <w:t>承包人由此增加的费用，并向承包人支付相应的奖</w:t>
      </w:r>
      <w:r>
        <w:rPr>
          <w:rFonts w:hint="eastAsia" w:ascii="宋体" w:hAnsi="宋体" w:cs="宋体"/>
          <w:color w:val="auto"/>
          <w:spacing w:val="7"/>
          <w:sz w:val="20"/>
          <w:szCs w:val="20"/>
          <w:highlight w:val="none"/>
        </w:rPr>
        <w:t>金。提前竣工的奖励办法见合同条款专用</w:t>
      </w:r>
      <w:r>
        <w:rPr>
          <w:rFonts w:hint="eastAsia" w:ascii="宋体" w:hAnsi="宋体" w:cs="宋体"/>
          <w:color w:val="auto"/>
          <w:spacing w:val="3"/>
          <w:sz w:val="20"/>
          <w:szCs w:val="20"/>
          <w:highlight w:val="none"/>
        </w:rPr>
        <w:t>部分。</w:t>
      </w:r>
    </w:p>
    <w:p w14:paraId="5755ECAA">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12.暂停施工</w:t>
      </w:r>
    </w:p>
    <w:p w14:paraId="0FBEB67D">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12.1  承包人暂停施工的责任</w:t>
      </w:r>
    </w:p>
    <w:p w14:paraId="5F4C47CA">
      <w:pPr>
        <w:spacing w:before="295" w:line="360" w:lineRule="auto"/>
        <w:ind w:left="45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因下列情形暂停施工增加的费用和（或）工期</w:t>
      </w:r>
      <w:r>
        <w:rPr>
          <w:rFonts w:hint="eastAsia" w:ascii="宋体" w:hAnsi="宋体" w:cs="宋体"/>
          <w:color w:val="auto"/>
          <w:spacing w:val="8"/>
          <w:sz w:val="20"/>
          <w:szCs w:val="20"/>
          <w:highlight w:val="none"/>
        </w:rPr>
        <w:t>延误由承包人承担：</w:t>
      </w:r>
    </w:p>
    <w:p w14:paraId="4A22E20F">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（1）承包人违约引起的暂停施工；</w:t>
      </w:r>
    </w:p>
    <w:p w14:paraId="6A16FEF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w:t>
      </w:r>
      <w:r>
        <w:rPr>
          <w:rFonts w:hint="eastAsia" w:ascii="宋体" w:hAnsi="宋体" w:cs="宋体"/>
          <w:color w:val="auto"/>
          <w:spacing w:val="-45"/>
          <w:sz w:val="20"/>
          <w:szCs w:val="20"/>
          <w:highlight w:val="none"/>
        </w:rPr>
        <w:t xml:space="preserve"> </w:t>
      </w:r>
      <w:r>
        <w:rPr>
          <w:rFonts w:hint="eastAsia" w:ascii="宋体" w:hAnsi="宋体" w:cs="宋体"/>
          <w:color w:val="auto"/>
          <w:spacing w:val="7"/>
          <w:sz w:val="20"/>
          <w:szCs w:val="20"/>
          <w:highlight w:val="none"/>
        </w:rPr>
        <w:t>由于承包人原因为工程合理施工和安全保障所必需的暂停施工；</w:t>
      </w:r>
    </w:p>
    <w:p w14:paraId="30F32B72">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（3）承包人擅自暂停施工；</w:t>
      </w:r>
    </w:p>
    <w:p w14:paraId="6A00189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（4）承包人承担暂停施工责任的其他情形见合同条</w:t>
      </w:r>
      <w:r>
        <w:rPr>
          <w:rFonts w:hint="eastAsia" w:ascii="宋体" w:hAnsi="宋体" w:cs="宋体"/>
          <w:color w:val="auto"/>
          <w:spacing w:val="8"/>
          <w:sz w:val="20"/>
          <w:szCs w:val="20"/>
          <w:highlight w:val="none"/>
        </w:rPr>
        <w:t>款专用部分。</w:t>
      </w:r>
    </w:p>
    <w:p w14:paraId="3092E9AD">
      <w:pPr>
        <w:spacing w:before="287"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12.2  发包人暂停施工的责任</w:t>
      </w:r>
    </w:p>
    <w:p w14:paraId="65A4A787">
      <w:pPr>
        <w:spacing w:before="295" w:line="360" w:lineRule="auto"/>
        <w:ind w:left="29" w:right="159" w:firstLine="435"/>
        <w:rPr>
          <w:rFonts w:hint="eastAsia" w:ascii="宋体" w:hAnsi="宋体" w:cs="宋体"/>
          <w:color w:val="auto"/>
          <w:highlight w:val="none"/>
        </w:rPr>
      </w:pPr>
      <w:r>
        <w:rPr>
          <w:rFonts w:hint="eastAsia" w:ascii="宋体" w:hAnsi="宋体" w:cs="宋体"/>
          <w:color w:val="auto"/>
          <w:spacing w:val="12"/>
          <w:sz w:val="20"/>
          <w:szCs w:val="20"/>
          <w:highlight w:val="none"/>
        </w:rPr>
        <w:t>由于发包人原因引起的暂停施工造成工期延误的，承包人有权要求发包人延长工期和</w:t>
      </w:r>
      <w:r>
        <w:rPr>
          <w:rFonts w:hint="eastAsia" w:ascii="宋体" w:hAnsi="宋体" w:cs="宋体"/>
          <w:color w:val="auto"/>
          <w:spacing w:val="8"/>
          <w:sz w:val="20"/>
          <w:szCs w:val="20"/>
          <w:highlight w:val="none"/>
        </w:rPr>
        <w:t>（或）增加费用，并支付合理利润。</w:t>
      </w:r>
    </w:p>
    <w:p w14:paraId="24288DD2">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12.3  监理人暂停施工指示</w:t>
      </w:r>
    </w:p>
    <w:p w14:paraId="5090955B">
      <w:pPr>
        <w:spacing w:before="296"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12.3.1  监理人认为有必要时，可向承包人作出暂停施工的指示，承包人应按监理人指</w:t>
      </w:r>
      <w:r>
        <w:rPr>
          <w:rFonts w:hint="eastAsia" w:ascii="宋体" w:hAnsi="宋体" w:cs="宋体"/>
          <w:color w:val="auto"/>
          <w:spacing w:val="7"/>
          <w:sz w:val="20"/>
          <w:szCs w:val="20"/>
          <w:highlight w:val="none"/>
        </w:rPr>
        <w:t>示暂停施工。不论由于何种原因引起的暂停施工，暂停施工期间承包人应负责妥善保护工程并提供安全保障。</w:t>
      </w:r>
    </w:p>
    <w:p w14:paraId="3BBF6BA4">
      <w:pPr>
        <w:spacing w:before="161" w:line="360" w:lineRule="auto"/>
        <w:ind w:left="20" w:right="9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12.3.2  由于发包人的原因发生暂停施工的紧急情况，且监理人未及时下达暂停施工指</w:t>
      </w:r>
      <w:r>
        <w:rPr>
          <w:rFonts w:hint="eastAsia" w:ascii="宋体" w:hAnsi="宋体" w:cs="宋体"/>
          <w:color w:val="auto"/>
          <w:spacing w:val="7"/>
          <w:sz w:val="20"/>
          <w:szCs w:val="20"/>
          <w:highlight w:val="none"/>
        </w:rPr>
        <w:t>示的，承包人可先暂停施工，并及时向监理人提出暂停施工的书面请求。监理人应在接到书</w:t>
      </w:r>
      <w:r>
        <w:rPr>
          <w:rFonts w:hint="eastAsia" w:ascii="宋体" w:hAnsi="宋体" w:cs="宋体"/>
          <w:color w:val="auto"/>
          <w:spacing w:val="8"/>
          <w:sz w:val="20"/>
          <w:szCs w:val="20"/>
          <w:highlight w:val="none"/>
        </w:rPr>
        <w:t>面请求后的24小时内予以答复，逾期未答复的，视为同意承包人的暂停施工请求。</w:t>
      </w:r>
    </w:p>
    <w:p w14:paraId="68DBFCCD">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12.4  暂停施工后的复工</w:t>
      </w:r>
    </w:p>
    <w:p w14:paraId="3FB06E2A">
      <w:pPr>
        <w:spacing w:before="293"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12.4.1  暂停施工后，监理人应与发包人和承包人协商，采取有效措施积极消除暂停施</w:t>
      </w:r>
      <w:r>
        <w:rPr>
          <w:rFonts w:hint="eastAsia" w:ascii="宋体" w:hAnsi="宋体" w:cs="宋体"/>
          <w:color w:val="auto"/>
          <w:spacing w:val="8"/>
          <w:sz w:val="20"/>
          <w:szCs w:val="20"/>
          <w:highlight w:val="none"/>
        </w:rPr>
        <w:t>工的影响。当工程具备复工条件时，监理人应立即</w:t>
      </w:r>
      <w:r>
        <w:rPr>
          <w:rFonts w:hint="eastAsia" w:ascii="宋体" w:hAnsi="宋体" w:cs="宋体"/>
          <w:color w:val="auto"/>
          <w:spacing w:val="7"/>
          <w:sz w:val="20"/>
          <w:szCs w:val="20"/>
          <w:highlight w:val="none"/>
        </w:rPr>
        <w:t>向承包人发出复工通知。承包人收到复工</w:t>
      </w:r>
      <w:r>
        <w:rPr>
          <w:rFonts w:hint="eastAsia" w:ascii="宋体" w:hAnsi="宋体" w:cs="宋体"/>
          <w:color w:val="auto"/>
          <w:spacing w:val="8"/>
          <w:sz w:val="20"/>
          <w:szCs w:val="20"/>
          <w:highlight w:val="none"/>
        </w:rPr>
        <w:t>通知后，应在监理人指定的期限内复工。</w:t>
      </w:r>
    </w:p>
    <w:p w14:paraId="6BE9F9CA">
      <w:pPr>
        <w:spacing w:before="162"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12.4.2  承包人无故拖延和拒绝复工的，由此增加的费用和工期延误由承包人承担；因</w:t>
      </w:r>
      <w:r>
        <w:rPr>
          <w:rFonts w:hint="eastAsia" w:ascii="宋体" w:hAnsi="宋体" w:cs="宋体"/>
          <w:color w:val="auto"/>
          <w:spacing w:val="7"/>
          <w:sz w:val="20"/>
          <w:szCs w:val="20"/>
          <w:highlight w:val="none"/>
        </w:rPr>
        <w:t>发包人原因无法按时复工的，承包人有权要求发包人延长工期和（或）增加费用，并支付合</w:t>
      </w:r>
      <w:r>
        <w:rPr>
          <w:rFonts w:hint="eastAsia" w:ascii="宋体" w:hAnsi="宋体" w:cs="宋体"/>
          <w:color w:val="auto"/>
          <w:spacing w:val="4"/>
          <w:sz w:val="20"/>
          <w:szCs w:val="20"/>
          <w:highlight w:val="none"/>
        </w:rPr>
        <w:t>理利润。</w:t>
      </w:r>
    </w:p>
    <w:p w14:paraId="0D612C5C">
      <w:pPr>
        <w:spacing w:before="159"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12.4.3  根据第12.4.1</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款的约定，监理人发出复工通知后，监理人应和承包人一起对</w:t>
      </w:r>
      <w:r>
        <w:rPr>
          <w:rFonts w:hint="eastAsia" w:ascii="宋体" w:hAnsi="宋体" w:cs="宋体"/>
          <w:color w:val="auto"/>
          <w:spacing w:val="8"/>
          <w:sz w:val="20"/>
          <w:szCs w:val="20"/>
          <w:highlight w:val="none"/>
        </w:rPr>
        <w:t>受到暂停施工影响的工程以及材料进行检查。</w:t>
      </w:r>
      <w:r>
        <w:rPr>
          <w:rFonts w:hint="eastAsia" w:ascii="宋体" w:hAnsi="宋体" w:cs="宋体"/>
          <w:color w:val="auto"/>
          <w:spacing w:val="7"/>
          <w:sz w:val="20"/>
          <w:szCs w:val="20"/>
          <w:highlight w:val="none"/>
        </w:rPr>
        <w:t>承包人负责修复在暂停施工期间发生在工程以</w:t>
      </w:r>
      <w:r>
        <w:rPr>
          <w:rFonts w:hint="eastAsia" w:ascii="宋体" w:hAnsi="宋体" w:cs="宋体"/>
          <w:color w:val="auto"/>
          <w:spacing w:val="9"/>
          <w:sz w:val="20"/>
          <w:szCs w:val="20"/>
          <w:highlight w:val="none"/>
        </w:rPr>
        <w:t>及材料上的任何损蚀、缺陷或损失，修复费用由承担暂停施工责任的责任人承担。</w:t>
      </w:r>
    </w:p>
    <w:p w14:paraId="404DEB66">
      <w:pPr>
        <w:spacing w:before="165" w:line="360" w:lineRule="auto"/>
        <w:ind w:left="36" w:right="9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12.4.4  暂停施工持续</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天以上，按合同约定由承包人提供的材料，由于暂停施工原</w:t>
      </w:r>
      <w:r>
        <w:rPr>
          <w:rFonts w:hint="eastAsia" w:ascii="宋体" w:hAnsi="宋体" w:cs="宋体"/>
          <w:color w:val="auto"/>
          <w:spacing w:val="7"/>
          <w:sz w:val="20"/>
          <w:szCs w:val="20"/>
          <w:highlight w:val="none"/>
        </w:rPr>
        <w:t>因导致承包人在暂停施工前已经订购但被暂停运至施工现场的，发包人应按照承包人订购合同的约定支付相应的订购款项。</w:t>
      </w:r>
    </w:p>
    <w:p w14:paraId="4528FD63">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4"/>
          <w:sz w:val="24"/>
          <w:highlight w:val="none"/>
        </w:rPr>
        <w:t>12.5  暂停施工持续</w:t>
      </w:r>
      <w:r>
        <w:rPr>
          <w:rFonts w:hint="eastAsia" w:ascii="宋体" w:hAnsi="宋体" w:cs="宋体"/>
          <w:color w:val="auto"/>
          <w:spacing w:val="-35"/>
          <w:sz w:val="24"/>
          <w:highlight w:val="none"/>
        </w:rPr>
        <w:t xml:space="preserve"> </w:t>
      </w:r>
      <w:r>
        <w:rPr>
          <w:rFonts w:hint="eastAsia" w:ascii="宋体" w:hAnsi="宋体" w:cs="宋体"/>
          <w:color w:val="auto"/>
          <w:spacing w:val="-4"/>
          <w:sz w:val="24"/>
          <w:highlight w:val="none"/>
        </w:rPr>
        <w:t>56</w:t>
      </w:r>
      <w:r>
        <w:rPr>
          <w:rFonts w:hint="eastAsia" w:ascii="宋体" w:hAnsi="宋体" w:cs="宋体"/>
          <w:color w:val="auto"/>
          <w:spacing w:val="-46"/>
          <w:sz w:val="24"/>
          <w:highlight w:val="none"/>
        </w:rPr>
        <w:t xml:space="preserve"> </w:t>
      </w:r>
      <w:r>
        <w:rPr>
          <w:rFonts w:hint="eastAsia" w:ascii="宋体" w:hAnsi="宋体" w:cs="宋体"/>
          <w:color w:val="auto"/>
          <w:spacing w:val="-4"/>
          <w:sz w:val="24"/>
          <w:highlight w:val="none"/>
        </w:rPr>
        <w:t>天以上</w:t>
      </w:r>
    </w:p>
    <w:p w14:paraId="4A736913">
      <w:pPr>
        <w:spacing w:before="298" w:line="360" w:lineRule="auto"/>
        <w:ind w:left="19" w:right="92" w:firstLine="42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12.5.1  监理人发出暂停施工指示后</w:t>
      </w:r>
      <w:r>
        <w:rPr>
          <w:rFonts w:hint="eastAsia" w:ascii="宋体" w:hAnsi="宋体" w:cs="宋体"/>
          <w:color w:val="auto"/>
          <w:spacing w:val="-29"/>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天内未向承包人发出复工通知，除了该项停工</w:t>
      </w:r>
      <w:r>
        <w:rPr>
          <w:rFonts w:hint="eastAsia" w:ascii="宋体" w:hAnsi="宋体" w:cs="宋体"/>
          <w:color w:val="auto"/>
          <w:spacing w:val="9"/>
          <w:sz w:val="20"/>
          <w:szCs w:val="20"/>
          <w:highlight w:val="none"/>
        </w:rPr>
        <w:t>属于第12.1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款的情况外，承包人可向监</w:t>
      </w:r>
      <w:r>
        <w:rPr>
          <w:rFonts w:hint="eastAsia" w:ascii="宋体" w:hAnsi="宋体" w:cs="宋体"/>
          <w:color w:val="auto"/>
          <w:spacing w:val="8"/>
          <w:sz w:val="20"/>
          <w:szCs w:val="20"/>
          <w:highlight w:val="none"/>
        </w:rPr>
        <w:t>理人提交书面通知，要求监理人在收到书面通知后</w:t>
      </w:r>
      <w:r>
        <w:rPr>
          <w:rFonts w:hint="eastAsia" w:ascii="宋体" w:hAnsi="宋体" w:cs="宋体"/>
          <w:color w:val="auto"/>
          <w:spacing w:val="11"/>
          <w:sz w:val="20"/>
          <w:szCs w:val="20"/>
          <w:highlight w:val="none"/>
        </w:rPr>
        <w:t>28天内准许已暂停施工的工程或其中一部分工程继续施工。如监理人逾期不</w:t>
      </w:r>
      <w:r>
        <w:rPr>
          <w:rFonts w:hint="eastAsia" w:ascii="宋体" w:hAnsi="宋体" w:cs="宋体"/>
          <w:color w:val="auto"/>
          <w:spacing w:val="10"/>
          <w:sz w:val="20"/>
          <w:szCs w:val="20"/>
          <w:highlight w:val="none"/>
        </w:rPr>
        <w:t>予批准，则承</w:t>
      </w:r>
      <w:r>
        <w:rPr>
          <w:rFonts w:hint="eastAsia" w:ascii="宋体" w:hAnsi="宋体" w:cs="宋体"/>
          <w:color w:val="auto"/>
          <w:spacing w:val="6"/>
          <w:sz w:val="20"/>
          <w:szCs w:val="20"/>
          <w:highlight w:val="none"/>
        </w:rPr>
        <w:t>包人可以通知监理人，将工程受影响的部分视为按第15.1.1（1）</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目的可取消工作。如暂停</w:t>
      </w:r>
      <w:r>
        <w:rPr>
          <w:rFonts w:hint="eastAsia" w:ascii="宋体" w:hAnsi="宋体" w:cs="宋体"/>
          <w:color w:val="auto"/>
          <w:spacing w:val="8"/>
          <w:sz w:val="20"/>
          <w:szCs w:val="20"/>
          <w:highlight w:val="none"/>
        </w:rPr>
        <w:t>施工影响到整个工程，可视为发包人违约，应按第22.2款的规定办理。</w:t>
      </w:r>
    </w:p>
    <w:p w14:paraId="1CB358B8">
      <w:pPr>
        <w:spacing w:before="1" w:line="360" w:lineRule="auto"/>
        <w:ind w:left="24" w:right="93" w:firstLine="431"/>
        <w:rPr>
          <w:rFonts w:hint="eastAsia" w:ascii="宋体" w:hAnsi="宋体" w:cs="宋体"/>
          <w:color w:val="auto"/>
          <w:highlight w:val="none"/>
        </w:rPr>
      </w:pPr>
      <w:r>
        <w:rPr>
          <w:rFonts w:hint="eastAsia" w:ascii="宋体" w:hAnsi="宋体" w:cs="宋体"/>
          <w:color w:val="auto"/>
          <w:spacing w:val="10"/>
          <w:sz w:val="20"/>
          <w:szCs w:val="20"/>
          <w:highlight w:val="none"/>
        </w:rPr>
        <w:t>12.5.2  由于承包人责任引起的暂</w:t>
      </w:r>
      <w:r>
        <w:rPr>
          <w:rFonts w:hint="eastAsia" w:ascii="宋体" w:hAnsi="宋体" w:cs="宋体"/>
          <w:color w:val="auto"/>
          <w:spacing w:val="9"/>
          <w:sz w:val="20"/>
          <w:szCs w:val="20"/>
          <w:highlight w:val="none"/>
        </w:rPr>
        <w:t>停施工，如承包人在收到监理人暂停施工指示后56天内不认真采取有效的复工措施，造成工期延误，可视为承包人违约，应按第22.1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款的规</w:t>
      </w:r>
      <w:r>
        <w:rPr>
          <w:rFonts w:hint="eastAsia" w:ascii="宋体" w:hAnsi="宋体" w:cs="宋体"/>
          <w:color w:val="auto"/>
          <w:spacing w:val="4"/>
          <w:sz w:val="20"/>
          <w:szCs w:val="20"/>
          <w:highlight w:val="none"/>
        </w:rPr>
        <w:t>定办理。</w:t>
      </w:r>
    </w:p>
    <w:p w14:paraId="02E19095">
      <w:pPr>
        <w:spacing w:before="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13.工程质量</w:t>
      </w:r>
    </w:p>
    <w:p w14:paraId="092E1ACD">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13.1  工程质量要求</w:t>
      </w:r>
    </w:p>
    <w:p w14:paraId="72CBDDC8">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13.1.1  工程质量验收按合同约定验收标准执行。</w:t>
      </w:r>
    </w:p>
    <w:p w14:paraId="1751FB49">
      <w:pPr>
        <w:spacing w:before="159" w:line="360" w:lineRule="auto"/>
        <w:ind w:left="21" w:right="53"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13.1.2  因承包人原因造成工程质量达不到合同约定验收标准的，监理人有权要求承包</w:t>
      </w:r>
      <w:r>
        <w:rPr>
          <w:rFonts w:hint="eastAsia" w:ascii="宋体" w:hAnsi="宋体" w:cs="宋体"/>
          <w:color w:val="auto"/>
          <w:spacing w:val="8"/>
          <w:sz w:val="20"/>
          <w:szCs w:val="20"/>
          <w:highlight w:val="none"/>
        </w:rPr>
        <w:t>人返工直至符合合同要求为止，</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由此造成的费用增加和（或）工期延误由承包人承担。</w:t>
      </w:r>
    </w:p>
    <w:p w14:paraId="5F23F656">
      <w:pPr>
        <w:spacing w:before="162" w:line="360" w:lineRule="auto"/>
        <w:ind w:left="19" w:right="53"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13.1.3  因发包人原因造成工程质量达不到合同约定验收标准的，发包人应承担由于承</w:t>
      </w:r>
      <w:r>
        <w:rPr>
          <w:rFonts w:hint="eastAsia" w:ascii="宋体" w:hAnsi="宋体" w:cs="宋体"/>
          <w:color w:val="auto"/>
          <w:spacing w:val="9"/>
          <w:sz w:val="20"/>
          <w:szCs w:val="20"/>
          <w:highlight w:val="none"/>
        </w:rPr>
        <w:t>包人返工造成的费用增加和（或）工期延误，并支付承包人合理利润。</w:t>
      </w:r>
    </w:p>
    <w:p w14:paraId="07EF8B85">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13.2  承包人的质量管理</w:t>
      </w:r>
    </w:p>
    <w:p w14:paraId="51018541">
      <w:pPr>
        <w:spacing w:before="296" w:line="360" w:lineRule="auto"/>
        <w:ind w:left="18"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13.2.1  承包人应在施工场地设置专门的质量检查机构，配备专职质量检查人员，建立</w:t>
      </w:r>
      <w:r>
        <w:rPr>
          <w:rFonts w:hint="eastAsia" w:ascii="宋体" w:hAnsi="宋体" w:cs="宋体"/>
          <w:color w:val="auto"/>
          <w:spacing w:val="8"/>
          <w:sz w:val="20"/>
          <w:szCs w:val="20"/>
          <w:highlight w:val="none"/>
        </w:rPr>
        <w:t>完善的质量检查制度。承包人应在合同条款专用</w:t>
      </w:r>
      <w:r>
        <w:rPr>
          <w:rFonts w:hint="eastAsia" w:ascii="宋体" w:hAnsi="宋体" w:cs="宋体"/>
          <w:color w:val="auto"/>
          <w:spacing w:val="7"/>
          <w:sz w:val="20"/>
          <w:szCs w:val="20"/>
          <w:highlight w:val="none"/>
        </w:rPr>
        <w:t>部分约定的期限内，提交工程质量保证措施</w:t>
      </w:r>
      <w:r>
        <w:rPr>
          <w:rFonts w:hint="eastAsia" w:ascii="宋体" w:hAnsi="宋体" w:cs="宋体"/>
          <w:color w:val="auto"/>
          <w:spacing w:val="4"/>
          <w:sz w:val="20"/>
          <w:szCs w:val="20"/>
          <w:highlight w:val="none"/>
        </w:rPr>
        <w:t>文件，包括质量检查机构的组织和岗位责任、质检人员的组成、质量检查程序</w:t>
      </w:r>
      <w:r>
        <w:rPr>
          <w:rFonts w:hint="eastAsia" w:ascii="宋体" w:hAnsi="宋体" w:cs="宋体"/>
          <w:color w:val="auto"/>
          <w:spacing w:val="3"/>
          <w:sz w:val="20"/>
          <w:szCs w:val="20"/>
          <w:highlight w:val="none"/>
        </w:rPr>
        <w:t>和实施细则等，</w:t>
      </w:r>
      <w:r>
        <w:rPr>
          <w:rFonts w:hint="eastAsia" w:ascii="宋体" w:hAnsi="宋体" w:cs="宋体"/>
          <w:color w:val="auto"/>
          <w:spacing w:val="9"/>
          <w:sz w:val="20"/>
          <w:szCs w:val="20"/>
          <w:highlight w:val="none"/>
        </w:rPr>
        <w:t>报送监理人审批。监理人应在合同条款专用部分约定的期限内完成审批。</w:t>
      </w:r>
    </w:p>
    <w:p w14:paraId="518D9E73">
      <w:pPr>
        <w:spacing w:before="159" w:line="360" w:lineRule="auto"/>
        <w:ind w:left="28" w:right="56"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13.2.2  承包人应加强对施工人员的质量教育和技术培训，定期考核施工人员的劳动技</w:t>
      </w:r>
      <w:r>
        <w:rPr>
          <w:rFonts w:hint="eastAsia" w:ascii="宋体" w:hAnsi="宋体" w:cs="宋体"/>
          <w:color w:val="auto"/>
          <w:spacing w:val="8"/>
          <w:sz w:val="20"/>
          <w:szCs w:val="20"/>
          <w:highlight w:val="none"/>
        </w:rPr>
        <w:t>能，严格执行规范和操作规程。</w:t>
      </w:r>
    </w:p>
    <w:p w14:paraId="4607657B">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13.3  承包人的质量检查</w:t>
      </w:r>
    </w:p>
    <w:p w14:paraId="45094545">
      <w:pPr>
        <w:spacing w:before="293" w:line="360" w:lineRule="auto"/>
        <w:ind w:left="20" w:right="53" w:firstLine="419"/>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承包人应按合同条款专用部分的约定对材料以及工程的所有部位及其施工工艺进行全</w:t>
      </w:r>
      <w:r>
        <w:rPr>
          <w:rFonts w:hint="eastAsia" w:ascii="宋体" w:hAnsi="宋体" w:cs="宋体"/>
          <w:color w:val="auto"/>
          <w:spacing w:val="8"/>
          <w:sz w:val="20"/>
          <w:szCs w:val="20"/>
          <w:highlight w:val="none"/>
        </w:rPr>
        <w:t>过程的质量检查和检验，并作详细记录，编制工</w:t>
      </w:r>
      <w:r>
        <w:rPr>
          <w:rFonts w:hint="eastAsia" w:ascii="宋体" w:hAnsi="宋体" w:cs="宋体"/>
          <w:color w:val="auto"/>
          <w:spacing w:val="7"/>
          <w:sz w:val="20"/>
          <w:szCs w:val="20"/>
          <w:highlight w:val="none"/>
        </w:rPr>
        <w:t>程质量报表，报送监理人审查。监理人应在</w:t>
      </w:r>
      <w:r>
        <w:rPr>
          <w:rFonts w:hint="eastAsia" w:ascii="宋体" w:hAnsi="宋体" w:cs="宋体"/>
          <w:color w:val="auto"/>
          <w:spacing w:val="8"/>
          <w:sz w:val="20"/>
          <w:szCs w:val="20"/>
          <w:highlight w:val="none"/>
        </w:rPr>
        <w:t>合同条款专用部分约定的期限内完成审查。</w:t>
      </w:r>
    </w:p>
    <w:p w14:paraId="0DE7409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13.4  监理人的质量检查</w:t>
      </w:r>
    </w:p>
    <w:p w14:paraId="03635549">
      <w:pPr>
        <w:spacing w:before="294" w:line="360" w:lineRule="auto"/>
        <w:ind w:left="19" w:right="53"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监理人有权对工程的所有部位及其施工工艺以及材料进行检查和检验。承包人应为监理</w:t>
      </w:r>
      <w:r>
        <w:rPr>
          <w:rFonts w:hint="eastAsia" w:ascii="宋体" w:hAnsi="宋体" w:cs="宋体"/>
          <w:color w:val="auto"/>
          <w:spacing w:val="8"/>
          <w:sz w:val="20"/>
          <w:szCs w:val="20"/>
          <w:highlight w:val="none"/>
        </w:rPr>
        <w:t>人的检查和检验提供方便，包括监理人到施工</w:t>
      </w:r>
      <w:r>
        <w:rPr>
          <w:rFonts w:hint="eastAsia" w:ascii="宋体" w:hAnsi="宋体" w:cs="宋体"/>
          <w:color w:val="auto"/>
          <w:spacing w:val="7"/>
          <w:sz w:val="20"/>
          <w:szCs w:val="20"/>
          <w:highlight w:val="none"/>
        </w:rPr>
        <w:t>场地，或制造、加工地点，或合同约定的其他</w:t>
      </w:r>
      <w:r>
        <w:rPr>
          <w:rFonts w:hint="eastAsia" w:ascii="宋体" w:hAnsi="宋体" w:cs="宋体"/>
          <w:color w:val="auto"/>
          <w:spacing w:val="8"/>
          <w:sz w:val="20"/>
          <w:szCs w:val="20"/>
          <w:highlight w:val="none"/>
        </w:rPr>
        <w:t>地方进行察看和查阅施工原始记录。承包人还应按监</w:t>
      </w:r>
      <w:r>
        <w:rPr>
          <w:rFonts w:hint="eastAsia" w:ascii="宋体" w:hAnsi="宋体" w:cs="宋体"/>
          <w:color w:val="auto"/>
          <w:spacing w:val="7"/>
          <w:sz w:val="20"/>
          <w:szCs w:val="20"/>
          <w:highlight w:val="none"/>
        </w:rPr>
        <w:t>理人指示，进行施工场地取样试验、工</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程复核测量和设备性能检测，提供试验样品、</w:t>
      </w:r>
      <w:r>
        <w:rPr>
          <w:rFonts w:hint="eastAsia" w:ascii="宋体" w:hAnsi="宋体" w:cs="宋体"/>
          <w:color w:val="auto"/>
          <w:spacing w:val="7"/>
          <w:sz w:val="20"/>
          <w:szCs w:val="20"/>
          <w:highlight w:val="none"/>
        </w:rPr>
        <w:t>提交试验报告和测量成果以及监理人要求进行</w:t>
      </w:r>
      <w:r>
        <w:rPr>
          <w:rFonts w:hint="eastAsia" w:ascii="宋体" w:hAnsi="宋体" w:cs="宋体"/>
          <w:color w:val="auto"/>
          <w:spacing w:val="8"/>
          <w:sz w:val="20"/>
          <w:szCs w:val="20"/>
          <w:highlight w:val="none"/>
        </w:rPr>
        <w:t>的其他工作。监理人的检查和检验，不免除承包人按</w:t>
      </w:r>
      <w:r>
        <w:rPr>
          <w:rFonts w:hint="eastAsia" w:ascii="宋体" w:hAnsi="宋体" w:cs="宋体"/>
          <w:color w:val="auto"/>
          <w:spacing w:val="7"/>
          <w:sz w:val="20"/>
          <w:szCs w:val="20"/>
          <w:highlight w:val="none"/>
        </w:rPr>
        <w:t>合同约定应负的责任。监理人可以进行</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察看和查阅施工原始记录的其他地方见合同条款专用部分。</w:t>
      </w:r>
    </w:p>
    <w:p w14:paraId="0E7EA9EE">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13.5  工程隐蔽部位覆盖前的检查</w:t>
      </w:r>
    </w:p>
    <w:p w14:paraId="0AF3C5CD">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13.5.1  通知监理人检查</w:t>
      </w:r>
    </w:p>
    <w:p w14:paraId="5C88E114">
      <w:pPr>
        <w:spacing w:before="162" w:line="360" w:lineRule="auto"/>
        <w:ind w:left="20" w:right="5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经承包人自检确认的工程隐蔽部位具备覆盖条件后，承包人应通知监理人在合同约定的</w:t>
      </w:r>
      <w:r>
        <w:rPr>
          <w:rFonts w:hint="eastAsia" w:ascii="宋体" w:hAnsi="宋体" w:cs="宋体"/>
          <w:color w:val="auto"/>
          <w:spacing w:val="8"/>
          <w:sz w:val="20"/>
          <w:szCs w:val="20"/>
          <w:highlight w:val="none"/>
        </w:rPr>
        <w:t>期限内检查。承包人的通知应附有自检记录和必</w:t>
      </w:r>
      <w:r>
        <w:rPr>
          <w:rFonts w:hint="eastAsia" w:ascii="宋体" w:hAnsi="宋体" w:cs="宋体"/>
          <w:color w:val="auto"/>
          <w:spacing w:val="7"/>
          <w:sz w:val="20"/>
          <w:szCs w:val="20"/>
          <w:highlight w:val="none"/>
        </w:rPr>
        <w:t>要的检查资料。监理人应按时到场检查。经</w:t>
      </w:r>
      <w:r>
        <w:rPr>
          <w:rFonts w:hint="eastAsia" w:ascii="宋体" w:hAnsi="宋体" w:cs="宋体"/>
          <w:color w:val="auto"/>
          <w:spacing w:val="8"/>
          <w:sz w:val="20"/>
          <w:szCs w:val="20"/>
          <w:highlight w:val="none"/>
        </w:rPr>
        <w:t>监理人检查确认质量符合隐蔽要求，并在检查记</w:t>
      </w:r>
      <w:r>
        <w:rPr>
          <w:rFonts w:hint="eastAsia" w:ascii="宋体" w:hAnsi="宋体" w:cs="宋体"/>
          <w:color w:val="auto"/>
          <w:spacing w:val="7"/>
          <w:sz w:val="20"/>
          <w:szCs w:val="20"/>
          <w:highlight w:val="none"/>
        </w:rPr>
        <w:t>录上签字后，承包人才能进行覆盖。监理人</w:t>
      </w:r>
      <w:r>
        <w:rPr>
          <w:rFonts w:hint="eastAsia" w:ascii="宋体" w:hAnsi="宋体" w:cs="宋体"/>
          <w:color w:val="auto"/>
          <w:spacing w:val="9"/>
          <w:sz w:val="20"/>
          <w:szCs w:val="20"/>
          <w:highlight w:val="none"/>
        </w:rPr>
        <w:t>检查确认质量不合格的，承包人应在监理人指示的时间内修整返工后，由监理</w:t>
      </w:r>
      <w:r>
        <w:rPr>
          <w:rFonts w:hint="eastAsia" w:ascii="宋体" w:hAnsi="宋体" w:cs="宋体"/>
          <w:color w:val="auto"/>
          <w:spacing w:val="8"/>
          <w:sz w:val="20"/>
          <w:szCs w:val="20"/>
          <w:highlight w:val="none"/>
        </w:rPr>
        <w:t>人重新检查。</w:t>
      </w:r>
      <w:r>
        <w:rPr>
          <w:rFonts w:hint="eastAsia" w:ascii="宋体" w:hAnsi="宋体" w:cs="宋体"/>
          <w:color w:val="auto"/>
          <w:spacing w:val="9"/>
          <w:sz w:val="20"/>
          <w:szCs w:val="20"/>
          <w:highlight w:val="none"/>
        </w:rPr>
        <w:t>监理人对工程隐蔽部位进行检查的期限见合同条款专用部分。</w:t>
      </w:r>
    </w:p>
    <w:p w14:paraId="64AD35B3">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13.5.2  监理人未到场检查</w:t>
      </w:r>
    </w:p>
    <w:p w14:paraId="44CE5362">
      <w:pPr>
        <w:spacing w:before="161"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监理人未按第13.5.1</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项约定的时间进</w:t>
      </w:r>
      <w:r>
        <w:rPr>
          <w:rFonts w:hint="eastAsia" w:ascii="宋体" w:hAnsi="宋体" w:cs="宋体"/>
          <w:color w:val="auto"/>
          <w:spacing w:val="8"/>
          <w:sz w:val="20"/>
          <w:szCs w:val="20"/>
          <w:highlight w:val="none"/>
        </w:rPr>
        <w:t>行检查的，除监理人另有指示外，承包人可自行</w:t>
      </w:r>
      <w:r>
        <w:rPr>
          <w:rFonts w:hint="eastAsia" w:ascii="宋体" w:hAnsi="宋体" w:cs="宋体"/>
          <w:color w:val="auto"/>
          <w:spacing w:val="7"/>
          <w:sz w:val="20"/>
          <w:szCs w:val="20"/>
          <w:highlight w:val="none"/>
        </w:rPr>
        <w:t>完成覆盖工作，并作相应记录报送监理人，监理人应签字确认。监理人事后对检查记录有疑</w:t>
      </w:r>
      <w:r>
        <w:rPr>
          <w:rFonts w:hint="eastAsia" w:ascii="宋体" w:hAnsi="宋体" w:cs="宋体"/>
          <w:color w:val="auto"/>
          <w:spacing w:val="5"/>
          <w:sz w:val="20"/>
          <w:szCs w:val="20"/>
          <w:highlight w:val="none"/>
        </w:rPr>
        <w:t>问的，可按第13.5.3项的约定重新检查。</w:t>
      </w:r>
    </w:p>
    <w:p w14:paraId="185455DC">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13.5.3  监理人重新检查</w:t>
      </w:r>
    </w:p>
    <w:p w14:paraId="33EAB4D1">
      <w:pPr>
        <w:spacing w:before="161"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承包人按第13.5.1项或第13.5.2项覆盖工程隐蔽部位</w:t>
      </w:r>
      <w:r>
        <w:rPr>
          <w:rFonts w:hint="eastAsia" w:ascii="宋体" w:hAnsi="宋体" w:cs="宋体"/>
          <w:color w:val="auto"/>
          <w:spacing w:val="4"/>
          <w:sz w:val="20"/>
          <w:szCs w:val="20"/>
          <w:highlight w:val="none"/>
        </w:rPr>
        <w:t>后，监理人对质量有疑问的，可</w:t>
      </w:r>
      <w:r>
        <w:rPr>
          <w:rFonts w:hint="eastAsia" w:ascii="宋体" w:hAnsi="宋体" w:cs="宋体"/>
          <w:color w:val="auto"/>
          <w:spacing w:val="8"/>
          <w:sz w:val="20"/>
          <w:szCs w:val="20"/>
          <w:highlight w:val="none"/>
        </w:rPr>
        <w:t>要求承包人对已覆盖的部位进行钻孔探测或揭开重</w:t>
      </w:r>
      <w:r>
        <w:rPr>
          <w:rFonts w:hint="eastAsia" w:ascii="宋体" w:hAnsi="宋体" w:cs="宋体"/>
          <w:color w:val="auto"/>
          <w:spacing w:val="7"/>
          <w:sz w:val="20"/>
          <w:szCs w:val="20"/>
          <w:highlight w:val="none"/>
        </w:rPr>
        <w:t>新检验，承包人应遵照执行，并在检验后</w:t>
      </w:r>
      <w:r>
        <w:rPr>
          <w:rFonts w:hint="eastAsia" w:ascii="宋体" w:hAnsi="宋体" w:cs="宋体"/>
          <w:color w:val="auto"/>
          <w:spacing w:val="8"/>
          <w:sz w:val="20"/>
          <w:szCs w:val="20"/>
          <w:highlight w:val="none"/>
        </w:rPr>
        <w:t>重新覆盖恢复原状。经检验证明工程质量符</w:t>
      </w:r>
      <w:r>
        <w:rPr>
          <w:rFonts w:hint="eastAsia" w:ascii="宋体" w:hAnsi="宋体" w:cs="宋体"/>
          <w:color w:val="auto"/>
          <w:spacing w:val="7"/>
          <w:sz w:val="20"/>
          <w:szCs w:val="20"/>
          <w:highlight w:val="none"/>
        </w:rPr>
        <w:t>合合同要求的，由发包人承担由此增加的费用和</w:t>
      </w:r>
      <w:r>
        <w:rPr>
          <w:rFonts w:hint="eastAsia" w:ascii="宋体" w:hAnsi="宋体" w:cs="宋体"/>
          <w:color w:val="auto"/>
          <w:spacing w:val="8"/>
          <w:sz w:val="20"/>
          <w:szCs w:val="20"/>
          <w:highlight w:val="none"/>
        </w:rPr>
        <w:t>（或）工期延误，并支付承包人合理利润；经检验</w:t>
      </w:r>
      <w:r>
        <w:rPr>
          <w:rFonts w:hint="eastAsia" w:ascii="宋体" w:hAnsi="宋体" w:cs="宋体"/>
          <w:color w:val="auto"/>
          <w:spacing w:val="7"/>
          <w:sz w:val="20"/>
          <w:szCs w:val="20"/>
          <w:highlight w:val="none"/>
        </w:rPr>
        <w:t>证明工程质量不符合合同要求的，由此增</w:t>
      </w:r>
      <w:r>
        <w:rPr>
          <w:rFonts w:hint="eastAsia" w:ascii="宋体" w:hAnsi="宋体" w:cs="宋体"/>
          <w:color w:val="auto"/>
          <w:spacing w:val="8"/>
          <w:sz w:val="20"/>
          <w:szCs w:val="20"/>
          <w:highlight w:val="none"/>
        </w:rPr>
        <w:t>加的费用和（或）工期延误由承包人承担。</w:t>
      </w:r>
    </w:p>
    <w:p w14:paraId="257EBA46">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13.5.4  承包人私自覆盖</w:t>
      </w:r>
    </w:p>
    <w:p w14:paraId="5FFA1100">
      <w:pPr>
        <w:spacing w:before="161" w:line="360" w:lineRule="auto"/>
        <w:ind w:left="20" w:right="15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承包人未通知监理人到场检查，私自将工程隐蔽部位覆盖的，监理人有权指示承包人钻</w:t>
      </w:r>
      <w:r>
        <w:rPr>
          <w:rFonts w:hint="eastAsia" w:ascii="宋体" w:hAnsi="宋体" w:cs="宋体"/>
          <w:color w:val="auto"/>
          <w:spacing w:val="9"/>
          <w:sz w:val="20"/>
          <w:szCs w:val="20"/>
          <w:highlight w:val="none"/>
        </w:rPr>
        <w:t>孔探测或揭开检查，由此增加的费用和（或）工期延误由承包人承担。</w:t>
      </w:r>
    </w:p>
    <w:p w14:paraId="2ED5C0E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13.6  清除不合格工程</w:t>
      </w:r>
    </w:p>
    <w:p w14:paraId="75E3C2A0">
      <w:pPr>
        <w:spacing w:before="298" w:line="360" w:lineRule="auto"/>
        <w:ind w:left="20" w:right="15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13.6.1  承包人使用不合格材料，或采用不适当的施工工艺，或施工不当，造成工程不</w:t>
      </w:r>
      <w:r>
        <w:rPr>
          <w:rFonts w:hint="eastAsia" w:ascii="宋体" w:hAnsi="宋体" w:cs="宋体"/>
          <w:color w:val="auto"/>
          <w:spacing w:val="7"/>
          <w:sz w:val="20"/>
          <w:szCs w:val="20"/>
          <w:highlight w:val="none"/>
        </w:rPr>
        <w:t>合格的，监理人可以随时发出指示，要求承包人立即采取措施进行补救，直至达到合同要求</w:t>
      </w:r>
      <w:r>
        <w:rPr>
          <w:rFonts w:hint="eastAsia" w:ascii="宋体" w:hAnsi="宋体" w:cs="宋体"/>
          <w:color w:val="auto"/>
          <w:spacing w:val="8"/>
          <w:sz w:val="20"/>
          <w:szCs w:val="20"/>
          <w:highlight w:val="none"/>
        </w:rPr>
        <w:t>的质量标准，由此增加的费用和（或）工期延误由</w:t>
      </w:r>
      <w:r>
        <w:rPr>
          <w:rFonts w:hint="eastAsia" w:ascii="宋体" w:hAnsi="宋体" w:cs="宋体"/>
          <w:color w:val="auto"/>
          <w:spacing w:val="7"/>
          <w:sz w:val="20"/>
          <w:szCs w:val="20"/>
          <w:highlight w:val="none"/>
        </w:rPr>
        <w:t>承包人承担。</w:t>
      </w:r>
    </w:p>
    <w:p w14:paraId="4D3EE7EF">
      <w:pPr>
        <w:spacing w:before="162" w:line="360" w:lineRule="auto"/>
        <w:ind w:left="23" w:firstLine="43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13.6.2  由于发包人提供的材料不合格造成的工程不合格，需要承包人采取措施补救的，</w:t>
      </w:r>
      <w:r>
        <w:rPr>
          <w:rFonts w:hint="eastAsia" w:ascii="宋体" w:hAnsi="宋体" w:cs="宋体"/>
          <w:color w:val="auto"/>
          <w:spacing w:val="9"/>
          <w:sz w:val="20"/>
          <w:szCs w:val="20"/>
          <w:highlight w:val="none"/>
        </w:rPr>
        <w:t>发包人应承担由此增加的费用和（或）工期延误，并支付承包人合理利润。</w:t>
      </w:r>
    </w:p>
    <w:p w14:paraId="5F934E00">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13.7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质量争议</w:t>
      </w:r>
    </w:p>
    <w:p w14:paraId="566D8188">
      <w:pPr>
        <w:spacing w:before="294" w:line="360" w:lineRule="auto"/>
        <w:ind w:left="19" w:right="105"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发包人和承包人对工程质量有争议的，除可按第24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条办理外，监理人可提请合同双方</w:t>
      </w:r>
      <w:r>
        <w:rPr>
          <w:rFonts w:hint="eastAsia" w:ascii="宋体" w:hAnsi="宋体" w:cs="宋体"/>
          <w:color w:val="auto"/>
          <w:spacing w:val="4"/>
          <w:sz w:val="20"/>
          <w:szCs w:val="20"/>
          <w:highlight w:val="none"/>
        </w:rPr>
        <w:t>委托有相应资质的工程质量检测机构进行鉴定，所需费用及因此造成的损失</w:t>
      </w:r>
      <w:r>
        <w:rPr>
          <w:rFonts w:hint="eastAsia" w:ascii="宋体" w:hAnsi="宋体" w:cs="宋体"/>
          <w:color w:val="auto"/>
          <w:spacing w:val="3"/>
          <w:sz w:val="20"/>
          <w:szCs w:val="20"/>
          <w:highlight w:val="none"/>
        </w:rPr>
        <w:t>，由责任人承担，</w:t>
      </w:r>
      <w:r>
        <w:rPr>
          <w:rFonts w:hint="eastAsia" w:ascii="宋体" w:hAnsi="宋体" w:cs="宋体"/>
          <w:color w:val="auto"/>
          <w:spacing w:val="8"/>
          <w:sz w:val="20"/>
          <w:szCs w:val="20"/>
          <w:highlight w:val="none"/>
        </w:rPr>
        <w:t>双方均有责任，由双方根据其责任分别承担。</w:t>
      </w:r>
      <w:r>
        <w:rPr>
          <w:rFonts w:hint="eastAsia" w:ascii="宋体" w:hAnsi="宋体" w:cs="宋体"/>
          <w:color w:val="auto"/>
          <w:spacing w:val="7"/>
          <w:sz w:val="20"/>
          <w:szCs w:val="20"/>
          <w:highlight w:val="none"/>
        </w:rPr>
        <w:t>经检测，质量确有缺陷的，已竣工验收或已竣</w:t>
      </w:r>
      <w:r>
        <w:rPr>
          <w:rFonts w:hint="eastAsia" w:ascii="宋体" w:hAnsi="宋体" w:cs="宋体"/>
          <w:color w:val="auto"/>
          <w:spacing w:val="8"/>
          <w:sz w:val="20"/>
          <w:szCs w:val="20"/>
          <w:highlight w:val="none"/>
        </w:rPr>
        <w:t>工未验收但实际投入使用的工程，其处理按工</w:t>
      </w:r>
      <w:r>
        <w:rPr>
          <w:rFonts w:hint="eastAsia" w:ascii="宋体" w:hAnsi="宋体" w:cs="宋体"/>
          <w:color w:val="auto"/>
          <w:spacing w:val="7"/>
          <w:sz w:val="20"/>
          <w:szCs w:val="20"/>
          <w:highlight w:val="none"/>
        </w:rPr>
        <w:t>程保修书的约定执行；已竣工未验收且未实际</w:t>
      </w:r>
      <w:r>
        <w:rPr>
          <w:rFonts w:hint="eastAsia" w:ascii="宋体" w:hAnsi="宋体" w:cs="宋体"/>
          <w:color w:val="auto"/>
          <w:spacing w:val="8"/>
          <w:sz w:val="20"/>
          <w:szCs w:val="20"/>
          <w:highlight w:val="none"/>
        </w:rPr>
        <w:t>投入使用的工程以及停工、停建的工程，根据检测结</w:t>
      </w:r>
      <w:r>
        <w:rPr>
          <w:rFonts w:hint="eastAsia" w:ascii="宋体" w:hAnsi="宋体" w:cs="宋体"/>
          <w:color w:val="auto"/>
          <w:spacing w:val="7"/>
          <w:sz w:val="20"/>
          <w:szCs w:val="20"/>
          <w:highlight w:val="none"/>
        </w:rPr>
        <w:t>果确定解决方案，或按工程质量监督机构的处理决定执行。</w:t>
      </w:r>
    </w:p>
    <w:p w14:paraId="38519754">
      <w:pPr>
        <w:spacing w:before="126"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14.试验和检验</w:t>
      </w:r>
    </w:p>
    <w:p w14:paraId="1BA1E53E">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14.1  材料和工程的试验和检验</w:t>
      </w:r>
    </w:p>
    <w:p w14:paraId="03DBFC51">
      <w:pPr>
        <w:spacing w:before="296"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14.1.1  承包人应按合同约定进行材料和工程的试验和检验，并为监理人对上述材料和</w:t>
      </w:r>
      <w:r>
        <w:rPr>
          <w:rFonts w:hint="eastAsia" w:ascii="宋体" w:hAnsi="宋体" w:cs="宋体"/>
          <w:color w:val="auto"/>
          <w:spacing w:val="7"/>
          <w:sz w:val="20"/>
          <w:szCs w:val="20"/>
          <w:highlight w:val="none"/>
        </w:rPr>
        <w:t>工程的质量检查提供必要的试验资料和原始记录。按合同约定应由监理人与承包人共同进行</w:t>
      </w:r>
      <w:r>
        <w:rPr>
          <w:rFonts w:hint="eastAsia" w:ascii="宋体" w:hAnsi="宋体" w:cs="宋体"/>
          <w:color w:val="auto"/>
          <w:spacing w:val="9"/>
          <w:sz w:val="20"/>
          <w:szCs w:val="20"/>
          <w:highlight w:val="none"/>
        </w:rPr>
        <w:t>试验和检验的，由承包人负责提供必要的试验资料和原始记录。</w:t>
      </w:r>
    </w:p>
    <w:p w14:paraId="5CD0BABA">
      <w:pPr>
        <w:spacing w:before="1" w:line="360" w:lineRule="auto"/>
        <w:ind w:left="54" w:right="161" w:firstLine="40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14.1.2  监理人未按合同约定派员参加试验和检验的，除监理人另有指示外，承包人可</w:t>
      </w:r>
      <w:r>
        <w:rPr>
          <w:rFonts w:hint="eastAsia" w:ascii="宋体" w:hAnsi="宋体" w:cs="宋体"/>
          <w:color w:val="auto"/>
          <w:spacing w:val="8"/>
          <w:sz w:val="20"/>
          <w:szCs w:val="20"/>
          <w:highlight w:val="none"/>
        </w:rPr>
        <w:t>自行试验和检验，并应立即将试验和检验结果报送监理人，监理人应签字确认。</w:t>
      </w:r>
    </w:p>
    <w:p w14:paraId="57CD1180">
      <w:pPr>
        <w:spacing w:before="162"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14.1.3  监理人对承包人的试验和检验结果有疑问的，或为查清承包人试验和检验成果</w:t>
      </w:r>
      <w:r>
        <w:rPr>
          <w:rFonts w:hint="eastAsia" w:ascii="宋体" w:hAnsi="宋体" w:cs="宋体"/>
          <w:color w:val="auto"/>
          <w:spacing w:val="8"/>
          <w:sz w:val="20"/>
          <w:szCs w:val="20"/>
          <w:highlight w:val="none"/>
        </w:rPr>
        <w:t>的可靠性要求承包人重新试验和检验的，可按合同约</w:t>
      </w:r>
      <w:r>
        <w:rPr>
          <w:rFonts w:hint="eastAsia" w:ascii="宋体" w:hAnsi="宋体" w:cs="宋体"/>
          <w:color w:val="auto"/>
          <w:spacing w:val="7"/>
          <w:sz w:val="20"/>
          <w:szCs w:val="20"/>
          <w:highlight w:val="none"/>
        </w:rPr>
        <w:t>定由监理人与承包人共同进行。重新试</w:t>
      </w:r>
      <w:r>
        <w:rPr>
          <w:rFonts w:hint="eastAsia" w:ascii="宋体" w:hAnsi="宋体" w:cs="宋体"/>
          <w:color w:val="auto"/>
          <w:spacing w:val="8"/>
          <w:sz w:val="20"/>
          <w:szCs w:val="20"/>
          <w:highlight w:val="none"/>
        </w:rPr>
        <w:t>验和检验的结果证明该项材料或工程的质量不符合合</w:t>
      </w:r>
      <w:r>
        <w:rPr>
          <w:rFonts w:hint="eastAsia" w:ascii="宋体" w:hAnsi="宋体" w:cs="宋体"/>
          <w:color w:val="auto"/>
          <w:spacing w:val="7"/>
          <w:sz w:val="20"/>
          <w:szCs w:val="20"/>
          <w:highlight w:val="none"/>
        </w:rPr>
        <w:t>同要求的，由此增加的费用和（或）工</w:t>
      </w:r>
      <w:r>
        <w:rPr>
          <w:rFonts w:hint="eastAsia" w:ascii="宋体" w:hAnsi="宋体" w:cs="宋体"/>
          <w:color w:val="auto"/>
          <w:spacing w:val="8"/>
          <w:sz w:val="20"/>
          <w:szCs w:val="20"/>
          <w:highlight w:val="none"/>
        </w:rPr>
        <w:t>期延误由承包人承担；重新试验和检验结果证明该项</w:t>
      </w:r>
      <w:r>
        <w:rPr>
          <w:rFonts w:hint="eastAsia" w:ascii="宋体" w:hAnsi="宋体" w:cs="宋体"/>
          <w:color w:val="auto"/>
          <w:spacing w:val="7"/>
          <w:sz w:val="20"/>
          <w:szCs w:val="20"/>
          <w:highlight w:val="none"/>
        </w:rPr>
        <w:t>材料和工程符合合同要求，由发包人承</w:t>
      </w:r>
      <w:r>
        <w:rPr>
          <w:rFonts w:hint="eastAsia" w:ascii="宋体" w:hAnsi="宋体" w:cs="宋体"/>
          <w:color w:val="auto"/>
          <w:spacing w:val="9"/>
          <w:sz w:val="20"/>
          <w:szCs w:val="20"/>
          <w:highlight w:val="none"/>
        </w:rPr>
        <w:t>担由此增加的费用和（或）工期延误，并支付承包人合理利润。</w:t>
      </w:r>
    </w:p>
    <w:p w14:paraId="76AB537A">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14.2  现场材料试验</w:t>
      </w:r>
    </w:p>
    <w:p w14:paraId="43B2A086">
      <w:pPr>
        <w:spacing w:before="299"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14.2.1  承包人根据合同约定或监理人指示进行的现场材料试验，应由承包人提供试验</w:t>
      </w:r>
      <w:r>
        <w:rPr>
          <w:rFonts w:hint="eastAsia" w:ascii="宋体" w:hAnsi="宋体" w:cs="宋体"/>
          <w:color w:val="auto"/>
          <w:spacing w:val="9"/>
          <w:sz w:val="20"/>
          <w:szCs w:val="20"/>
          <w:highlight w:val="none"/>
        </w:rPr>
        <w:t>场所、试验人员、试验设备器材以及其他必要的试验条件。</w:t>
      </w:r>
    </w:p>
    <w:p w14:paraId="2A06C7F1">
      <w:pPr>
        <w:spacing w:before="162" w:line="360" w:lineRule="auto"/>
        <w:ind w:left="18" w:firstLine="437"/>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14.2.2  监理人在必要时可以使用承包人的试验场所、试验设备器材以及其他试验条件，</w:t>
      </w:r>
      <w:r>
        <w:rPr>
          <w:rFonts w:hint="eastAsia" w:ascii="宋体" w:hAnsi="宋体" w:cs="宋体"/>
          <w:color w:val="auto"/>
          <w:spacing w:val="9"/>
          <w:sz w:val="20"/>
          <w:szCs w:val="20"/>
          <w:highlight w:val="none"/>
        </w:rPr>
        <w:t>进行以工程质量检查为目的的复核性材料试验，承包人应予以协助。</w:t>
      </w:r>
    </w:p>
    <w:p w14:paraId="30C347CC">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14.3  现场工艺试验</w:t>
      </w:r>
    </w:p>
    <w:p w14:paraId="63EB84ED">
      <w:pPr>
        <w:spacing w:before="296"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承包人应按合同约定或监理人指示进行现场工艺试验。对大型的现场工艺试验，监理人</w:t>
      </w:r>
      <w:r>
        <w:rPr>
          <w:rFonts w:hint="eastAsia" w:ascii="宋体" w:hAnsi="宋体" w:cs="宋体"/>
          <w:color w:val="auto"/>
          <w:spacing w:val="8"/>
          <w:sz w:val="20"/>
          <w:szCs w:val="20"/>
          <w:highlight w:val="none"/>
        </w:rPr>
        <w:t>认为必要时，应由承包人根据监理人提出的工艺试</w:t>
      </w:r>
      <w:r>
        <w:rPr>
          <w:rFonts w:hint="eastAsia" w:ascii="宋体" w:hAnsi="宋体" w:cs="宋体"/>
          <w:color w:val="auto"/>
          <w:spacing w:val="7"/>
          <w:sz w:val="20"/>
          <w:szCs w:val="20"/>
          <w:highlight w:val="none"/>
        </w:rPr>
        <w:t>验要求，编制工艺试验措施计划，报送监</w:t>
      </w:r>
      <w:r>
        <w:rPr>
          <w:rFonts w:hint="eastAsia" w:ascii="宋体" w:hAnsi="宋体" w:cs="宋体"/>
          <w:color w:val="auto"/>
          <w:spacing w:val="5"/>
          <w:sz w:val="20"/>
          <w:szCs w:val="20"/>
          <w:highlight w:val="none"/>
        </w:rPr>
        <w:t>理人审批。</w:t>
      </w:r>
    </w:p>
    <w:p w14:paraId="7C3AB955">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6"/>
          <w:sz w:val="28"/>
          <w:szCs w:val="28"/>
          <w:highlight w:val="none"/>
        </w:rPr>
        <w:t>15.变更</w:t>
      </w:r>
    </w:p>
    <w:p w14:paraId="2927E69C">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15.1  变更的范围和内容</w:t>
      </w:r>
    </w:p>
    <w:p w14:paraId="3D0C50FF">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15.1.1  在履行合同中发生以下情形之一，应按照本</w:t>
      </w:r>
      <w:r>
        <w:rPr>
          <w:rFonts w:hint="eastAsia" w:ascii="宋体" w:hAnsi="宋体" w:cs="宋体"/>
          <w:color w:val="auto"/>
          <w:spacing w:val="7"/>
          <w:sz w:val="20"/>
          <w:szCs w:val="20"/>
          <w:highlight w:val="none"/>
        </w:rPr>
        <w:t>条规定进行变更。</w:t>
      </w:r>
    </w:p>
    <w:p w14:paraId="5B41CCA9">
      <w:pPr>
        <w:spacing w:before="164"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（1）取消合同中任何一项工作，但被取消的工作不能转由发包人或其他人实施；</w:t>
      </w:r>
    </w:p>
    <w:p w14:paraId="361D370D">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（2）改变合同中任何一项工作的质量或其他特性；</w:t>
      </w:r>
    </w:p>
    <w:p w14:paraId="57EDA8EB">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（3）改变合同工程的基线、标高、位置或尺寸；</w:t>
      </w:r>
    </w:p>
    <w:p w14:paraId="5B23071F">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（4）改变合同中任何一项工作的施工时间或改变已批准的施工工艺或</w:t>
      </w:r>
      <w:r>
        <w:rPr>
          <w:rFonts w:hint="eastAsia" w:ascii="宋体" w:hAnsi="宋体" w:cs="宋体"/>
          <w:color w:val="auto"/>
          <w:spacing w:val="8"/>
          <w:sz w:val="20"/>
          <w:szCs w:val="20"/>
          <w:highlight w:val="none"/>
        </w:rPr>
        <w:t>顺序；</w:t>
      </w:r>
    </w:p>
    <w:p w14:paraId="5975851B">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（5）为完成工程需要追加的额外工作；</w:t>
      </w:r>
    </w:p>
    <w:p w14:paraId="027B99F0">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（6）变更的其他情形见合同条款专用部分。</w:t>
      </w:r>
    </w:p>
    <w:p w14:paraId="77FC8CFB">
      <w:pPr>
        <w:spacing w:before="163" w:line="360" w:lineRule="auto"/>
        <w:ind w:left="20" w:right="160" w:firstLine="43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15.1.2  发包人违背第</w:t>
      </w:r>
      <w:r>
        <w:rPr>
          <w:rFonts w:hint="eastAsia" w:ascii="宋体" w:hAnsi="宋体" w:cs="宋体"/>
          <w:color w:val="auto"/>
          <w:spacing w:val="-10"/>
          <w:sz w:val="20"/>
          <w:szCs w:val="20"/>
          <w:highlight w:val="none"/>
        </w:rPr>
        <w:t xml:space="preserve"> </w:t>
      </w:r>
      <w:r>
        <w:rPr>
          <w:rFonts w:hint="eastAsia" w:ascii="宋体" w:hAnsi="宋体" w:cs="宋体"/>
          <w:color w:val="auto"/>
          <w:spacing w:val="5"/>
          <w:sz w:val="20"/>
          <w:szCs w:val="20"/>
          <w:highlight w:val="none"/>
        </w:rPr>
        <w:t>15.1.1（1）</w:t>
      </w:r>
      <w:r>
        <w:rPr>
          <w:rFonts w:hint="eastAsia" w:ascii="宋体" w:hAnsi="宋体" w:cs="宋体"/>
          <w:color w:val="auto"/>
          <w:spacing w:val="-51"/>
          <w:sz w:val="20"/>
          <w:szCs w:val="20"/>
          <w:highlight w:val="none"/>
        </w:rPr>
        <w:t xml:space="preserve"> </w:t>
      </w:r>
      <w:r>
        <w:rPr>
          <w:rFonts w:hint="eastAsia" w:ascii="宋体" w:hAnsi="宋体" w:cs="宋体"/>
          <w:color w:val="auto"/>
          <w:spacing w:val="5"/>
          <w:sz w:val="20"/>
          <w:szCs w:val="20"/>
          <w:highlight w:val="none"/>
        </w:rPr>
        <w:t>目的约定，将被取消的合同中的工作转由发包人或</w:t>
      </w:r>
      <w:r>
        <w:rPr>
          <w:rFonts w:hint="eastAsia" w:ascii="宋体" w:hAnsi="宋体" w:cs="宋体"/>
          <w:color w:val="auto"/>
          <w:spacing w:val="8"/>
          <w:sz w:val="20"/>
          <w:szCs w:val="20"/>
          <w:highlight w:val="none"/>
        </w:rPr>
        <w:t>其他人实施的，承包人可向监理人发出通知</w:t>
      </w:r>
      <w:r>
        <w:rPr>
          <w:rFonts w:hint="eastAsia" w:ascii="宋体" w:hAnsi="宋体" w:cs="宋体"/>
          <w:color w:val="auto"/>
          <w:spacing w:val="7"/>
          <w:sz w:val="20"/>
          <w:szCs w:val="20"/>
          <w:highlight w:val="none"/>
        </w:rPr>
        <w:t>，要求发包人采取有效措施纠正违约行为，发包</w:t>
      </w:r>
      <w:r>
        <w:rPr>
          <w:rFonts w:hint="eastAsia" w:ascii="宋体" w:hAnsi="宋体" w:cs="宋体"/>
          <w:color w:val="auto"/>
          <w:spacing w:val="9"/>
          <w:sz w:val="20"/>
          <w:szCs w:val="20"/>
          <w:highlight w:val="none"/>
        </w:rPr>
        <w:t>人在监理人收到承包人通知后28天内仍不纠正违约行为的，应当赔偿承包人损失（包括合</w:t>
      </w:r>
      <w:r>
        <w:rPr>
          <w:rFonts w:hint="eastAsia" w:ascii="宋体" w:hAnsi="宋体" w:cs="宋体"/>
          <w:color w:val="auto"/>
          <w:spacing w:val="11"/>
          <w:sz w:val="20"/>
          <w:szCs w:val="20"/>
          <w:highlight w:val="none"/>
        </w:rPr>
        <w:t>理的利润）并承担由此引起的其他责任。承包人应当按第23.1（1）项的约定，在上述28</w:t>
      </w:r>
      <w:r>
        <w:rPr>
          <w:rFonts w:hint="eastAsia" w:ascii="宋体" w:hAnsi="宋体" w:cs="宋体"/>
          <w:color w:val="auto"/>
          <w:spacing w:val="7"/>
          <w:sz w:val="20"/>
          <w:szCs w:val="20"/>
          <w:highlight w:val="none"/>
        </w:rPr>
        <w:t>天期限到期后的28天内，向监理人递交工程索赔意向通知书,并按第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23.1（2）项的约定，</w:t>
      </w:r>
      <w:r>
        <w:rPr>
          <w:rFonts w:hint="eastAsia" w:ascii="宋体" w:hAnsi="宋体" w:cs="宋体"/>
          <w:color w:val="auto"/>
          <w:spacing w:val="8"/>
          <w:sz w:val="20"/>
          <w:szCs w:val="20"/>
          <w:highlight w:val="none"/>
        </w:rPr>
        <w:t>及时向监理人递交正式工程索赔通知书，说明</w:t>
      </w:r>
      <w:r>
        <w:rPr>
          <w:rFonts w:hint="eastAsia" w:ascii="宋体" w:hAnsi="宋体" w:cs="宋体"/>
          <w:color w:val="auto"/>
          <w:spacing w:val="7"/>
          <w:sz w:val="20"/>
          <w:szCs w:val="20"/>
          <w:highlight w:val="none"/>
        </w:rPr>
        <w:t>有权得到的损失赔偿金额并附必要的记录和证</w:t>
      </w:r>
      <w:r>
        <w:rPr>
          <w:rFonts w:hint="eastAsia" w:ascii="宋体" w:hAnsi="宋体" w:cs="宋体"/>
          <w:color w:val="auto"/>
          <w:spacing w:val="8"/>
          <w:sz w:val="20"/>
          <w:szCs w:val="20"/>
          <w:highlight w:val="none"/>
        </w:rPr>
        <w:t>明材料。发包人支付给承包人的损失赔偿金额</w:t>
      </w:r>
      <w:r>
        <w:rPr>
          <w:rFonts w:hint="eastAsia" w:ascii="宋体" w:hAnsi="宋体" w:cs="宋体"/>
          <w:color w:val="auto"/>
          <w:spacing w:val="7"/>
          <w:sz w:val="20"/>
          <w:szCs w:val="20"/>
          <w:highlight w:val="none"/>
        </w:rPr>
        <w:t>应当包括被取消工作的合同价值中所包含的承</w:t>
      </w:r>
      <w:r>
        <w:rPr>
          <w:rFonts w:hint="eastAsia" w:ascii="宋体" w:hAnsi="宋体" w:cs="宋体"/>
          <w:color w:val="auto"/>
          <w:spacing w:val="8"/>
          <w:sz w:val="20"/>
          <w:szCs w:val="20"/>
          <w:highlight w:val="none"/>
        </w:rPr>
        <w:t>包人管理费、利润以及相应的增值税。</w:t>
      </w:r>
    </w:p>
    <w:p w14:paraId="3A0C3E5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变更权</w:t>
      </w:r>
    </w:p>
    <w:p w14:paraId="56EED071">
      <w:pPr>
        <w:spacing w:before="295" w:line="360" w:lineRule="auto"/>
        <w:ind w:left="37" w:right="94" w:firstLine="40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在履行合同过程中，经发包人同意，监理人可按第15.3款约定的变</w:t>
      </w:r>
      <w:r>
        <w:rPr>
          <w:rFonts w:hint="eastAsia" w:ascii="宋体" w:hAnsi="宋体" w:cs="宋体"/>
          <w:color w:val="auto"/>
          <w:spacing w:val="8"/>
          <w:sz w:val="20"/>
          <w:szCs w:val="20"/>
          <w:highlight w:val="none"/>
        </w:rPr>
        <w:t>更程序向承包人作</w:t>
      </w:r>
      <w:r>
        <w:rPr>
          <w:rFonts w:hint="eastAsia" w:ascii="宋体" w:hAnsi="宋体" w:cs="宋体"/>
          <w:color w:val="auto"/>
          <w:spacing w:val="9"/>
          <w:sz w:val="20"/>
          <w:szCs w:val="20"/>
          <w:highlight w:val="none"/>
        </w:rPr>
        <w:t>出变更指示，承包人应遵照执行。没有监理人的变更指示，承包人不得擅自</w:t>
      </w:r>
      <w:r>
        <w:rPr>
          <w:rFonts w:hint="eastAsia" w:ascii="宋体" w:hAnsi="宋体" w:cs="宋体"/>
          <w:color w:val="auto"/>
          <w:spacing w:val="8"/>
          <w:sz w:val="20"/>
          <w:szCs w:val="20"/>
          <w:highlight w:val="none"/>
        </w:rPr>
        <w:t>变更。</w:t>
      </w:r>
    </w:p>
    <w:p w14:paraId="0375BE78">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15.3</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变更程序</w:t>
      </w:r>
    </w:p>
    <w:p w14:paraId="21D652D4">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15.3.1  变更的提出</w:t>
      </w:r>
    </w:p>
    <w:p w14:paraId="13F64E75">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（1）在合同履行过程中，可能发生第15.1.1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项约定情形的，监理人可向承包人发出变更意向书。变更意向书应说明变更的具体内容和</w:t>
      </w:r>
      <w:r>
        <w:rPr>
          <w:rFonts w:hint="eastAsia" w:ascii="宋体" w:hAnsi="宋体" w:cs="宋体"/>
          <w:color w:val="auto"/>
          <w:spacing w:val="7"/>
          <w:sz w:val="20"/>
          <w:szCs w:val="20"/>
          <w:highlight w:val="none"/>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hint="eastAsia" w:ascii="宋体" w:hAnsi="宋体" w:cs="宋体"/>
          <w:color w:val="auto"/>
          <w:spacing w:val="5"/>
          <w:sz w:val="20"/>
          <w:szCs w:val="20"/>
          <w:highlight w:val="none"/>
        </w:rPr>
        <w:t>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项约定发出变更指示。</w:t>
      </w:r>
    </w:p>
    <w:p w14:paraId="76636ACC">
      <w:pPr>
        <w:spacing w:before="159" w:line="360" w:lineRule="auto"/>
        <w:ind w:left="41" w:right="92" w:firstLine="30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（2）在合同履行过程中，发生第15.1.</w:t>
      </w:r>
      <w:r>
        <w:rPr>
          <w:rFonts w:hint="eastAsia" w:ascii="宋体" w:hAnsi="宋体" w:cs="宋体"/>
          <w:color w:val="auto"/>
          <w:spacing w:val="4"/>
          <w:sz w:val="20"/>
          <w:szCs w:val="20"/>
          <w:highlight w:val="none"/>
        </w:rPr>
        <w:t>1</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项约定情形的，监理人应按照第15.3.3项约定</w:t>
      </w:r>
      <w:r>
        <w:rPr>
          <w:rFonts w:hint="eastAsia" w:ascii="宋体" w:hAnsi="宋体" w:cs="宋体"/>
          <w:color w:val="auto"/>
          <w:sz w:val="20"/>
          <w:szCs w:val="20"/>
          <w:highlight w:val="none"/>
        </w:rPr>
        <w:t xml:space="preserve"> </w:t>
      </w:r>
      <w:r>
        <w:rPr>
          <w:rFonts w:hint="eastAsia" w:ascii="宋体" w:hAnsi="宋体" w:cs="宋体"/>
          <w:color w:val="auto"/>
          <w:spacing w:val="6"/>
          <w:sz w:val="20"/>
          <w:szCs w:val="20"/>
          <w:highlight w:val="none"/>
        </w:rPr>
        <w:t>向承包人发出变更指示。</w:t>
      </w:r>
    </w:p>
    <w:p w14:paraId="2117C6C3">
      <w:pPr>
        <w:spacing w:before="162" w:line="360" w:lineRule="auto"/>
        <w:ind w:left="19" w:right="92" w:firstLine="3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（3）承包人收到监理人按合同约定发出的图纸和文件，经</w:t>
      </w:r>
      <w:r>
        <w:rPr>
          <w:rFonts w:hint="eastAsia" w:ascii="宋体" w:hAnsi="宋体" w:cs="宋体"/>
          <w:color w:val="auto"/>
          <w:spacing w:val="9"/>
          <w:sz w:val="20"/>
          <w:szCs w:val="20"/>
          <w:highlight w:val="none"/>
        </w:rPr>
        <w:t>检查认为其中存在第</w:t>
      </w:r>
      <w:r>
        <w:rPr>
          <w:rFonts w:hint="eastAsia" w:ascii="宋体" w:hAnsi="宋体" w:cs="宋体"/>
          <w:color w:val="auto"/>
          <w:spacing w:val="-19"/>
          <w:sz w:val="20"/>
          <w:szCs w:val="20"/>
          <w:highlight w:val="none"/>
        </w:rPr>
        <w:t xml:space="preserve"> </w:t>
      </w:r>
      <w:r>
        <w:rPr>
          <w:rFonts w:hint="eastAsia" w:ascii="宋体" w:hAnsi="宋体" w:cs="宋体"/>
          <w:color w:val="auto"/>
          <w:spacing w:val="9"/>
          <w:sz w:val="20"/>
          <w:szCs w:val="20"/>
          <w:highlight w:val="none"/>
        </w:rPr>
        <w:t>15.1.1</w:t>
      </w:r>
      <w:r>
        <w:rPr>
          <w:rFonts w:hint="eastAsia" w:ascii="宋体" w:hAnsi="宋体" w:cs="宋体"/>
          <w:color w:val="auto"/>
          <w:spacing w:val="8"/>
          <w:sz w:val="20"/>
          <w:szCs w:val="20"/>
          <w:highlight w:val="none"/>
        </w:rPr>
        <w:t>项约定情形的，可向监理人提出书面变更建议</w:t>
      </w:r>
      <w:r>
        <w:rPr>
          <w:rFonts w:hint="eastAsia" w:ascii="宋体" w:hAnsi="宋体" w:cs="宋体"/>
          <w:color w:val="auto"/>
          <w:spacing w:val="7"/>
          <w:sz w:val="20"/>
          <w:szCs w:val="20"/>
          <w:highlight w:val="none"/>
        </w:rPr>
        <w:t>。变更建议应阐明要求变更的依据，并附必要</w:t>
      </w:r>
      <w:r>
        <w:rPr>
          <w:rFonts w:hint="eastAsia" w:ascii="宋体" w:hAnsi="宋体" w:cs="宋体"/>
          <w:color w:val="auto"/>
          <w:spacing w:val="8"/>
          <w:sz w:val="20"/>
          <w:szCs w:val="20"/>
          <w:highlight w:val="none"/>
        </w:rPr>
        <w:t>的图纸和说明。监理人收到承包人书面建议后，应与</w:t>
      </w:r>
      <w:r>
        <w:rPr>
          <w:rFonts w:hint="eastAsia" w:ascii="宋体" w:hAnsi="宋体" w:cs="宋体"/>
          <w:color w:val="auto"/>
          <w:spacing w:val="7"/>
          <w:sz w:val="20"/>
          <w:szCs w:val="20"/>
          <w:highlight w:val="none"/>
        </w:rPr>
        <w:t>发包人共同研究，确认存在变更的，应</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在收到承包人书面建议后的14天内作出变更指示。经研究后不同意作为变更的，应由监理</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人书面答复承包人。</w:t>
      </w:r>
    </w:p>
    <w:p w14:paraId="3C48CD48">
      <w:pPr>
        <w:spacing w:before="160" w:line="360" w:lineRule="auto"/>
        <w:ind w:left="22"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（4）若承包人收到监理人的变更意向书后认为难以实施此项变更，应立即通知监理人，</w:t>
      </w:r>
      <w:r>
        <w:rPr>
          <w:rFonts w:hint="eastAsia" w:ascii="宋体" w:hAnsi="宋体" w:cs="宋体"/>
          <w:color w:val="auto"/>
          <w:spacing w:val="7"/>
          <w:sz w:val="20"/>
          <w:szCs w:val="20"/>
          <w:highlight w:val="none"/>
        </w:rPr>
        <w:t>说明原因并附详细依据。监理人与承包人和发包人协商后确定撤销、改变或不改变原变更意</w:t>
      </w:r>
      <w:r>
        <w:rPr>
          <w:rFonts w:hint="eastAsia" w:ascii="宋体" w:hAnsi="宋体" w:cs="宋体"/>
          <w:color w:val="auto"/>
          <w:spacing w:val="2"/>
          <w:sz w:val="20"/>
          <w:szCs w:val="20"/>
          <w:highlight w:val="none"/>
        </w:rPr>
        <w:t>向书。</w:t>
      </w:r>
    </w:p>
    <w:p w14:paraId="3860160C">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15.3.2  变更估价</w:t>
      </w:r>
    </w:p>
    <w:p w14:paraId="738EED01">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（1）除合同条款专用部分对期限另有约定外，承包人应在收到变更指示或变更意向书后</w:t>
      </w:r>
      <w:r>
        <w:rPr>
          <w:rFonts w:hint="eastAsia" w:ascii="宋体" w:hAnsi="宋体" w:cs="宋体"/>
          <w:color w:val="auto"/>
          <w:spacing w:val="5"/>
          <w:sz w:val="20"/>
          <w:szCs w:val="20"/>
          <w:highlight w:val="none"/>
        </w:rPr>
        <w:t>的14天内，向监理人提交变更报价书，报价内容应根据第15.4款约定的估价原则，详细开</w:t>
      </w:r>
      <w:r>
        <w:rPr>
          <w:rFonts w:hint="eastAsia" w:ascii="宋体" w:hAnsi="宋体" w:cs="宋体"/>
          <w:color w:val="auto"/>
          <w:spacing w:val="7"/>
          <w:sz w:val="20"/>
          <w:szCs w:val="20"/>
          <w:highlight w:val="none"/>
        </w:rPr>
        <w:t>列变更工作的价格组成及其依据，并附必要的施工方法说明和有关图纸。承包人提交变更报</w:t>
      </w:r>
      <w:r>
        <w:rPr>
          <w:rFonts w:hint="eastAsia" w:ascii="宋体" w:hAnsi="宋体" w:cs="宋体"/>
          <w:color w:val="auto"/>
          <w:spacing w:val="8"/>
          <w:sz w:val="20"/>
          <w:szCs w:val="20"/>
          <w:highlight w:val="none"/>
        </w:rPr>
        <w:t>价书的期限见合同条款专用部分。</w:t>
      </w:r>
    </w:p>
    <w:p w14:paraId="51FF1A84">
      <w:pPr>
        <w:spacing w:before="158" w:line="360" w:lineRule="auto"/>
        <w:ind w:left="21"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（2）变更工作影响工期的，承包人应提出调整工期的具体细节。监理人认为有必要时，</w:t>
      </w:r>
      <w:r>
        <w:rPr>
          <w:rFonts w:hint="eastAsia" w:ascii="宋体" w:hAnsi="宋体" w:cs="宋体"/>
          <w:color w:val="auto"/>
          <w:spacing w:val="9"/>
          <w:sz w:val="20"/>
          <w:szCs w:val="20"/>
          <w:highlight w:val="none"/>
        </w:rPr>
        <w:t>可要求承包人提交要求提前或延长工期的施工进度计划，及相应施工措施等详细资料。</w:t>
      </w:r>
    </w:p>
    <w:p w14:paraId="5B268274">
      <w:pPr>
        <w:spacing w:before="160" w:line="360" w:lineRule="auto"/>
        <w:ind w:left="45" w:right="94" w:firstLine="29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（3）除合同条款专用部分对期限另有约定外</w:t>
      </w:r>
      <w:r>
        <w:rPr>
          <w:rFonts w:hint="eastAsia" w:ascii="宋体" w:hAnsi="宋体" w:cs="宋体"/>
          <w:color w:val="auto"/>
          <w:spacing w:val="8"/>
          <w:sz w:val="20"/>
          <w:szCs w:val="20"/>
          <w:highlight w:val="none"/>
        </w:rPr>
        <w:t>，监理人收到承包人变更报价书后的14天</w:t>
      </w:r>
      <w:r>
        <w:rPr>
          <w:rFonts w:hint="eastAsia" w:ascii="宋体" w:hAnsi="宋体" w:cs="宋体"/>
          <w:color w:val="auto"/>
          <w:spacing w:val="7"/>
          <w:sz w:val="20"/>
          <w:szCs w:val="20"/>
          <w:highlight w:val="none"/>
        </w:rPr>
        <w:t>内，根据第15.4</w:t>
      </w:r>
      <w:r>
        <w:rPr>
          <w:rFonts w:hint="eastAsia" w:ascii="宋体" w:hAnsi="宋体" w:cs="宋体"/>
          <w:color w:val="auto"/>
          <w:spacing w:val="-38"/>
          <w:sz w:val="20"/>
          <w:szCs w:val="20"/>
          <w:highlight w:val="none"/>
        </w:rPr>
        <w:t xml:space="preserve"> </w:t>
      </w:r>
      <w:r>
        <w:rPr>
          <w:rFonts w:hint="eastAsia" w:ascii="宋体" w:hAnsi="宋体" w:cs="宋体"/>
          <w:color w:val="auto"/>
          <w:spacing w:val="7"/>
          <w:sz w:val="20"/>
          <w:szCs w:val="20"/>
          <w:highlight w:val="none"/>
        </w:rPr>
        <w:t>款约定的估价原则，按照第3.5</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款商定或确定变更价格。监理人商定或确</w:t>
      </w:r>
      <w:r>
        <w:rPr>
          <w:rFonts w:hint="eastAsia" w:ascii="宋体" w:hAnsi="宋体" w:cs="宋体"/>
          <w:color w:val="auto"/>
          <w:spacing w:val="8"/>
          <w:sz w:val="20"/>
          <w:szCs w:val="20"/>
          <w:highlight w:val="none"/>
        </w:rPr>
        <w:t>定变更价格的期限见合同条款专用部分。</w:t>
      </w:r>
    </w:p>
    <w:p w14:paraId="0C4959B3">
      <w:pPr>
        <w:spacing w:before="158" w:line="360" w:lineRule="auto"/>
        <w:ind w:left="24" w:right="69" w:firstLine="3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（4）收到变更指示后，如承包人未在规定的期限内提交变更报价书的，监理人可自行决</w:t>
      </w:r>
      <w:r>
        <w:rPr>
          <w:rFonts w:hint="eastAsia" w:ascii="宋体" w:hAnsi="宋体" w:cs="宋体"/>
          <w:color w:val="auto"/>
          <w:spacing w:val="9"/>
          <w:sz w:val="20"/>
          <w:szCs w:val="20"/>
          <w:highlight w:val="none"/>
        </w:rPr>
        <w:t>定是否调整合同价款以及如果监理人决定调整合同价款时，相应调整的具体金额。</w:t>
      </w:r>
    </w:p>
    <w:p w14:paraId="25A0DA85">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15.3.3  变更指示</w:t>
      </w:r>
    </w:p>
    <w:p w14:paraId="6F0A9BEB">
      <w:pPr>
        <w:spacing w:before="159"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（1）变更指示只能由监理人发出。</w:t>
      </w:r>
    </w:p>
    <w:p w14:paraId="24D11717">
      <w:pPr>
        <w:spacing w:before="160" w:line="360" w:lineRule="auto"/>
        <w:ind w:left="20" w:right="71"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（2）变更指示应说明变更的目的、范围、变更内容以及变更</w:t>
      </w:r>
      <w:r>
        <w:rPr>
          <w:rFonts w:hint="eastAsia" w:ascii="宋体" w:hAnsi="宋体" w:cs="宋体"/>
          <w:color w:val="auto"/>
          <w:spacing w:val="9"/>
          <w:sz w:val="20"/>
          <w:szCs w:val="20"/>
          <w:highlight w:val="none"/>
        </w:rPr>
        <w:t>的工程量及其进度和技术要求，并附有关图纸和文件。承包人收到变更指示后，应按变更指示进行变更工作。</w:t>
      </w:r>
    </w:p>
    <w:p w14:paraId="5BA4DAD3">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15.4  变更的估价原则</w:t>
      </w:r>
    </w:p>
    <w:p w14:paraId="0E466609">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除合同条款专用部分另有约定外，因变更引起的价格调整按照本款约定处理。</w:t>
      </w:r>
    </w:p>
    <w:p w14:paraId="15792ED1">
      <w:pPr>
        <w:spacing w:before="1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15.4.1  合同清单中有适用于变更工作的项目的，采用该项目的合</w:t>
      </w:r>
      <w:r>
        <w:rPr>
          <w:rFonts w:hint="eastAsia" w:ascii="宋体" w:hAnsi="宋体" w:cs="宋体"/>
          <w:color w:val="auto"/>
          <w:spacing w:val="7"/>
          <w:sz w:val="20"/>
          <w:szCs w:val="20"/>
          <w:highlight w:val="none"/>
        </w:rPr>
        <w:t>同单价。</w:t>
      </w:r>
    </w:p>
    <w:p w14:paraId="1CBAE474">
      <w:pPr>
        <w:spacing w:before="161" w:line="360" w:lineRule="auto"/>
        <w:ind w:left="19" w:right="6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15.4.2  合同清单中无适用于变更工作的项目，但有类似项目的，可在合理范围内参照</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类似项目的合同单价，由监理人按第3.5</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款商定或确定变更工作的单价。</w:t>
      </w:r>
    </w:p>
    <w:p w14:paraId="05FC556C">
      <w:pPr>
        <w:spacing w:before="162"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15.4.3  合同清单中无适用或类似项目的合同单价，可按照成本加利润的原则，由监理</w:t>
      </w:r>
      <w:r>
        <w:rPr>
          <w:rFonts w:hint="eastAsia" w:ascii="宋体" w:hAnsi="宋体" w:cs="宋体"/>
          <w:color w:val="auto"/>
          <w:spacing w:val="7"/>
          <w:sz w:val="20"/>
          <w:szCs w:val="20"/>
          <w:highlight w:val="none"/>
        </w:rPr>
        <w:t>人按第3.5款商定或确定变更工作的单价。</w:t>
      </w:r>
    </w:p>
    <w:p w14:paraId="3EB49C8F">
      <w:pPr>
        <w:spacing w:before="163" w:line="360" w:lineRule="auto"/>
        <w:jc w:val="right"/>
        <w:rPr>
          <w:rFonts w:hint="eastAsia" w:ascii="宋体" w:hAnsi="宋体" w:cs="宋体"/>
          <w:color w:val="auto"/>
          <w:sz w:val="20"/>
          <w:szCs w:val="20"/>
          <w:highlight w:val="none"/>
        </w:rPr>
      </w:pPr>
      <w:r>
        <w:rPr>
          <w:rFonts w:hint="eastAsia" w:ascii="宋体" w:hAnsi="宋体" w:cs="宋体"/>
          <w:color w:val="auto"/>
          <w:spacing w:val="8"/>
          <w:sz w:val="20"/>
          <w:szCs w:val="20"/>
          <w:highlight w:val="none"/>
          <w:lang w:val="en-US" w:eastAsia="zh-CN"/>
        </w:rPr>
        <w:t xml:space="preserve">    </w:t>
      </w:r>
      <w:r>
        <w:rPr>
          <w:rFonts w:hint="eastAsia" w:ascii="宋体" w:hAnsi="宋体" w:cs="宋体"/>
          <w:color w:val="auto"/>
          <w:spacing w:val="8"/>
          <w:sz w:val="20"/>
          <w:szCs w:val="20"/>
          <w:highlight w:val="none"/>
        </w:rPr>
        <w:t>15.4.4  因变更引起措施项目发生变化的，措施</w:t>
      </w:r>
      <w:r>
        <w:rPr>
          <w:rFonts w:hint="eastAsia" w:ascii="宋体" w:hAnsi="宋体" w:cs="宋体"/>
          <w:color w:val="auto"/>
          <w:spacing w:val="7"/>
          <w:sz w:val="20"/>
          <w:szCs w:val="20"/>
          <w:highlight w:val="none"/>
        </w:rPr>
        <w:t>项目费调整方法见合同条款专用部分。</w:t>
      </w:r>
    </w:p>
    <w:p w14:paraId="1C473AB4">
      <w:pPr>
        <w:spacing w:before="160"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15.4.5  合同协议书约定采用单价合同形式时，因非承包人原因引起合同清单中列明的</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工程量发生增减，超过合同约定范围且导致分部分项工程费总额变化超过一定幅度时，可以调整单价，否则不因合同清单中列明工程量的增减而调整单价。其调整的原则见合同条款专</w:t>
      </w:r>
      <w:r>
        <w:rPr>
          <w:rFonts w:hint="eastAsia" w:ascii="宋体" w:hAnsi="宋体" w:cs="宋体"/>
          <w:color w:val="auto"/>
          <w:spacing w:val="4"/>
          <w:sz w:val="20"/>
          <w:szCs w:val="20"/>
          <w:highlight w:val="none"/>
        </w:rPr>
        <w:t>用部分。</w:t>
      </w:r>
    </w:p>
    <w:p w14:paraId="3E47EFCC">
      <w:pPr>
        <w:spacing w:before="160" w:line="360" w:lineRule="auto"/>
        <w:ind w:left="40" w:right="71"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15.4.6  合同单价中存在修正综合单价的，本</w:t>
      </w:r>
      <w:r>
        <w:rPr>
          <w:rFonts w:hint="eastAsia" w:ascii="宋体" w:hAnsi="宋体" w:cs="宋体"/>
          <w:color w:val="auto"/>
          <w:spacing w:val="6"/>
          <w:sz w:val="20"/>
          <w:szCs w:val="20"/>
          <w:highlight w:val="none"/>
        </w:rPr>
        <w:t>条第</w:t>
      </w:r>
      <w:r>
        <w:rPr>
          <w:rFonts w:hint="eastAsia" w:ascii="宋体" w:hAnsi="宋体" w:cs="宋体"/>
          <w:color w:val="auto"/>
          <w:spacing w:val="-23"/>
          <w:sz w:val="20"/>
          <w:szCs w:val="20"/>
          <w:highlight w:val="none"/>
        </w:rPr>
        <w:t xml:space="preserve"> </w:t>
      </w:r>
      <w:r>
        <w:rPr>
          <w:rFonts w:hint="eastAsia" w:ascii="宋体" w:hAnsi="宋体" w:cs="宋体"/>
          <w:color w:val="auto"/>
          <w:spacing w:val="6"/>
          <w:sz w:val="20"/>
          <w:szCs w:val="20"/>
          <w:highlight w:val="none"/>
        </w:rPr>
        <w:t>15.4.1、15.4.2、15.4.3</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项中的合同单价是指修正综合单价。</w:t>
      </w:r>
    </w:p>
    <w:p w14:paraId="54B57FA3">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15.4.7  因变更引起价格调整的其他处理方式见合</w:t>
      </w:r>
      <w:r>
        <w:rPr>
          <w:rFonts w:hint="eastAsia" w:ascii="宋体" w:hAnsi="宋体" w:cs="宋体"/>
          <w:color w:val="auto"/>
          <w:spacing w:val="7"/>
          <w:sz w:val="20"/>
          <w:szCs w:val="20"/>
          <w:highlight w:val="none"/>
        </w:rPr>
        <w:t>同条款专用部分。</w:t>
      </w:r>
    </w:p>
    <w:p w14:paraId="78BAE9EB">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15.5  承包人的合理化建议</w:t>
      </w:r>
    </w:p>
    <w:p w14:paraId="0F52EB3D">
      <w:pPr>
        <w:spacing w:before="297" w:line="360" w:lineRule="auto"/>
        <w:ind w:left="24" w:firstLine="43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15.5.1  在履行合同过程中，承包人对发包人提供的图纸、技术要求以及其他方面提出</w:t>
      </w:r>
      <w:r>
        <w:rPr>
          <w:rFonts w:hint="eastAsia" w:ascii="宋体" w:hAnsi="宋体" w:cs="宋体"/>
          <w:color w:val="auto"/>
          <w:spacing w:val="7"/>
          <w:sz w:val="20"/>
          <w:szCs w:val="20"/>
          <w:highlight w:val="none"/>
        </w:rPr>
        <w:t>的合理化建议，均应以书面形式提交监理人。合理化建议书的内容应包括建议工作的详细说明、进度计划和效益以及与其他工作的协调等，并附必要的设计文件。监理人应与发包人协</w:t>
      </w:r>
      <w:r>
        <w:rPr>
          <w:rFonts w:hint="eastAsia" w:ascii="宋体" w:hAnsi="宋体" w:cs="宋体"/>
          <w:color w:val="auto"/>
          <w:spacing w:val="5"/>
          <w:sz w:val="20"/>
          <w:szCs w:val="20"/>
          <w:highlight w:val="none"/>
        </w:rPr>
        <w:t>商是否采纳建议。建议被采纳并构成变更的，应按第15.3.3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项约定向承包人发出变更指示。</w:t>
      </w:r>
    </w:p>
    <w:p w14:paraId="62CCF5A7">
      <w:pPr>
        <w:spacing w:before="161"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15.5.2  承包人提出的合理化建议降低了合同价格、缩短了工期或者提高了工程经济效</w:t>
      </w:r>
      <w:r>
        <w:rPr>
          <w:rFonts w:hint="eastAsia" w:ascii="宋体" w:hAnsi="宋体" w:cs="宋体"/>
          <w:color w:val="auto"/>
          <w:spacing w:val="8"/>
          <w:sz w:val="20"/>
          <w:szCs w:val="20"/>
          <w:highlight w:val="none"/>
        </w:rPr>
        <w:t>益的，发包人可按国家有关规定给予奖励。对</w:t>
      </w:r>
      <w:r>
        <w:rPr>
          <w:rFonts w:hint="eastAsia" w:ascii="宋体" w:hAnsi="宋体" w:cs="宋体"/>
          <w:color w:val="auto"/>
          <w:spacing w:val="7"/>
          <w:sz w:val="20"/>
          <w:szCs w:val="20"/>
          <w:highlight w:val="none"/>
        </w:rPr>
        <w:t>承包人提出合理化建议的奖励方法见合同条款</w:t>
      </w:r>
      <w:r>
        <w:rPr>
          <w:rFonts w:hint="eastAsia" w:ascii="宋体" w:hAnsi="宋体" w:cs="宋体"/>
          <w:color w:val="auto"/>
          <w:spacing w:val="5"/>
          <w:sz w:val="20"/>
          <w:szCs w:val="20"/>
          <w:highlight w:val="none"/>
        </w:rPr>
        <w:t>专用部分。</w:t>
      </w:r>
    </w:p>
    <w:p w14:paraId="2EFC3B9E">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15.6</w:t>
      </w:r>
      <w:r>
        <w:rPr>
          <w:rFonts w:hint="eastAsia" w:ascii="宋体" w:hAnsi="宋体" w:cs="宋体"/>
          <w:color w:val="auto"/>
          <w:spacing w:val="9"/>
          <w:sz w:val="24"/>
          <w:highlight w:val="none"/>
        </w:rPr>
        <w:t xml:space="preserve">  </w:t>
      </w:r>
      <w:r>
        <w:rPr>
          <w:rFonts w:hint="eastAsia" w:ascii="宋体" w:hAnsi="宋体" w:cs="宋体"/>
          <w:color w:val="auto"/>
          <w:spacing w:val="-6"/>
          <w:sz w:val="24"/>
          <w:highlight w:val="none"/>
        </w:rPr>
        <w:t>暂列金额</w:t>
      </w:r>
    </w:p>
    <w:p w14:paraId="69144001">
      <w:pPr>
        <w:spacing w:before="297" w:line="360" w:lineRule="auto"/>
        <w:ind w:left="446"/>
        <w:rPr>
          <w:rFonts w:hint="eastAsia" w:ascii="宋体" w:hAnsi="宋体" w:cs="宋体"/>
          <w:color w:val="auto"/>
          <w:highlight w:val="none"/>
        </w:rPr>
      </w:pPr>
      <w:r>
        <w:rPr>
          <w:rFonts w:hint="eastAsia" w:ascii="宋体" w:hAnsi="宋体" w:cs="宋体"/>
          <w:color w:val="auto"/>
          <w:spacing w:val="9"/>
          <w:sz w:val="20"/>
          <w:szCs w:val="20"/>
          <w:highlight w:val="none"/>
        </w:rPr>
        <w:t>暂列金额只能按照监理人的指示使用，并对合同价格进行相应调整。</w:t>
      </w:r>
    </w:p>
    <w:p w14:paraId="31D383A0">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15.7</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计日工</w:t>
      </w:r>
    </w:p>
    <w:p w14:paraId="6216B67B">
      <w:pPr>
        <w:spacing w:before="294"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15.7.1  发包人认为有必要时，由监理人通知承包</w:t>
      </w:r>
      <w:r>
        <w:rPr>
          <w:rFonts w:hint="eastAsia" w:ascii="宋体" w:hAnsi="宋体" w:cs="宋体"/>
          <w:color w:val="auto"/>
          <w:spacing w:val="5"/>
          <w:sz w:val="20"/>
          <w:szCs w:val="20"/>
          <w:highlight w:val="none"/>
        </w:rPr>
        <w:t>人以计日工方式实施变更的零星工作。</w:t>
      </w:r>
      <w:r>
        <w:rPr>
          <w:rFonts w:hint="eastAsia" w:ascii="宋体" w:hAnsi="宋体" w:cs="宋体"/>
          <w:color w:val="auto"/>
          <w:spacing w:val="7"/>
          <w:sz w:val="20"/>
          <w:szCs w:val="20"/>
          <w:highlight w:val="none"/>
        </w:rPr>
        <w:t>其价款按列入合同清单中的计日工计价项目及其合同单价进行计算。除合同条款专用部分另</w:t>
      </w:r>
      <w:r>
        <w:rPr>
          <w:rFonts w:hint="eastAsia" w:ascii="宋体" w:hAnsi="宋体" w:cs="宋体"/>
          <w:color w:val="auto"/>
          <w:spacing w:val="9"/>
          <w:sz w:val="20"/>
          <w:szCs w:val="20"/>
          <w:highlight w:val="none"/>
        </w:rPr>
        <w:t>有约定外，合同单价中存在修正综合单价的，本项中的合同单价是指修正综合单价。</w:t>
      </w:r>
    </w:p>
    <w:p w14:paraId="4898DAF6">
      <w:pPr>
        <w:spacing w:before="161" w:line="360" w:lineRule="auto"/>
        <w:ind w:left="19" w:right="174"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15.7.2  采用计日工计价的任何一项变更工作，应从暂列金额中支付，承包人应在该项</w:t>
      </w:r>
      <w:r>
        <w:rPr>
          <w:rFonts w:hint="eastAsia" w:ascii="宋体" w:hAnsi="宋体" w:cs="宋体"/>
          <w:color w:val="auto"/>
          <w:spacing w:val="9"/>
          <w:sz w:val="20"/>
          <w:szCs w:val="20"/>
          <w:highlight w:val="none"/>
        </w:rPr>
        <w:t>变更的实施过程中，每天提交以下报表和有关凭证报送监理人审批：</w:t>
      </w:r>
    </w:p>
    <w:p w14:paraId="6634D90D">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（1）工作名称、</w:t>
      </w:r>
      <w:r>
        <w:rPr>
          <w:rFonts w:hint="eastAsia" w:ascii="宋体" w:hAnsi="宋体" w:cs="宋体"/>
          <w:color w:val="auto"/>
          <w:spacing w:val="-52"/>
          <w:sz w:val="20"/>
          <w:szCs w:val="20"/>
          <w:highlight w:val="none"/>
        </w:rPr>
        <w:t xml:space="preserve"> </w:t>
      </w:r>
      <w:r>
        <w:rPr>
          <w:rFonts w:hint="eastAsia" w:ascii="宋体" w:hAnsi="宋体" w:cs="宋体"/>
          <w:color w:val="auto"/>
          <w:spacing w:val="4"/>
          <w:sz w:val="20"/>
          <w:szCs w:val="20"/>
          <w:highlight w:val="none"/>
        </w:rPr>
        <w:t>内容和数量；</w:t>
      </w:r>
    </w:p>
    <w:p w14:paraId="7AAE3E16">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（2）投入该工作所有人员的姓名、工种、级别和耗用工时；</w:t>
      </w:r>
    </w:p>
    <w:p w14:paraId="1D94E2B5">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（3）投入该工作的材料名称、类别、规格、品牌和数量；</w:t>
      </w:r>
    </w:p>
    <w:p w14:paraId="44965D51">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（4）投入该工作的施工机具型号、数量和耗用台班；</w:t>
      </w:r>
    </w:p>
    <w:p w14:paraId="7CD6C956">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（5）监理人要求提交的其他资料和凭证。</w:t>
      </w:r>
    </w:p>
    <w:p w14:paraId="0A44195A">
      <w:pPr>
        <w:spacing w:before="161"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15.7.3  计日工由承包人汇总后，按</w:t>
      </w:r>
      <w:r>
        <w:rPr>
          <w:rFonts w:hint="eastAsia" w:ascii="宋体" w:hAnsi="宋体" w:cs="宋体"/>
          <w:color w:val="auto"/>
          <w:spacing w:val="6"/>
          <w:sz w:val="20"/>
          <w:szCs w:val="20"/>
          <w:highlight w:val="none"/>
        </w:rPr>
        <w:t>第17.3.2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项的约定列入进度付款申请单，由监理</w:t>
      </w:r>
      <w:r>
        <w:rPr>
          <w:rFonts w:hint="eastAsia" w:ascii="宋体" w:hAnsi="宋体" w:cs="宋体"/>
          <w:color w:val="auto"/>
          <w:spacing w:val="8"/>
          <w:sz w:val="20"/>
          <w:szCs w:val="20"/>
          <w:highlight w:val="none"/>
        </w:rPr>
        <w:t>人复核并经发包人同意后列入进度付款。</w:t>
      </w:r>
    </w:p>
    <w:p w14:paraId="5C36F6F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15.8</w:t>
      </w:r>
      <w:r>
        <w:rPr>
          <w:rFonts w:hint="eastAsia" w:ascii="宋体" w:hAnsi="宋体" w:cs="宋体"/>
          <w:color w:val="auto"/>
          <w:spacing w:val="10"/>
          <w:sz w:val="24"/>
          <w:highlight w:val="none"/>
        </w:rPr>
        <w:t xml:space="preserve">  </w:t>
      </w:r>
      <w:r>
        <w:rPr>
          <w:rFonts w:hint="eastAsia" w:ascii="宋体" w:hAnsi="宋体" w:cs="宋体"/>
          <w:color w:val="auto"/>
          <w:spacing w:val="-7"/>
          <w:sz w:val="24"/>
          <w:highlight w:val="none"/>
        </w:rPr>
        <w:t>暂估价</w:t>
      </w:r>
    </w:p>
    <w:p w14:paraId="5ADC7362">
      <w:pPr>
        <w:spacing w:before="300" w:line="360" w:lineRule="auto"/>
        <w:ind w:left="23"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15.8.1  发包人在工程量清单中给定暂估价的材料及专业工程属于依法必须招标的范</w:t>
      </w:r>
      <w:r>
        <w:rPr>
          <w:rFonts w:hint="eastAsia" w:ascii="宋体" w:hAnsi="宋体" w:cs="宋体"/>
          <w:color w:val="auto"/>
          <w:spacing w:val="7"/>
          <w:sz w:val="20"/>
          <w:szCs w:val="20"/>
          <w:highlight w:val="none"/>
        </w:rPr>
        <w:t>围并达到规定的规模标准的，由发包人和承包人采用招标方式</w:t>
      </w:r>
      <w:r>
        <w:rPr>
          <w:rFonts w:hint="eastAsia" w:ascii="宋体" w:hAnsi="宋体" w:cs="宋体"/>
          <w:color w:val="auto"/>
          <w:spacing w:val="6"/>
          <w:sz w:val="20"/>
          <w:szCs w:val="20"/>
          <w:highlight w:val="none"/>
        </w:rPr>
        <w:t>选择专项供应商或专业分包人。</w:t>
      </w:r>
      <w:r>
        <w:rPr>
          <w:rFonts w:hint="eastAsia" w:ascii="宋体" w:hAnsi="宋体" w:cs="宋体"/>
          <w:color w:val="auto"/>
          <w:spacing w:val="8"/>
          <w:sz w:val="20"/>
          <w:szCs w:val="20"/>
          <w:highlight w:val="none"/>
        </w:rPr>
        <w:t>发包人和承包人的权利义务关系约定如下：</w:t>
      </w:r>
    </w:p>
    <w:p w14:paraId="52FEEAB7">
      <w:pPr>
        <w:spacing w:before="1"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（1）由承包人作为招标人，依法组织招标工作并接受有管辖权的建设工程招标投标行政监督部门的监督。</w:t>
      </w:r>
    </w:p>
    <w:p w14:paraId="69E43648">
      <w:pPr>
        <w:spacing w:before="160"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（2）与组织招标工作有关的费用应当被认为已经包括在承包人的签约合同价（投标总报</w:t>
      </w:r>
      <w:r>
        <w:rPr>
          <w:rFonts w:hint="eastAsia" w:ascii="宋体" w:hAnsi="宋体" w:cs="宋体"/>
          <w:color w:val="auto"/>
          <w:spacing w:val="4"/>
          <w:sz w:val="20"/>
          <w:szCs w:val="20"/>
          <w:highlight w:val="none"/>
        </w:rPr>
        <w:t>价）中。</w:t>
      </w:r>
    </w:p>
    <w:p w14:paraId="7DAEB293">
      <w:pPr>
        <w:spacing w:before="162"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（3）中标金额与工程量清单中所列的暂估价的金额差以及相应的增值税等其他费用列入</w:t>
      </w:r>
      <w:r>
        <w:rPr>
          <w:rFonts w:hint="eastAsia" w:ascii="宋体" w:hAnsi="宋体" w:cs="宋体"/>
          <w:color w:val="auto"/>
          <w:spacing w:val="5"/>
          <w:sz w:val="20"/>
          <w:szCs w:val="20"/>
          <w:highlight w:val="none"/>
        </w:rPr>
        <w:t>合同价格。</w:t>
      </w:r>
    </w:p>
    <w:p w14:paraId="2415B99B">
      <w:pPr>
        <w:spacing w:before="161" w:line="360" w:lineRule="auto"/>
        <w:ind w:left="19" w:right="175" w:firstLine="3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（4）在任何招标工作启动前，承包人应当按照合同条款专用部分约定期限编制招标工作</w:t>
      </w:r>
      <w:r>
        <w:rPr>
          <w:rFonts w:hint="eastAsia" w:ascii="宋体" w:hAnsi="宋体" w:cs="宋体"/>
          <w:color w:val="auto"/>
          <w:spacing w:val="8"/>
          <w:sz w:val="20"/>
          <w:szCs w:val="20"/>
          <w:highlight w:val="none"/>
        </w:rPr>
        <w:t>计划并通过监理人报请发包人审批，招标工作</w:t>
      </w:r>
      <w:r>
        <w:rPr>
          <w:rFonts w:hint="eastAsia" w:ascii="宋体" w:hAnsi="宋体" w:cs="宋体"/>
          <w:color w:val="auto"/>
          <w:spacing w:val="7"/>
          <w:sz w:val="20"/>
          <w:szCs w:val="20"/>
          <w:highlight w:val="none"/>
        </w:rPr>
        <w:t>计划应当包括招标工作的时间安排、拟采用的</w:t>
      </w:r>
      <w:r>
        <w:rPr>
          <w:rFonts w:hint="eastAsia" w:ascii="宋体" w:hAnsi="宋体" w:cs="宋体"/>
          <w:color w:val="auto"/>
          <w:spacing w:val="8"/>
          <w:sz w:val="20"/>
          <w:szCs w:val="20"/>
          <w:highlight w:val="none"/>
        </w:rPr>
        <w:t>招标方式、拟采用的资格审查方法、主要招标</w:t>
      </w:r>
      <w:r>
        <w:rPr>
          <w:rFonts w:hint="eastAsia" w:ascii="宋体" w:hAnsi="宋体" w:cs="宋体"/>
          <w:color w:val="auto"/>
          <w:spacing w:val="7"/>
          <w:sz w:val="20"/>
          <w:szCs w:val="20"/>
          <w:highlight w:val="none"/>
        </w:rPr>
        <w:t>过程文件的编制内容、对投标人的资格条件要</w:t>
      </w:r>
      <w:r>
        <w:rPr>
          <w:rFonts w:hint="eastAsia" w:ascii="宋体" w:hAnsi="宋体" w:cs="宋体"/>
          <w:color w:val="auto"/>
          <w:spacing w:val="8"/>
          <w:sz w:val="20"/>
          <w:szCs w:val="20"/>
          <w:highlight w:val="none"/>
        </w:rPr>
        <w:t>求、评标标准和方法、评标委员会组成、是否</w:t>
      </w:r>
      <w:r>
        <w:rPr>
          <w:rFonts w:hint="eastAsia" w:ascii="宋体" w:hAnsi="宋体" w:cs="宋体"/>
          <w:color w:val="auto"/>
          <w:spacing w:val="7"/>
          <w:sz w:val="20"/>
          <w:szCs w:val="20"/>
          <w:highlight w:val="none"/>
        </w:rPr>
        <w:t>编制最高投标限价和（或）标底以及最高投标</w:t>
      </w:r>
      <w:r>
        <w:rPr>
          <w:rFonts w:hint="eastAsia" w:ascii="宋体" w:hAnsi="宋体" w:cs="宋体"/>
          <w:color w:val="auto"/>
          <w:spacing w:val="8"/>
          <w:sz w:val="20"/>
          <w:szCs w:val="20"/>
          <w:highlight w:val="none"/>
        </w:rPr>
        <w:t>限价和（或）标底编制原则。发包人应当在监理人</w:t>
      </w:r>
      <w:r>
        <w:rPr>
          <w:rFonts w:hint="eastAsia" w:ascii="宋体" w:hAnsi="宋体" w:cs="宋体"/>
          <w:color w:val="auto"/>
          <w:spacing w:val="7"/>
          <w:sz w:val="20"/>
          <w:szCs w:val="20"/>
          <w:highlight w:val="none"/>
        </w:rPr>
        <w:t>收到承包人报送的招标工作计划后应当在</w:t>
      </w:r>
      <w:r>
        <w:rPr>
          <w:rFonts w:hint="eastAsia" w:ascii="宋体" w:hAnsi="宋体" w:cs="宋体"/>
          <w:color w:val="auto"/>
          <w:spacing w:val="8"/>
          <w:sz w:val="20"/>
          <w:szCs w:val="20"/>
          <w:highlight w:val="none"/>
        </w:rPr>
        <w:t>合同条款专用部分约定期限内给予批准或者提</w:t>
      </w:r>
      <w:r>
        <w:rPr>
          <w:rFonts w:hint="eastAsia" w:ascii="宋体" w:hAnsi="宋体" w:cs="宋体"/>
          <w:color w:val="auto"/>
          <w:spacing w:val="7"/>
          <w:sz w:val="20"/>
          <w:szCs w:val="20"/>
          <w:highlight w:val="none"/>
        </w:rPr>
        <w:t>出修改意见。承包人应当严格按照经过发包人</w:t>
      </w:r>
      <w:r>
        <w:rPr>
          <w:rFonts w:hint="eastAsia" w:ascii="宋体" w:hAnsi="宋体" w:cs="宋体"/>
          <w:color w:val="auto"/>
          <w:spacing w:val="8"/>
          <w:sz w:val="20"/>
          <w:szCs w:val="20"/>
          <w:highlight w:val="none"/>
        </w:rPr>
        <w:t>批准的招标工作计划开展招标工作。</w:t>
      </w:r>
    </w:p>
    <w:p w14:paraId="67D69852">
      <w:pPr>
        <w:spacing w:before="160" w:line="360" w:lineRule="auto"/>
        <w:ind w:left="20" w:right="15"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（5）承包人应当在发出招标公告（或者资格预审公告或者投标邀请书）、资格预审文件</w:t>
      </w:r>
      <w:r>
        <w:rPr>
          <w:rFonts w:hint="eastAsia" w:ascii="宋体" w:hAnsi="宋体" w:cs="宋体"/>
          <w:color w:val="auto"/>
          <w:spacing w:val="6"/>
          <w:sz w:val="20"/>
          <w:szCs w:val="20"/>
          <w:highlight w:val="none"/>
        </w:rPr>
        <w:t>和招标文件前按照合同条款专用部分约定期限，分别将相关文件通过监理人报请发包人审批，</w:t>
      </w:r>
      <w:r>
        <w:rPr>
          <w:rFonts w:hint="eastAsia" w:ascii="宋体" w:hAnsi="宋体" w:cs="宋体"/>
          <w:color w:val="auto"/>
          <w:spacing w:val="13"/>
          <w:sz w:val="20"/>
          <w:szCs w:val="20"/>
          <w:highlight w:val="none"/>
        </w:rPr>
        <w:t>发包人应当在监理人收到承包人报送的相关文件后应当在合同条款专用部分</w:t>
      </w:r>
      <w:r>
        <w:rPr>
          <w:rFonts w:hint="eastAsia" w:ascii="宋体" w:hAnsi="宋体" w:cs="宋体"/>
          <w:color w:val="auto"/>
          <w:spacing w:val="12"/>
          <w:sz w:val="20"/>
          <w:szCs w:val="20"/>
          <w:highlight w:val="none"/>
        </w:rPr>
        <w:t>约定期限内给</w:t>
      </w:r>
      <w:r>
        <w:rPr>
          <w:rFonts w:hint="eastAsia" w:ascii="宋体" w:hAnsi="宋体" w:cs="宋体"/>
          <w:color w:val="auto"/>
          <w:spacing w:val="7"/>
          <w:sz w:val="20"/>
          <w:szCs w:val="20"/>
          <w:highlight w:val="none"/>
        </w:rPr>
        <w:t>予批准或者提出修改意见，经发包人批准的相关文件，由承包人负责誊清整理并准备出开展</w:t>
      </w:r>
      <w:r>
        <w:rPr>
          <w:rFonts w:hint="eastAsia" w:ascii="宋体" w:hAnsi="宋体" w:cs="宋体"/>
          <w:color w:val="auto"/>
          <w:spacing w:val="8"/>
          <w:sz w:val="20"/>
          <w:szCs w:val="20"/>
          <w:highlight w:val="none"/>
        </w:rPr>
        <w:t>实际招标工作所需要的份数，通过监理人报发包人核</w:t>
      </w:r>
      <w:r>
        <w:rPr>
          <w:rFonts w:hint="eastAsia" w:ascii="宋体" w:hAnsi="宋体" w:cs="宋体"/>
          <w:color w:val="auto"/>
          <w:spacing w:val="7"/>
          <w:sz w:val="20"/>
          <w:szCs w:val="20"/>
          <w:highlight w:val="none"/>
        </w:rPr>
        <w:t>查并加盖发包人印章，发包人在相关文</w:t>
      </w:r>
      <w:r>
        <w:rPr>
          <w:rFonts w:hint="eastAsia" w:ascii="宋体" w:hAnsi="宋体" w:cs="宋体"/>
          <w:color w:val="auto"/>
          <w:spacing w:val="8"/>
          <w:sz w:val="20"/>
          <w:szCs w:val="20"/>
          <w:highlight w:val="none"/>
        </w:rPr>
        <w:t>件上加盖印章只表明相关文件经过发包人审核批准</w:t>
      </w:r>
      <w:r>
        <w:rPr>
          <w:rFonts w:hint="eastAsia" w:ascii="宋体" w:hAnsi="宋体" w:cs="宋体"/>
          <w:color w:val="auto"/>
          <w:spacing w:val="7"/>
          <w:sz w:val="20"/>
          <w:szCs w:val="20"/>
          <w:highlight w:val="none"/>
        </w:rPr>
        <w:t>。最终发出的文件应当分别报送一份给发包人和监理人备查。</w:t>
      </w:r>
    </w:p>
    <w:p w14:paraId="6709CD97">
      <w:pPr>
        <w:spacing w:before="1" w:line="360" w:lineRule="auto"/>
        <w:ind w:left="23" w:right="13" w:firstLine="3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（6）除发包人或者承包人自愿放弃委派评标代表的权利外，招标人评标代表应当分别由</w:t>
      </w:r>
      <w:r>
        <w:rPr>
          <w:rFonts w:hint="eastAsia" w:ascii="宋体" w:hAnsi="宋体" w:cs="宋体"/>
          <w:color w:val="auto"/>
          <w:spacing w:val="8"/>
          <w:sz w:val="20"/>
          <w:szCs w:val="20"/>
          <w:highlight w:val="none"/>
        </w:rPr>
        <w:t>发包人和承包人等额委派。</w:t>
      </w:r>
    </w:p>
    <w:p w14:paraId="3D84C024">
      <w:pPr>
        <w:spacing w:before="163" w:line="360" w:lineRule="auto"/>
        <w:ind w:left="19" w:right="13" w:firstLine="324"/>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（7）设有标底的，承包人应当在开标前提</w:t>
      </w:r>
      <w:r>
        <w:rPr>
          <w:rFonts w:hint="eastAsia" w:ascii="宋体" w:hAnsi="宋体" w:cs="宋体"/>
          <w:color w:val="auto"/>
          <w:spacing w:val="10"/>
          <w:sz w:val="20"/>
          <w:szCs w:val="20"/>
          <w:highlight w:val="none"/>
        </w:rPr>
        <w:t>前48小时将标底报发包人审核认可，发包人</w:t>
      </w:r>
      <w:r>
        <w:rPr>
          <w:rFonts w:hint="eastAsia" w:ascii="宋体" w:hAnsi="宋体" w:cs="宋体"/>
          <w:color w:val="auto"/>
          <w:spacing w:val="9"/>
          <w:sz w:val="20"/>
          <w:szCs w:val="20"/>
          <w:highlight w:val="none"/>
        </w:rPr>
        <w:t>应当在收到承包人报送的标底后24小时内给予批准或者提出修改意见。承包人和发包人应当共同制定标底保密措施，不得提前泄露标底。标底的最终审核和决定权属于发包人。</w:t>
      </w:r>
    </w:p>
    <w:p w14:paraId="6DD4B11E">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（8）设有最高投标限价的，承包人应当在招标文件发出前提前7天将最高投标限价报发</w:t>
      </w:r>
      <w:r>
        <w:rPr>
          <w:rFonts w:hint="eastAsia" w:ascii="宋体" w:hAnsi="宋体" w:cs="宋体"/>
          <w:color w:val="auto"/>
          <w:spacing w:val="9"/>
          <w:sz w:val="20"/>
          <w:szCs w:val="20"/>
          <w:highlight w:val="none"/>
        </w:rPr>
        <w:t>包人审核认可，发包人应当在收到承包人报送的最高投标限价后72小时内给予认可或者提</w:t>
      </w:r>
      <w:r>
        <w:rPr>
          <w:rFonts w:hint="eastAsia" w:ascii="宋体" w:hAnsi="宋体" w:cs="宋体"/>
          <w:color w:val="auto"/>
          <w:spacing w:val="8"/>
          <w:sz w:val="20"/>
          <w:szCs w:val="20"/>
          <w:highlight w:val="none"/>
        </w:rPr>
        <w:t>出修改意见。最高投标限价的最终审核和决定权属</w:t>
      </w:r>
      <w:r>
        <w:rPr>
          <w:rFonts w:hint="eastAsia" w:ascii="宋体" w:hAnsi="宋体" w:cs="宋体"/>
          <w:color w:val="auto"/>
          <w:spacing w:val="7"/>
          <w:sz w:val="20"/>
          <w:szCs w:val="20"/>
          <w:highlight w:val="none"/>
        </w:rPr>
        <w:t>于发包人，未经发包人认可，承包人不得发出招标文件。</w:t>
      </w:r>
    </w:p>
    <w:p w14:paraId="2401E3F9">
      <w:pPr>
        <w:spacing w:before="160" w:line="360" w:lineRule="auto"/>
        <w:ind w:left="20" w:right="11" w:firstLine="3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（9）承包人在收到相关招标项目评标委员会提交的评标报告后，应当在</w:t>
      </w:r>
      <w:r>
        <w:rPr>
          <w:rFonts w:hint="eastAsia" w:ascii="宋体" w:hAnsi="宋体" w:cs="宋体"/>
          <w:color w:val="auto"/>
          <w:spacing w:val="8"/>
          <w:sz w:val="20"/>
          <w:szCs w:val="20"/>
          <w:highlight w:val="none"/>
        </w:rPr>
        <w:t>24小时内通过</w:t>
      </w:r>
      <w:r>
        <w:rPr>
          <w:rFonts w:hint="eastAsia" w:ascii="宋体" w:hAnsi="宋体" w:cs="宋体"/>
          <w:color w:val="auto"/>
          <w:spacing w:val="11"/>
          <w:sz w:val="20"/>
          <w:szCs w:val="20"/>
          <w:highlight w:val="none"/>
        </w:rPr>
        <w:t>监理人转报发包人核查，发包人应当在监理人收到承包人报送的评标报告后</w:t>
      </w:r>
      <w:r>
        <w:rPr>
          <w:rFonts w:hint="eastAsia" w:ascii="宋体" w:hAnsi="宋体" w:cs="宋体"/>
          <w:color w:val="auto"/>
          <w:spacing w:val="10"/>
          <w:sz w:val="20"/>
          <w:szCs w:val="20"/>
          <w:highlight w:val="none"/>
        </w:rPr>
        <w:t>48小时内核查</w:t>
      </w:r>
      <w:r>
        <w:rPr>
          <w:rFonts w:hint="eastAsia" w:ascii="宋体" w:hAnsi="宋体" w:cs="宋体"/>
          <w:color w:val="auto"/>
          <w:spacing w:val="8"/>
          <w:sz w:val="20"/>
          <w:szCs w:val="20"/>
          <w:highlight w:val="none"/>
        </w:rPr>
        <w:t>完毕，评标报告经过发包人核查认可后，承包人</w:t>
      </w:r>
      <w:r>
        <w:rPr>
          <w:rFonts w:hint="eastAsia" w:ascii="宋体" w:hAnsi="宋体" w:cs="宋体"/>
          <w:color w:val="auto"/>
          <w:spacing w:val="7"/>
          <w:sz w:val="20"/>
          <w:szCs w:val="20"/>
          <w:highlight w:val="none"/>
        </w:rPr>
        <w:t>才可以开始后续程序，依法确定中标人并发</w:t>
      </w:r>
      <w:r>
        <w:rPr>
          <w:rFonts w:hint="eastAsia" w:ascii="宋体" w:hAnsi="宋体" w:cs="宋体"/>
          <w:color w:val="auto"/>
          <w:spacing w:val="6"/>
          <w:sz w:val="20"/>
          <w:szCs w:val="20"/>
          <w:highlight w:val="none"/>
        </w:rPr>
        <w:t>出中标通知书。</w:t>
      </w:r>
    </w:p>
    <w:p w14:paraId="59F7BF5F">
      <w:pPr>
        <w:spacing w:before="162"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（10）承包人与专业分包人或者专项供应商订立合</w:t>
      </w:r>
      <w:r>
        <w:rPr>
          <w:rFonts w:hint="eastAsia" w:ascii="宋体" w:hAnsi="宋体" w:cs="宋体"/>
          <w:color w:val="auto"/>
          <w:spacing w:val="9"/>
          <w:sz w:val="20"/>
          <w:szCs w:val="20"/>
          <w:highlight w:val="none"/>
        </w:rPr>
        <w:t>同前应当按照合同条款专用部分约定</w:t>
      </w:r>
      <w:r>
        <w:rPr>
          <w:rFonts w:hint="eastAsia" w:ascii="宋体" w:hAnsi="宋体" w:cs="宋体"/>
          <w:color w:val="auto"/>
          <w:spacing w:val="8"/>
          <w:sz w:val="20"/>
          <w:szCs w:val="20"/>
          <w:highlight w:val="none"/>
        </w:rPr>
        <w:t>期限，将准备用于正式签订的合同文件通过监理人</w:t>
      </w:r>
      <w:r>
        <w:rPr>
          <w:rFonts w:hint="eastAsia" w:ascii="宋体" w:hAnsi="宋体" w:cs="宋体"/>
          <w:color w:val="auto"/>
          <w:spacing w:val="7"/>
          <w:sz w:val="20"/>
          <w:szCs w:val="20"/>
          <w:highlight w:val="none"/>
        </w:rPr>
        <w:t>报发包人审核，发包人应当在监理人收到</w:t>
      </w:r>
      <w:r>
        <w:rPr>
          <w:rFonts w:hint="eastAsia" w:ascii="宋体" w:hAnsi="宋体" w:cs="宋体"/>
          <w:color w:val="auto"/>
          <w:spacing w:val="8"/>
          <w:sz w:val="20"/>
          <w:szCs w:val="20"/>
          <w:highlight w:val="none"/>
        </w:rPr>
        <w:t>相关文件后在合同条款专用部分约定期限内</w:t>
      </w:r>
      <w:r>
        <w:rPr>
          <w:rFonts w:hint="eastAsia" w:ascii="宋体" w:hAnsi="宋体" w:cs="宋体"/>
          <w:color w:val="auto"/>
          <w:spacing w:val="7"/>
          <w:sz w:val="20"/>
          <w:szCs w:val="20"/>
          <w:highlight w:val="none"/>
        </w:rPr>
        <w:t>给予批准或者提出修改意见，承包人应当按照发</w:t>
      </w:r>
      <w:r>
        <w:rPr>
          <w:rFonts w:hint="eastAsia" w:ascii="宋体" w:hAnsi="宋体" w:cs="宋体"/>
          <w:color w:val="auto"/>
          <w:spacing w:val="8"/>
          <w:sz w:val="20"/>
          <w:szCs w:val="20"/>
          <w:highlight w:val="none"/>
        </w:rPr>
        <w:t>包人批准的合同文件签订相关合同，合同订立后，</w:t>
      </w:r>
      <w:r>
        <w:rPr>
          <w:rFonts w:hint="eastAsia" w:ascii="宋体" w:hAnsi="宋体" w:cs="宋体"/>
          <w:color w:val="auto"/>
          <w:spacing w:val="7"/>
          <w:sz w:val="20"/>
          <w:szCs w:val="20"/>
          <w:highlight w:val="none"/>
        </w:rPr>
        <w:t>在合同条款专用部分约定期限内，承包人</w:t>
      </w:r>
      <w:r>
        <w:rPr>
          <w:rFonts w:hint="eastAsia" w:ascii="宋体" w:hAnsi="宋体" w:cs="宋体"/>
          <w:color w:val="auto"/>
          <w:spacing w:val="9"/>
          <w:sz w:val="20"/>
          <w:szCs w:val="20"/>
          <w:highlight w:val="none"/>
        </w:rPr>
        <w:t>应当将其中的两份副本报送监理人，其中一份由监理人报发包人留存。</w:t>
      </w:r>
    </w:p>
    <w:p w14:paraId="65B593DF">
      <w:pPr>
        <w:spacing w:before="160" w:line="360" w:lineRule="auto"/>
        <w:ind w:left="20" w:right="13" w:firstLine="32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（11）发包人对承包人报送文件进行审批或提出的</w:t>
      </w:r>
      <w:r>
        <w:rPr>
          <w:rFonts w:hint="eastAsia" w:ascii="宋体" w:hAnsi="宋体" w:cs="宋体"/>
          <w:color w:val="auto"/>
          <w:spacing w:val="9"/>
          <w:sz w:val="20"/>
          <w:szCs w:val="20"/>
          <w:highlight w:val="none"/>
        </w:rPr>
        <w:t>修改意见应当合理，并符合现行有关</w:t>
      </w:r>
      <w:r>
        <w:rPr>
          <w:rFonts w:hint="eastAsia" w:ascii="宋体" w:hAnsi="宋体" w:cs="宋体"/>
          <w:color w:val="auto"/>
          <w:spacing w:val="7"/>
          <w:sz w:val="20"/>
          <w:szCs w:val="20"/>
          <w:highlight w:val="none"/>
        </w:rPr>
        <w:t>法律法规的规定。</w:t>
      </w:r>
    </w:p>
    <w:p w14:paraId="62615EC6">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（12）承包人违背本项上述约定的程序或者未履行</w:t>
      </w:r>
      <w:r>
        <w:rPr>
          <w:rFonts w:hint="eastAsia" w:ascii="宋体" w:hAnsi="宋体" w:cs="宋体"/>
          <w:color w:val="auto"/>
          <w:spacing w:val="9"/>
          <w:sz w:val="20"/>
          <w:szCs w:val="20"/>
          <w:highlight w:val="none"/>
        </w:rPr>
        <w:t>本项上述约定的报批手续的，发包人</w:t>
      </w:r>
      <w:r>
        <w:rPr>
          <w:rFonts w:hint="eastAsia" w:ascii="宋体" w:hAnsi="宋体" w:cs="宋体"/>
          <w:color w:val="auto"/>
          <w:spacing w:val="13"/>
          <w:sz w:val="20"/>
          <w:szCs w:val="20"/>
          <w:highlight w:val="none"/>
        </w:rPr>
        <w:t>有权拒绝对相关专业工程或者涉及相关专项供应的材料的工程进行验收和拨</w:t>
      </w:r>
      <w:r>
        <w:rPr>
          <w:rFonts w:hint="eastAsia" w:ascii="宋体" w:hAnsi="宋体" w:cs="宋体"/>
          <w:color w:val="auto"/>
          <w:spacing w:val="12"/>
          <w:sz w:val="20"/>
          <w:szCs w:val="20"/>
          <w:highlight w:val="none"/>
        </w:rPr>
        <w:t>付相应工程款</w:t>
      </w:r>
      <w:r>
        <w:rPr>
          <w:rFonts w:hint="eastAsia" w:ascii="宋体" w:hAnsi="宋体" w:cs="宋体"/>
          <w:color w:val="auto"/>
          <w:spacing w:val="8"/>
          <w:sz w:val="20"/>
          <w:szCs w:val="20"/>
          <w:highlight w:val="none"/>
        </w:rPr>
        <w:t>项，所造成的费用增加和（或）工期延误由承包人</w:t>
      </w:r>
      <w:r>
        <w:rPr>
          <w:rFonts w:hint="eastAsia" w:ascii="宋体" w:hAnsi="宋体" w:cs="宋体"/>
          <w:color w:val="auto"/>
          <w:spacing w:val="7"/>
          <w:sz w:val="20"/>
          <w:szCs w:val="20"/>
          <w:highlight w:val="none"/>
        </w:rPr>
        <w:t>承担。发包人未按本项上述约定履行审批</w:t>
      </w:r>
      <w:r>
        <w:rPr>
          <w:rFonts w:hint="eastAsia" w:ascii="宋体" w:hAnsi="宋体" w:cs="宋体"/>
          <w:color w:val="auto"/>
          <w:spacing w:val="9"/>
          <w:sz w:val="20"/>
          <w:szCs w:val="20"/>
          <w:highlight w:val="none"/>
        </w:rPr>
        <w:t>手续的，所造成的费用增加和（或）工期延误由发包人承担。</w:t>
      </w:r>
    </w:p>
    <w:p w14:paraId="26C4F1FC">
      <w:pPr>
        <w:spacing w:before="162" w:line="360" w:lineRule="auto"/>
        <w:ind w:left="19" w:right="11"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15.8.2  发包人在工程量清单中给定暂估价的材料不属于依法必须招标的范围或未达</w:t>
      </w:r>
      <w:r>
        <w:rPr>
          <w:rFonts w:hint="eastAsia" w:ascii="宋体" w:hAnsi="宋体" w:cs="宋体"/>
          <w:color w:val="auto"/>
          <w:spacing w:val="7"/>
          <w:sz w:val="20"/>
          <w:szCs w:val="20"/>
          <w:highlight w:val="none"/>
        </w:rPr>
        <w:t>到规定的规模标准的，应由承包人按第5.1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款的约定提</w:t>
      </w:r>
      <w:r>
        <w:rPr>
          <w:rFonts w:hint="eastAsia" w:ascii="宋体" w:hAnsi="宋体" w:cs="宋体"/>
          <w:color w:val="auto"/>
          <w:spacing w:val="6"/>
          <w:sz w:val="20"/>
          <w:szCs w:val="20"/>
          <w:highlight w:val="none"/>
        </w:rPr>
        <w:t>供。经监理人确认的材料价格与工程</w:t>
      </w:r>
      <w:r>
        <w:rPr>
          <w:rFonts w:hint="eastAsia" w:ascii="宋体" w:hAnsi="宋体" w:cs="宋体"/>
          <w:color w:val="auto"/>
          <w:spacing w:val="9"/>
          <w:sz w:val="20"/>
          <w:szCs w:val="20"/>
          <w:highlight w:val="none"/>
        </w:rPr>
        <w:t>量清单中所列的暂估价的金额差以及相应的增值税等其他费用列入合同价格。</w:t>
      </w:r>
    </w:p>
    <w:p w14:paraId="6C7FBBB5">
      <w:pPr>
        <w:spacing w:before="164" w:line="360" w:lineRule="auto"/>
        <w:ind w:left="23" w:right="11"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15.8.3  发包人在工程量清单中给定暂估价的专业工程不属于依法必须招标的范围或</w:t>
      </w:r>
      <w:r>
        <w:rPr>
          <w:rFonts w:hint="eastAsia" w:ascii="宋体" w:hAnsi="宋体" w:cs="宋体"/>
          <w:color w:val="auto"/>
          <w:spacing w:val="9"/>
          <w:sz w:val="20"/>
          <w:szCs w:val="20"/>
          <w:highlight w:val="none"/>
        </w:rPr>
        <w:t>未达到规定的规模标准的，由监理人按照第15.4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款进行估价，</w:t>
      </w:r>
      <w:r>
        <w:rPr>
          <w:rFonts w:hint="eastAsia" w:ascii="宋体" w:hAnsi="宋体" w:cs="宋体"/>
          <w:color w:val="auto"/>
          <w:spacing w:val="8"/>
          <w:sz w:val="20"/>
          <w:szCs w:val="20"/>
          <w:highlight w:val="none"/>
        </w:rPr>
        <w:t>并计算对应的增值税，但合</w:t>
      </w:r>
      <w:r>
        <w:rPr>
          <w:rFonts w:hint="eastAsia" w:ascii="宋体" w:hAnsi="宋体" w:cs="宋体"/>
          <w:color w:val="auto"/>
          <w:spacing w:val="7"/>
          <w:sz w:val="20"/>
          <w:szCs w:val="20"/>
          <w:highlight w:val="none"/>
        </w:rPr>
        <w:t>同条款专用部分另有约定的除外。经估价的专业工程与工程量清单中所列的暂估价的金额差</w:t>
      </w:r>
      <w:r>
        <w:rPr>
          <w:rFonts w:hint="eastAsia" w:ascii="宋体" w:hAnsi="宋体" w:cs="宋体"/>
          <w:color w:val="auto"/>
          <w:spacing w:val="6"/>
          <w:sz w:val="20"/>
          <w:szCs w:val="20"/>
          <w:highlight w:val="none"/>
        </w:rPr>
        <w:t>列入合同价格。</w:t>
      </w:r>
    </w:p>
    <w:p w14:paraId="668B02F5">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16.价格调整</w:t>
      </w:r>
    </w:p>
    <w:p w14:paraId="08AE6383">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16.1  物价波动引起的价格调整</w:t>
      </w:r>
    </w:p>
    <w:p w14:paraId="0BD7EE67">
      <w:pPr>
        <w:spacing w:before="29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除合同条款专用部分另有约定外，因物价波动引起的价格调整按照本款约定处理。</w:t>
      </w:r>
    </w:p>
    <w:p w14:paraId="19C99E4A">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16.1.1 </w:t>
      </w: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采用价格指数调整价格差额</w:t>
      </w:r>
    </w:p>
    <w:p w14:paraId="3F0C6B13">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16.1.1.1</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 xml:space="preserve"> 价格调整公式</w:t>
      </w:r>
    </w:p>
    <w:p w14:paraId="17BD4913">
      <w:pPr>
        <w:spacing w:before="162" w:line="360" w:lineRule="auto"/>
        <w:ind w:left="20" w:right="92" w:firstLine="6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因人工、材料和机械台班等价格波动影响合同价格时，根据投标函附录中的价格</w:t>
      </w:r>
      <w:r>
        <w:rPr>
          <w:rFonts w:hint="eastAsia" w:ascii="宋体" w:hAnsi="宋体" w:cs="宋体"/>
          <w:color w:val="auto"/>
          <w:spacing w:val="6"/>
          <w:sz w:val="20"/>
          <w:szCs w:val="20"/>
          <w:highlight w:val="none"/>
        </w:rPr>
        <w:t>指数</w:t>
      </w:r>
      <w:r>
        <w:rPr>
          <w:rFonts w:hint="eastAsia" w:ascii="宋体" w:hAnsi="宋体" w:cs="宋体"/>
          <w:color w:val="auto"/>
          <w:spacing w:val="9"/>
          <w:sz w:val="20"/>
          <w:szCs w:val="20"/>
          <w:highlight w:val="none"/>
        </w:rPr>
        <w:t>和权重表约定的数据，按以下公式计算差额并调整合同价格。</w:t>
      </w:r>
    </w:p>
    <w:p w14:paraId="6CD53D81">
      <w:pPr>
        <w:pStyle w:val="21"/>
        <w:spacing w:line="360" w:lineRule="auto"/>
        <w:rPr>
          <w:rFonts w:hint="eastAsia" w:cs="宋体"/>
          <w:color w:val="auto"/>
          <w:highlight w:val="none"/>
        </w:rPr>
      </w:pPr>
    </w:p>
    <w:p w14:paraId="61AAAB63">
      <w:pPr>
        <w:pStyle w:val="21"/>
        <w:spacing w:before="108" w:line="360" w:lineRule="auto"/>
        <w:ind w:right="823"/>
        <w:rPr>
          <w:rFonts w:hint="eastAsia" w:cs="宋体"/>
          <w:color w:val="auto"/>
          <w:position w:val="3"/>
          <w:sz w:val="25"/>
          <w:szCs w:val="25"/>
          <w:highlight w:val="none"/>
        </w:rPr>
      </w:pPr>
      <w:r>
        <w:rPr>
          <w:rFonts w:hint="eastAsia" w:cs="宋体"/>
          <w:color w:val="auto"/>
          <w:spacing w:val="-13"/>
          <w:w w:val="94"/>
          <w:position w:val="3"/>
          <w:sz w:val="25"/>
          <w:szCs w:val="25"/>
          <w:highlight w:val="none"/>
        </w:rPr>
        <w:t>Δ</w:t>
      </w:r>
      <w:r>
        <w:rPr>
          <w:rFonts w:hint="eastAsia" w:cs="宋体"/>
          <w:i/>
          <w:iCs/>
          <w:color w:val="auto"/>
          <w:spacing w:val="-13"/>
          <w:w w:val="94"/>
          <w:position w:val="3"/>
          <w:sz w:val="25"/>
          <w:szCs w:val="25"/>
          <w:highlight w:val="none"/>
        </w:rPr>
        <w:t>P</w:t>
      </w:r>
      <w:r>
        <w:rPr>
          <w:rFonts w:hint="eastAsia" w:cs="宋体"/>
          <w:i/>
          <w:iCs/>
          <w:color w:val="auto"/>
          <w:spacing w:val="-9"/>
          <w:position w:val="3"/>
          <w:sz w:val="25"/>
          <w:szCs w:val="25"/>
          <w:highlight w:val="none"/>
        </w:rPr>
        <w:t xml:space="preserve"> </w:t>
      </w:r>
      <w:r>
        <w:rPr>
          <w:rFonts w:hint="eastAsia" w:cs="宋体"/>
          <w:color w:val="auto"/>
          <w:spacing w:val="-13"/>
          <w:w w:val="94"/>
          <w:position w:val="3"/>
          <w:sz w:val="25"/>
          <w:szCs w:val="25"/>
          <w:highlight w:val="none"/>
        </w:rPr>
        <w:t>=</w:t>
      </w:r>
      <w:r>
        <w:rPr>
          <w:rFonts w:hint="eastAsia" w:cs="宋体"/>
          <w:color w:val="auto"/>
          <w:spacing w:val="-26"/>
          <w:position w:val="3"/>
          <w:sz w:val="25"/>
          <w:szCs w:val="25"/>
          <w:highlight w:val="none"/>
        </w:rPr>
        <w:t xml:space="preserve"> </w:t>
      </w:r>
      <w:r>
        <w:rPr>
          <w:rFonts w:hint="eastAsia" w:cs="宋体"/>
          <w:i/>
          <w:iCs/>
          <w:color w:val="auto"/>
          <w:spacing w:val="-13"/>
          <w:w w:val="94"/>
          <w:position w:val="3"/>
          <w:sz w:val="25"/>
          <w:szCs w:val="25"/>
          <w:highlight w:val="none"/>
        </w:rPr>
        <w:t>P</w:t>
      </w:r>
      <w:r>
        <w:rPr>
          <w:rFonts w:hint="eastAsia" w:cs="宋体"/>
          <w:color w:val="auto"/>
          <w:spacing w:val="-13"/>
          <w:w w:val="94"/>
          <w:position w:val="-2"/>
          <w:sz w:val="16"/>
          <w:szCs w:val="16"/>
          <w:highlight w:val="none"/>
        </w:rPr>
        <w:t xml:space="preserve">0 </w:t>
      </w:r>
      <w:r>
        <w:rPr>
          <w:rFonts w:hint="eastAsia" w:cs="宋体"/>
          <w:color w:val="auto"/>
          <w:spacing w:val="-16"/>
          <w:w w:val="61"/>
          <w:position w:val="-12"/>
          <w:sz w:val="25"/>
          <w:szCs w:val="25"/>
          <w:highlight w:val="none"/>
        </w:rPr>
        <w:t>|L</w:t>
      </w:r>
      <w:r>
        <w:rPr>
          <w:rFonts w:hint="eastAsia" w:cs="宋体"/>
          <w:color w:val="auto"/>
          <w:spacing w:val="-16"/>
          <w:w w:val="61"/>
          <w:position w:val="23"/>
          <w:sz w:val="25"/>
          <w:szCs w:val="25"/>
          <w:highlight w:val="none"/>
        </w:rPr>
        <w:t>「</w:t>
      </w:r>
      <w:r>
        <w:rPr>
          <w:rFonts w:hint="eastAsia" w:cs="宋体"/>
          <w:i/>
          <w:iCs/>
          <w:color w:val="auto"/>
          <w:spacing w:val="-16"/>
          <w:w w:val="61"/>
          <w:position w:val="3"/>
          <w:sz w:val="25"/>
          <w:szCs w:val="25"/>
          <w:highlight w:val="none"/>
        </w:rPr>
        <w:t>A</w:t>
      </w:r>
      <w:r>
        <w:rPr>
          <w:rFonts w:hint="eastAsia" w:cs="宋体"/>
          <w:i/>
          <w:iCs/>
          <w:color w:val="auto"/>
          <w:spacing w:val="-33"/>
          <w:position w:val="3"/>
          <w:sz w:val="25"/>
          <w:szCs w:val="25"/>
          <w:highlight w:val="none"/>
        </w:rPr>
        <w:t xml:space="preserve"> </w:t>
      </w:r>
      <w:r>
        <w:rPr>
          <w:rFonts w:hint="eastAsia" w:cs="宋体"/>
          <w:color w:val="auto"/>
          <w:spacing w:val="-16"/>
          <w:w w:val="61"/>
          <w:position w:val="3"/>
          <w:sz w:val="25"/>
          <w:szCs w:val="25"/>
          <w:highlight w:val="none"/>
        </w:rPr>
        <w:t>+</w:t>
      </w:r>
      <w:r>
        <w:rPr>
          <w:rFonts w:hint="eastAsia" w:cs="宋体"/>
          <w:b/>
          <w:bCs/>
          <w:color w:val="auto"/>
          <w:spacing w:val="-13"/>
          <w:w w:val="91"/>
          <w:position w:val="5"/>
          <w:sz w:val="25"/>
          <w:szCs w:val="25"/>
          <w:highlight w:val="none"/>
        </w:rPr>
        <w:t>|</w:t>
      </w:r>
      <w:r>
        <w:rPr>
          <w:rFonts w:hint="eastAsia" w:cs="宋体"/>
          <w:color w:val="auto"/>
          <w:spacing w:val="-13"/>
          <w:w w:val="91"/>
          <w:position w:val="-22"/>
          <w:sz w:val="25"/>
          <w:szCs w:val="25"/>
          <w:highlight w:val="none"/>
        </w:rPr>
        <w:t>(</w:t>
      </w:r>
      <w:r>
        <w:rPr>
          <w:rFonts w:hint="eastAsia" w:cs="宋体"/>
          <w:color w:val="auto"/>
          <w:spacing w:val="-13"/>
          <w:w w:val="91"/>
          <w:position w:val="21"/>
          <w:sz w:val="25"/>
          <w:szCs w:val="25"/>
          <w:highlight w:val="none"/>
        </w:rPr>
        <w:t>(</w:t>
      </w:r>
      <w:r>
        <w:rPr>
          <w:rFonts w:hint="eastAsia" w:cs="宋体"/>
          <w:i/>
          <w:iCs/>
          <w:color w:val="auto"/>
          <w:spacing w:val="-13"/>
          <w:w w:val="91"/>
          <w:position w:val="3"/>
          <w:sz w:val="25"/>
          <w:szCs w:val="25"/>
          <w:highlight w:val="none"/>
        </w:rPr>
        <w:t>B</w:t>
      </w:r>
      <w:r>
        <w:rPr>
          <w:rFonts w:hint="eastAsia" w:cs="宋体"/>
          <w:color w:val="auto"/>
          <w:spacing w:val="-13"/>
          <w:w w:val="91"/>
          <w:position w:val="-2"/>
          <w:sz w:val="16"/>
          <w:szCs w:val="16"/>
          <w:highlight w:val="none"/>
        </w:rPr>
        <w:t>1</w:t>
      </w:r>
      <w:r>
        <w:rPr>
          <w:rFonts w:hint="eastAsia" w:cs="宋体"/>
          <w:color w:val="auto"/>
          <w:spacing w:val="13"/>
          <w:w w:val="101"/>
          <w:position w:val="-2"/>
          <w:sz w:val="16"/>
          <w:szCs w:val="16"/>
          <w:highlight w:val="none"/>
        </w:rPr>
        <w:t xml:space="preserve"> </w:t>
      </w:r>
      <w:r>
        <w:rPr>
          <w:rFonts w:hint="eastAsia" w:cs="宋体"/>
          <w:color w:val="auto"/>
          <w:spacing w:val="-34"/>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08280" cy="408940"/>
            <wp:effectExtent l="0" t="0" r="7620" b="1016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42"/>
                    <a:stretch>
                      <a:fillRect/>
                    </a:stretch>
                  </pic:blipFill>
                  <pic:spPr>
                    <a:xfrm>
                      <a:off x="0" y="0"/>
                      <a:ext cx="208281"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4"/>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4"/>
          <w:position w:val="3"/>
          <w:sz w:val="25"/>
          <w:szCs w:val="25"/>
          <w:highlight w:val="none"/>
        </w:rPr>
        <w:t>B</w:t>
      </w:r>
      <w:r>
        <w:rPr>
          <w:rFonts w:hint="eastAsia" w:cs="宋体"/>
          <w:color w:val="auto"/>
          <w:spacing w:val="-6"/>
          <w:w w:val="91"/>
          <w:position w:val="-2"/>
          <w:sz w:val="16"/>
          <w:szCs w:val="16"/>
          <w:highlight w:val="none"/>
        </w:rPr>
        <w:t>2</w:t>
      </w:r>
      <w:r>
        <w:rPr>
          <w:rFonts w:hint="eastAsia" w:cs="宋体"/>
          <w:color w:val="auto"/>
          <w:spacing w:val="24"/>
          <w:w w:val="101"/>
          <w:position w:val="-2"/>
          <w:sz w:val="16"/>
          <w:szCs w:val="16"/>
          <w:highlight w:val="none"/>
        </w:rPr>
        <w:t xml:space="preserve"> </w:t>
      </w:r>
      <w:r>
        <w:rPr>
          <w:rFonts w:hint="eastAsia" w:cs="宋体"/>
          <w:color w:val="auto"/>
          <w:spacing w:val="-32"/>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4630" cy="408940"/>
            <wp:effectExtent l="0" t="0" r="1270" b="10160"/>
            <wp:docPr id="19" name="IM 4"/>
            <wp:cNvGraphicFramePr/>
            <a:graphic xmlns:a="http://schemas.openxmlformats.org/drawingml/2006/main">
              <a:graphicData uri="http://schemas.openxmlformats.org/drawingml/2006/picture">
                <pic:pic xmlns:pic="http://schemas.openxmlformats.org/drawingml/2006/picture">
                  <pic:nvPicPr>
                    <pic:cNvPr id="19" name="IM 4"/>
                    <pic:cNvPicPr/>
                  </pic:nvPicPr>
                  <pic:blipFill>
                    <a:blip r:embed="rId43"/>
                    <a:stretch>
                      <a:fillRect/>
                    </a:stretch>
                  </pic:blipFill>
                  <pic:spPr>
                    <a:xfrm>
                      <a:off x="0" y="0"/>
                      <a:ext cx="214865"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2"/>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2"/>
          <w:position w:val="3"/>
          <w:sz w:val="25"/>
          <w:szCs w:val="25"/>
          <w:highlight w:val="none"/>
        </w:rPr>
        <w:t>B</w:t>
      </w:r>
      <w:r>
        <w:rPr>
          <w:rFonts w:hint="eastAsia" w:cs="宋体"/>
          <w:color w:val="auto"/>
          <w:spacing w:val="-32"/>
          <w:position w:val="-2"/>
          <w:sz w:val="16"/>
          <w:szCs w:val="16"/>
          <w:highlight w:val="none"/>
        </w:rPr>
        <w:t>3</w:t>
      </w:r>
      <w:r>
        <w:rPr>
          <w:rFonts w:hint="eastAsia" w:cs="宋体"/>
          <w:color w:val="auto"/>
          <w:spacing w:val="20"/>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2090" cy="408940"/>
            <wp:effectExtent l="0" t="0" r="3810" b="10160"/>
            <wp:docPr id="22" name="IM 6"/>
            <wp:cNvGraphicFramePr/>
            <a:graphic xmlns:a="http://schemas.openxmlformats.org/drawingml/2006/main">
              <a:graphicData uri="http://schemas.openxmlformats.org/drawingml/2006/picture">
                <pic:pic xmlns:pic="http://schemas.openxmlformats.org/drawingml/2006/picture">
                  <pic:nvPicPr>
                    <pic:cNvPr id="22" name="IM 6"/>
                    <pic:cNvPicPr/>
                  </pic:nvPicPr>
                  <pic:blipFill>
                    <a:blip r:embed="rId44"/>
                    <a:stretch>
                      <a:fillRect/>
                    </a:stretch>
                  </pic:blipFill>
                  <pic:spPr>
                    <a:xfrm>
                      <a:off x="0" y="0"/>
                      <a:ext cx="212152"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17"/>
          <w:position w:val="3"/>
          <w:sz w:val="25"/>
          <w:szCs w:val="25"/>
          <w:highlight w:val="none"/>
        </w:rPr>
        <w:t>+</w:t>
      </w:r>
      <w:r>
        <w:rPr>
          <w:rFonts w:hint="eastAsia" w:cs="宋体"/>
          <w:b/>
          <w:bCs/>
          <w:color w:val="auto"/>
          <w:spacing w:val="-17"/>
          <w:position w:val="3"/>
          <w:sz w:val="25"/>
          <w:szCs w:val="25"/>
          <w:highlight w:val="none"/>
        </w:rPr>
        <w:t>…</w:t>
      </w:r>
      <w:r>
        <w:rPr>
          <w:rFonts w:hint="eastAsia" w:cs="宋体"/>
          <w:color w:val="auto"/>
          <w:spacing w:val="-17"/>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17"/>
          <w:position w:val="3"/>
          <w:sz w:val="25"/>
          <w:szCs w:val="25"/>
          <w:highlight w:val="none"/>
        </w:rPr>
        <w:t>B</w:t>
      </w:r>
      <w:r>
        <w:rPr>
          <w:rFonts w:hint="eastAsia" w:cs="宋体"/>
          <w:i/>
          <w:iCs/>
          <w:color w:val="auto"/>
          <w:spacing w:val="-17"/>
          <w:position w:val="-2"/>
          <w:sz w:val="16"/>
          <w:szCs w:val="16"/>
          <w:highlight w:val="none"/>
        </w:rPr>
        <w:t>n</w:t>
      </w:r>
      <w:r>
        <w:rPr>
          <w:rFonts w:hint="eastAsia" w:cs="宋体"/>
          <w:i/>
          <w:iCs/>
          <w:color w:val="auto"/>
          <w:spacing w:val="27"/>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22250" cy="408940"/>
            <wp:effectExtent l="0" t="0" r="6350" b="1016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45"/>
                    <a:stretch>
                      <a:fillRect/>
                    </a:stretch>
                  </pic:blipFill>
                  <pic:spPr>
                    <a:xfrm>
                      <a:off x="0" y="0"/>
                      <a:ext cx="222631" cy="409187"/>
                    </a:xfrm>
                    <a:prstGeom prst="rect">
                      <a:avLst/>
                    </a:prstGeom>
                  </pic:spPr>
                </pic:pic>
              </a:graphicData>
            </a:graphic>
          </wp:inline>
        </w:drawing>
      </w:r>
      <w:r>
        <w:rPr>
          <w:rFonts w:hint="eastAsia" w:cs="宋体"/>
          <w:color w:val="auto"/>
          <w:spacing w:val="-17"/>
          <w:position w:val="21"/>
          <w:sz w:val="25"/>
          <w:szCs w:val="25"/>
          <w:highlight w:val="none"/>
        </w:rPr>
        <w:t>)</w:t>
      </w:r>
      <w:r>
        <w:rPr>
          <w:rFonts w:hint="eastAsia" w:cs="宋体"/>
          <w:color w:val="auto"/>
          <w:spacing w:val="-17"/>
          <w:position w:val="-22"/>
          <w:sz w:val="25"/>
          <w:szCs w:val="25"/>
          <w:highlight w:val="none"/>
        </w:rPr>
        <w:t>,</w:t>
      </w:r>
      <w:r>
        <w:rPr>
          <w:rFonts w:hint="eastAsia" w:cs="宋体"/>
          <w:color w:val="auto"/>
          <w:sz w:val="25"/>
          <w:szCs w:val="25"/>
          <w:highlight w:val="none"/>
        </w:rPr>
        <w:drawing>
          <wp:inline distT="0" distB="0" distL="0" distR="0">
            <wp:extent cx="6985" cy="196850"/>
            <wp:effectExtent l="0" t="0" r="5715" b="5715"/>
            <wp:docPr id="24" name="IM 10"/>
            <wp:cNvGraphicFramePr/>
            <a:graphic xmlns:a="http://schemas.openxmlformats.org/drawingml/2006/main">
              <a:graphicData uri="http://schemas.openxmlformats.org/drawingml/2006/picture">
                <pic:pic xmlns:pic="http://schemas.openxmlformats.org/drawingml/2006/picture">
                  <pic:nvPicPr>
                    <pic:cNvPr id="24" name="IM 10"/>
                    <pic:cNvPicPr/>
                  </pic:nvPicPr>
                  <pic:blipFill>
                    <a:blip r:embed="rId46"/>
                    <a:stretch>
                      <a:fillRect/>
                    </a:stretch>
                  </pic:blipFill>
                  <pic:spPr>
                    <a:xfrm>
                      <a:off x="0" y="0"/>
                      <a:ext cx="7569" cy="196983"/>
                    </a:xfrm>
                    <a:prstGeom prst="rect">
                      <a:avLst/>
                    </a:prstGeom>
                  </pic:spPr>
                </pic:pic>
              </a:graphicData>
            </a:graphic>
          </wp:inline>
        </w:drawing>
      </w:r>
      <w:r>
        <w:rPr>
          <w:rFonts w:hint="eastAsia" w:cs="宋体"/>
          <w:color w:val="auto"/>
          <w:spacing w:val="-36"/>
          <w:position w:val="-22"/>
          <w:sz w:val="25"/>
          <w:szCs w:val="25"/>
          <w:highlight w:val="none"/>
        </w:rPr>
        <w:t xml:space="preserve"> </w:t>
      </w:r>
      <w:r>
        <w:rPr>
          <w:rFonts w:hint="eastAsia" w:cs="宋体"/>
          <w:color w:val="auto"/>
          <w:spacing w:val="-17"/>
          <w:position w:val="3"/>
          <w:sz w:val="25"/>
          <w:szCs w:val="25"/>
          <w:highlight w:val="none"/>
        </w:rPr>
        <w:t>-1</w:t>
      </w:r>
      <w:r>
        <w:rPr>
          <w:rFonts w:hint="eastAsia" w:cs="宋体"/>
          <w:color w:val="auto"/>
          <w:position w:val="-29"/>
          <w:sz w:val="25"/>
          <w:szCs w:val="25"/>
          <w:highlight w:val="none"/>
        </w:rPr>
        <w:drawing>
          <wp:inline distT="0" distB="0" distL="0" distR="0">
            <wp:extent cx="57150" cy="507365"/>
            <wp:effectExtent l="0" t="0" r="6350" b="0"/>
            <wp:docPr id="25" name="IM 12"/>
            <wp:cNvGraphicFramePr/>
            <a:graphic xmlns:a="http://schemas.openxmlformats.org/drawingml/2006/main">
              <a:graphicData uri="http://schemas.openxmlformats.org/drawingml/2006/picture">
                <pic:pic xmlns:pic="http://schemas.openxmlformats.org/drawingml/2006/picture">
                  <pic:nvPicPr>
                    <pic:cNvPr id="25" name="IM 12"/>
                    <pic:cNvPicPr/>
                  </pic:nvPicPr>
                  <pic:blipFill>
                    <a:blip r:embed="rId47"/>
                    <a:stretch>
                      <a:fillRect/>
                    </a:stretch>
                  </pic:blipFill>
                  <pic:spPr>
                    <a:xfrm>
                      <a:off x="0" y="0"/>
                      <a:ext cx="57719" cy="507472"/>
                    </a:xfrm>
                    <a:prstGeom prst="rect">
                      <a:avLst/>
                    </a:prstGeom>
                  </pic:spPr>
                </pic:pic>
              </a:graphicData>
            </a:graphic>
          </wp:inline>
        </w:drawing>
      </w:r>
      <w:r>
        <w:rPr>
          <w:rFonts w:hint="eastAsia" w:cs="宋体"/>
          <w:color w:val="auto"/>
          <w:position w:val="3"/>
          <w:sz w:val="25"/>
          <w:szCs w:val="25"/>
          <w:highlight w:val="none"/>
        </w:rPr>
        <w:t xml:space="preserve"> </w:t>
      </w:r>
    </w:p>
    <w:p w14:paraId="0CF2C4C4">
      <w:pPr>
        <w:pStyle w:val="21"/>
        <w:spacing w:before="108" w:line="360" w:lineRule="auto"/>
        <w:ind w:right="823" w:firstLine="412" w:firstLineChars="200"/>
        <w:rPr>
          <w:rFonts w:hint="eastAsia" w:cs="宋体"/>
          <w:color w:val="auto"/>
          <w:sz w:val="20"/>
          <w:szCs w:val="20"/>
          <w:highlight w:val="none"/>
        </w:rPr>
      </w:pPr>
      <w:r>
        <w:rPr>
          <w:rFonts w:hint="eastAsia" w:cs="宋体"/>
          <w:color w:val="auto"/>
          <w:spacing w:val="3"/>
          <w:sz w:val="20"/>
          <w:szCs w:val="20"/>
          <w:highlight w:val="none"/>
        </w:rPr>
        <w:t>式中：</w:t>
      </w:r>
      <w:r>
        <w:rPr>
          <w:rFonts w:hint="eastAsia" w:cs="宋体"/>
          <w:color w:val="auto"/>
          <w:spacing w:val="44"/>
          <w:sz w:val="20"/>
          <w:szCs w:val="20"/>
          <w:highlight w:val="none"/>
        </w:rPr>
        <w:t xml:space="preserve"> </w:t>
      </w:r>
      <w:r>
        <w:rPr>
          <w:rFonts w:hint="eastAsia" w:cs="宋体"/>
          <w:color w:val="auto"/>
          <w:spacing w:val="3"/>
          <w:sz w:val="20"/>
          <w:szCs w:val="20"/>
          <w:highlight w:val="none"/>
        </w:rPr>
        <w:t>△P --</w:t>
      </w:r>
      <w:r>
        <w:rPr>
          <w:rFonts w:hint="eastAsia" w:cs="宋体"/>
          <w:color w:val="auto"/>
          <w:spacing w:val="13"/>
          <w:sz w:val="20"/>
          <w:szCs w:val="20"/>
          <w:highlight w:val="none"/>
        </w:rPr>
        <w:t xml:space="preserve">  </w:t>
      </w:r>
      <w:r>
        <w:rPr>
          <w:rFonts w:hint="eastAsia" w:cs="宋体"/>
          <w:color w:val="auto"/>
          <w:spacing w:val="3"/>
          <w:sz w:val="20"/>
          <w:szCs w:val="20"/>
          <w:highlight w:val="none"/>
        </w:rPr>
        <w:t>需调整的价格差额；</w:t>
      </w:r>
    </w:p>
    <w:p w14:paraId="5F1FB02A">
      <w:pPr>
        <w:spacing w:before="3" w:line="360" w:lineRule="auto"/>
        <w:ind w:left="19" w:right="92" w:firstLine="12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P</w:t>
      </w:r>
      <w:r>
        <w:rPr>
          <w:rFonts w:hint="eastAsia" w:ascii="宋体" w:hAnsi="宋体" w:cs="宋体"/>
          <w:color w:val="auto"/>
          <w:spacing w:val="4"/>
          <w:position w:val="-1"/>
          <w:sz w:val="13"/>
          <w:szCs w:val="13"/>
          <w:highlight w:val="none"/>
        </w:rPr>
        <w:t>0</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4"/>
          <w:sz w:val="20"/>
          <w:szCs w:val="20"/>
          <w:highlight w:val="none"/>
        </w:rPr>
        <w:t>--  第</w:t>
      </w:r>
      <w:r>
        <w:rPr>
          <w:rFonts w:hint="eastAsia" w:ascii="宋体" w:hAnsi="宋体" w:cs="宋体"/>
          <w:color w:val="auto"/>
          <w:spacing w:val="-24"/>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项、第17.5.3</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项和第17.6.2</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项约定的付款证书中承包人应得</w:t>
      </w:r>
      <w:r>
        <w:rPr>
          <w:rFonts w:hint="eastAsia" w:ascii="宋体" w:hAnsi="宋体" w:cs="宋体"/>
          <w:color w:val="auto"/>
          <w:spacing w:val="8"/>
          <w:sz w:val="20"/>
          <w:szCs w:val="20"/>
          <w:highlight w:val="none"/>
        </w:rPr>
        <w:t>到的已完成工程量的金额（不含税）。此项</w:t>
      </w:r>
      <w:r>
        <w:rPr>
          <w:rFonts w:hint="eastAsia" w:ascii="宋体" w:hAnsi="宋体" w:cs="宋体"/>
          <w:color w:val="auto"/>
          <w:spacing w:val="7"/>
          <w:sz w:val="20"/>
          <w:szCs w:val="20"/>
          <w:highlight w:val="none"/>
        </w:rPr>
        <w:t>金额应不包括价格调整、不计质量保证金的扣留</w:t>
      </w:r>
      <w:r>
        <w:rPr>
          <w:rFonts w:hint="eastAsia" w:ascii="宋体" w:hAnsi="宋体" w:cs="宋体"/>
          <w:color w:val="auto"/>
          <w:spacing w:val="9"/>
          <w:sz w:val="20"/>
          <w:szCs w:val="20"/>
          <w:highlight w:val="none"/>
        </w:rPr>
        <w:t>和支付、预付款的支付和扣回。第15条约定的变更及其他金额已按现行价格计价的，也不</w:t>
      </w:r>
      <w:r>
        <w:rPr>
          <w:rFonts w:hint="eastAsia" w:ascii="宋体" w:hAnsi="宋体" w:cs="宋体"/>
          <w:color w:val="auto"/>
          <w:spacing w:val="5"/>
          <w:sz w:val="20"/>
          <w:szCs w:val="20"/>
          <w:highlight w:val="none"/>
        </w:rPr>
        <w:t>计在内；</w:t>
      </w:r>
    </w:p>
    <w:p w14:paraId="3805653B">
      <w:pPr>
        <w:spacing w:before="14" w:line="360" w:lineRule="auto"/>
        <w:ind w:left="1273"/>
        <w:rPr>
          <w:rFonts w:hint="eastAsia" w:ascii="宋体" w:hAnsi="宋体" w:cs="宋体"/>
          <w:color w:val="auto"/>
          <w:sz w:val="20"/>
          <w:szCs w:val="20"/>
          <w:highlight w:val="none"/>
        </w:rPr>
      </w:pPr>
      <w:r>
        <w:rPr>
          <w:rFonts w:hint="eastAsia" w:ascii="宋体" w:hAnsi="宋体" w:cs="宋体"/>
          <w:color w:val="auto"/>
          <w:spacing w:val="6"/>
          <w:position w:val="2"/>
          <w:sz w:val="20"/>
          <w:szCs w:val="20"/>
          <w:highlight w:val="none"/>
        </w:rPr>
        <w:t>A --  定值权重(即不调部分的权重)；</w:t>
      </w:r>
    </w:p>
    <w:p w14:paraId="1627A7D3">
      <w:pPr>
        <w:spacing w:before="133" w:line="360" w:lineRule="auto"/>
        <w:ind w:left="19" w:right="92" w:firstLine="1256"/>
        <w:rPr>
          <w:rFonts w:hint="eastAsia" w:ascii="宋体" w:hAnsi="宋体" w:cs="宋体"/>
          <w:color w:val="auto"/>
          <w:sz w:val="20"/>
          <w:szCs w:val="20"/>
          <w:highlight w:val="none"/>
        </w:rPr>
      </w:pP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1</w:t>
      </w:r>
      <w:r>
        <w:rPr>
          <w:rFonts w:hint="eastAsia" w:ascii="宋体" w:hAnsi="宋体" w:cs="宋体"/>
          <w:color w:val="auto"/>
          <w:spacing w:val="-18"/>
          <w:sz w:val="14"/>
          <w:szCs w:val="14"/>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 xml:space="preserve">3  </w:t>
      </w:r>
      <w:r>
        <w:rPr>
          <w:rFonts w:hint="eastAsia" w:ascii="宋体" w:hAnsi="宋体" w:cs="宋体"/>
          <w:color w:val="auto"/>
          <w:spacing w:val="-18"/>
          <w:sz w:val="14"/>
          <w:szCs w:val="14"/>
          <w:highlight w:val="none"/>
        </w:rPr>
        <w:t>·····</w:t>
      </w:r>
      <w:r>
        <w:rPr>
          <w:rFonts w:hint="eastAsia" w:ascii="宋体" w:hAnsi="宋体" w:cs="宋体"/>
          <w:color w:val="auto"/>
          <w:sz w:val="20"/>
          <w:szCs w:val="20"/>
          <w:highlight w:val="none"/>
        </w:rPr>
        <w:t>B</w:t>
      </w:r>
      <w:r>
        <w:rPr>
          <w:rFonts w:hint="eastAsia" w:ascii="宋体" w:hAnsi="宋体" w:cs="宋体"/>
          <w:color w:val="auto"/>
          <w:position w:val="-1"/>
          <w:sz w:val="13"/>
          <w:szCs w:val="13"/>
          <w:highlight w:val="none"/>
        </w:rPr>
        <w:t>n</w:t>
      </w:r>
      <w:r>
        <w:rPr>
          <w:rFonts w:hint="eastAsia" w:ascii="宋体" w:hAnsi="宋体" w:cs="宋体"/>
          <w:color w:val="auto"/>
          <w:spacing w:val="33"/>
          <w:w w:val="102"/>
          <w:position w:val="-1"/>
          <w:sz w:val="13"/>
          <w:szCs w:val="13"/>
          <w:highlight w:val="none"/>
        </w:rPr>
        <w:t xml:space="preserve"> </w:t>
      </w:r>
      <w:r>
        <w:rPr>
          <w:rFonts w:hint="eastAsia" w:ascii="宋体" w:hAnsi="宋体" w:cs="宋体"/>
          <w:color w:val="auto"/>
          <w:spacing w:val="11"/>
          <w:sz w:val="20"/>
          <w:szCs w:val="20"/>
          <w:highlight w:val="none"/>
        </w:rPr>
        <w:t>--  各可调因子的变值权重(即可调部分的权重)为各可调因子</w:t>
      </w:r>
      <w:r>
        <w:rPr>
          <w:rFonts w:hint="eastAsia" w:ascii="宋体" w:hAnsi="宋体" w:cs="宋体"/>
          <w:color w:val="auto"/>
          <w:spacing w:val="8"/>
          <w:sz w:val="20"/>
          <w:szCs w:val="20"/>
          <w:highlight w:val="none"/>
        </w:rPr>
        <w:t>在投标函投标总报价中所占的比例；</w:t>
      </w:r>
    </w:p>
    <w:p w14:paraId="776A82C5">
      <w:pPr>
        <w:spacing w:before="22" w:line="360" w:lineRule="auto"/>
        <w:ind w:left="20" w:right="92" w:firstLine="1254"/>
        <w:rPr>
          <w:rFonts w:hint="eastAsia" w:ascii="宋体" w:hAnsi="宋体" w:cs="宋体"/>
          <w:color w:val="auto"/>
          <w:sz w:val="20"/>
          <w:szCs w:val="20"/>
          <w:highlight w:val="none"/>
        </w:rPr>
      </w:pP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w:t>
      </w:r>
      <w:r>
        <w:rPr>
          <w:rFonts w:hint="eastAsia" w:ascii="宋体" w:hAnsi="宋体" w:cs="宋体"/>
          <w:color w:val="auto"/>
          <w:spacing w:val="-16"/>
          <w:position w:val="-1"/>
          <w:sz w:val="13"/>
          <w:szCs w:val="13"/>
          <w:highlight w:val="none"/>
        </w:rPr>
        <w:t xml:space="preserve"> </w:t>
      </w:r>
      <w:r>
        <w:rPr>
          <w:rFonts w:hint="eastAsia" w:ascii="宋体" w:hAnsi="宋体" w:cs="宋体"/>
          <w:color w:val="auto"/>
          <w:spacing w:val="-19"/>
          <w:position w:val="-1"/>
          <w:sz w:val="13"/>
          <w:szCs w:val="13"/>
          <w:highlight w:val="none"/>
        </w:rPr>
        <w:t>1</w:t>
      </w:r>
      <w:r>
        <w:rPr>
          <w:rFonts w:hint="eastAsia" w:ascii="宋体" w:hAnsi="宋体" w:cs="宋体"/>
          <w:color w:val="auto"/>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 xml:space="preserve">t3  </w:t>
      </w:r>
      <w:r>
        <w:rPr>
          <w:rFonts w:hint="eastAsia" w:ascii="宋体" w:hAnsi="宋体" w:cs="宋体"/>
          <w:color w:val="auto"/>
          <w:spacing w:val="-19"/>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tn</w:t>
      </w:r>
      <w:r>
        <w:rPr>
          <w:rFonts w:hint="eastAsia" w:ascii="宋体" w:hAnsi="宋体" w:cs="宋体"/>
          <w:color w:val="auto"/>
          <w:spacing w:val="28"/>
          <w:w w:val="101"/>
          <w:position w:val="-1"/>
          <w:sz w:val="13"/>
          <w:szCs w:val="13"/>
          <w:highlight w:val="none"/>
        </w:rPr>
        <w:t xml:space="preserve"> </w:t>
      </w:r>
      <w:r>
        <w:rPr>
          <w:rFonts w:hint="eastAsia" w:ascii="宋体" w:hAnsi="宋体" w:cs="宋体"/>
          <w:color w:val="auto"/>
          <w:spacing w:val="4"/>
          <w:sz w:val="20"/>
          <w:szCs w:val="20"/>
          <w:highlight w:val="none"/>
        </w:rPr>
        <w:t>--  各可调因子的现行价格指数，指第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15"/>
          <w:w w:val="101"/>
          <w:sz w:val="20"/>
          <w:szCs w:val="20"/>
          <w:highlight w:val="none"/>
        </w:rPr>
        <w:t xml:space="preserve"> </w:t>
      </w:r>
      <w:r>
        <w:rPr>
          <w:rFonts w:hint="eastAsia" w:ascii="宋体" w:hAnsi="宋体" w:cs="宋体"/>
          <w:color w:val="auto"/>
          <w:spacing w:val="4"/>
          <w:sz w:val="20"/>
          <w:szCs w:val="20"/>
          <w:highlight w:val="none"/>
        </w:rPr>
        <w:t>项、第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w:t>
      </w:r>
      <w:r>
        <w:rPr>
          <w:rFonts w:hint="eastAsia" w:ascii="宋体" w:hAnsi="宋体" w:cs="宋体"/>
          <w:color w:val="auto"/>
          <w:spacing w:val="3"/>
          <w:sz w:val="20"/>
          <w:szCs w:val="20"/>
          <w:highlight w:val="none"/>
        </w:rPr>
        <w:t>5.3项</w:t>
      </w:r>
      <w:r>
        <w:rPr>
          <w:rFonts w:hint="eastAsia" w:ascii="宋体" w:hAnsi="宋体" w:cs="宋体"/>
          <w:color w:val="auto"/>
          <w:spacing w:val="7"/>
          <w:sz w:val="20"/>
          <w:szCs w:val="20"/>
          <w:highlight w:val="none"/>
        </w:rPr>
        <w:t>和第17.6.2项约定的付款证书相关周期最后一天的前</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42天的各可调因子的价格指数；</w:t>
      </w:r>
    </w:p>
    <w:p w14:paraId="144AB813">
      <w:pPr>
        <w:spacing w:before="38" w:line="360" w:lineRule="auto"/>
        <w:ind w:left="36" w:right="94" w:firstLine="1238"/>
        <w:rPr>
          <w:rFonts w:hint="eastAsia" w:ascii="宋体" w:hAnsi="宋体" w:cs="宋体"/>
          <w:color w:val="auto"/>
          <w:sz w:val="20"/>
          <w:szCs w:val="20"/>
          <w:highlight w:val="none"/>
        </w:rPr>
      </w:pP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o1</w:t>
      </w:r>
      <w:r>
        <w:rPr>
          <w:rFonts w:hint="eastAsia" w:ascii="宋体" w:hAnsi="宋体" w:cs="宋体"/>
          <w:color w:val="auto"/>
          <w:spacing w:val="-15"/>
          <w:sz w:val="20"/>
          <w:szCs w:val="20"/>
          <w:highlight w:val="none"/>
        </w:rPr>
        <w:t>;</w:t>
      </w:r>
      <w:r>
        <w:rPr>
          <w:rFonts w:hint="eastAsia" w:ascii="宋体" w:hAnsi="宋体" w:cs="宋体"/>
          <w:color w:val="auto"/>
          <w:spacing w:val="26"/>
          <w:w w:val="101"/>
          <w:sz w:val="20"/>
          <w:szCs w:val="20"/>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o2</w:t>
      </w:r>
      <w:r>
        <w:rPr>
          <w:rFonts w:hint="eastAsia" w:ascii="宋体" w:hAnsi="宋体" w:cs="宋体"/>
          <w:color w:val="auto"/>
          <w:spacing w:val="-15"/>
          <w:sz w:val="14"/>
          <w:szCs w:val="14"/>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 xml:space="preserve">o3  </w:t>
      </w:r>
      <w:r>
        <w:rPr>
          <w:rFonts w:hint="eastAsia" w:ascii="宋体" w:hAnsi="宋体" w:cs="宋体"/>
          <w:color w:val="auto"/>
          <w:spacing w:val="-15"/>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on</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10"/>
          <w:sz w:val="20"/>
          <w:szCs w:val="20"/>
          <w:highlight w:val="none"/>
        </w:rPr>
        <w:t>--  各可调因子的基本价格指数，指基准日期的各可调因子</w:t>
      </w:r>
      <w:r>
        <w:rPr>
          <w:rFonts w:hint="eastAsia" w:ascii="宋体" w:hAnsi="宋体" w:cs="宋体"/>
          <w:color w:val="auto"/>
          <w:spacing w:val="3"/>
          <w:sz w:val="20"/>
          <w:szCs w:val="20"/>
          <w:highlight w:val="none"/>
        </w:rPr>
        <w:t>的价格指数。</w:t>
      </w:r>
    </w:p>
    <w:p w14:paraId="2282594B">
      <w:pPr>
        <w:spacing w:before="39" w:line="360" w:lineRule="auto"/>
        <w:ind w:left="21" w:right="92" w:firstLine="65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以上价格调整公式中的各可调因子、定值和变值权重，以及基</w:t>
      </w:r>
      <w:r>
        <w:rPr>
          <w:rFonts w:hint="eastAsia" w:ascii="宋体" w:hAnsi="宋体" w:cs="宋体"/>
          <w:color w:val="auto"/>
          <w:spacing w:val="6"/>
          <w:sz w:val="20"/>
          <w:szCs w:val="20"/>
          <w:highlight w:val="none"/>
        </w:rPr>
        <w:t>本价格指数及其来源在</w:t>
      </w:r>
      <w:r>
        <w:rPr>
          <w:rFonts w:hint="eastAsia" w:ascii="宋体" w:hAnsi="宋体" w:cs="宋体"/>
          <w:color w:val="auto"/>
          <w:spacing w:val="7"/>
          <w:sz w:val="20"/>
          <w:szCs w:val="20"/>
          <w:highlight w:val="none"/>
        </w:rPr>
        <w:t>投标函附录价格指数和权重表中约定。价格指数应首先采用有关部门提供的价格指数，缺乏</w:t>
      </w:r>
      <w:r>
        <w:rPr>
          <w:rFonts w:hint="eastAsia" w:ascii="宋体" w:hAnsi="宋体" w:cs="宋体"/>
          <w:color w:val="auto"/>
          <w:spacing w:val="9"/>
          <w:sz w:val="20"/>
          <w:szCs w:val="20"/>
          <w:highlight w:val="none"/>
        </w:rPr>
        <w:t>上述价格指数时，可采用有关部门提供的价格代替。</w:t>
      </w:r>
    </w:p>
    <w:p w14:paraId="05E4CCFC">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 xml:space="preserve">16.1.1.2 </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暂时确定调整差额</w:t>
      </w:r>
    </w:p>
    <w:p w14:paraId="6E339411">
      <w:pPr>
        <w:spacing w:before="160" w:line="360" w:lineRule="auto"/>
        <w:ind w:left="19" w:right="92"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在计算调整差额时得不到现行价格指数的，可暂用上一次价格指数计算，并在以后的</w:t>
      </w:r>
      <w:r>
        <w:rPr>
          <w:rFonts w:hint="eastAsia" w:ascii="宋体" w:hAnsi="宋体" w:cs="宋体"/>
          <w:color w:val="auto"/>
          <w:spacing w:val="15"/>
          <w:sz w:val="20"/>
          <w:szCs w:val="20"/>
          <w:highlight w:val="none"/>
        </w:rPr>
        <w:t xml:space="preserve"> </w:t>
      </w:r>
      <w:r>
        <w:rPr>
          <w:rFonts w:hint="eastAsia" w:ascii="宋体" w:hAnsi="宋体" w:cs="宋体"/>
          <w:color w:val="auto"/>
          <w:spacing w:val="8"/>
          <w:sz w:val="20"/>
          <w:szCs w:val="20"/>
          <w:highlight w:val="none"/>
        </w:rPr>
        <w:t>付款中再按实际价格指数进行调整。</w:t>
      </w:r>
    </w:p>
    <w:p w14:paraId="5E5A477C">
      <w:pPr>
        <w:spacing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16.1.1.3</w:t>
      </w:r>
      <w:r>
        <w:rPr>
          <w:rFonts w:hint="eastAsia" w:ascii="宋体" w:hAnsi="宋体" w:cs="宋体"/>
          <w:color w:val="auto"/>
          <w:spacing w:val="5"/>
          <w:sz w:val="20"/>
          <w:szCs w:val="20"/>
          <w:highlight w:val="none"/>
          <w:lang w:val="en-US" w:eastAsia="zh-CN"/>
        </w:rPr>
        <w:t xml:space="preserve"> </w:t>
      </w:r>
      <w:r>
        <w:rPr>
          <w:rFonts w:hint="eastAsia" w:ascii="宋体" w:hAnsi="宋体" w:cs="宋体"/>
          <w:color w:val="auto"/>
          <w:spacing w:val="5"/>
          <w:sz w:val="20"/>
          <w:szCs w:val="20"/>
          <w:highlight w:val="none"/>
        </w:rPr>
        <w:t xml:space="preserve"> 权重的调整</w:t>
      </w:r>
    </w:p>
    <w:p w14:paraId="4D45CCA9">
      <w:pPr>
        <w:spacing w:before="132" w:line="360" w:lineRule="auto"/>
        <w:ind w:left="21" w:right="94" w:firstLine="628"/>
        <w:rPr>
          <w:rFonts w:hint="eastAsia" w:ascii="宋体" w:hAnsi="宋体" w:cs="宋体"/>
          <w:color w:val="auto"/>
          <w:highlight w:val="none"/>
        </w:rPr>
      </w:pPr>
      <w:r>
        <w:rPr>
          <w:rFonts w:hint="eastAsia" w:ascii="宋体" w:hAnsi="宋体" w:cs="宋体"/>
          <w:color w:val="auto"/>
          <w:spacing w:val="9"/>
          <w:sz w:val="20"/>
          <w:szCs w:val="20"/>
          <w:highlight w:val="none"/>
        </w:rPr>
        <w:t>按第15.1款约定的变更导致原定合同中的权重不合理时，由监理人与承</w:t>
      </w:r>
      <w:r>
        <w:rPr>
          <w:rFonts w:hint="eastAsia" w:ascii="宋体" w:hAnsi="宋体" w:cs="宋体"/>
          <w:color w:val="auto"/>
          <w:spacing w:val="8"/>
          <w:sz w:val="20"/>
          <w:szCs w:val="20"/>
          <w:highlight w:val="none"/>
        </w:rPr>
        <w:t>包人和发包</w:t>
      </w:r>
      <w:r>
        <w:rPr>
          <w:rFonts w:hint="eastAsia" w:ascii="宋体" w:hAnsi="宋体" w:cs="宋体"/>
          <w:color w:val="auto"/>
          <w:spacing w:val="7"/>
          <w:sz w:val="20"/>
          <w:szCs w:val="20"/>
          <w:highlight w:val="none"/>
        </w:rPr>
        <w:t>人协商后进行调整。</w:t>
      </w:r>
    </w:p>
    <w:p w14:paraId="41AB9A34">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16.1.1.4</w:t>
      </w: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 xml:space="preserve"> 承包人工期延误后的价格调整</w:t>
      </w:r>
    </w:p>
    <w:p w14:paraId="3E7465BB">
      <w:pPr>
        <w:spacing w:before="161" w:line="360" w:lineRule="auto"/>
        <w:ind w:left="19" w:right="16" w:firstLine="65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由于承包人原因未在约定的工期内竣工的，则对原约定竣工</w:t>
      </w:r>
      <w:r>
        <w:rPr>
          <w:rFonts w:hint="eastAsia" w:ascii="宋体" w:hAnsi="宋体" w:cs="宋体"/>
          <w:color w:val="auto"/>
          <w:spacing w:val="7"/>
          <w:sz w:val="20"/>
          <w:szCs w:val="20"/>
          <w:highlight w:val="none"/>
        </w:rPr>
        <w:t>日期后继续施工的工程，</w:t>
      </w:r>
      <w:r>
        <w:rPr>
          <w:rFonts w:hint="eastAsia" w:ascii="宋体" w:hAnsi="宋体" w:cs="宋体"/>
          <w:color w:val="auto"/>
          <w:spacing w:val="6"/>
          <w:sz w:val="20"/>
          <w:szCs w:val="20"/>
          <w:highlight w:val="none"/>
        </w:rPr>
        <w:t>在使用第16.1.1.1目价格调整公式时，应采用原约定竣工日期与实际竣工日期的两个价格指</w:t>
      </w:r>
      <w:r>
        <w:rPr>
          <w:rFonts w:hint="eastAsia" w:ascii="宋体" w:hAnsi="宋体" w:cs="宋体"/>
          <w:color w:val="auto"/>
          <w:spacing w:val="8"/>
          <w:sz w:val="20"/>
          <w:szCs w:val="20"/>
          <w:highlight w:val="none"/>
        </w:rPr>
        <w:t>数中较低的一个作为现行价格指数。</w:t>
      </w:r>
    </w:p>
    <w:p w14:paraId="06CB41D4">
      <w:pPr>
        <w:spacing w:before="5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  采用造价信息调整价格差额</w:t>
      </w:r>
    </w:p>
    <w:p w14:paraId="0C7CB569">
      <w:pPr>
        <w:spacing w:before="163" w:line="360" w:lineRule="auto"/>
        <w:ind w:left="20" w:right="16"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施工期内，因人工、材料和机械台班价格波动影响合同价格时，需要进行价格调整的，</w:t>
      </w:r>
      <w:r>
        <w:rPr>
          <w:rFonts w:hint="eastAsia" w:ascii="宋体" w:hAnsi="宋体" w:cs="宋体"/>
          <w:color w:val="auto"/>
          <w:spacing w:val="7"/>
          <w:sz w:val="20"/>
          <w:szCs w:val="20"/>
          <w:highlight w:val="none"/>
        </w:rPr>
        <w:t>其价格和数量应由监理人审核，监理人确认需调整的内容、范围、价格和数量作为调整工程合同价格差额的依据。</w:t>
      </w:r>
    </w:p>
    <w:p w14:paraId="488D05F7">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16.1.2.1  引起价格调整的物价波动风险范围及幅度</w:t>
      </w:r>
    </w:p>
    <w:p w14:paraId="4D8CE2C8">
      <w:pPr>
        <w:spacing w:before="162" w:line="360" w:lineRule="auto"/>
        <w:ind w:left="28" w:right="53" w:firstLine="6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施工期内，因人工、材料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6B510C79">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16.1.2.2  物价波动变化幅度的计算方法</w:t>
      </w:r>
    </w:p>
    <w:p w14:paraId="2BE7228E">
      <w:pPr>
        <w:spacing w:before="162"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（1）投标报价基准期确定的人工、材料和机械台班的市场价</w:t>
      </w:r>
      <w:r>
        <w:rPr>
          <w:rFonts w:hint="eastAsia" w:ascii="宋体" w:hAnsi="宋体" w:cs="宋体"/>
          <w:color w:val="auto"/>
          <w:spacing w:val="9"/>
          <w:sz w:val="20"/>
          <w:szCs w:val="20"/>
          <w:highlight w:val="none"/>
        </w:rPr>
        <w:t>格即为基准价。投标报价</w:t>
      </w:r>
      <w:r>
        <w:rPr>
          <w:rFonts w:hint="eastAsia" w:ascii="宋体" w:hAnsi="宋体" w:cs="宋体"/>
          <w:color w:val="auto"/>
          <w:spacing w:val="8"/>
          <w:sz w:val="20"/>
          <w:szCs w:val="20"/>
          <w:highlight w:val="none"/>
        </w:rPr>
        <w:t>基准期见合同条款专用部分。</w:t>
      </w:r>
    </w:p>
    <w:p w14:paraId="15F57823">
      <w:pPr>
        <w:spacing w:before="162" w:line="360" w:lineRule="auto"/>
        <w:ind w:left="19" w:right="53" w:firstLine="430"/>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（2）《北京工程造价信息》中工程造价信息价有的，以北京市建设工程造价管理机构发</w:t>
      </w:r>
      <w:r>
        <w:rPr>
          <w:rFonts w:hint="eastAsia" w:ascii="宋体" w:hAnsi="宋体" w:cs="宋体"/>
          <w:color w:val="auto"/>
          <w:spacing w:val="8"/>
          <w:sz w:val="20"/>
          <w:szCs w:val="20"/>
          <w:highlight w:val="none"/>
        </w:rPr>
        <w:t>布的《北京工程造价信息》中的工程造价信息价（</w:t>
      </w:r>
      <w:r>
        <w:rPr>
          <w:rFonts w:hint="eastAsia" w:ascii="宋体" w:hAnsi="宋体" w:cs="宋体"/>
          <w:color w:val="auto"/>
          <w:spacing w:val="7"/>
          <w:sz w:val="20"/>
          <w:szCs w:val="20"/>
          <w:highlight w:val="none"/>
        </w:rPr>
        <w:t>以下简称造价信息价格）为依据确定基准</w:t>
      </w:r>
      <w:r>
        <w:rPr>
          <w:rFonts w:hint="eastAsia" w:ascii="宋体" w:hAnsi="宋体" w:cs="宋体"/>
          <w:color w:val="auto"/>
          <w:spacing w:val="8"/>
          <w:sz w:val="20"/>
          <w:szCs w:val="20"/>
          <w:highlight w:val="none"/>
        </w:rPr>
        <w:t>价，造价信息价格中有上、下限的，以下限为准；</w:t>
      </w:r>
      <w:r>
        <w:rPr>
          <w:rFonts w:hint="eastAsia" w:ascii="宋体" w:hAnsi="宋体" w:cs="宋体"/>
          <w:color w:val="auto"/>
          <w:spacing w:val="7"/>
          <w:sz w:val="20"/>
          <w:szCs w:val="20"/>
          <w:highlight w:val="none"/>
        </w:rPr>
        <w:t>《北京工程造价信息》工程造价信息价中</w:t>
      </w:r>
      <w:r>
        <w:rPr>
          <w:rFonts w:hint="eastAsia" w:ascii="宋体" w:hAnsi="宋体" w:cs="宋体"/>
          <w:color w:val="auto"/>
          <w:spacing w:val="9"/>
          <w:sz w:val="20"/>
          <w:szCs w:val="20"/>
          <w:highlight w:val="none"/>
        </w:rPr>
        <w:t>没有的，确定基准价的方法见合同条款专用部分。</w:t>
      </w:r>
    </w:p>
    <w:p w14:paraId="51D2E670">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（3）合同履行期间价格的确定方法见合同条款专用部分。</w:t>
      </w:r>
    </w:p>
    <w:p w14:paraId="5E5225E9">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（4）物价波动变化幅度的计算方法见合同条款专用部分。</w:t>
      </w:r>
    </w:p>
    <w:p w14:paraId="19921411">
      <w:pPr>
        <w:spacing w:before="159"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16.1.2.3  物价波动引起价格调整的方法</w:t>
      </w:r>
    </w:p>
    <w:p w14:paraId="1733B211">
      <w:pPr>
        <w:spacing w:before="162" w:line="360" w:lineRule="auto"/>
        <w:ind w:left="29" w:right="56"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（1）第16.1.2.1目中约定的人工、</w:t>
      </w:r>
      <w:r>
        <w:rPr>
          <w:rFonts w:hint="eastAsia" w:ascii="宋体" w:hAnsi="宋体" w:cs="宋体"/>
          <w:color w:val="auto"/>
          <w:spacing w:val="4"/>
          <w:sz w:val="20"/>
          <w:szCs w:val="20"/>
          <w:highlight w:val="none"/>
        </w:rPr>
        <w:t>材料和机械台班的物价波动变化幅度超过风险幅度</w:t>
      </w:r>
      <w:r>
        <w:rPr>
          <w:rFonts w:hint="eastAsia" w:ascii="宋体" w:hAnsi="宋体" w:cs="宋体"/>
          <w:color w:val="auto"/>
          <w:spacing w:val="8"/>
          <w:sz w:val="20"/>
          <w:szCs w:val="20"/>
          <w:highlight w:val="none"/>
        </w:rPr>
        <w:t>时，价格调整方法见合同条款专用部分。</w:t>
      </w:r>
    </w:p>
    <w:p w14:paraId="0525E45E">
      <w:pPr>
        <w:spacing w:before="160"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（2）第16.1.2.1目中约定的人工的</w:t>
      </w:r>
      <w:r>
        <w:rPr>
          <w:rFonts w:hint="eastAsia" w:ascii="宋体" w:hAnsi="宋体" w:cs="宋体"/>
          <w:color w:val="auto"/>
          <w:spacing w:val="4"/>
          <w:sz w:val="20"/>
          <w:szCs w:val="20"/>
          <w:highlight w:val="none"/>
        </w:rPr>
        <w:t>物价波动变化幅度超过风险幅度时，应当计算全部</w:t>
      </w:r>
      <w:r>
        <w:rPr>
          <w:rFonts w:hint="eastAsia" w:ascii="宋体" w:hAnsi="宋体" w:cs="宋体"/>
          <w:color w:val="auto"/>
          <w:spacing w:val="9"/>
          <w:sz w:val="20"/>
          <w:szCs w:val="20"/>
          <w:highlight w:val="none"/>
        </w:rPr>
        <w:t>价格差额，其价格差额由发包人承担或受益，其价格差额只计取增值税。</w:t>
      </w:r>
    </w:p>
    <w:p w14:paraId="44F8B5BF">
      <w:pPr>
        <w:spacing w:before="161" w:line="360" w:lineRule="auto"/>
        <w:ind w:left="33" w:right="1" w:firstLine="416"/>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（3）第16.1.2.1目中约定的材料和机械</w:t>
      </w:r>
      <w:r>
        <w:rPr>
          <w:rFonts w:hint="eastAsia" w:ascii="宋体" w:hAnsi="宋体" w:cs="宋体"/>
          <w:color w:val="auto"/>
          <w:spacing w:val="4"/>
          <w:sz w:val="20"/>
          <w:szCs w:val="20"/>
          <w:highlight w:val="none"/>
        </w:rPr>
        <w:t>台班的物价波动变化幅度超过风险幅度时，应</w:t>
      </w:r>
      <w:r>
        <w:rPr>
          <w:rFonts w:hint="eastAsia" w:ascii="宋体" w:hAnsi="宋体" w:cs="宋体"/>
          <w:color w:val="auto"/>
          <w:spacing w:val="9"/>
          <w:sz w:val="20"/>
          <w:szCs w:val="20"/>
          <w:highlight w:val="none"/>
        </w:rPr>
        <w:t>当计算超过部分的价格差额，其价格差额由发包</w:t>
      </w:r>
      <w:r>
        <w:rPr>
          <w:rFonts w:hint="eastAsia" w:ascii="宋体" w:hAnsi="宋体" w:cs="宋体"/>
          <w:color w:val="auto"/>
          <w:spacing w:val="8"/>
          <w:sz w:val="20"/>
          <w:szCs w:val="20"/>
          <w:highlight w:val="none"/>
        </w:rPr>
        <w:t>人承担或受益，其价格差额只计取增值税。</w:t>
      </w:r>
    </w:p>
    <w:p w14:paraId="46A93A2C">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16.1.2.4  物价波动引起价格调</w:t>
      </w:r>
      <w:r>
        <w:rPr>
          <w:rFonts w:hint="eastAsia" w:ascii="宋体" w:hAnsi="宋体" w:cs="宋体"/>
          <w:color w:val="auto"/>
          <w:spacing w:val="7"/>
          <w:sz w:val="20"/>
          <w:szCs w:val="20"/>
          <w:highlight w:val="none"/>
        </w:rPr>
        <w:t>整的其他约定见合同条款专用部分。</w:t>
      </w:r>
    </w:p>
    <w:p w14:paraId="698ACC36">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16.1.3  物价波动引起价格调整的其他方</w:t>
      </w:r>
      <w:r>
        <w:rPr>
          <w:rFonts w:hint="eastAsia" w:ascii="宋体" w:hAnsi="宋体" w:cs="宋体"/>
          <w:color w:val="auto"/>
          <w:spacing w:val="7"/>
          <w:sz w:val="20"/>
          <w:szCs w:val="20"/>
          <w:highlight w:val="none"/>
        </w:rPr>
        <w:t>法见合同条款专用部分。</w:t>
      </w:r>
    </w:p>
    <w:p w14:paraId="14B3197C">
      <w:pPr>
        <w:spacing w:before="160"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16.1.4  不属于本条上述条款约定的引起价格调整的物价波动风险范围内的人工、材料和机械台班等，如市场价格出现异常变动,且是合同双方在订立合同时无法预见的重大变化，</w:t>
      </w:r>
      <w:r>
        <w:rPr>
          <w:rFonts w:hint="eastAsia" w:ascii="宋体" w:hAnsi="宋体" w:cs="宋体"/>
          <w:color w:val="auto"/>
          <w:spacing w:val="8"/>
          <w:sz w:val="20"/>
          <w:szCs w:val="20"/>
          <w:highlight w:val="none"/>
        </w:rPr>
        <w:t>继续履行合同对于受不利影响的合同一方明显不公平的，合同双方可按风险合理分担原则，</w:t>
      </w:r>
      <w:r>
        <w:rPr>
          <w:rFonts w:hint="eastAsia" w:ascii="宋体" w:hAnsi="宋体" w:cs="宋体"/>
          <w:color w:val="auto"/>
          <w:spacing w:val="9"/>
          <w:sz w:val="20"/>
          <w:szCs w:val="20"/>
          <w:highlight w:val="none"/>
        </w:rPr>
        <w:t>协商合同风险幅度或费用分担比例，承担相关部分的增(减)价差或据实调整合同价格。</w:t>
      </w:r>
    </w:p>
    <w:p w14:paraId="252F41CC">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16.2  法律变化引起的价格调整</w:t>
      </w:r>
    </w:p>
    <w:p w14:paraId="016E615B">
      <w:pPr>
        <w:spacing w:before="299"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在基准日后，因法律变化导致承包人在合同履行中所需要的工程费用发</w:t>
      </w:r>
      <w:r>
        <w:rPr>
          <w:rFonts w:hint="eastAsia" w:ascii="宋体" w:hAnsi="宋体" w:cs="宋体"/>
          <w:color w:val="auto"/>
          <w:spacing w:val="8"/>
          <w:sz w:val="20"/>
          <w:szCs w:val="20"/>
          <w:highlight w:val="none"/>
        </w:rPr>
        <w:t>生除第16.1款</w:t>
      </w:r>
      <w:r>
        <w:rPr>
          <w:rFonts w:hint="eastAsia" w:ascii="宋体" w:hAnsi="宋体" w:cs="宋体"/>
          <w:color w:val="auto"/>
          <w:spacing w:val="7"/>
          <w:sz w:val="20"/>
          <w:szCs w:val="20"/>
          <w:highlight w:val="none"/>
        </w:rPr>
        <w:t>约定以外的增减时，监理人应根据法律、国家或省、自治区、直辖市有关部门的规定，按第3.5</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款商定或确定需调整的合同价款。</w:t>
      </w:r>
    </w:p>
    <w:p w14:paraId="34F00AD4">
      <w:pPr>
        <w:spacing w:before="128"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17.计量与支付</w:t>
      </w:r>
    </w:p>
    <w:p w14:paraId="1F595865">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17.1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计量</w:t>
      </w:r>
    </w:p>
    <w:p w14:paraId="150A7B7F">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17.1.1  计量单位</w:t>
      </w:r>
    </w:p>
    <w:p w14:paraId="4C9431F6">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计量采用国家法定的计量单位。</w:t>
      </w:r>
    </w:p>
    <w:p w14:paraId="5475336D">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17.1.2  计量方法</w:t>
      </w:r>
    </w:p>
    <w:p w14:paraId="17B2C552">
      <w:pPr>
        <w:spacing w:before="158" w:line="360" w:lineRule="auto"/>
        <w:ind w:left="34" w:right="94" w:firstLine="40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工程量计算规则执行工程量清单中约定的计量计价标准。除合同另有约定外，承包人实</w:t>
      </w:r>
      <w:r>
        <w:rPr>
          <w:rFonts w:hint="eastAsia" w:ascii="宋体" w:hAnsi="宋体" w:cs="宋体"/>
          <w:color w:val="auto"/>
          <w:spacing w:val="9"/>
          <w:sz w:val="20"/>
          <w:szCs w:val="20"/>
          <w:highlight w:val="none"/>
        </w:rPr>
        <w:t>际完成的工程量按约定的工程量计算规则和有合同约束力的图纸进</w:t>
      </w:r>
      <w:r>
        <w:rPr>
          <w:rFonts w:hint="eastAsia" w:ascii="宋体" w:hAnsi="宋体" w:cs="宋体"/>
          <w:color w:val="auto"/>
          <w:spacing w:val="8"/>
          <w:sz w:val="20"/>
          <w:szCs w:val="20"/>
          <w:highlight w:val="none"/>
        </w:rPr>
        <w:t>行计量。</w:t>
      </w:r>
    </w:p>
    <w:p w14:paraId="25C419A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17.1.3  计量周期</w:t>
      </w:r>
    </w:p>
    <w:p w14:paraId="69CB9B22">
      <w:pPr>
        <w:spacing w:before="15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除合同条款专用部分另有约定外，计量周期按照本项</w:t>
      </w:r>
      <w:r>
        <w:rPr>
          <w:rFonts w:hint="eastAsia" w:ascii="宋体" w:hAnsi="宋体" w:cs="宋体"/>
          <w:color w:val="auto"/>
          <w:spacing w:val="8"/>
          <w:sz w:val="20"/>
          <w:szCs w:val="20"/>
          <w:highlight w:val="none"/>
        </w:rPr>
        <w:t>约定执行。</w:t>
      </w:r>
    </w:p>
    <w:p w14:paraId="28DD5741">
      <w:pPr>
        <w:spacing w:before="164" w:line="360" w:lineRule="auto"/>
        <w:ind w:left="33" w:right="92" w:firstLine="416"/>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（1）本合同的计量周期为月，当月计量截止日期（不含当日）和下月计量起始日期（含</w:t>
      </w:r>
      <w:r>
        <w:rPr>
          <w:rFonts w:hint="eastAsia" w:ascii="宋体" w:hAnsi="宋体" w:cs="宋体"/>
          <w:color w:val="auto"/>
          <w:spacing w:val="16"/>
          <w:sz w:val="20"/>
          <w:szCs w:val="20"/>
          <w:highlight w:val="none"/>
        </w:rPr>
        <w:t xml:space="preserve"> </w:t>
      </w:r>
      <w:r>
        <w:rPr>
          <w:rFonts w:hint="eastAsia" w:ascii="宋体" w:hAnsi="宋体" w:cs="宋体"/>
          <w:color w:val="auto"/>
          <w:spacing w:val="7"/>
          <w:sz w:val="20"/>
          <w:szCs w:val="20"/>
          <w:highlight w:val="none"/>
        </w:rPr>
        <w:t>当日）见合同条款专用部分。</w:t>
      </w:r>
    </w:p>
    <w:p w14:paraId="24A9F7E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（2）单价项目已完成工程量是否按月计量见</w:t>
      </w:r>
      <w:r>
        <w:rPr>
          <w:rFonts w:hint="eastAsia" w:ascii="宋体" w:hAnsi="宋体" w:cs="宋体"/>
          <w:color w:val="auto"/>
          <w:spacing w:val="8"/>
          <w:sz w:val="20"/>
          <w:szCs w:val="20"/>
          <w:highlight w:val="none"/>
        </w:rPr>
        <w:t>合同条款专用部分。</w:t>
      </w:r>
    </w:p>
    <w:p w14:paraId="234822C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（3）总价项目计量方法见合同条款专用部分。</w:t>
      </w:r>
    </w:p>
    <w:p w14:paraId="32DDFBAF">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17.1.4  单价项目的计量</w:t>
      </w:r>
    </w:p>
    <w:p w14:paraId="2461E903">
      <w:pPr>
        <w:spacing w:before="161" w:line="360" w:lineRule="auto"/>
        <w:ind w:left="24" w:right="144"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（1）合同清单中的单价项目工程量为估算工程量。结算工程量是承包人实际完成的，并按合同约定的计量方法进行计量的工程量。</w:t>
      </w:r>
    </w:p>
    <w:p w14:paraId="61E7BEB8">
      <w:pPr>
        <w:spacing w:before="159"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（2）承包人对已完成的工程进行计量，向监理人提交进度付</w:t>
      </w:r>
      <w:r>
        <w:rPr>
          <w:rFonts w:hint="eastAsia" w:ascii="宋体" w:hAnsi="宋体" w:cs="宋体"/>
          <w:color w:val="auto"/>
          <w:spacing w:val="9"/>
          <w:sz w:val="20"/>
          <w:szCs w:val="20"/>
          <w:highlight w:val="none"/>
        </w:rPr>
        <w:t>款申请单、已完成工程量</w:t>
      </w:r>
      <w:r>
        <w:rPr>
          <w:rFonts w:hint="eastAsia" w:ascii="宋体" w:hAnsi="宋体" w:cs="宋体"/>
          <w:color w:val="auto"/>
          <w:spacing w:val="8"/>
          <w:sz w:val="20"/>
          <w:szCs w:val="20"/>
          <w:highlight w:val="none"/>
        </w:rPr>
        <w:t>报表和有关计量资料。</w:t>
      </w:r>
    </w:p>
    <w:p w14:paraId="53706E18">
      <w:pPr>
        <w:spacing w:before="161"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w:t>
      </w:r>
      <w:r>
        <w:rPr>
          <w:rFonts w:hint="eastAsia" w:ascii="宋体" w:hAnsi="宋体" w:cs="宋体"/>
          <w:color w:val="auto"/>
          <w:spacing w:val="9"/>
          <w:sz w:val="20"/>
          <w:szCs w:val="20"/>
          <w:highlight w:val="none"/>
        </w:rPr>
        <w:t>际完成的工程量。对数量</w:t>
      </w:r>
      <w:r>
        <w:rPr>
          <w:rFonts w:hint="eastAsia" w:ascii="宋体" w:hAnsi="宋体" w:cs="宋体"/>
          <w:color w:val="auto"/>
          <w:spacing w:val="7"/>
          <w:sz w:val="20"/>
          <w:szCs w:val="20"/>
          <w:highlight w:val="none"/>
        </w:rPr>
        <w:t>有异议的，可要求承包人按第</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8.2</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款约定进行共同复核和抽样复</w:t>
      </w:r>
      <w:r>
        <w:rPr>
          <w:rFonts w:hint="eastAsia" w:ascii="宋体" w:hAnsi="宋体" w:cs="宋体"/>
          <w:color w:val="auto"/>
          <w:spacing w:val="6"/>
          <w:sz w:val="20"/>
          <w:szCs w:val="20"/>
          <w:highlight w:val="none"/>
        </w:rPr>
        <w:t>测。承包人应协助监理人进</w:t>
      </w:r>
      <w:r>
        <w:rPr>
          <w:rFonts w:hint="eastAsia" w:ascii="宋体" w:hAnsi="宋体" w:cs="宋体"/>
          <w:color w:val="auto"/>
          <w:spacing w:val="8"/>
          <w:sz w:val="20"/>
          <w:szCs w:val="20"/>
          <w:highlight w:val="none"/>
        </w:rPr>
        <w:t>行复核并按监理人要求提供补充计量资料。</w:t>
      </w:r>
      <w:r>
        <w:rPr>
          <w:rFonts w:hint="eastAsia" w:ascii="宋体" w:hAnsi="宋体" w:cs="宋体"/>
          <w:color w:val="auto"/>
          <w:spacing w:val="7"/>
          <w:sz w:val="20"/>
          <w:szCs w:val="20"/>
          <w:highlight w:val="none"/>
        </w:rPr>
        <w:t>承包人未按监理人要求参加复核，监理人复核或</w:t>
      </w:r>
      <w:r>
        <w:rPr>
          <w:rFonts w:hint="eastAsia" w:ascii="宋体" w:hAnsi="宋体" w:cs="宋体"/>
          <w:color w:val="auto"/>
          <w:spacing w:val="9"/>
          <w:sz w:val="20"/>
          <w:szCs w:val="20"/>
          <w:highlight w:val="none"/>
        </w:rPr>
        <w:t>修正的工程量视为承包人实际完成的工程量。</w:t>
      </w:r>
    </w:p>
    <w:p w14:paraId="36D398F8">
      <w:pPr>
        <w:spacing w:before="161"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（4）监理人认为有必要时，可通知承包人共同进行联合测量</w:t>
      </w:r>
      <w:r>
        <w:rPr>
          <w:rFonts w:hint="eastAsia" w:ascii="宋体" w:hAnsi="宋体" w:cs="宋体"/>
          <w:color w:val="auto"/>
          <w:spacing w:val="9"/>
          <w:sz w:val="20"/>
          <w:szCs w:val="20"/>
          <w:highlight w:val="none"/>
        </w:rPr>
        <w:t>、计量，承包人应遵照执</w:t>
      </w:r>
      <w:r>
        <w:rPr>
          <w:rFonts w:hint="eastAsia" w:ascii="宋体" w:hAnsi="宋体" w:cs="宋体"/>
          <w:color w:val="auto"/>
          <w:spacing w:val="-2"/>
          <w:sz w:val="20"/>
          <w:szCs w:val="20"/>
          <w:highlight w:val="none"/>
        </w:rPr>
        <w:t>行。</w:t>
      </w:r>
    </w:p>
    <w:p w14:paraId="2427898C">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（5）承包人完成工程量清单中每个项目的工程量后，监理人</w:t>
      </w:r>
      <w:r>
        <w:rPr>
          <w:rFonts w:hint="eastAsia" w:ascii="宋体" w:hAnsi="宋体" w:cs="宋体"/>
          <w:color w:val="auto"/>
          <w:spacing w:val="9"/>
          <w:sz w:val="20"/>
          <w:szCs w:val="20"/>
          <w:highlight w:val="none"/>
        </w:rPr>
        <w:t>应要求承包人派员共同对</w:t>
      </w:r>
      <w:r>
        <w:rPr>
          <w:rFonts w:hint="eastAsia" w:ascii="宋体" w:hAnsi="宋体" w:cs="宋体"/>
          <w:color w:val="auto"/>
          <w:spacing w:val="8"/>
          <w:sz w:val="20"/>
          <w:szCs w:val="20"/>
          <w:highlight w:val="none"/>
        </w:rPr>
        <w:t>每个项目的历次计量报表进行汇总，以核实最终结</w:t>
      </w:r>
      <w:r>
        <w:rPr>
          <w:rFonts w:hint="eastAsia" w:ascii="宋体" w:hAnsi="宋体" w:cs="宋体"/>
          <w:color w:val="auto"/>
          <w:spacing w:val="7"/>
          <w:sz w:val="20"/>
          <w:szCs w:val="20"/>
          <w:highlight w:val="none"/>
        </w:rPr>
        <w:t>算工程量。监理人可要求承包人提供补充</w:t>
      </w:r>
      <w:r>
        <w:rPr>
          <w:rFonts w:hint="eastAsia" w:ascii="宋体" w:hAnsi="宋体" w:cs="宋体"/>
          <w:color w:val="auto"/>
          <w:spacing w:val="8"/>
          <w:sz w:val="20"/>
          <w:szCs w:val="20"/>
          <w:highlight w:val="none"/>
        </w:rPr>
        <w:t>计量资料，以确定最后一次进度付款的准确工程量</w:t>
      </w:r>
      <w:r>
        <w:rPr>
          <w:rFonts w:hint="eastAsia" w:ascii="宋体" w:hAnsi="宋体" w:cs="宋体"/>
          <w:color w:val="auto"/>
          <w:spacing w:val="7"/>
          <w:sz w:val="20"/>
          <w:szCs w:val="20"/>
          <w:highlight w:val="none"/>
        </w:rPr>
        <w:t>。承包人未按监理人要求派员参加的，监</w:t>
      </w:r>
      <w:r>
        <w:rPr>
          <w:rFonts w:hint="eastAsia" w:ascii="宋体" w:hAnsi="宋体" w:cs="宋体"/>
          <w:color w:val="auto"/>
          <w:spacing w:val="9"/>
          <w:sz w:val="20"/>
          <w:szCs w:val="20"/>
          <w:highlight w:val="none"/>
        </w:rPr>
        <w:t>理人最终核实的工程量视为承包人完成该项目的准确工程量。</w:t>
      </w:r>
    </w:p>
    <w:p w14:paraId="43089E0D">
      <w:pPr>
        <w:spacing w:before="161"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人未在约定时间内复核的，承包人提交的工程量报表中的</w:t>
      </w:r>
      <w:r>
        <w:rPr>
          <w:rFonts w:hint="eastAsia" w:ascii="宋体" w:hAnsi="宋体" w:cs="宋体"/>
          <w:color w:val="auto"/>
          <w:spacing w:val="7"/>
          <w:sz w:val="20"/>
          <w:szCs w:val="20"/>
          <w:highlight w:val="none"/>
        </w:rPr>
        <w:t>工程量视为承包人实际完成的工程量，据此计</w:t>
      </w:r>
      <w:r>
        <w:rPr>
          <w:rFonts w:hint="eastAsia" w:ascii="宋体" w:hAnsi="宋体" w:cs="宋体"/>
          <w:color w:val="auto"/>
          <w:spacing w:val="6"/>
          <w:sz w:val="20"/>
          <w:szCs w:val="20"/>
          <w:highlight w:val="none"/>
        </w:rPr>
        <w:t>算工程价款。</w:t>
      </w:r>
    </w:p>
    <w:p w14:paraId="1E0C9DCD">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17.1.5  总价项目的计量（适用于采用支付分解报告）</w:t>
      </w:r>
    </w:p>
    <w:p w14:paraId="3753D5BD">
      <w:pPr>
        <w:spacing w:before="273" w:line="360" w:lineRule="auto"/>
        <w:ind w:left="19" w:right="3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总价项目按照有合同约束力的支付分解表支付。承包人应根据合同条款第10条</w:t>
      </w:r>
      <w:r>
        <w:rPr>
          <w:rFonts w:hint="eastAsia" w:ascii="宋体" w:hAnsi="宋体" w:cs="宋体"/>
          <w:color w:val="auto"/>
          <w:spacing w:val="8"/>
          <w:sz w:val="20"/>
          <w:szCs w:val="20"/>
          <w:highlight w:val="none"/>
        </w:rPr>
        <w:t>约定的合同进度计划和总价项目的总价构成、费用性</w:t>
      </w:r>
      <w:r>
        <w:rPr>
          <w:rFonts w:hint="eastAsia" w:ascii="宋体" w:hAnsi="宋体" w:cs="宋体"/>
          <w:color w:val="auto"/>
          <w:spacing w:val="7"/>
          <w:sz w:val="20"/>
          <w:szCs w:val="20"/>
          <w:highlight w:val="none"/>
        </w:rPr>
        <w:t>质、计划发生时间和相应工作量等因素对各个</w:t>
      </w:r>
      <w:r>
        <w:rPr>
          <w:rFonts w:hint="eastAsia" w:ascii="宋体" w:hAnsi="宋体" w:cs="宋体"/>
          <w:color w:val="auto"/>
          <w:spacing w:val="8"/>
          <w:sz w:val="20"/>
          <w:szCs w:val="20"/>
          <w:highlight w:val="none"/>
        </w:rPr>
        <w:t>总价项目的总价按月进行分解，形成支付分解报告</w:t>
      </w:r>
      <w:r>
        <w:rPr>
          <w:rFonts w:hint="eastAsia" w:ascii="宋体" w:hAnsi="宋体" w:cs="宋体"/>
          <w:color w:val="auto"/>
          <w:spacing w:val="7"/>
          <w:sz w:val="20"/>
          <w:szCs w:val="20"/>
          <w:highlight w:val="none"/>
        </w:rPr>
        <w:t>。承包人应当在收到经过监理人批复的合同进度计划后7天内，将支付分解报告以及形成支付分解报告的</w:t>
      </w:r>
      <w:r>
        <w:rPr>
          <w:rFonts w:hint="eastAsia" w:ascii="宋体" w:hAnsi="宋体" w:cs="宋体"/>
          <w:color w:val="auto"/>
          <w:spacing w:val="6"/>
          <w:sz w:val="20"/>
          <w:szCs w:val="20"/>
          <w:highlight w:val="none"/>
        </w:rPr>
        <w:t>分项计量和总价分解等支持</w:t>
      </w:r>
      <w:r>
        <w:rPr>
          <w:rFonts w:hint="eastAsia" w:ascii="宋体" w:hAnsi="宋体" w:cs="宋体"/>
          <w:color w:val="auto"/>
          <w:spacing w:val="7"/>
          <w:sz w:val="20"/>
          <w:szCs w:val="20"/>
          <w:highlight w:val="none"/>
        </w:rPr>
        <w:t>性资料报监理人审批，监理人应当在收到承包人报送的支付分解</w:t>
      </w:r>
      <w:r>
        <w:rPr>
          <w:rFonts w:hint="eastAsia" w:ascii="宋体" w:hAnsi="宋体" w:cs="宋体"/>
          <w:color w:val="auto"/>
          <w:spacing w:val="6"/>
          <w:sz w:val="20"/>
          <w:szCs w:val="20"/>
          <w:highlight w:val="none"/>
        </w:rPr>
        <w:t>报告后7天内给予批复或提</w:t>
      </w:r>
      <w:r>
        <w:rPr>
          <w:rFonts w:hint="eastAsia" w:ascii="宋体" w:hAnsi="宋体" w:cs="宋体"/>
          <w:color w:val="auto"/>
          <w:spacing w:val="8"/>
          <w:sz w:val="20"/>
          <w:szCs w:val="20"/>
          <w:highlight w:val="none"/>
        </w:rPr>
        <w:t>出修改意见，经监理人批准的支付分解报告为有合同</w:t>
      </w:r>
      <w:r>
        <w:rPr>
          <w:rFonts w:hint="eastAsia" w:ascii="宋体" w:hAnsi="宋体" w:cs="宋体"/>
          <w:color w:val="auto"/>
          <w:spacing w:val="7"/>
          <w:sz w:val="20"/>
          <w:szCs w:val="20"/>
          <w:highlight w:val="none"/>
        </w:rPr>
        <w:t>约束力的支付分解表。支付分解表应根</w:t>
      </w:r>
      <w:r>
        <w:rPr>
          <w:rFonts w:hint="eastAsia" w:ascii="宋体" w:hAnsi="宋体" w:cs="宋体"/>
          <w:color w:val="auto"/>
          <w:spacing w:val="9"/>
          <w:sz w:val="20"/>
          <w:szCs w:val="20"/>
          <w:highlight w:val="none"/>
        </w:rPr>
        <w:t>据合同条款第10.2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款约定的修订合同进度计划进行修正，修正的程序和</w:t>
      </w:r>
      <w:r>
        <w:rPr>
          <w:rFonts w:hint="eastAsia" w:ascii="宋体" w:hAnsi="宋体" w:cs="宋体"/>
          <w:color w:val="auto"/>
          <w:spacing w:val="8"/>
          <w:sz w:val="20"/>
          <w:szCs w:val="20"/>
          <w:highlight w:val="none"/>
        </w:rPr>
        <w:t>期限应当依照本项</w:t>
      </w:r>
      <w:r>
        <w:rPr>
          <w:rFonts w:hint="eastAsia" w:ascii="宋体" w:hAnsi="宋体" w:cs="宋体"/>
          <w:color w:val="auto"/>
          <w:spacing w:val="9"/>
          <w:sz w:val="20"/>
          <w:szCs w:val="20"/>
          <w:highlight w:val="none"/>
        </w:rPr>
        <w:t>上述约定，经修正的支付分解表为有合同约束力的支付分解表。</w:t>
      </w:r>
    </w:p>
    <w:p w14:paraId="22A8D968">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（1）总价项目的价格调整方法见合同条款专用部分。</w:t>
      </w:r>
    </w:p>
    <w:p w14:paraId="1660ED1E">
      <w:pPr>
        <w:spacing w:before="153"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（2）列入每月进度付款申请单中各总价项目的价值为有合同约束</w:t>
      </w:r>
      <w:r>
        <w:rPr>
          <w:rFonts w:hint="eastAsia" w:ascii="宋体" w:hAnsi="宋体" w:cs="宋体"/>
          <w:color w:val="auto"/>
          <w:spacing w:val="9"/>
          <w:sz w:val="20"/>
          <w:szCs w:val="20"/>
          <w:highlight w:val="none"/>
        </w:rPr>
        <w:t>力的支付分解表中对</w:t>
      </w:r>
      <w:r>
        <w:rPr>
          <w:rFonts w:hint="eastAsia" w:ascii="宋体" w:hAnsi="宋体" w:cs="宋体"/>
          <w:color w:val="auto"/>
          <w:spacing w:val="8"/>
          <w:sz w:val="20"/>
          <w:szCs w:val="20"/>
          <w:highlight w:val="none"/>
        </w:rPr>
        <w:t>应月份的总价项目总价值。</w:t>
      </w:r>
    </w:p>
    <w:p w14:paraId="1273A208">
      <w:pPr>
        <w:spacing w:before="156" w:line="360" w:lineRule="auto"/>
        <w:ind w:left="59" w:right="39" w:firstLine="39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（3）监理人根据有合同约束力的支付分解表复核列入每月进</w:t>
      </w:r>
      <w:r>
        <w:rPr>
          <w:rFonts w:hint="eastAsia" w:ascii="宋体" w:hAnsi="宋体" w:cs="宋体"/>
          <w:color w:val="auto"/>
          <w:spacing w:val="9"/>
          <w:sz w:val="20"/>
          <w:szCs w:val="20"/>
          <w:highlight w:val="none"/>
        </w:rPr>
        <w:t>度付款申请单中的总价项</w:t>
      </w:r>
      <w:r>
        <w:rPr>
          <w:rFonts w:hint="eastAsia" w:ascii="宋体" w:hAnsi="宋体" w:cs="宋体"/>
          <w:color w:val="auto"/>
          <w:spacing w:val="-1"/>
          <w:sz w:val="20"/>
          <w:szCs w:val="20"/>
          <w:highlight w:val="none"/>
        </w:rPr>
        <w:t>目的总价值。</w:t>
      </w:r>
    </w:p>
    <w:p w14:paraId="44A8F7F3">
      <w:pPr>
        <w:spacing w:before="4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（4）除按照第15条约定的变更外，在竣工结算时总价项目的工程量不应当重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534F6478">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17.1.5  总价项目的计量（适用于采</w:t>
      </w:r>
      <w:r>
        <w:rPr>
          <w:rFonts w:hint="eastAsia" w:ascii="宋体" w:hAnsi="宋体" w:cs="宋体"/>
          <w:color w:val="auto"/>
          <w:spacing w:val="7"/>
          <w:sz w:val="20"/>
          <w:szCs w:val="20"/>
          <w:highlight w:val="none"/>
        </w:rPr>
        <w:t>用按实际完成工程量计量）</w:t>
      </w:r>
    </w:p>
    <w:p w14:paraId="1F8AEA6C">
      <w:pPr>
        <w:spacing w:before="164" w:line="360" w:lineRule="auto"/>
        <w:ind w:left="23" w:right="39"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（1）总价项目的计量和支付应以总价为基础，对承包人实际</w:t>
      </w:r>
      <w:r>
        <w:rPr>
          <w:rFonts w:hint="eastAsia" w:ascii="宋体" w:hAnsi="宋体" w:cs="宋体"/>
          <w:color w:val="auto"/>
          <w:spacing w:val="9"/>
          <w:sz w:val="20"/>
          <w:szCs w:val="20"/>
          <w:highlight w:val="none"/>
        </w:rPr>
        <w:t>完成的工程量进行计量，</w:t>
      </w:r>
      <w:r>
        <w:rPr>
          <w:rFonts w:hint="eastAsia" w:ascii="宋体" w:hAnsi="宋体" w:cs="宋体"/>
          <w:color w:val="auto"/>
          <w:spacing w:val="7"/>
          <w:sz w:val="20"/>
          <w:szCs w:val="20"/>
          <w:highlight w:val="none"/>
        </w:rPr>
        <w:t>是进行工程目标管理和控制进度款支付的依据。总价项目的价格调整方法见合同条款专用部</w:t>
      </w:r>
      <w:r>
        <w:rPr>
          <w:rFonts w:hint="eastAsia" w:ascii="宋体" w:hAnsi="宋体" w:cs="宋体"/>
          <w:color w:val="auto"/>
          <w:spacing w:val="-2"/>
          <w:sz w:val="20"/>
          <w:szCs w:val="20"/>
          <w:highlight w:val="none"/>
        </w:rPr>
        <w:t>分。</w:t>
      </w:r>
    </w:p>
    <w:p w14:paraId="3FEE7975">
      <w:pPr>
        <w:spacing w:before="159"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（2）承包人在合同条款专用部分第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17.1.3（1）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目约定的每月计量截止日期后</w:t>
      </w:r>
      <w:r>
        <w:rPr>
          <w:rFonts w:hint="eastAsia" w:ascii="宋体" w:hAnsi="宋体" w:cs="宋体"/>
          <w:color w:val="auto"/>
          <w:spacing w:val="7"/>
          <w:sz w:val="20"/>
          <w:szCs w:val="20"/>
          <w:highlight w:val="none"/>
        </w:rPr>
        <w:t>，对已</w:t>
      </w:r>
      <w:r>
        <w:rPr>
          <w:rFonts w:hint="eastAsia" w:ascii="宋体" w:hAnsi="宋体" w:cs="宋体"/>
          <w:color w:val="auto"/>
          <w:spacing w:val="9"/>
          <w:sz w:val="20"/>
          <w:szCs w:val="20"/>
          <w:highlight w:val="none"/>
        </w:rPr>
        <w:t>完成的分部分项工程项目的项目，按照合同条</w:t>
      </w:r>
      <w:r>
        <w:rPr>
          <w:rFonts w:hint="eastAsia" w:ascii="宋体" w:hAnsi="宋体" w:cs="宋体"/>
          <w:color w:val="auto"/>
          <w:spacing w:val="8"/>
          <w:sz w:val="20"/>
          <w:szCs w:val="20"/>
          <w:highlight w:val="none"/>
        </w:rPr>
        <w:t>款第17.1.2项约定的计量方法进行计量，对已完成的措施项目的相关项目，按其总价构成</w:t>
      </w:r>
      <w:r>
        <w:rPr>
          <w:rFonts w:hint="eastAsia" w:ascii="宋体" w:hAnsi="宋体" w:cs="宋体"/>
          <w:color w:val="auto"/>
          <w:spacing w:val="7"/>
          <w:sz w:val="20"/>
          <w:szCs w:val="20"/>
          <w:highlight w:val="none"/>
        </w:rPr>
        <w:t>、费用性质和实际发生比例进行计量，向监理</w:t>
      </w:r>
      <w:r>
        <w:rPr>
          <w:rFonts w:hint="eastAsia" w:ascii="宋体" w:hAnsi="宋体" w:cs="宋体"/>
          <w:color w:val="auto"/>
          <w:spacing w:val="9"/>
          <w:sz w:val="20"/>
          <w:szCs w:val="20"/>
          <w:highlight w:val="none"/>
        </w:rPr>
        <w:t>人提交进度付款申请单、已完成工程量报表和有关计量资料。</w:t>
      </w:r>
    </w:p>
    <w:p w14:paraId="57A70C67">
      <w:pPr>
        <w:spacing w:before="161"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（3）监理人对承包人提交的工程量报表进行复核，以确定实际完</w:t>
      </w:r>
      <w:r>
        <w:rPr>
          <w:rFonts w:hint="eastAsia" w:ascii="宋体" w:hAnsi="宋体" w:cs="宋体"/>
          <w:color w:val="auto"/>
          <w:spacing w:val="9"/>
          <w:sz w:val="20"/>
          <w:szCs w:val="20"/>
          <w:highlight w:val="none"/>
        </w:rPr>
        <w:t>成的工程量。对数量</w:t>
      </w:r>
      <w:r>
        <w:rPr>
          <w:rFonts w:hint="eastAsia" w:ascii="宋体" w:hAnsi="宋体" w:cs="宋体"/>
          <w:color w:val="auto"/>
          <w:spacing w:val="8"/>
          <w:sz w:val="20"/>
          <w:szCs w:val="20"/>
          <w:highlight w:val="none"/>
        </w:rPr>
        <w:t>有异议的，可要求承包人进行共同复核。承</w:t>
      </w:r>
      <w:r>
        <w:rPr>
          <w:rFonts w:hint="eastAsia" w:ascii="宋体" w:hAnsi="宋体" w:cs="宋体"/>
          <w:color w:val="auto"/>
          <w:spacing w:val="7"/>
          <w:sz w:val="20"/>
          <w:szCs w:val="20"/>
          <w:highlight w:val="none"/>
        </w:rPr>
        <w:t>包人应协助监理人进行复核并按监理人要求提供</w:t>
      </w:r>
      <w:r>
        <w:rPr>
          <w:rFonts w:hint="eastAsia" w:ascii="宋体" w:hAnsi="宋体" w:cs="宋体"/>
          <w:color w:val="auto"/>
          <w:spacing w:val="8"/>
          <w:sz w:val="20"/>
          <w:szCs w:val="20"/>
          <w:highlight w:val="none"/>
        </w:rPr>
        <w:t>补充计量资料。承包人未按监理人要求参加</w:t>
      </w:r>
      <w:r>
        <w:rPr>
          <w:rFonts w:hint="eastAsia" w:ascii="宋体" w:hAnsi="宋体" w:cs="宋体"/>
          <w:color w:val="auto"/>
          <w:spacing w:val="7"/>
          <w:sz w:val="20"/>
          <w:szCs w:val="20"/>
          <w:highlight w:val="none"/>
        </w:rPr>
        <w:t>复核，监理人复核或修正的工程量视为承包人实际完成的工程量。</w:t>
      </w:r>
    </w:p>
    <w:p w14:paraId="62473C62">
      <w:pPr>
        <w:spacing w:before="159" w:line="360" w:lineRule="auto"/>
        <w:ind w:left="29" w:right="3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w:t>
      </w:r>
      <w:r>
        <w:rPr>
          <w:rFonts w:hint="eastAsia" w:ascii="宋体" w:hAnsi="宋体" w:cs="宋体"/>
          <w:color w:val="auto"/>
          <w:spacing w:val="7"/>
          <w:sz w:val="20"/>
          <w:szCs w:val="20"/>
          <w:highlight w:val="none"/>
        </w:rPr>
        <w:t>时间内复核的，承包人提交的工程量报表中的工程量视为承包人实际完成的工程量，据此计</w:t>
      </w:r>
      <w:r>
        <w:rPr>
          <w:rFonts w:hint="eastAsia" w:ascii="宋体" w:hAnsi="宋体" w:cs="宋体"/>
          <w:color w:val="auto"/>
          <w:spacing w:val="6"/>
          <w:sz w:val="20"/>
          <w:szCs w:val="20"/>
          <w:highlight w:val="none"/>
        </w:rPr>
        <w:t>算工程价款。</w:t>
      </w:r>
    </w:p>
    <w:p w14:paraId="3FA457CB">
      <w:pPr>
        <w:spacing w:before="163" w:line="360" w:lineRule="auto"/>
        <w:ind w:left="19" w:right="1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（5）除按照第15</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47078967">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17.2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预付款</w:t>
      </w:r>
    </w:p>
    <w:p w14:paraId="6CBE0632">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17.2.1</w:t>
      </w:r>
      <w:r>
        <w:rPr>
          <w:rFonts w:hint="eastAsia" w:ascii="宋体" w:hAnsi="宋体" w:cs="宋体"/>
          <w:color w:val="auto"/>
          <w:spacing w:val="13"/>
          <w:sz w:val="20"/>
          <w:szCs w:val="20"/>
          <w:highlight w:val="none"/>
        </w:rPr>
        <w:t xml:space="preserve">  </w:t>
      </w:r>
      <w:r>
        <w:rPr>
          <w:rFonts w:hint="eastAsia" w:ascii="宋体" w:hAnsi="宋体" w:cs="宋体"/>
          <w:color w:val="auto"/>
          <w:spacing w:val="2"/>
          <w:sz w:val="20"/>
          <w:szCs w:val="20"/>
          <w:highlight w:val="none"/>
        </w:rPr>
        <w:t>预付款</w:t>
      </w:r>
    </w:p>
    <w:p w14:paraId="6BCDE33F">
      <w:pPr>
        <w:spacing w:before="161" w:line="360" w:lineRule="auto"/>
        <w:ind w:left="19" w:right="156"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预付款用于承包人为合同工程施工购置材料、施工设备、修建临时设施以及组织施工队</w:t>
      </w:r>
      <w:r>
        <w:rPr>
          <w:rFonts w:hint="eastAsia" w:ascii="宋体" w:hAnsi="宋体" w:cs="宋体"/>
          <w:color w:val="auto"/>
          <w:spacing w:val="8"/>
          <w:sz w:val="20"/>
          <w:szCs w:val="20"/>
          <w:highlight w:val="none"/>
        </w:rPr>
        <w:t>伍进场等。预付款必须专用于合同工程。预付款的额</w:t>
      </w:r>
      <w:r>
        <w:rPr>
          <w:rFonts w:hint="eastAsia" w:ascii="宋体" w:hAnsi="宋体" w:cs="宋体"/>
          <w:color w:val="auto"/>
          <w:spacing w:val="7"/>
          <w:sz w:val="20"/>
          <w:szCs w:val="20"/>
          <w:highlight w:val="none"/>
        </w:rPr>
        <w:t>度和预付办法以及支付时间见合同条款</w:t>
      </w:r>
      <w:r>
        <w:rPr>
          <w:rFonts w:hint="eastAsia" w:ascii="宋体" w:hAnsi="宋体" w:cs="宋体"/>
          <w:color w:val="auto"/>
          <w:spacing w:val="6"/>
          <w:sz w:val="20"/>
          <w:szCs w:val="20"/>
          <w:highlight w:val="none"/>
        </w:rPr>
        <w:t>专用部分。</w:t>
      </w:r>
    </w:p>
    <w:p w14:paraId="255D5284">
      <w:pPr>
        <w:spacing w:line="360" w:lineRule="auto"/>
        <w:ind w:left="4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安全生产标准化措施费预付款额度及方式见合同条款专用部分。</w:t>
      </w:r>
    </w:p>
    <w:p w14:paraId="53605756">
      <w:pPr>
        <w:spacing w:before="163" w:line="360" w:lineRule="auto"/>
        <w:ind w:left="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预付款额度及安全生产标准化措施费预付款额度均应满足相应规定。</w:t>
      </w:r>
    </w:p>
    <w:p w14:paraId="1E6D1260">
      <w:pPr>
        <w:spacing w:before="159" w:line="360" w:lineRule="auto"/>
        <w:ind w:left="21" w:right="156" w:firstLine="421"/>
        <w:rPr>
          <w:rFonts w:hint="eastAsia" w:ascii="宋体" w:hAnsi="宋体" w:cs="宋体"/>
          <w:color w:val="auto"/>
          <w:spacing w:val="7"/>
          <w:sz w:val="20"/>
          <w:szCs w:val="20"/>
          <w:highlight w:val="none"/>
        </w:rPr>
      </w:pPr>
      <w:r>
        <w:rPr>
          <w:rFonts w:hint="eastAsia" w:ascii="宋体" w:hAnsi="宋体" w:cs="宋体"/>
          <w:color w:val="auto"/>
          <w:spacing w:val="9"/>
          <w:sz w:val="20"/>
          <w:szCs w:val="20"/>
          <w:highlight w:val="none"/>
        </w:rPr>
        <w:t>发包人逾期支付合同约定的预付款，除承担第</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38"/>
          <w:sz w:val="20"/>
          <w:szCs w:val="20"/>
          <w:highlight w:val="none"/>
        </w:rPr>
        <w:t xml:space="preserve"> </w:t>
      </w:r>
      <w:r>
        <w:rPr>
          <w:rFonts w:hint="eastAsia" w:ascii="宋体" w:hAnsi="宋体" w:cs="宋体"/>
          <w:color w:val="auto"/>
          <w:spacing w:val="9"/>
          <w:sz w:val="20"/>
          <w:szCs w:val="20"/>
          <w:highlight w:val="none"/>
        </w:rPr>
        <w:t>款约定的违约责任外，还应向承包</w:t>
      </w:r>
      <w:r>
        <w:rPr>
          <w:rFonts w:hint="eastAsia" w:ascii="宋体" w:hAnsi="宋体" w:cs="宋体"/>
          <w:color w:val="auto"/>
          <w:spacing w:val="7"/>
          <w:sz w:val="20"/>
          <w:szCs w:val="20"/>
          <w:highlight w:val="none"/>
        </w:rPr>
        <w:t>人支付按第17.3.3(2)目约定的标准和方法计算的逾期付款违约金。</w:t>
      </w:r>
    </w:p>
    <w:p w14:paraId="68DEF843">
      <w:pPr>
        <w:spacing w:before="295" w:line="360" w:lineRule="auto"/>
        <w:ind w:left="455"/>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17.2.2  预付款的扣回与还清</w:t>
      </w:r>
    </w:p>
    <w:p w14:paraId="724CAE10">
      <w:pPr>
        <w:spacing w:before="163" w:line="360" w:lineRule="auto"/>
        <w:ind w:left="21" w:right="10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预付款在进度付款中按照合同约定扣回。在颁发工程接收证书前，由于不可抗力或其他</w:t>
      </w:r>
      <w:r>
        <w:rPr>
          <w:rFonts w:hint="eastAsia" w:ascii="宋体" w:hAnsi="宋体" w:cs="宋体"/>
          <w:color w:val="auto"/>
          <w:spacing w:val="9"/>
          <w:sz w:val="20"/>
          <w:szCs w:val="20"/>
          <w:highlight w:val="none"/>
        </w:rPr>
        <w:t>原因解除合同时，预付款尚未扣清的，尚未扣清的预付款余额应作为承包</w:t>
      </w:r>
      <w:r>
        <w:rPr>
          <w:rFonts w:hint="eastAsia" w:ascii="宋体" w:hAnsi="宋体" w:cs="宋体"/>
          <w:color w:val="auto"/>
          <w:spacing w:val="8"/>
          <w:sz w:val="20"/>
          <w:szCs w:val="20"/>
          <w:highlight w:val="none"/>
        </w:rPr>
        <w:t>人的到期应付款。预付款扣回办法见合同条款专用部分。</w:t>
      </w:r>
    </w:p>
    <w:p w14:paraId="7DFA9A08">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17.3  工程进度付款</w:t>
      </w:r>
    </w:p>
    <w:p w14:paraId="294F18BF">
      <w:pPr>
        <w:spacing w:before="298"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17.3.1  付款周期</w:t>
      </w:r>
    </w:p>
    <w:p w14:paraId="13468D70">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付款周期同计量周期。</w:t>
      </w:r>
    </w:p>
    <w:p w14:paraId="10FECF0E">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17.3.2  进度付款申请单</w:t>
      </w:r>
    </w:p>
    <w:p w14:paraId="1AB184D1">
      <w:pPr>
        <w:spacing w:before="161" w:line="360" w:lineRule="auto"/>
        <w:ind w:left="19" w:right="1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承包人应在每个付款周期末，按监理人批准的格式和合同约定的份数，向监理人提交进</w:t>
      </w:r>
      <w:r>
        <w:rPr>
          <w:rFonts w:hint="eastAsia" w:ascii="宋体" w:hAnsi="宋体" w:cs="宋体"/>
          <w:color w:val="auto"/>
          <w:spacing w:val="8"/>
          <w:sz w:val="20"/>
          <w:szCs w:val="20"/>
          <w:highlight w:val="none"/>
        </w:rPr>
        <w:t>度付款申请单，并附相应的支持性证明文件。</w:t>
      </w:r>
      <w:r>
        <w:rPr>
          <w:rFonts w:hint="eastAsia" w:ascii="宋体" w:hAnsi="宋体" w:cs="宋体"/>
          <w:color w:val="auto"/>
          <w:spacing w:val="7"/>
          <w:sz w:val="20"/>
          <w:szCs w:val="20"/>
          <w:highlight w:val="none"/>
        </w:rPr>
        <w:t>承包人提交进度付款申请单份数见合同条款专</w:t>
      </w:r>
      <w:r>
        <w:rPr>
          <w:rFonts w:hint="eastAsia" w:ascii="宋体" w:hAnsi="宋体" w:cs="宋体"/>
          <w:color w:val="auto"/>
          <w:spacing w:val="5"/>
          <w:sz w:val="20"/>
          <w:szCs w:val="20"/>
          <w:highlight w:val="none"/>
        </w:rPr>
        <w:t>用部分。</w:t>
      </w:r>
    </w:p>
    <w:p w14:paraId="55ECE510">
      <w:pPr>
        <w:spacing w:before="1" w:line="360" w:lineRule="auto"/>
        <w:jc w:val="left"/>
        <w:rPr>
          <w:rFonts w:hint="eastAsia" w:ascii="宋体" w:hAnsi="宋体" w:cs="宋体"/>
          <w:color w:val="auto"/>
          <w:sz w:val="20"/>
          <w:szCs w:val="20"/>
          <w:highlight w:val="none"/>
        </w:rPr>
      </w:pPr>
      <w:r>
        <w:rPr>
          <w:rFonts w:hint="eastAsia" w:ascii="宋体" w:hAnsi="宋体" w:cs="宋体"/>
          <w:color w:val="auto"/>
          <w:spacing w:val="6"/>
          <w:sz w:val="20"/>
          <w:szCs w:val="20"/>
          <w:highlight w:val="none"/>
          <w:lang w:val="en-US" w:eastAsia="zh-CN"/>
        </w:rPr>
        <w:t xml:space="preserve">    </w:t>
      </w:r>
      <w:r>
        <w:rPr>
          <w:rFonts w:hint="eastAsia" w:ascii="宋体" w:hAnsi="宋体" w:cs="宋体"/>
          <w:color w:val="auto"/>
          <w:spacing w:val="6"/>
          <w:sz w:val="20"/>
          <w:szCs w:val="20"/>
          <w:highlight w:val="none"/>
        </w:rPr>
        <w:t>除合同条款专用部分另有约定外，承包人报送监理人的进度付款申请</w:t>
      </w:r>
      <w:r>
        <w:rPr>
          <w:rFonts w:hint="eastAsia" w:ascii="宋体" w:hAnsi="宋体" w:cs="宋体"/>
          <w:color w:val="auto"/>
          <w:spacing w:val="5"/>
          <w:sz w:val="20"/>
          <w:szCs w:val="20"/>
          <w:highlight w:val="none"/>
        </w:rPr>
        <w:t>单应包括下列内容：</w:t>
      </w:r>
    </w:p>
    <w:p w14:paraId="0A4C9B6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（1）截至本次付款周期末已实施工程的合同清单价款及其中人工费占工程款比例；</w:t>
      </w:r>
    </w:p>
    <w:p w14:paraId="13956AD2">
      <w:pPr>
        <w:spacing w:before="163" w:line="360" w:lineRule="auto"/>
        <w:ind w:left="42" w:right="156" w:firstLine="30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（2）截至本次付款周期末已实施工程的工程量清单缺陷调整价款及其中人工费占工程款</w:t>
      </w:r>
      <w:r>
        <w:rPr>
          <w:rFonts w:hint="eastAsia" w:ascii="宋体" w:hAnsi="宋体" w:cs="宋体"/>
          <w:color w:val="auto"/>
          <w:spacing w:val="-5"/>
          <w:sz w:val="20"/>
          <w:szCs w:val="20"/>
          <w:highlight w:val="none"/>
        </w:rPr>
        <w:t>比例；</w:t>
      </w:r>
    </w:p>
    <w:p w14:paraId="35F3C3C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（3）根据第15条应增加和扣减的变更金额；</w:t>
      </w:r>
    </w:p>
    <w:p w14:paraId="35B86F0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（4）根据第23条应增加和扣减的索赔金额；</w:t>
      </w:r>
    </w:p>
    <w:p w14:paraId="3D283E1C">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（5）根据第17.2款约定应支付的预付款和扣减的返还预付款；</w:t>
      </w:r>
    </w:p>
    <w:p w14:paraId="5834267F">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（6）根据第17.4.1项约定应扣减的质</w:t>
      </w:r>
      <w:r>
        <w:rPr>
          <w:rFonts w:hint="eastAsia" w:ascii="宋体" w:hAnsi="宋体" w:cs="宋体"/>
          <w:color w:val="auto"/>
          <w:spacing w:val="5"/>
          <w:sz w:val="20"/>
          <w:szCs w:val="20"/>
          <w:highlight w:val="none"/>
        </w:rPr>
        <w:t>量保证金；</w:t>
      </w:r>
    </w:p>
    <w:p w14:paraId="68F40332">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（7）根据合同应增加和（或）扣减的其他内容金额见合同条款专用部</w:t>
      </w:r>
      <w:r>
        <w:rPr>
          <w:rFonts w:hint="eastAsia" w:ascii="宋体" w:hAnsi="宋体" w:cs="宋体"/>
          <w:color w:val="auto"/>
          <w:spacing w:val="8"/>
          <w:sz w:val="20"/>
          <w:szCs w:val="20"/>
          <w:highlight w:val="none"/>
        </w:rPr>
        <w:t>分；</w:t>
      </w:r>
    </w:p>
    <w:p w14:paraId="5039483A">
      <w:pPr>
        <w:spacing w:before="162" w:line="360" w:lineRule="auto"/>
        <w:ind w:left="344"/>
        <w:rPr>
          <w:rFonts w:hint="eastAsia" w:ascii="宋体" w:hAnsi="宋体" w:cs="宋体"/>
          <w:color w:val="auto"/>
          <w:highlight w:val="none"/>
        </w:rPr>
      </w:pPr>
      <w:r>
        <w:rPr>
          <w:rFonts w:hint="eastAsia" w:ascii="宋体" w:hAnsi="宋体" w:cs="宋体"/>
          <w:color w:val="auto"/>
          <w:spacing w:val="8"/>
          <w:sz w:val="20"/>
          <w:szCs w:val="20"/>
          <w:highlight w:val="none"/>
        </w:rPr>
        <w:t>（8）本期应付进度款见合同条款专用部分。</w:t>
      </w:r>
    </w:p>
    <w:p w14:paraId="58F5729F">
      <w:pPr>
        <w:spacing w:before="65" w:line="360" w:lineRule="auto"/>
        <w:ind w:left="333"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政府机关、事业单位、国有企业建设工程进度款支付应不低于已完成工程价款的80%。</w:t>
      </w:r>
    </w:p>
    <w:p w14:paraId="39FD4CF9">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17.3.3  进度付款证书和支付时间</w:t>
      </w:r>
    </w:p>
    <w:p w14:paraId="55893D59">
      <w:pPr>
        <w:spacing w:before="161" w:line="360" w:lineRule="auto"/>
        <w:ind w:left="20" w:right="15" w:firstLine="42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（1）监理人在收到承包人进度付款申请单以及相应的支持性证明文件后</w:t>
      </w:r>
      <w:r>
        <w:rPr>
          <w:rFonts w:hint="eastAsia" w:ascii="宋体" w:hAnsi="宋体" w:cs="宋体"/>
          <w:color w:val="auto"/>
          <w:spacing w:val="5"/>
          <w:sz w:val="20"/>
          <w:szCs w:val="20"/>
          <w:highlight w:val="none"/>
        </w:rPr>
        <w:t>的14天内完成</w:t>
      </w:r>
      <w:r>
        <w:rPr>
          <w:rFonts w:hint="eastAsia" w:ascii="宋体" w:hAnsi="宋体" w:cs="宋体"/>
          <w:color w:val="auto"/>
          <w:spacing w:val="4"/>
          <w:sz w:val="20"/>
          <w:szCs w:val="20"/>
          <w:highlight w:val="none"/>
        </w:rPr>
        <w:t>核查，提出发包人到期应支付给承包人的金额以及相应的支持性材料，经</w:t>
      </w:r>
      <w:r>
        <w:rPr>
          <w:rFonts w:hint="eastAsia" w:ascii="宋体" w:hAnsi="宋体" w:cs="宋体"/>
          <w:color w:val="auto"/>
          <w:spacing w:val="3"/>
          <w:sz w:val="20"/>
          <w:szCs w:val="20"/>
          <w:highlight w:val="none"/>
        </w:rPr>
        <w:t>发包人审查同意后，</w:t>
      </w:r>
      <w:r>
        <w:rPr>
          <w:rFonts w:hint="eastAsia" w:ascii="宋体" w:hAnsi="宋体" w:cs="宋体"/>
          <w:color w:val="auto"/>
          <w:spacing w:val="7"/>
          <w:sz w:val="20"/>
          <w:szCs w:val="20"/>
          <w:highlight w:val="none"/>
        </w:rPr>
        <w:t>由监理人向承包人出具经发包人签认的进度付款证书。监理人有权扣发承包人未能按照合同</w:t>
      </w:r>
      <w:r>
        <w:rPr>
          <w:rFonts w:hint="eastAsia" w:ascii="宋体" w:hAnsi="宋体" w:cs="宋体"/>
          <w:color w:val="auto"/>
          <w:spacing w:val="8"/>
          <w:sz w:val="20"/>
          <w:szCs w:val="20"/>
          <w:highlight w:val="none"/>
        </w:rPr>
        <w:t>要求履行任何工作或义务的相应金额。</w:t>
      </w:r>
    </w:p>
    <w:p w14:paraId="0BB84CF7">
      <w:pPr>
        <w:spacing w:before="160" w:line="360" w:lineRule="auto"/>
        <w:ind w:left="19" w:firstLine="430"/>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（2）发包人应在监理人收到进度付款申请单后的</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3"/>
          <w:sz w:val="20"/>
          <w:szCs w:val="20"/>
          <w:highlight w:val="none"/>
        </w:rPr>
        <w:t>天内，将进度应</w:t>
      </w:r>
      <w:r>
        <w:rPr>
          <w:rFonts w:hint="eastAsia" w:ascii="宋体" w:hAnsi="宋体" w:cs="宋体"/>
          <w:color w:val="auto"/>
          <w:spacing w:val="2"/>
          <w:sz w:val="20"/>
          <w:szCs w:val="20"/>
          <w:highlight w:val="none"/>
        </w:rPr>
        <w:t>付款支付给承包人。</w:t>
      </w:r>
      <w:r>
        <w:rPr>
          <w:rFonts w:hint="eastAsia" w:ascii="宋体" w:hAnsi="宋体" w:cs="宋体"/>
          <w:color w:val="auto"/>
          <w:sz w:val="20"/>
          <w:szCs w:val="20"/>
          <w:highlight w:val="none"/>
        </w:rPr>
        <w:t xml:space="preserve"> </w:t>
      </w:r>
      <w:r>
        <w:rPr>
          <w:rFonts w:hint="eastAsia" w:ascii="宋体" w:hAnsi="宋体" w:cs="宋体"/>
          <w:color w:val="auto"/>
          <w:spacing w:val="1"/>
          <w:sz w:val="20"/>
          <w:szCs w:val="20"/>
          <w:highlight w:val="none"/>
        </w:rPr>
        <w:t>发包人未按第17.2.1项、第17.3.3（2）目、第17.5.3（2）目和第17.6.2（2）目约定的</w:t>
      </w:r>
      <w:r>
        <w:rPr>
          <w:rFonts w:hint="eastAsia" w:ascii="宋体" w:hAnsi="宋体" w:cs="宋体"/>
          <w:color w:val="auto"/>
          <w:spacing w:val="8"/>
          <w:sz w:val="20"/>
          <w:szCs w:val="20"/>
          <w:highlight w:val="none"/>
        </w:rPr>
        <w:t>期限支付承包人依合同约定应当得到的款项</w:t>
      </w:r>
      <w:r>
        <w:rPr>
          <w:rFonts w:hint="eastAsia" w:ascii="宋体" w:hAnsi="宋体" w:cs="宋体"/>
          <w:color w:val="auto"/>
          <w:spacing w:val="7"/>
          <w:sz w:val="20"/>
          <w:szCs w:val="20"/>
          <w:highlight w:val="none"/>
        </w:rPr>
        <w:t>，应当从应付之日起按照合同约定的计算标准和计算方法向承包人支付逾期付款违约金。承包人应当按第23.1（1）</w:t>
      </w:r>
      <w:r>
        <w:rPr>
          <w:rFonts w:hint="eastAsia" w:ascii="宋体" w:hAnsi="宋体" w:cs="宋体"/>
          <w:color w:val="auto"/>
          <w:spacing w:val="-51"/>
          <w:sz w:val="20"/>
          <w:szCs w:val="20"/>
          <w:highlight w:val="none"/>
        </w:rPr>
        <w:t xml:space="preserve"> </w:t>
      </w:r>
      <w:r>
        <w:rPr>
          <w:rFonts w:hint="eastAsia" w:ascii="宋体" w:hAnsi="宋体" w:cs="宋体"/>
          <w:color w:val="auto"/>
          <w:spacing w:val="7"/>
          <w:sz w:val="20"/>
          <w:szCs w:val="20"/>
          <w:highlight w:val="none"/>
        </w:rPr>
        <w:t>目的约定，在</w:t>
      </w:r>
      <w:r>
        <w:rPr>
          <w:rFonts w:hint="eastAsia" w:ascii="宋体" w:hAnsi="宋体" w:cs="宋体"/>
          <w:color w:val="auto"/>
          <w:spacing w:val="6"/>
          <w:sz w:val="20"/>
          <w:szCs w:val="20"/>
          <w:highlight w:val="none"/>
        </w:rPr>
        <w:t>最终付款</w:t>
      </w:r>
      <w:r>
        <w:rPr>
          <w:rFonts w:hint="eastAsia" w:ascii="宋体" w:hAnsi="宋体" w:cs="宋体"/>
          <w:color w:val="auto"/>
          <w:spacing w:val="7"/>
          <w:sz w:val="20"/>
          <w:szCs w:val="20"/>
          <w:highlight w:val="none"/>
        </w:rPr>
        <w:t>期限到期后28天内，向监理人递交工程索赔意向通知书,说明有</w:t>
      </w:r>
      <w:r>
        <w:rPr>
          <w:rFonts w:hint="eastAsia" w:ascii="宋体" w:hAnsi="宋体" w:cs="宋体"/>
          <w:color w:val="auto"/>
          <w:spacing w:val="6"/>
          <w:sz w:val="20"/>
          <w:szCs w:val="20"/>
          <w:highlight w:val="none"/>
        </w:rPr>
        <w:t>权得到按本款约定的标准和</w:t>
      </w:r>
      <w:r>
        <w:rPr>
          <w:rFonts w:hint="eastAsia" w:ascii="宋体" w:hAnsi="宋体" w:cs="宋体"/>
          <w:color w:val="auto"/>
          <w:spacing w:val="8"/>
          <w:sz w:val="20"/>
          <w:szCs w:val="20"/>
          <w:highlight w:val="none"/>
        </w:rPr>
        <w:t>方法计算的逾期付款违约金。承包人要求发包人支</w:t>
      </w:r>
      <w:r>
        <w:rPr>
          <w:rFonts w:hint="eastAsia" w:ascii="宋体" w:hAnsi="宋体" w:cs="宋体"/>
          <w:color w:val="auto"/>
          <w:spacing w:val="7"/>
          <w:sz w:val="20"/>
          <w:szCs w:val="20"/>
          <w:highlight w:val="none"/>
        </w:rPr>
        <w:t>付逾期付款违约金不影响承包人要求发包</w:t>
      </w:r>
      <w:r>
        <w:rPr>
          <w:rFonts w:hint="eastAsia" w:ascii="宋体" w:hAnsi="宋体" w:cs="宋体"/>
          <w:color w:val="auto"/>
          <w:spacing w:val="9"/>
          <w:sz w:val="20"/>
          <w:szCs w:val="20"/>
          <w:highlight w:val="none"/>
        </w:rPr>
        <w:t>人承担第</w:t>
      </w:r>
      <w:r>
        <w:rPr>
          <w:rFonts w:hint="eastAsia" w:ascii="宋体" w:hAnsi="宋体" w:cs="宋体"/>
          <w:color w:val="auto"/>
          <w:spacing w:val="-30"/>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款约定的其他违约责任的权利。逾期付款违约金计算标准和计算方法见合同</w:t>
      </w:r>
      <w:r>
        <w:rPr>
          <w:rFonts w:hint="eastAsia" w:ascii="宋体" w:hAnsi="宋体" w:cs="宋体"/>
          <w:color w:val="auto"/>
          <w:spacing w:val="7"/>
          <w:sz w:val="20"/>
          <w:szCs w:val="20"/>
          <w:highlight w:val="none"/>
        </w:rPr>
        <w:t>条款专用部分。</w:t>
      </w:r>
    </w:p>
    <w:p w14:paraId="645AE502">
      <w:pPr>
        <w:spacing w:before="157" w:line="360" w:lineRule="auto"/>
        <w:ind w:left="23" w:right="71"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（3）监理人出具进度付款证书，不应视为监理人已同意、批</w:t>
      </w:r>
      <w:r>
        <w:rPr>
          <w:rFonts w:hint="eastAsia" w:ascii="宋体" w:hAnsi="宋体" w:cs="宋体"/>
          <w:color w:val="auto"/>
          <w:spacing w:val="9"/>
          <w:sz w:val="20"/>
          <w:szCs w:val="20"/>
          <w:highlight w:val="none"/>
        </w:rPr>
        <w:t>准或接受了承包人完成的</w:t>
      </w:r>
      <w:r>
        <w:rPr>
          <w:rFonts w:hint="eastAsia" w:ascii="宋体" w:hAnsi="宋体" w:cs="宋体"/>
          <w:color w:val="auto"/>
          <w:spacing w:val="6"/>
          <w:sz w:val="20"/>
          <w:szCs w:val="20"/>
          <w:highlight w:val="none"/>
        </w:rPr>
        <w:t>该部分工作。</w:t>
      </w:r>
    </w:p>
    <w:p w14:paraId="75614450">
      <w:pPr>
        <w:spacing w:before="163" w:line="360" w:lineRule="auto"/>
        <w:ind w:left="22" w:right="71"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（4）进度付款涉及政府投资资金的，按照国库集中支付等国</w:t>
      </w:r>
      <w:r>
        <w:rPr>
          <w:rFonts w:hint="eastAsia" w:ascii="宋体" w:hAnsi="宋体" w:cs="宋体"/>
          <w:color w:val="auto"/>
          <w:spacing w:val="9"/>
          <w:sz w:val="20"/>
          <w:szCs w:val="20"/>
          <w:highlight w:val="none"/>
        </w:rPr>
        <w:t>家相关规定和合同约定办理。进度付款涉及政府性资金的支付方法见合同条款专用部分。</w:t>
      </w:r>
    </w:p>
    <w:p w14:paraId="30B3C634">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17.3.4  工程进度付款的修正</w:t>
      </w:r>
    </w:p>
    <w:p w14:paraId="691872C3">
      <w:pPr>
        <w:spacing w:before="161" w:line="360" w:lineRule="auto"/>
        <w:ind w:left="19" w:right="7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在对以往历次已签发的进度付款证书进行汇总和复核中发现错、漏或重复的，监理人有</w:t>
      </w:r>
      <w:r>
        <w:rPr>
          <w:rFonts w:hint="eastAsia" w:ascii="宋体" w:hAnsi="宋体" w:cs="宋体"/>
          <w:color w:val="auto"/>
          <w:spacing w:val="8"/>
          <w:sz w:val="20"/>
          <w:szCs w:val="20"/>
          <w:highlight w:val="none"/>
        </w:rPr>
        <w:t>权予以修正，承包人也有权提出修正申请。经</w:t>
      </w:r>
      <w:r>
        <w:rPr>
          <w:rFonts w:hint="eastAsia" w:ascii="宋体" w:hAnsi="宋体" w:cs="宋体"/>
          <w:color w:val="auto"/>
          <w:spacing w:val="7"/>
          <w:sz w:val="20"/>
          <w:szCs w:val="20"/>
          <w:highlight w:val="none"/>
        </w:rPr>
        <w:t>双方复核同意的修正，应在本次进度付款中支</w:t>
      </w:r>
      <w:r>
        <w:rPr>
          <w:rFonts w:hint="eastAsia" w:ascii="宋体" w:hAnsi="宋体" w:cs="宋体"/>
          <w:color w:val="auto"/>
          <w:spacing w:val="6"/>
          <w:sz w:val="20"/>
          <w:szCs w:val="20"/>
          <w:highlight w:val="none"/>
        </w:rPr>
        <w:t>付或扣除。</w:t>
      </w:r>
    </w:p>
    <w:p w14:paraId="0DE00690">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17.3.5</w:t>
      </w:r>
      <w:r>
        <w:rPr>
          <w:rFonts w:hint="eastAsia" w:ascii="宋体" w:hAnsi="宋体" w:cs="宋体"/>
          <w:color w:val="auto"/>
          <w:spacing w:val="18"/>
          <w:sz w:val="20"/>
          <w:szCs w:val="20"/>
          <w:highlight w:val="none"/>
        </w:rPr>
        <w:t xml:space="preserve">  </w:t>
      </w:r>
      <w:r>
        <w:rPr>
          <w:rFonts w:hint="eastAsia" w:ascii="宋体" w:hAnsi="宋体" w:cs="宋体"/>
          <w:color w:val="auto"/>
          <w:spacing w:val="3"/>
          <w:sz w:val="20"/>
          <w:szCs w:val="20"/>
          <w:highlight w:val="none"/>
        </w:rPr>
        <w:t>临时付款证书</w:t>
      </w:r>
    </w:p>
    <w:p w14:paraId="1E6BB1F8">
      <w:pPr>
        <w:spacing w:before="161" w:line="360" w:lineRule="auto"/>
        <w:ind w:left="19" w:right="6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在合同约定的期限内，承包人和监理人无法对当期已完工程量和按合同约定应当支付的</w:t>
      </w:r>
      <w:r>
        <w:rPr>
          <w:rFonts w:hint="eastAsia" w:ascii="宋体" w:hAnsi="宋体" w:cs="宋体"/>
          <w:color w:val="auto"/>
          <w:spacing w:val="9"/>
          <w:sz w:val="20"/>
          <w:szCs w:val="20"/>
          <w:highlight w:val="none"/>
        </w:rPr>
        <w:t>其他款项达成一致的，监理人应当在收到承包人报送的进度付款申请单等文件后14天内，</w:t>
      </w:r>
      <w:r>
        <w:rPr>
          <w:rFonts w:hint="eastAsia" w:ascii="宋体" w:hAnsi="宋体" w:cs="宋体"/>
          <w:color w:val="auto"/>
          <w:spacing w:val="8"/>
          <w:sz w:val="20"/>
          <w:szCs w:val="20"/>
          <w:highlight w:val="none"/>
        </w:rPr>
        <w:t>就与承包人达成一致意见的金额编制临时付款证书</w:t>
      </w:r>
      <w:r>
        <w:rPr>
          <w:rFonts w:hint="eastAsia" w:ascii="宋体" w:hAnsi="宋体" w:cs="宋体"/>
          <w:color w:val="auto"/>
          <w:spacing w:val="7"/>
          <w:sz w:val="20"/>
          <w:szCs w:val="20"/>
          <w:highlight w:val="none"/>
        </w:rPr>
        <w:t>，报送发包人审查。临时付款证书中应当</w:t>
      </w:r>
      <w:r>
        <w:rPr>
          <w:rFonts w:hint="eastAsia" w:ascii="宋体" w:hAnsi="宋体" w:cs="宋体"/>
          <w:color w:val="auto"/>
          <w:spacing w:val="8"/>
          <w:sz w:val="20"/>
          <w:szCs w:val="20"/>
          <w:highlight w:val="none"/>
        </w:rPr>
        <w:t>说明承包人有异议部分的金额及其原因，经</w:t>
      </w:r>
      <w:r>
        <w:rPr>
          <w:rFonts w:hint="eastAsia" w:ascii="宋体" w:hAnsi="宋体" w:cs="宋体"/>
          <w:color w:val="auto"/>
          <w:spacing w:val="7"/>
          <w:sz w:val="20"/>
          <w:szCs w:val="20"/>
          <w:highlight w:val="none"/>
        </w:rPr>
        <w:t>发包人签字确认后，由监理人向承包人出具临时</w:t>
      </w:r>
      <w:r>
        <w:rPr>
          <w:rFonts w:hint="eastAsia" w:ascii="宋体" w:hAnsi="宋体" w:cs="宋体"/>
          <w:color w:val="auto"/>
          <w:spacing w:val="9"/>
          <w:sz w:val="20"/>
          <w:szCs w:val="20"/>
          <w:highlight w:val="none"/>
        </w:rPr>
        <w:t>付款证书。发包人应当在监理人收到进度付款申请单后28天内，将临时付款证书中确定的应付金额支付给承包人。发包人和监理人均不得以任何理由延期支付工程进度付款。</w:t>
      </w:r>
    </w:p>
    <w:p w14:paraId="34D3FEAE">
      <w:pPr>
        <w:spacing w:before="4" w:line="360" w:lineRule="auto"/>
        <w:ind w:left="24" w:right="69"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对临时付款证书中承包人有异议部分的金额，承包人应当按照监理人要求，提交进一步</w:t>
      </w:r>
      <w:r>
        <w:rPr>
          <w:rFonts w:hint="eastAsia" w:ascii="宋体" w:hAnsi="宋体" w:cs="宋体"/>
          <w:color w:val="auto"/>
          <w:spacing w:val="9"/>
          <w:sz w:val="20"/>
          <w:szCs w:val="20"/>
          <w:highlight w:val="none"/>
        </w:rPr>
        <w:t>的支持性文件，经监理人进一步审核并认可的</w:t>
      </w:r>
      <w:r>
        <w:rPr>
          <w:rFonts w:hint="eastAsia" w:ascii="宋体" w:hAnsi="宋体" w:cs="宋体"/>
          <w:color w:val="auto"/>
          <w:spacing w:val="8"/>
          <w:sz w:val="20"/>
          <w:szCs w:val="20"/>
          <w:highlight w:val="none"/>
        </w:rPr>
        <w:t>应付金额，应当按第17.3.4项的约定纳入到</w:t>
      </w:r>
      <w:r>
        <w:rPr>
          <w:rFonts w:hint="eastAsia" w:ascii="宋体" w:hAnsi="宋体" w:cs="宋体"/>
          <w:color w:val="auto"/>
          <w:spacing w:val="9"/>
          <w:sz w:val="20"/>
          <w:szCs w:val="20"/>
          <w:highlight w:val="none"/>
        </w:rPr>
        <w:t>下一期进度付款证书中。经过进一步努力，承包人仍有异议的，按合同条款第</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条的约定</w:t>
      </w:r>
      <w:r>
        <w:rPr>
          <w:rFonts w:hint="eastAsia" w:ascii="宋体" w:hAnsi="宋体" w:cs="宋体"/>
          <w:color w:val="auto"/>
          <w:spacing w:val="1"/>
          <w:sz w:val="20"/>
          <w:szCs w:val="20"/>
          <w:highlight w:val="none"/>
        </w:rPr>
        <w:t>办理。</w:t>
      </w:r>
    </w:p>
    <w:p w14:paraId="7C5963F9">
      <w:pPr>
        <w:spacing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有异议款项中经监理人进一步审核后认可的，或者经过合同条款第24条约定的争议解</w:t>
      </w:r>
      <w:r>
        <w:rPr>
          <w:rFonts w:hint="eastAsia" w:ascii="宋体" w:hAnsi="宋体" w:cs="宋体"/>
          <w:color w:val="auto"/>
          <w:spacing w:val="7"/>
          <w:sz w:val="20"/>
          <w:szCs w:val="20"/>
          <w:highlight w:val="none"/>
        </w:rPr>
        <w:t>决方式确定的应付金额，其应付之日为引发异议的进度付款证书的应付之日，承包人有权得</w:t>
      </w:r>
      <w:r>
        <w:rPr>
          <w:rFonts w:hint="eastAsia" w:ascii="宋体" w:hAnsi="宋体" w:cs="宋体"/>
          <w:color w:val="auto"/>
          <w:spacing w:val="13"/>
          <w:sz w:val="20"/>
          <w:szCs w:val="20"/>
          <w:highlight w:val="none"/>
        </w:rPr>
        <w:t xml:space="preserve"> </w:t>
      </w:r>
      <w:r>
        <w:rPr>
          <w:rFonts w:hint="eastAsia" w:ascii="宋体" w:hAnsi="宋体" w:cs="宋体"/>
          <w:color w:val="auto"/>
          <w:spacing w:val="4"/>
          <w:sz w:val="20"/>
          <w:szCs w:val="20"/>
          <w:highlight w:val="none"/>
        </w:rPr>
        <w:t>到按第17.3.3（2）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4"/>
          <w:sz w:val="20"/>
          <w:szCs w:val="20"/>
          <w:highlight w:val="none"/>
        </w:rPr>
        <w:t>目约定计算的逾期付款违约金。</w:t>
      </w:r>
    </w:p>
    <w:p w14:paraId="02AEE180">
      <w:pPr>
        <w:spacing w:before="12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17.4  质量保证金</w:t>
      </w:r>
    </w:p>
    <w:p w14:paraId="2BD7859C">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17.4.1  质量保证金处理</w:t>
      </w:r>
    </w:p>
    <w:p w14:paraId="5C7EC18A">
      <w:pPr>
        <w:spacing w:before="161" w:line="360" w:lineRule="auto"/>
        <w:ind w:left="19" w:right="23"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（1）合同条款专用部分第4.2.1项约定不提交履约担保，采用扣留质量保证金的，质</w:t>
      </w:r>
      <w:r>
        <w:rPr>
          <w:rFonts w:hint="eastAsia" w:ascii="宋体" w:hAnsi="宋体" w:cs="宋体"/>
          <w:color w:val="auto"/>
          <w:spacing w:val="13"/>
          <w:sz w:val="20"/>
          <w:szCs w:val="20"/>
          <w:highlight w:val="none"/>
        </w:rPr>
        <w:t>量保证金由监理人从第一个付款周期开始按进度付款证书确认的已实施工程</w:t>
      </w:r>
      <w:r>
        <w:rPr>
          <w:rFonts w:hint="eastAsia" w:ascii="宋体" w:hAnsi="宋体" w:cs="宋体"/>
          <w:color w:val="auto"/>
          <w:spacing w:val="12"/>
          <w:sz w:val="20"/>
          <w:szCs w:val="20"/>
          <w:highlight w:val="none"/>
        </w:rPr>
        <w:t>的合同清单价</w:t>
      </w:r>
      <w:r>
        <w:rPr>
          <w:rFonts w:hint="eastAsia" w:ascii="宋体" w:hAnsi="宋体" w:cs="宋体"/>
          <w:color w:val="auto"/>
          <w:spacing w:val="6"/>
          <w:sz w:val="20"/>
          <w:szCs w:val="20"/>
          <w:highlight w:val="none"/>
        </w:rPr>
        <w:t>款、已实施工程的工程量清单缺陷调整价款、根据合同条</w:t>
      </w:r>
      <w:r>
        <w:rPr>
          <w:rFonts w:hint="eastAsia" w:ascii="宋体" w:hAnsi="宋体" w:cs="宋体"/>
          <w:color w:val="auto"/>
          <w:spacing w:val="5"/>
          <w:sz w:val="20"/>
          <w:szCs w:val="20"/>
          <w:highlight w:val="none"/>
        </w:rPr>
        <w:t>款第15条增加和扣减的变更金额、</w:t>
      </w:r>
      <w:r>
        <w:rPr>
          <w:rFonts w:hint="eastAsia" w:ascii="宋体" w:hAnsi="宋体" w:cs="宋体"/>
          <w:color w:val="auto"/>
          <w:spacing w:val="9"/>
          <w:sz w:val="20"/>
          <w:szCs w:val="20"/>
          <w:highlight w:val="none"/>
        </w:rPr>
        <w:t>根据合同条款第23条增加和扣减的索赔金额以及根据合同应增加和扣减的其他金额（不包</w:t>
      </w:r>
      <w:r>
        <w:rPr>
          <w:rFonts w:hint="eastAsia" w:ascii="宋体" w:hAnsi="宋体" w:cs="宋体"/>
          <w:color w:val="auto"/>
          <w:spacing w:val="8"/>
          <w:sz w:val="20"/>
          <w:szCs w:val="20"/>
          <w:highlight w:val="none"/>
        </w:rPr>
        <w:t>括预付款的支付、返还、此前已经按合同约定支付</w:t>
      </w:r>
      <w:r>
        <w:rPr>
          <w:rFonts w:hint="eastAsia" w:ascii="宋体" w:hAnsi="宋体" w:cs="宋体"/>
          <w:color w:val="auto"/>
          <w:spacing w:val="7"/>
          <w:sz w:val="20"/>
          <w:szCs w:val="20"/>
          <w:highlight w:val="none"/>
        </w:rPr>
        <w:t>给承包人的进度款以及已经扣留的质量保</w:t>
      </w:r>
      <w:r>
        <w:rPr>
          <w:rFonts w:hint="eastAsia" w:ascii="宋体" w:hAnsi="宋体" w:cs="宋体"/>
          <w:color w:val="auto"/>
          <w:spacing w:val="8"/>
          <w:sz w:val="20"/>
          <w:szCs w:val="20"/>
          <w:highlight w:val="none"/>
        </w:rPr>
        <w:t>证金）的总额的约定比例扣留，直至质量保证金累</w:t>
      </w:r>
      <w:r>
        <w:rPr>
          <w:rFonts w:hint="eastAsia" w:ascii="宋体" w:hAnsi="宋体" w:cs="宋体"/>
          <w:color w:val="auto"/>
          <w:spacing w:val="7"/>
          <w:sz w:val="20"/>
          <w:szCs w:val="20"/>
          <w:highlight w:val="none"/>
        </w:rPr>
        <w:t>计扣留金额达到竣工结算合同总价的约定</w:t>
      </w:r>
      <w:r>
        <w:rPr>
          <w:rFonts w:hint="eastAsia" w:ascii="宋体" w:hAnsi="宋体" w:cs="宋体"/>
          <w:color w:val="auto"/>
          <w:spacing w:val="5"/>
          <w:sz w:val="20"/>
          <w:szCs w:val="20"/>
          <w:highlight w:val="none"/>
        </w:rPr>
        <w:t>比例为止；</w:t>
      </w:r>
    </w:p>
    <w:p w14:paraId="7CD21865">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采用质量保证金保函担保形式的，工程竣工前，不得扣留质量保证金。</w:t>
      </w:r>
    </w:p>
    <w:p w14:paraId="05FA41BE">
      <w:pPr>
        <w:spacing w:before="161"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（2）合同条款专用部分第4.2.1</w:t>
      </w:r>
      <w:r>
        <w:rPr>
          <w:rFonts w:hint="eastAsia" w:ascii="宋体" w:hAnsi="宋体" w:cs="宋体"/>
          <w:color w:val="auto"/>
          <w:spacing w:val="-37"/>
          <w:sz w:val="20"/>
          <w:szCs w:val="20"/>
          <w:highlight w:val="none"/>
        </w:rPr>
        <w:t xml:space="preserve"> </w:t>
      </w:r>
      <w:r>
        <w:rPr>
          <w:rFonts w:hint="eastAsia" w:ascii="宋体" w:hAnsi="宋体" w:cs="宋体"/>
          <w:color w:val="auto"/>
          <w:spacing w:val="10"/>
          <w:sz w:val="20"/>
          <w:szCs w:val="20"/>
          <w:highlight w:val="none"/>
        </w:rPr>
        <w:t>项约定提交履约担保，采用</w:t>
      </w:r>
      <w:r>
        <w:rPr>
          <w:rFonts w:hint="eastAsia" w:ascii="宋体" w:hAnsi="宋体" w:cs="宋体"/>
          <w:color w:val="auto"/>
          <w:spacing w:val="9"/>
          <w:sz w:val="20"/>
          <w:szCs w:val="20"/>
          <w:highlight w:val="none"/>
        </w:rPr>
        <w:t>扣留质量保证金的，在第</w:t>
      </w:r>
      <w:r>
        <w:rPr>
          <w:rFonts w:hint="eastAsia" w:ascii="宋体" w:hAnsi="宋体" w:cs="宋体"/>
          <w:color w:val="auto"/>
          <w:spacing w:val="10"/>
          <w:sz w:val="20"/>
          <w:szCs w:val="20"/>
          <w:highlight w:val="none"/>
        </w:rPr>
        <w:t>17.5</w:t>
      </w:r>
      <w:r>
        <w:rPr>
          <w:rFonts w:hint="eastAsia" w:ascii="宋体" w:hAnsi="宋体" w:cs="宋体"/>
          <w:color w:val="auto"/>
          <w:spacing w:val="-26"/>
          <w:sz w:val="20"/>
          <w:szCs w:val="20"/>
          <w:highlight w:val="none"/>
        </w:rPr>
        <w:t xml:space="preserve"> </w:t>
      </w:r>
      <w:r>
        <w:rPr>
          <w:rFonts w:hint="eastAsia" w:ascii="宋体" w:hAnsi="宋体" w:cs="宋体"/>
          <w:color w:val="auto"/>
          <w:spacing w:val="10"/>
          <w:sz w:val="20"/>
          <w:szCs w:val="20"/>
          <w:highlight w:val="none"/>
        </w:rPr>
        <w:t>款竣工结算中，应当按照竣工结算合同总价约定的比例扣留质量保证金；采用质量保</w:t>
      </w:r>
      <w:r>
        <w:rPr>
          <w:rFonts w:hint="eastAsia" w:ascii="宋体" w:hAnsi="宋体" w:cs="宋体"/>
          <w:color w:val="auto"/>
          <w:spacing w:val="9"/>
          <w:sz w:val="20"/>
          <w:szCs w:val="20"/>
          <w:highlight w:val="none"/>
        </w:rPr>
        <w:t>证金保函担保形式的，工程竣工前，不得扣留质量保证金。</w:t>
      </w:r>
    </w:p>
    <w:p w14:paraId="40F34B35">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（3）质量保证金的形式与约定比例见合同条款专用部分。</w:t>
      </w:r>
    </w:p>
    <w:p w14:paraId="6D715F40">
      <w:pPr>
        <w:spacing w:before="160" w:line="360" w:lineRule="auto"/>
        <w:ind w:left="21" w:right="92" w:firstLine="43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17.4.2  在第1.1.4.5目约定的缺陷责任期满时，承包人向发包人申请到期应返还承包</w:t>
      </w:r>
      <w:r>
        <w:rPr>
          <w:rFonts w:hint="eastAsia" w:ascii="宋体" w:hAnsi="宋体" w:cs="宋体"/>
          <w:color w:val="auto"/>
          <w:spacing w:val="9"/>
          <w:sz w:val="20"/>
          <w:szCs w:val="20"/>
          <w:highlight w:val="none"/>
        </w:rPr>
        <w:t>人剩余的质量保证金金额或退还保函担保，发包人应在14天内会同承包人按照合同</w:t>
      </w:r>
      <w:r>
        <w:rPr>
          <w:rFonts w:hint="eastAsia" w:ascii="宋体" w:hAnsi="宋体" w:cs="宋体"/>
          <w:color w:val="auto"/>
          <w:spacing w:val="8"/>
          <w:sz w:val="20"/>
          <w:szCs w:val="20"/>
          <w:highlight w:val="none"/>
        </w:rPr>
        <w:t>约定的内容核实承包人是否完成缺陷责任。如无异议</w:t>
      </w:r>
      <w:r>
        <w:rPr>
          <w:rFonts w:hint="eastAsia" w:ascii="宋体" w:hAnsi="宋体" w:cs="宋体"/>
          <w:color w:val="auto"/>
          <w:spacing w:val="7"/>
          <w:sz w:val="20"/>
          <w:szCs w:val="20"/>
          <w:highlight w:val="none"/>
        </w:rPr>
        <w:t>，发包人应当在核实后将剩余保证金返还承包</w:t>
      </w:r>
      <w:r>
        <w:rPr>
          <w:rFonts w:hint="eastAsia" w:ascii="宋体" w:hAnsi="宋体" w:cs="宋体"/>
          <w:color w:val="auto"/>
          <w:spacing w:val="8"/>
          <w:sz w:val="20"/>
          <w:szCs w:val="20"/>
          <w:highlight w:val="none"/>
        </w:rPr>
        <w:t>人或将其保函退还承包人。</w:t>
      </w:r>
    </w:p>
    <w:p w14:paraId="2DE2E2DD">
      <w:pPr>
        <w:spacing w:before="161"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17.4.3  在第</w:t>
      </w:r>
      <w:r>
        <w:rPr>
          <w:rFonts w:hint="eastAsia" w:ascii="宋体" w:hAnsi="宋体" w:cs="宋体"/>
          <w:color w:val="auto"/>
          <w:spacing w:val="-18"/>
          <w:sz w:val="20"/>
          <w:szCs w:val="20"/>
          <w:highlight w:val="none"/>
        </w:rPr>
        <w:t xml:space="preserve"> </w:t>
      </w:r>
      <w:r>
        <w:rPr>
          <w:rFonts w:hint="eastAsia" w:ascii="宋体" w:hAnsi="宋体" w:cs="宋体"/>
          <w:color w:val="auto"/>
          <w:spacing w:val="4"/>
          <w:sz w:val="20"/>
          <w:szCs w:val="20"/>
          <w:highlight w:val="none"/>
        </w:rPr>
        <w:t>1.1.4.5 目约定的缺陷责任期满时，承包人没有完成缺陷责任的，发包人</w:t>
      </w:r>
      <w:r>
        <w:rPr>
          <w:rFonts w:hint="eastAsia" w:ascii="宋体" w:hAnsi="宋体" w:cs="宋体"/>
          <w:color w:val="auto"/>
          <w:spacing w:val="13"/>
          <w:sz w:val="20"/>
          <w:szCs w:val="20"/>
          <w:highlight w:val="none"/>
        </w:rPr>
        <w:t>有权扣留与未履行责任剩余工作所需金额相应的质量保证金余额或依据其保</w:t>
      </w:r>
      <w:r>
        <w:rPr>
          <w:rFonts w:hint="eastAsia" w:ascii="宋体" w:hAnsi="宋体" w:cs="宋体"/>
          <w:color w:val="auto"/>
          <w:spacing w:val="12"/>
          <w:sz w:val="20"/>
          <w:szCs w:val="20"/>
          <w:highlight w:val="none"/>
        </w:rPr>
        <w:t>函担保约定追</w:t>
      </w:r>
      <w:r>
        <w:rPr>
          <w:rFonts w:hint="eastAsia" w:ascii="宋体" w:hAnsi="宋体" w:cs="宋体"/>
          <w:color w:val="auto"/>
          <w:spacing w:val="8"/>
          <w:sz w:val="20"/>
          <w:szCs w:val="20"/>
          <w:highlight w:val="none"/>
        </w:rPr>
        <w:t>究责任，并有权根据第19.3款约定要求延长缺陷责任期，直至完成剩余工作为止。</w:t>
      </w:r>
    </w:p>
    <w:p w14:paraId="193B6587">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17.5</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竣工结算</w:t>
      </w:r>
    </w:p>
    <w:p w14:paraId="168ECC0C">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17.5.1  过程结算</w:t>
      </w:r>
    </w:p>
    <w:p w14:paraId="7C1A6EFC">
      <w:pPr>
        <w:spacing w:before="160"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本工程是否进行过程结算及相关要求见合同条款专用部分。</w:t>
      </w:r>
    </w:p>
    <w:p w14:paraId="44611F96">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17.5.2  竣工付款申请单</w:t>
      </w:r>
    </w:p>
    <w:p w14:paraId="0D733ED7">
      <w:pPr>
        <w:spacing w:before="160" w:line="360" w:lineRule="auto"/>
        <w:ind w:left="46" w:right="22" w:firstLine="40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（1）工程接收证书颁发后，承包人应按合同约定的份数和期</w:t>
      </w:r>
      <w:r>
        <w:rPr>
          <w:rFonts w:hint="eastAsia" w:ascii="宋体" w:hAnsi="宋体" w:cs="宋体"/>
          <w:color w:val="auto"/>
          <w:spacing w:val="9"/>
          <w:sz w:val="20"/>
          <w:szCs w:val="20"/>
          <w:highlight w:val="none"/>
        </w:rPr>
        <w:t>限向监理人提交竣工付款</w:t>
      </w:r>
      <w:r>
        <w:rPr>
          <w:rFonts w:hint="eastAsia" w:ascii="宋体" w:hAnsi="宋体" w:cs="宋体"/>
          <w:color w:val="auto"/>
          <w:spacing w:val="4"/>
          <w:sz w:val="20"/>
          <w:szCs w:val="20"/>
          <w:highlight w:val="none"/>
        </w:rPr>
        <w:t>申请单，并提供相关证明材料。承包人提交竣工</w:t>
      </w:r>
      <w:r>
        <w:rPr>
          <w:rFonts w:hint="eastAsia" w:ascii="宋体" w:hAnsi="宋体" w:cs="宋体"/>
          <w:color w:val="auto"/>
          <w:spacing w:val="3"/>
          <w:sz w:val="20"/>
          <w:szCs w:val="20"/>
          <w:highlight w:val="none"/>
        </w:rPr>
        <w:t>付款申请单份数和期限见合同条款专用部分。</w:t>
      </w:r>
    </w:p>
    <w:p w14:paraId="4B924833">
      <w:pPr>
        <w:spacing w:before="158"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（2）竣工付款申请单应包括下列内容：竣工结算合同总价、</w:t>
      </w:r>
      <w:r>
        <w:rPr>
          <w:rFonts w:hint="eastAsia" w:ascii="宋体" w:hAnsi="宋体" w:cs="宋体"/>
          <w:color w:val="auto"/>
          <w:spacing w:val="9"/>
          <w:sz w:val="20"/>
          <w:szCs w:val="20"/>
          <w:highlight w:val="none"/>
        </w:rPr>
        <w:t>发包人已支付承包人的工</w:t>
      </w:r>
      <w:r>
        <w:rPr>
          <w:rFonts w:hint="eastAsia" w:ascii="宋体" w:hAnsi="宋体" w:cs="宋体"/>
          <w:color w:val="auto"/>
          <w:spacing w:val="8"/>
          <w:sz w:val="20"/>
          <w:szCs w:val="20"/>
          <w:highlight w:val="none"/>
        </w:rPr>
        <w:t>程价款、应扣留的质量保证金、应支付的竣工付款金</w:t>
      </w:r>
      <w:r>
        <w:rPr>
          <w:rFonts w:hint="eastAsia" w:ascii="宋体" w:hAnsi="宋体" w:cs="宋体"/>
          <w:color w:val="auto"/>
          <w:spacing w:val="7"/>
          <w:sz w:val="20"/>
          <w:szCs w:val="20"/>
          <w:highlight w:val="none"/>
        </w:rPr>
        <w:t>额和应支付或扣减的其他内容金额。竣</w:t>
      </w:r>
      <w:r>
        <w:rPr>
          <w:rFonts w:hint="eastAsia" w:ascii="宋体" w:hAnsi="宋体" w:cs="宋体"/>
          <w:color w:val="auto"/>
          <w:spacing w:val="9"/>
          <w:sz w:val="20"/>
          <w:szCs w:val="20"/>
          <w:highlight w:val="none"/>
        </w:rPr>
        <w:t>工付款申请单的其他内容见合同条款专用部分。</w:t>
      </w:r>
    </w:p>
    <w:p w14:paraId="6DC53C1C">
      <w:pPr>
        <w:spacing w:before="162" w:line="360" w:lineRule="auto"/>
        <w:ind w:left="449"/>
        <w:rPr>
          <w:rFonts w:hint="eastAsia" w:ascii="宋体" w:hAnsi="宋体" w:cs="宋体"/>
          <w:color w:val="auto"/>
          <w:highlight w:val="none"/>
        </w:rPr>
      </w:pPr>
      <w:r>
        <w:rPr>
          <w:rFonts w:hint="eastAsia" w:ascii="宋体" w:hAnsi="宋体" w:cs="宋体"/>
          <w:color w:val="auto"/>
          <w:spacing w:val="9"/>
          <w:sz w:val="20"/>
          <w:szCs w:val="20"/>
          <w:highlight w:val="none"/>
        </w:rPr>
        <w:t>（3）监理人对竣工付款申请单有异议的，有权要求承包人进行修正和提供补充资料。</w:t>
      </w:r>
    </w:p>
    <w:p w14:paraId="420CE468">
      <w:pPr>
        <w:spacing w:before="65" w:line="360" w:lineRule="auto"/>
        <w:ind w:left="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经监理人和承包人协商后，</w:t>
      </w:r>
      <w:r>
        <w:rPr>
          <w:rFonts w:hint="eastAsia" w:ascii="宋体" w:hAnsi="宋体" w:cs="宋体"/>
          <w:color w:val="auto"/>
          <w:spacing w:val="-55"/>
          <w:sz w:val="20"/>
          <w:szCs w:val="20"/>
          <w:highlight w:val="none"/>
        </w:rPr>
        <w:t xml:space="preserve"> </w:t>
      </w:r>
      <w:r>
        <w:rPr>
          <w:rFonts w:hint="eastAsia" w:ascii="宋体" w:hAnsi="宋体" w:cs="宋体"/>
          <w:color w:val="auto"/>
          <w:spacing w:val="8"/>
          <w:sz w:val="20"/>
          <w:szCs w:val="20"/>
          <w:highlight w:val="none"/>
        </w:rPr>
        <w:t>由承包人向监理人提交修正后的竣工付款申请单。</w:t>
      </w:r>
    </w:p>
    <w:p w14:paraId="00E97228">
      <w:pPr>
        <w:spacing w:before="161" w:line="360" w:lineRule="auto"/>
        <w:ind w:left="21" w:right="9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（4）承包人未按本项约定的期限和内容提交竣工付款申请单或者未按第17.5.2（3）目约定提交修正后的竣工付款申请单，经监理人催促后14天内仍未提交或者没有明</w:t>
      </w:r>
      <w:r>
        <w:rPr>
          <w:rFonts w:hint="eastAsia" w:ascii="宋体" w:hAnsi="宋体" w:cs="宋体"/>
          <w:color w:val="auto"/>
          <w:spacing w:val="8"/>
          <w:sz w:val="20"/>
          <w:szCs w:val="20"/>
          <w:highlight w:val="none"/>
        </w:rPr>
        <w:t>确答复</w:t>
      </w:r>
      <w:r>
        <w:rPr>
          <w:rFonts w:hint="eastAsia" w:ascii="宋体" w:hAnsi="宋体" w:cs="宋体"/>
          <w:color w:val="auto"/>
          <w:spacing w:val="7"/>
          <w:sz w:val="20"/>
          <w:szCs w:val="20"/>
          <w:highlight w:val="none"/>
        </w:rPr>
        <w:t>的，监理人和发包人有权根据已有资料进行审查，审查确定的竣工结算合同总价和竣工付款</w:t>
      </w:r>
      <w:r>
        <w:rPr>
          <w:rFonts w:hint="eastAsia" w:ascii="宋体" w:hAnsi="宋体" w:cs="宋体"/>
          <w:color w:val="auto"/>
          <w:spacing w:val="9"/>
          <w:sz w:val="20"/>
          <w:szCs w:val="20"/>
          <w:highlight w:val="none"/>
        </w:rPr>
        <w:t>金额视同是经承包人认可的工程竣工结算合同总价和竣工付款金额。</w:t>
      </w:r>
    </w:p>
    <w:p w14:paraId="4B819A2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17.5.3  竣工付款证书及支付时间</w:t>
      </w:r>
    </w:p>
    <w:p w14:paraId="6E156435">
      <w:pPr>
        <w:spacing w:before="164" w:line="360" w:lineRule="auto"/>
        <w:ind w:left="21" w:right="45"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（1）监理人在收到承包人提交的竣工付款申请单后的14天内完成审核</w:t>
      </w:r>
      <w:r>
        <w:rPr>
          <w:rFonts w:hint="eastAsia" w:ascii="宋体" w:hAnsi="宋体" w:cs="宋体"/>
          <w:color w:val="auto"/>
          <w:spacing w:val="5"/>
          <w:sz w:val="20"/>
          <w:szCs w:val="20"/>
          <w:highlight w:val="none"/>
        </w:rPr>
        <w:t>，并提出发包人</w:t>
      </w:r>
      <w:r>
        <w:rPr>
          <w:rFonts w:hint="eastAsia" w:ascii="宋体" w:hAnsi="宋体" w:cs="宋体"/>
          <w:color w:val="auto"/>
          <w:spacing w:val="9"/>
          <w:sz w:val="20"/>
          <w:szCs w:val="20"/>
          <w:highlight w:val="none"/>
        </w:rPr>
        <w:t>到期应支付给承包人的价款等审核意见，报送发包人审核。发包人应在收到后14天</w:t>
      </w:r>
      <w:r>
        <w:rPr>
          <w:rFonts w:hint="eastAsia" w:ascii="宋体" w:hAnsi="宋体" w:cs="宋体"/>
          <w:color w:val="auto"/>
          <w:spacing w:val="8"/>
          <w:sz w:val="20"/>
          <w:szCs w:val="20"/>
          <w:highlight w:val="none"/>
        </w:rPr>
        <w:t>内审核完毕，由监理人向承包人出具经发包人签字确</w:t>
      </w:r>
      <w:r>
        <w:rPr>
          <w:rFonts w:hint="eastAsia" w:ascii="宋体" w:hAnsi="宋体" w:cs="宋体"/>
          <w:color w:val="auto"/>
          <w:spacing w:val="7"/>
          <w:sz w:val="20"/>
          <w:szCs w:val="20"/>
          <w:highlight w:val="none"/>
        </w:rPr>
        <w:t>认的竣工付款证书。监理人未在约定时间内提出具体意见的，视为承包人提交的竣工付款申请单已经监理人核查同意；发包人未在约定时</w:t>
      </w:r>
      <w:r>
        <w:rPr>
          <w:rFonts w:hint="eastAsia" w:ascii="宋体" w:hAnsi="宋体" w:cs="宋体"/>
          <w:color w:val="auto"/>
          <w:spacing w:val="9"/>
          <w:sz w:val="20"/>
          <w:szCs w:val="20"/>
          <w:highlight w:val="none"/>
        </w:rPr>
        <w:t>间内提出具体意见的，监理人提出发包人到期应支付给承包人的价款视为</w:t>
      </w:r>
      <w:r>
        <w:rPr>
          <w:rFonts w:hint="eastAsia" w:ascii="宋体" w:hAnsi="宋体" w:cs="宋体"/>
          <w:color w:val="auto"/>
          <w:spacing w:val="8"/>
          <w:sz w:val="20"/>
          <w:szCs w:val="20"/>
          <w:highlight w:val="none"/>
        </w:rPr>
        <w:t>已经发包人同意。</w:t>
      </w:r>
    </w:p>
    <w:p w14:paraId="78E98070">
      <w:pPr>
        <w:spacing w:before="161" w:line="360" w:lineRule="auto"/>
        <w:ind w:left="19" w:right="97"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（2）发包人应在监理人出具竣工付款证书后的14天内，将应支付款支付给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27A83F3E">
      <w:pPr>
        <w:spacing w:before="160" w:line="360" w:lineRule="auto"/>
        <w:ind w:left="20" w:right="100"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（3）如竣工付款证书中显示进度款支付超出实际已完成工程</w:t>
      </w:r>
      <w:r>
        <w:rPr>
          <w:rFonts w:hint="eastAsia" w:ascii="宋体" w:hAnsi="宋体" w:cs="宋体"/>
          <w:color w:val="auto"/>
          <w:spacing w:val="9"/>
          <w:sz w:val="20"/>
          <w:szCs w:val="20"/>
          <w:highlight w:val="none"/>
        </w:rPr>
        <w:t>价款的情况，承包人应在</w:t>
      </w:r>
      <w:r>
        <w:rPr>
          <w:rFonts w:hint="eastAsia" w:ascii="宋体" w:hAnsi="宋体" w:cs="宋体"/>
          <w:color w:val="auto"/>
          <w:spacing w:val="7"/>
          <w:sz w:val="20"/>
          <w:szCs w:val="20"/>
          <w:highlight w:val="none"/>
        </w:rPr>
        <w:t>监理人出具竣工付款证书后</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30日内向发包人返还多收到的</w:t>
      </w:r>
      <w:r>
        <w:rPr>
          <w:rFonts w:hint="eastAsia" w:ascii="宋体" w:hAnsi="宋体" w:cs="宋体"/>
          <w:color w:val="auto"/>
          <w:spacing w:val="6"/>
          <w:sz w:val="20"/>
          <w:szCs w:val="20"/>
          <w:highlight w:val="none"/>
        </w:rPr>
        <w:t>工程进度款。</w:t>
      </w:r>
    </w:p>
    <w:p w14:paraId="39EECA81">
      <w:pPr>
        <w:spacing w:before="161" w:line="360" w:lineRule="auto"/>
        <w:ind w:left="24" w:firstLine="4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（4）承包人对发包人签认的竣工付款证书有异议的，发包人</w:t>
      </w:r>
      <w:r>
        <w:rPr>
          <w:rFonts w:hint="eastAsia" w:ascii="宋体" w:hAnsi="宋体" w:cs="宋体"/>
          <w:color w:val="auto"/>
          <w:spacing w:val="9"/>
          <w:sz w:val="20"/>
          <w:szCs w:val="20"/>
          <w:highlight w:val="none"/>
        </w:rPr>
        <w:t>可出具竣工付款申请单中</w:t>
      </w:r>
      <w:r>
        <w:rPr>
          <w:rFonts w:hint="eastAsia" w:ascii="宋体" w:hAnsi="宋体" w:cs="宋体"/>
          <w:color w:val="auto"/>
          <w:spacing w:val="11"/>
          <w:sz w:val="20"/>
          <w:szCs w:val="20"/>
          <w:highlight w:val="none"/>
        </w:rPr>
        <w:t>与承包人达成一致意见部分的临时付款证书。存在争议的部分，按第24条“争议的解决</w:t>
      </w:r>
      <w:r>
        <w:rPr>
          <w:rFonts w:hint="eastAsia" w:ascii="宋体" w:hAnsi="宋体" w:cs="宋体"/>
          <w:color w:val="auto"/>
          <w:spacing w:val="-73"/>
          <w:sz w:val="20"/>
          <w:szCs w:val="20"/>
          <w:highlight w:val="none"/>
        </w:rPr>
        <w:t xml:space="preserve"> </w:t>
      </w:r>
      <w:r>
        <w:rPr>
          <w:rFonts w:hint="eastAsia" w:ascii="宋体" w:hAnsi="宋体" w:cs="宋体"/>
          <w:color w:val="auto"/>
          <w:spacing w:val="11"/>
          <w:sz w:val="20"/>
          <w:szCs w:val="20"/>
          <w:highlight w:val="none"/>
        </w:rPr>
        <w:t>”</w:t>
      </w:r>
      <w:r>
        <w:rPr>
          <w:rFonts w:hint="eastAsia" w:ascii="宋体" w:hAnsi="宋体" w:cs="宋体"/>
          <w:color w:val="auto"/>
          <w:spacing w:val="6"/>
          <w:sz w:val="20"/>
          <w:szCs w:val="20"/>
          <w:highlight w:val="none"/>
        </w:rPr>
        <w:t>的约定办理。</w:t>
      </w:r>
    </w:p>
    <w:p w14:paraId="26CD6F56">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（5）竣工付款涉及政府投资资金的，按第17</w:t>
      </w:r>
      <w:r>
        <w:rPr>
          <w:rFonts w:hint="eastAsia" w:ascii="宋体" w:hAnsi="宋体" w:cs="宋体"/>
          <w:color w:val="auto"/>
          <w:spacing w:val="5"/>
          <w:sz w:val="20"/>
          <w:szCs w:val="20"/>
          <w:highlight w:val="none"/>
        </w:rPr>
        <w:t>.3.3（4）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目的约定办理。</w:t>
      </w:r>
    </w:p>
    <w:p w14:paraId="273C5423">
      <w:pPr>
        <w:spacing w:before="161" w:line="360" w:lineRule="auto"/>
        <w:ind w:left="19" w:right="100"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17.5.4  除第17.5.5</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项约定的情况外，发包人和承包人应当在监理人颁发（出具）工程接收证书后</w:t>
      </w:r>
      <w:r>
        <w:rPr>
          <w:rFonts w:hint="eastAsia" w:ascii="宋体" w:hAnsi="宋体" w:cs="宋体"/>
          <w:color w:val="auto"/>
          <w:spacing w:val="-26"/>
          <w:sz w:val="20"/>
          <w:szCs w:val="20"/>
          <w:highlight w:val="none"/>
        </w:rPr>
        <w:t xml:space="preserve"> </w:t>
      </w:r>
      <w:r>
        <w:rPr>
          <w:rFonts w:hint="eastAsia" w:ascii="宋体" w:hAnsi="宋体" w:cs="宋体"/>
          <w:color w:val="auto"/>
          <w:spacing w:val="7"/>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天内办清竣工结算和竣工付款。</w:t>
      </w:r>
    </w:p>
    <w:p w14:paraId="5FB09B19">
      <w:pPr>
        <w:spacing w:before="162" w:line="360" w:lineRule="auto"/>
        <w:ind w:left="21" w:right="100"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17.5.5  政府投资或者以政府投资为主的建设项目纳入审计项目计划的，发包人和承包</w:t>
      </w:r>
      <w:r>
        <w:rPr>
          <w:rFonts w:hint="eastAsia" w:ascii="宋体" w:hAnsi="宋体" w:cs="宋体"/>
          <w:color w:val="auto"/>
          <w:spacing w:val="7"/>
          <w:sz w:val="20"/>
          <w:szCs w:val="20"/>
          <w:highlight w:val="none"/>
        </w:rPr>
        <w:t>人均负有配合、接受审计机关审计的义务，竣工结算应当依据审计结论，办清竣工结算和竣</w:t>
      </w:r>
      <w:r>
        <w:rPr>
          <w:rFonts w:hint="eastAsia" w:ascii="宋体" w:hAnsi="宋体" w:cs="宋体"/>
          <w:color w:val="auto"/>
          <w:spacing w:val="8"/>
          <w:sz w:val="20"/>
          <w:szCs w:val="20"/>
          <w:highlight w:val="none"/>
        </w:rPr>
        <w:t>工付款的时间按照相关规定执行。</w:t>
      </w:r>
    </w:p>
    <w:p w14:paraId="6986FF70">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17.6</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最终结清</w:t>
      </w:r>
    </w:p>
    <w:p w14:paraId="3741F58C">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17.6.1  最终结清申请单</w:t>
      </w:r>
    </w:p>
    <w:p w14:paraId="4C727625">
      <w:pPr>
        <w:spacing w:before="162" w:line="360" w:lineRule="auto"/>
        <w:ind w:left="23" w:right="97"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（1）缺陷责任期终止证书签发后，承包人可按合同约定的份</w:t>
      </w:r>
      <w:r>
        <w:rPr>
          <w:rFonts w:hint="eastAsia" w:ascii="宋体" w:hAnsi="宋体" w:cs="宋体"/>
          <w:color w:val="auto"/>
          <w:spacing w:val="9"/>
          <w:sz w:val="20"/>
          <w:szCs w:val="20"/>
          <w:highlight w:val="none"/>
        </w:rPr>
        <w:t>数和期限向监理人提交最</w:t>
      </w:r>
      <w:r>
        <w:rPr>
          <w:rFonts w:hint="eastAsia" w:ascii="宋体" w:hAnsi="宋体" w:cs="宋体"/>
          <w:color w:val="auto"/>
          <w:spacing w:val="7"/>
          <w:sz w:val="20"/>
          <w:szCs w:val="20"/>
          <w:highlight w:val="none"/>
        </w:rPr>
        <w:t>终结清申请单，并提供相关证明材料。承包人提交最终结清申请单的份数和期限见合同条款</w:t>
      </w:r>
      <w:r>
        <w:rPr>
          <w:rFonts w:hint="eastAsia" w:ascii="宋体" w:hAnsi="宋体" w:cs="宋体"/>
          <w:color w:val="auto"/>
          <w:spacing w:val="5"/>
          <w:sz w:val="20"/>
          <w:szCs w:val="20"/>
          <w:highlight w:val="none"/>
        </w:rPr>
        <w:t>专用部分。</w:t>
      </w:r>
    </w:p>
    <w:p w14:paraId="54FE7AD5">
      <w:pPr>
        <w:spacing w:before="2" w:line="360" w:lineRule="auto"/>
        <w:ind w:left="24" w:right="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发包人向承包人支付质量保证金利息的，承包人应按照约定的</w:t>
      </w:r>
      <w:r>
        <w:rPr>
          <w:rFonts w:hint="eastAsia" w:ascii="宋体" w:hAnsi="宋体" w:cs="宋体"/>
          <w:color w:val="auto"/>
          <w:spacing w:val="8"/>
          <w:sz w:val="20"/>
          <w:szCs w:val="20"/>
          <w:highlight w:val="none"/>
        </w:rPr>
        <w:t>利息计算方法计算利息，</w:t>
      </w:r>
      <w:r>
        <w:rPr>
          <w:rFonts w:hint="eastAsia" w:ascii="宋体" w:hAnsi="宋体" w:cs="宋体"/>
          <w:color w:val="auto"/>
          <w:spacing w:val="9"/>
          <w:sz w:val="20"/>
          <w:szCs w:val="20"/>
          <w:highlight w:val="none"/>
        </w:rPr>
        <w:t>并列入最终结清申请单中。是否支付质量保证金利息及利息计算方</w:t>
      </w:r>
      <w:r>
        <w:rPr>
          <w:rFonts w:hint="eastAsia" w:ascii="宋体" w:hAnsi="宋体" w:cs="宋体"/>
          <w:color w:val="auto"/>
          <w:spacing w:val="8"/>
          <w:sz w:val="20"/>
          <w:szCs w:val="20"/>
          <w:highlight w:val="none"/>
        </w:rPr>
        <w:t>法见合同条款专用部分。</w:t>
      </w:r>
    </w:p>
    <w:p w14:paraId="5A56FFE5">
      <w:pPr>
        <w:spacing w:before="2" w:line="360" w:lineRule="auto"/>
        <w:ind w:left="19" w:right="100" w:firstLine="430"/>
        <w:rPr>
          <w:rFonts w:hint="eastAsia" w:ascii="宋体" w:hAnsi="宋体" w:cs="宋体"/>
          <w:color w:val="auto"/>
          <w:highlight w:val="none"/>
        </w:rPr>
      </w:pPr>
      <w:r>
        <w:rPr>
          <w:rFonts w:hint="eastAsia" w:ascii="宋体" w:hAnsi="宋体" w:cs="宋体"/>
          <w:color w:val="auto"/>
          <w:spacing w:val="10"/>
          <w:sz w:val="20"/>
          <w:szCs w:val="20"/>
          <w:highlight w:val="none"/>
        </w:rPr>
        <w:t>（2）发包人对最终结清申请单内容有异议的，有权要求承包</w:t>
      </w:r>
      <w:r>
        <w:rPr>
          <w:rFonts w:hint="eastAsia" w:ascii="宋体" w:hAnsi="宋体" w:cs="宋体"/>
          <w:color w:val="auto"/>
          <w:spacing w:val="9"/>
          <w:sz w:val="20"/>
          <w:szCs w:val="20"/>
          <w:highlight w:val="none"/>
        </w:rPr>
        <w:t>人进行修正和提供补充资</w:t>
      </w:r>
      <w:r>
        <w:rPr>
          <w:rFonts w:hint="eastAsia" w:ascii="宋体" w:hAnsi="宋体" w:cs="宋体"/>
          <w:color w:val="auto"/>
          <w:spacing w:val="7"/>
          <w:sz w:val="20"/>
          <w:szCs w:val="20"/>
          <w:highlight w:val="none"/>
        </w:rPr>
        <w:t>料，</w:t>
      </w:r>
      <w:r>
        <w:rPr>
          <w:rFonts w:hint="eastAsia" w:ascii="宋体" w:hAnsi="宋体" w:cs="宋体"/>
          <w:color w:val="auto"/>
          <w:spacing w:val="-49"/>
          <w:sz w:val="20"/>
          <w:szCs w:val="20"/>
          <w:highlight w:val="none"/>
        </w:rPr>
        <w:t xml:space="preserve"> </w:t>
      </w:r>
      <w:r>
        <w:rPr>
          <w:rFonts w:hint="eastAsia" w:ascii="宋体" w:hAnsi="宋体" w:cs="宋体"/>
          <w:color w:val="auto"/>
          <w:spacing w:val="7"/>
          <w:sz w:val="20"/>
          <w:szCs w:val="20"/>
          <w:highlight w:val="none"/>
        </w:rPr>
        <w:t>由承包人向监理人提交修正后的最终结清申请单。</w:t>
      </w:r>
    </w:p>
    <w:p w14:paraId="1C24AB5C">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17.6.2  最终结清证书和支付时间</w:t>
      </w:r>
    </w:p>
    <w:p w14:paraId="11C6AF61">
      <w:pPr>
        <w:spacing w:before="162" w:line="360" w:lineRule="auto"/>
        <w:ind w:left="19" w:right="55"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（1）监理人收到承包人提交的最终结清申请单后的14</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天内，提出发包人应</w:t>
      </w:r>
      <w:r>
        <w:rPr>
          <w:rFonts w:hint="eastAsia" w:ascii="宋体" w:hAnsi="宋体" w:cs="宋体"/>
          <w:color w:val="auto"/>
          <w:spacing w:val="5"/>
          <w:sz w:val="20"/>
          <w:szCs w:val="20"/>
          <w:highlight w:val="none"/>
        </w:rPr>
        <w:t>支付给承包</w:t>
      </w:r>
      <w:r>
        <w:rPr>
          <w:rFonts w:hint="eastAsia" w:ascii="宋体" w:hAnsi="宋体" w:cs="宋体"/>
          <w:color w:val="auto"/>
          <w:spacing w:val="8"/>
          <w:sz w:val="20"/>
          <w:szCs w:val="20"/>
          <w:highlight w:val="none"/>
        </w:rPr>
        <w:t>人的价款等审核意见，并报送发包人审核。发包人应在收到后14天内审核完毕，</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w:t>
      </w:r>
      <w:r>
        <w:rPr>
          <w:rFonts w:hint="eastAsia" w:ascii="宋体" w:hAnsi="宋体" w:cs="宋体"/>
          <w:color w:val="auto"/>
          <w:spacing w:val="7"/>
          <w:sz w:val="20"/>
          <w:szCs w:val="20"/>
          <w:highlight w:val="none"/>
        </w:rPr>
        <w:t>理人</w:t>
      </w:r>
      <w:r>
        <w:rPr>
          <w:rFonts w:hint="eastAsia" w:ascii="宋体" w:hAnsi="宋体" w:cs="宋体"/>
          <w:color w:val="auto"/>
          <w:spacing w:val="8"/>
          <w:sz w:val="20"/>
          <w:szCs w:val="20"/>
          <w:highlight w:val="none"/>
        </w:rPr>
        <w:t>向承包人出具经发包人签认的最终结清证书</w:t>
      </w:r>
      <w:r>
        <w:rPr>
          <w:rFonts w:hint="eastAsia" w:ascii="宋体" w:hAnsi="宋体" w:cs="宋体"/>
          <w:color w:val="auto"/>
          <w:spacing w:val="7"/>
          <w:sz w:val="20"/>
          <w:szCs w:val="20"/>
          <w:highlight w:val="none"/>
        </w:rPr>
        <w:t>。监理人未在约定时间内提出具体意见的，视为</w:t>
      </w:r>
      <w:r>
        <w:rPr>
          <w:rFonts w:hint="eastAsia" w:ascii="宋体" w:hAnsi="宋体" w:cs="宋体"/>
          <w:color w:val="auto"/>
          <w:spacing w:val="9"/>
          <w:sz w:val="20"/>
          <w:szCs w:val="20"/>
          <w:highlight w:val="none"/>
        </w:rPr>
        <w:t>承包人提交的最终结清申请已经监理人核查</w:t>
      </w:r>
      <w:r>
        <w:rPr>
          <w:rFonts w:hint="eastAsia" w:ascii="宋体" w:hAnsi="宋体" w:cs="宋体"/>
          <w:color w:val="auto"/>
          <w:spacing w:val="8"/>
          <w:sz w:val="20"/>
          <w:szCs w:val="20"/>
          <w:highlight w:val="none"/>
        </w:rPr>
        <w:t>同意；发包人未在约定时间内提出具体意见的，</w:t>
      </w:r>
      <w:r>
        <w:rPr>
          <w:rFonts w:hint="eastAsia" w:ascii="宋体" w:hAnsi="宋体" w:cs="宋体"/>
          <w:color w:val="auto"/>
          <w:spacing w:val="9"/>
          <w:sz w:val="20"/>
          <w:szCs w:val="20"/>
          <w:highlight w:val="none"/>
        </w:rPr>
        <w:t>监理人提出应支付给承包人的价款视为已经发包人同意。</w:t>
      </w:r>
    </w:p>
    <w:p w14:paraId="38863E52">
      <w:pPr>
        <w:spacing w:before="163"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（2）发包人应在监理人出具最终结清证书后的14天内，将应支付款支付给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3033AD10">
      <w:pPr>
        <w:spacing w:before="159"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（3）承包人对发包人签认的最终结清证书有异议</w:t>
      </w:r>
      <w:r>
        <w:rPr>
          <w:rFonts w:hint="eastAsia" w:ascii="宋体" w:hAnsi="宋体" w:cs="宋体"/>
          <w:color w:val="auto"/>
          <w:spacing w:val="5"/>
          <w:sz w:val="20"/>
          <w:szCs w:val="20"/>
          <w:highlight w:val="none"/>
        </w:rPr>
        <w:t>的，按第24</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条“争议的解决</w:t>
      </w:r>
      <w:r>
        <w:rPr>
          <w:rFonts w:hint="eastAsia" w:ascii="宋体" w:hAnsi="宋体" w:cs="宋体"/>
          <w:color w:val="auto"/>
          <w:spacing w:val="-72"/>
          <w:sz w:val="20"/>
          <w:szCs w:val="20"/>
          <w:highlight w:val="none"/>
        </w:rPr>
        <w:t xml:space="preserve"> </w:t>
      </w:r>
      <w:r>
        <w:rPr>
          <w:rFonts w:hint="eastAsia" w:ascii="宋体" w:hAnsi="宋体" w:cs="宋体"/>
          <w:color w:val="auto"/>
          <w:spacing w:val="5"/>
          <w:sz w:val="20"/>
          <w:szCs w:val="20"/>
          <w:highlight w:val="none"/>
        </w:rPr>
        <w:t>”的约定</w:t>
      </w:r>
      <w:r>
        <w:rPr>
          <w:rFonts w:hint="eastAsia" w:ascii="宋体" w:hAnsi="宋体" w:cs="宋体"/>
          <w:color w:val="auto"/>
          <w:spacing w:val="1"/>
          <w:sz w:val="20"/>
          <w:szCs w:val="20"/>
          <w:highlight w:val="none"/>
        </w:rPr>
        <w:t>办理。</w:t>
      </w:r>
    </w:p>
    <w:p w14:paraId="55A6C459">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（4）最终结清付款涉及政府投资资金的，按第17.3.3（4）</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w:t>
      </w:r>
      <w:r>
        <w:rPr>
          <w:rFonts w:hint="eastAsia" w:ascii="宋体" w:hAnsi="宋体" w:cs="宋体"/>
          <w:color w:val="auto"/>
          <w:spacing w:val="5"/>
          <w:sz w:val="20"/>
          <w:szCs w:val="20"/>
          <w:highlight w:val="none"/>
        </w:rPr>
        <w:t>的约定办理。</w:t>
      </w:r>
    </w:p>
    <w:p w14:paraId="16FC06CF">
      <w:pPr>
        <w:spacing w:before="2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18.竣工验收</w:t>
      </w:r>
    </w:p>
    <w:p w14:paraId="31A686B9">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18.1  竣工验收的含义</w:t>
      </w:r>
    </w:p>
    <w:p w14:paraId="540FF2D8">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18.1.1  竣工验收指承包人完成了全部合同工作后，发包人按合同要求进行的验收。</w:t>
      </w:r>
    </w:p>
    <w:p w14:paraId="707E22F1">
      <w:pPr>
        <w:spacing w:before="159"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18.1.2  国家验收是政府有关部门根据法律、规范、规程和政策要求，针对发包人全面</w:t>
      </w:r>
      <w:r>
        <w:rPr>
          <w:rFonts w:hint="eastAsia" w:ascii="宋体" w:hAnsi="宋体" w:cs="宋体"/>
          <w:color w:val="auto"/>
          <w:spacing w:val="8"/>
          <w:sz w:val="20"/>
          <w:szCs w:val="20"/>
          <w:highlight w:val="none"/>
        </w:rPr>
        <w:t>组织实施的整个工程正式交付投运前的验收。</w:t>
      </w:r>
    </w:p>
    <w:p w14:paraId="0BA04DA4">
      <w:pPr>
        <w:spacing w:before="162"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18.1.3  需要进行国家验收的，竣工验收是国家验收的一部分。竣工验收所采用的各项</w:t>
      </w:r>
      <w:r>
        <w:rPr>
          <w:rFonts w:hint="eastAsia" w:ascii="宋体" w:hAnsi="宋体" w:cs="宋体"/>
          <w:color w:val="auto"/>
          <w:spacing w:val="8"/>
          <w:sz w:val="20"/>
          <w:szCs w:val="20"/>
          <w:highlight w:val="none"/>
        </w:rPr>
        <w:t>验收和评定标准应符合国家验收标准。发包人和承</w:t>
      </w:r>
      <w:r>
        <w:rPr>
          <w:rFonts w:hint="eastAsia" w:ascii="宋体" w:hAnsi="宋体" w:cs="宋体"/>
          <w:color w:val="auto"/>
          <w:spacing w:val="7"/>
          <w:sz w:val="20"/>
          <w:szCs w:val="20"/>
          <w:highlight w:val="none"/>
        </w:rPr>
        <w:t>包人为竣工验收提供的各项竣工验收资料</w:t>
      </w:r>
      <w:r>
        <w:rPr>
          <w:rFonts w:hint="eastAsia" w:ascii="宋体" w:hAnsi="宋体" w:cs="宋体"/>
          <w:color w:val="auto"/>
          <w:spacing w:val="8"/>
          <w:sz w:val="20"/>
          <w:szCs w:val="20"/>
          <w:highlight w:val="none"/>
        </w:rPr>
        <w:t>应符合国家验收的要求。</w:t>
      </w:r>
    </w:p>
    <w:p w14:paraId="3A943036">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18.2  竣工验收申请报告</w:t>
      </w:r>
    </w:p>
    <w:p w14:paraId="597129BE">
      <w:pPr>
        <w:spacing w:before="299"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当工程具备以下条件时，承包人即可向监理人报送竣工验收申</w:t>
      </w:r>
      <w:r>
        <w:rPr>
          <w:rFonts w:hint="eastAsia" w:ascii="宋体" w:hAnsi="宋体" w:cs="宋体"/>
          <w:color w:val="auto"/>
          <w:spacing w:val="8"/>
          <w:sz w:val="20"/>
          <w:szCs w:val="20"/>
          <w:highlight w:val="none"/>
        </w:rPr>
        <w:t>请报告：</w:t>
      </w:r>
    </w:p>
    <w:p w14:paraId="73766DF7">
      <w:pPr>
        <w:spacing w:before="163"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（1）除监理人同意列入缺陷责任期内完成的尾工（甩项）工</w:t>
      </w:r>
      <w:r>
        <w:rPr>
          <w:rFonts w:hint="eastAsia" w:ascii="宋体" w:hAnsi="宋体" w:cs="宋体"/>
          <w:color w:val="auto"/>
          <w:spacing w:val="9"/>
          <w:sz w:val="20"/>
          <w:szCs w:val="20"/>
          <w:highlight w:val="none"/>
        </w:rPr>
        <w:t>程和缺陷修补工作外，合</w:t>
      </w:r>
      <w:r>
        <w:rPr>
          <w:rFonts w:hint="eastAsia" w:ascii="宋体" w:hAnsi="宋体" w:cs="宋体"/>
          <w:color w:val="auto"/>
          <w:spacing w:val="7"/>
          <w:sz w:val="20"/>
          <w:szCs w:val="20"/>
          <w:highlight w:val="none"/>
        </w:rPr>
        <w:t>同范围内的全部单位工程以及有关工作，包括合同要求的试验、试运行以及检验和验收均已完成，并符合合同要求。</w:t>
      </w:r>
    </w:p>
    <w:p w14:paraId="50546318">
      <w:pPr>
        <w:spacing w:before="162" w:line="360" w:lineRule="auto"/>
        <w:ind w:left="21" w:right="39"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（2）承包人负责整理和提交的竣工验收资料应当符合工程所</w:t>
      </w:r>
      <w:r>
        <w:rPr>
          <w:rFonts w:hint="eastAsia" w:ascii="宋体" w:hAnsi="宋体" w:cs="宋体"/>
          <w:color w:val="auto"/>
          <w:spacing w:val="9"/>
          <w:sz w:val="20"/>
          <w:szCs w:val="20"/>
          <w:highlight w:val="none"/>
        </w:rPr>
        <w:t>在地建设行政主管部门和</w:t>
      </w:r>
      <w:r>
        <w:rPr>
          <w:rFonts w:hint="eastAsia" w:ascii="宋体" w:hAnsi="宋体" w:cs="宋体"/>
          <w:color w:val="auto"/>
          <w:spacing w:val="8"/>
          <w:sz w:val="20"/>
          <w:szCs w:val="20"/>
          <w:highlight w:val="none"/>
        </w:rPr>
        <w:t>（或）城市建设档案管理机构有关施工资料的</w:t>
      </w:r>
      <w:r>
        <w:rPr>
          <w:rFonts w:hint="eastAsia" w:ascii="宋体" w:hAnsi="宋体" w:cs="宋体"/>
          <w:color w:val="auto"/>
          <w:spacing w:val="7"/>
          <w:sz w:val="20"/>
          <w:szCs w:val="20"/>
          <w:highlight w:val="none"/>
        </w:rPr>
        <w:t>要求，同时已按合同条款专用部分约定备齐了</w:t>
      </w:r>
      <w:r>
        <w:rPr>
          <w:rFonts w:hint="eastAsia" w:ascii="宋体" w:hAnsi="宋体" w:cs="宋体"/>
          <w:color w:val="auto"/>
          <w:spacing w:val="9"/>
          <w:sz w:val="20"/>
          <w:szCs w:val="20"/>
          <w:highlight w:val="none"/>
        </w:rPr>
        <w:t>符合要求的竣工资料。竣工验收资料的内容和份数以及费用支付方式见合</w:t>
      </w:r>
      <w:r>
        <w:rPr>
          <w:rFonts w:hint="eastAsia" w:ascii="宋体" w:hAnsi="宋体" w:cs="宋体"/>
          <w:color w:val="auto"/>
          <w:spacing w:val="8"/>
          <w:sz w:val="20"/>
          <w:szCs w:val="20"/>
          <w:highlight w:val="none"/>
        </w:rPr>
        <w:t>同条款专用部分。</w:t>
      </w:r>
    </w:p>
    <w:p w14:paraId="66495F34">
      <w:pPr>
        <w:spacing w:before="158"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w:t>
      </w:r>
      <w:r>
        <w:rPr>
          <w:rFonts w:hint="eastAsia" w:ascii="宋体" w:hAnsi="宋体" w:cs="宋体"/>
          <w:color w:val="auto"/>
          <w:spacing w:val="-57"/>
          <w:sz w:val="20"/>
          <w:szCs w:val="20"/>
          <w:highlight w:val="none"/>
        </w:rPr>
        <w:t xml:space="preserve"> </w:t>
      </w:r>
      <w:r>
        <w:rPr>
          <w:rFonts w:hint="eastAsia" w:ascii="宋体" w:hAnsi="宋体" w:cs="宋体"/>
          <w:color w:val="auto"/>
          <w:spacing w:val="9"/>
          <w:sz w:val="20"/>
          <w:szCs w:val="20"/>
          <w:highlight w:val="none"/>
        </w:rPr>
        <w:t>已按监理人的要求编制了在缺陷责任期内需</w:t>
      </w:r>
      <w:r>
        <w:rPr>
          <w:rFonts w:hint="eastAsia" w:ascii="宋体" w:hAnsi="宋体" w:cs="宋体"/>
          <w:color w:val="auto"/>
          <w:spacing w:val="8"/>
          <w:sz w:val="20"/>
          <w:szCs w:val="20"/>
          <w:highlight w:val="none"/>
        </w:rPr>
        <w:t>完成的尾工（甩项）工程，和缺陷修补工作清单等相应施工计划。</w:t>
      </w:r>
    </w:p>
    <w:p w14:paraId="404C932C">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（4）监理人要求在竣工验收前应完成的其他工作。</w:t>
      </w:r>
    </w:p>
    <w:p w14:paraId="485EBF89">
      <w:pPr>
        <w:spacing w:before="161" w:line="360" w:lineRule="auto"/>
        <w:ind w:left="449"/>
        <w:rPr>
          <w:rFonts w:hint="eastAsia" w:ascii="宋体" w:hAnsi="宋体" w:cs="宋体"/>
          <w:color w:val="auto"/>
          <w:highlight w:val="none"/>
        </w:rPr>
      </w:pPr>
      <w:r>
        <w:rPr>
          <w:rFonts w:hint="eastAsia" w:ascii="宋体" w:hAnsi="宋体" w:cs="宋体"/>
          <w:color w:val="auto"/>
          <w:spacing w:val="8"/>
          <w:sz w:val="20"/>
          <w:szCs w:val="20"/>
          <w:highlight w:val="none"/>
        </w:rPr>
        <w:t>（5）监理人要求提交的竣工验收资料清单。</w:t>
      </w:r>
    </w:p>
    <w:p w14:paraId="0C607D6A">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18.3</w:t>
      </w:r>
      <w:r>
        <w:rPr>
          <w:rFonts w:hint="eastAsia" w:ascii="宋体" w:hAnsi="宋体" w:cs="宋体"/>
          <w:color w:val="auto"/>
          <w:spacing w:val="4"/>
          <w:sz w:val="24"/>
          <w:highlight w:val="none"/>
        </w:rPr>
        <w:t xml:space="preserve">  </w:t>
      </w:r>
      <w:r>
        <w:rPr>
          <w:rFonts w:hint="eastAsia" w:ascii="宋体" w:hAnsi="宋体" w:cs="宋体"/>
          <w:color w:val="auto"/>
          <w:spacing w:val="-6"/>
          <w:sz w:val="24"/>
          <w:highlight w:val="none"/>
        </w:rPr>
        <w:t>验收</w:t>
      </w:r>
    </w:p>
    <w:p w14:paraId="58EA64A4">
      <w:pPr>
        <w:spacing w:before="296" w:line="360" w:lineRule="auto"/>
        <w:ind w:left="23" w:right="68"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监理人收到承包人按第</w:t>
      </w:r>
      <w:r>
        <w:rPr>
          <w:rFonts w:hint="eastAsia" w:ascii="宋体" w:hAnsi="宋体" w:cs="宋体"/>
          <w:color w:val="auto"/>
          <w:spacing w:val="-23"/>
          <w:sz w:val="20"/>
          <w:szCs w:val="20"/>
          <w:highlight w:val="none"/>
        </w:rPr>
        <w:t xml:space="preserve"> </w:t>
      </w:r>
      <w:r>
        <w:rPr>
          <w:rFonts w:hint="eastAsia" w:ascii="宋体" w:hAnsi="宋体" w:cs="宋体"/>
          <w:color w:val="auto"/>
          <w:spacing w:val="9"/>
          <w:sz w:val="20"/>
          <w:szCs w:val="20"/>
          <w:highlight w:val="none"/>
        </w:rPr>
        <w:t>18.2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款约定提交的竣工验收申请报告后</w:t>
      </w:r>
      <w:r>
        <w:rPr>
          <w:rFonts w:hint="eastAsia" w:ascii="宋体" w:hAnsi="宋体" w:cs="宋体"/>
          <w:color w:val="auto"/>
          <w:spacing w:val="8"/>
          <w:sz w:val="20"/>
          <w:szCs w:val="20"/>
          <w:highlight w:val="none"/>
        </w:rPr>
        <w:t>，应审查申请报告的各项内容，并按以下不同情况进行处理。</w:t>
      </w:r>
    </w:p>
    <w:p w14:paraId="70B6697D">
      <w:pPr>
        <w:spacing w:before="1"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18.3.1  监理人审查后认为尚不具备竣工验收条件的，应在收到竣工验收申请报告后的</w:t>
      </w:r>
      <w:r>
        <w:rPr>
          <w:rFonts w:hint="eastAsia" w:ascii="宋体" w:hAnsi="宋体" w:cs="宋体"/>
          <w:color w:val="auto"/>
          <w:spacing w:val="11"/>
          <w:sz w:val="20"/>
          <w:szCs w:val="20"/>
          <w:highlight w:val="none"/>
        </w:rPr>
        <w:t>28天内通知承包人，并指出在颁发接收证书前承包人需进行的工作</w:t>
      </w:r>
      <w:r>
        <w:rPr>
          <w:rFonts w:hint="eastAsia" w:ascii="宋体" w:hAnsi="宋体" w:cs="宋体"/>
          <w:color w:val="auto"/>
          <w:spacing w:val="10"/>
          <w:sz w:val="20"/>
          <w:szCs w:val="20"/>
          <w:highlight w:val="none"/>
        </w:rPr>
        <w:t>内容。承包人完成监理</w:t>
      </w:r>
      <w:r>
        <w:rPr>
          <w:rFonts w:hint="eastAsia" w:ascii="宋体" w:hAnsi="宋体" w:cs="宋体"/>
          <w:color w:val="auto"/>
          <w:spacing w:val="9"/>
          <w:sz w:val="20"/>
          <w:szCs w:val="20"/>
          <w:highlight w:val="none"/>
        </w:rPr>
        <w:t>人通知的全部工作内容后，应再次提交竣工验收申请报告，直至监理人同意为止。</w:t>
      </w:r>
    </w:p>
    <w:p w14:paraId="19186A6B">
      <w:pPr>
        <w:spacing w:before="1"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18.3.2  监理人审查后认为已具备竣工验收条件的，应在收到竣工验收申请报告后的</w:t>
      </w:r>
      <w:r>
        <w:rPr>
          <w:rFonts w:hint="eastAsia" w:ascii="宋体" w:hAnsi="宋体" w:cs="宋体"/>
          <w:color w:val="auto"/>
          <w:spacing w:val="7"/>
          <w:sz w:val="20"/>
          <w:szCs w:val="20"/>
          <w:highlight w:val="none"/>
        </w:rPr>
        <w:t>28天内提请发包人进行工程验收。</w:t>
      </w:r>
    </w:p>
    <w:p w14:paraId="09B2FF7E">
      <w:pPr>
        <w:spacing w:before="160"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18.3.3  发包人经过验收后同意接受工程的，应在监理人收到竣工验收申请报告后的</w:t>
      </w:r>
      <w:r>
        <w:rPr>
          <w:rFonts w:hint="eastAsia" w:ascii="宋体" w:hAnsi="宋体" w:cs="宋体"/>
          <w:color w:val="auto"/>
          <w:spacing w:val="10"/>
          <w:sz w:val="20"/>
          <w:szCs w:val="20"/>
          <w:highlight w:val="none"/>
        </w:rPr>
        <w:t>56天内，</w:t>
      </w:r>
      <w:r>
        <w:rPr>
          <w:rFonts w:hint="eastAsia" w:ascii="宋体" w:hAnsi="宋体" w:cs="宋体"/>
          <w:color w:val="auto"/>
          <w:spacing w:val="-59"/>
          <w:sz w:val="20"/>
          <w:szCs w:val="20"/>
          <w:highlight w:val="none"/>
        </w:rPr>
        <w:t xml:space="preserve"> </w:t>
      </w:r>
      <w:r>
        <w:rPr>
          <w:rFonts w:hint="eastAsia" w:ascii="宋体" w:hAnsi="宋体" w:cs="宋体"/>
          <w:color w:val="auto"/>
          <w:spacing w:val="10"/>
          <w:sz w:val="20"/>
          <w:szCs w:val="20"/>
          <w:highlight w:val="none"/>
        </w:rPr>
        <w:t>由监理人向承包人出具经发包人签认的工程接收证书</w:t>
      </w:r>
      <w:r>
        <w:rPr>
          <w:rFonts w:hint="eastAsia" w:ascii="宋体" w:hAnsi="宋体" w:cs="宋体"/>
          <w:color w:val="auto"/>
          <w:spacing w:val="9"/>
          <w:sz w:val="20"/>
          <w:szCs w:val="20"/>
          <w:highlight w:val="none"/>
        </w:rPr>
        <w:t>。发包人验收后同意接收工程，但提出整修和完善要求的，限期修好，并</w:t>
      </w:r>
      <w:r>
        <w:rPr>
          <w:rFonts w:hint="eastAsia" w:ascii="宋体" w:hAnsi="宋体" w:cs="宋体"/>
          <w:color w:val="auto"/>
          <w:spacing w:val="8"/>
          <w:sz w:val="20"/>
          <w:szCs w:val="20"/>
          <w:highlight w:val="none"/>
        </w:rPr>
        <w:t>缓发工程接收证书。整修和完善工作完成后，</w:t>
      </w:r>
      <w:r>
        <w:rPr>
          <w:rFonts w:hint="eastAsia" w:ascii="宋体" w:hAnsi="宋体" w:cs="宋体"/>
          <w:color w:val="auto"/>
          <w:spacing w:val="9"/>
          <w:sz w:val="20"/>
          <w:szCs w:val="20"/>
          <w:highlight w:val="none"/>
        </w:rPr>
        <w:t>监理人复查达到要求的，经发包人同意后，再向承包人出具工程接收证书。</w:t>
      </w:r>
    </w:p>
    <w:p w14:paraId="266E28A6">
      <w:pPr>
        <w:spacing w:line="360" w:lineRule="auto"/>
        <w:ind w:left="19"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18.3.4  发包人验收后不同意接收工程的，监理人应按照发包人的验收意见发出指示，要求承包人对不合格工程认真返工重作或进</w:t>
      </w:r>
      <w:r>
        <w:rPr>
          <w:rFonts w:hint="eastAsia" w:ascii="宋体" w:hAnsi="宋体" w:cs="宋体"/>
          <w:color w:val="auto"/>
          <w:spacing w:val="7"/>
          <w:sz w:val="20"/>
          <w:szCs w:val="20"/>
          <w:highlight w:val="none"/>
        </w:rPr>
        <w:t>行补救处理，并承担由此产生的费用。承包人在</w:t>
      </w:r>
      <w:r>
        <w:rPr>
          <w:rFonts w:hint="eastAsia" w:ascii="宋体" w:hAnsi="宋体" w:cs="宋体"/>
          <w:color w:val="auto"/>
          <w:spacing w:val="5"/>
          <w:sz w:val="20"/>
          <w:szCs w:val="20"/>
          <w:highlight w:val="none"/>
        </w:rPr>
        <w:t>完成不合格工程的返工重作或补救工作后，应重新提交竣工验收申请报告，按第18.3.1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w:t>
      </w:r>
      <w:r>
        <w:rPr>
          <w:rFonts w:hint="eastAsia" w:ascii="宋体" w:hAnsi="宋体" w:cs="宋体"/>
          <w:color w:val="auto"/>
          <w:spacing w:val="3"/>
          <w:sz w:val="20"/>
          <w:szCs w:val="20"/>
          <w:highlight w:val="none"/>
        </w:rPr>
        <w:t>第18.3.2项和第18.3.3项的约定进行。</w:t>
      </w:r>
    </w:p>
    <w:p w14:paraId="53E9E27E">
      <w:pPr>
        <w:spacing w:before="160" w:line="360" w:lineRule="auto"/>
        <w:ind w:left="18" w:right="70" w:firstLine="4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18.3.5  经验收合格的工程, 实</w:t>
      </w:r>
      <w:r>
        <w:rPr>
          <w:rFonts w:hint="eastAsia" w:ascii="宋体" w:hAnsi="宋体" w:cs="宋体"/>
          <w:color w:val="auto"/>
          <w:spacing w:val="7"/>
          <w:sz w:val="20"/>
          <w:szCs w:val="20"/>
          <w:highlight w:val="none"/>
        </w:rPr>
        <w:t>际竣工日期为承包人按照第18.2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款提交竣工验收申请报告或按照本款重新提交竣工验收申请报告的日期（以两者中时间在后者为准）。</w:t>
      </w:r>
    </w:p>
    <w:p w14:paraId="4912C51F">
      <w:pPr>
        <w:spacing w:before="162" w:line="360" w:lineRule="auto"/>
        <w:ind w:left="24" w:right="14"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18.3.6  发包人在收到承包人竣工</w:t>
      </w:r>
      <w:r>
        <w:rPr>
          <w:rFonts w:hint="eastAsia" w:ascii="宋体" w:hAnsi="宋体" w:cs="宋体"/>
          <w:color w:val="auto"/>
          <w:spacing w:val="4"/>
          <w:sz w:val="20"/>
          <w:szCs w:val="20"/>
          <w:highlight w:val="none"/>
        </w:rPr>
        <w:t>验收申请报告</w:t>
      </w:r>
      <w:r>
        <w:rPr>
          <w:rFonts w:hint="eastAsia" w:ascii="宋体" w:hAnsi="宋体" w:cs="宋体"/>
          <w:color w:val="auto"/>
          <w:spacing w:val="-35"/>
          <w:sz w:val="20"/>
          <w:szCs w:val="20"/>
          <w:highlight w:val="none"/>
        </w:rPr>
        <w:t xml:space="preserve"> </w:t>
      </w:r>
      <w:r>
        <w:rPr>
          <w:rFonts w:hint="eastAsia" w:ascii="宋体" w:hAnsi="宋体" w:cs="宋体"/>
          <w:color w:val="auto"/>
          <w:spacing w:val="4"/>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4"/>
          <w:sz w:val="20"/>
          <w:szCs w:val="20"/>
          <w:highlight w:val="none"/>
        </w:rPr>
        <w:t>天后未进行验收的，视为验收合格，</w:t>
      </w:r>
      <w:r>
        <w:rPr>
          <w:rFonts w:hint="eastAsia" w:ascii="宋体" w:hAnsi="宋体" w:cs="宋体"/>
          <w:color w:val="auto"/>
          <w:spacing w:val="7"/>
          <w:sz w:val="20"/>
          <w:szCs w:val="20"/>
          <w:highlight w:val="none"/>
        </w:rPr>
        <w:t>实际竣工日期以提交竣工验收申请报告的日期为准，但发包人由于不可抗力不能进行验收的</w:t>
      </w:r>
      <w:r>
        <w:rPr>
          <w:rFonts w:hint="eastAsia" w:ascii="宋体" w:hAnsi="宋体" w:cs="宋体"/>
          <w:color w:val="auto"/>
          <w:spacing w:val="1"/>
          <w:sz w:val="20"/>
          <w:szCs w:val="20"/>
          <w:highlight w:val="none"/>
        </w:rPr>
        <w:t>除外。</w:t>
      </w:r>
    </w:p>
    <w:p w14:paraId="7F6CEA46">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18.4  单位工程验收</w:t>
      </w:r>
    </w:p>
    <w:p w14:paraId="3E529A8D">
      <w:pPr>
        <w:spacing w:before="298" w:line="360" w:lineRule="auto"/>
        <w:ind w:left="19" w:right="68"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18.4.1  发包人根据合同进度计划安排，在全部工程竣工前需要使用已经竣工的单位工</w:t>
      </w:r>
      <w:r>
        <w:rPr>
          <w:rFonts w:hint="eastAsia" w:ascii="宋体" w:hAnsi="宋体" w:cs="宋体"/>
          <w:color w:val="auto"/>
          <w:spacing w:val="9"/>
          <w:sz w:val="20"/>
          <w:szCs w:val="20"/>
          <w:highlight w:val="none"/>
        </w:rPr>
        <w:t>程时，或承包人提出经发包人同意时，可进行单位工程验收。验收的程序可参照</w:t>
      </w:r>
      <w:r>
        <w:rPr>
          <w:rFonts w:hint="eastAsia" w:ascii="宋体" w:hAnsi="宋体" w:cs="宋体"/>
          <w:color w:val="auto"/>
          <w:spacing w:val="8"/>
          <w:sz w:val="20"/>
          <w:szCs w:val="20"/>
          <w:highlight w:val="none"/>
        </w:rPr>
        <w:t>第18.2款与第18.3</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款的约定进行。验收合格后，</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由监理人向承包人出具经发包人签认的单位</w:t>
      </w:r>
      <w:r>
        <w:rPr>
          <w:rFonts w:hint="eastAsia" w:ascii="宋体" w:hAnsi="宋体" w:cs="宋体"/>
          <w:color w:val="auto"/>
          <w:spacing w:val="7"/>
          <w:sz w:val="20"/>
          <w:szCs w:val="20"/>
          <w:highlight w:val="none"/>
        </w:rPr>
        <w:t>工程验</w:t>
      </w:r>
      <w:r>
        <w:rPr>
          <w:rFonts w:hint="eastAsia" w:ascii="宋体" w:hAnsi="宋体" w:cs="宋体"/>
          <w:color w:val="auto"/>
          <w:spacing w:val="8"/>
          <w:sz w:val="20"/>
          <w:szCs w:val="20"/>
          <w:highlight w:val="none"/>
        </w:rPr>
        <w:t>收证书。已签发单位工程接收证书的单位工程由发包</w:t>
      </w:r>
      <w:r>
        <w:rPr>
          <w:rFonts w:hint="eastAsia" w:ascii="宋体" w:hAnsi="宋体" w:cs="宋体"/>
          <w:color w:val="auto"/>
          <w:spacing w:val="7"/>
          <w:sz w:val="20"/>
          <w:szCs w:val="20"/>
          <w:highlight w:val="none"/>
        </w:rPr>
        <w:t>人负责照管。单位工程的验收成果和结</w:t>
      </w:r>
      <w:r>
        <w:rPr>
          <w:rFonts w:hint="eastAsia" w:ascii="宋体" w:hAnsi="宋体" w:cs="宋体"/>
          <w:color w:val="auto"/>
          <w:spacing w:val="8"/>
          <w:sz w:val="20"/>
          <w:szCs w:val="20"/>
          <w:highlight w:val="none"/>
        </w:rPr>
        <w:t>论作为全部工程竣工验收申请报告的附件。</w:t>
      </w:r>
    </w:p>
    <w:p w14:paraId="0A350B98">
      <w:pPr>
        <w:spacing w:before="161" w:line="360" w:lineRule="auto"/>
        <w:ind w:left="19" w:right="6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18.4.2  发包人在全部工程竣工前，使用已接收的单位工程导致承包人费用增加的，发</w:t>
      </w:r>
      <w:r>
        <w:rPr>
          <w:rFonts w:hint="eastAsia" w:ascii="宋体" w:hAnsi="宋体" w:cs="宋体"/>
          <w:color w:val="auto"/>
          <w:spacing w:val="9"/>
          <w:sz w:val="20"/>
          <w:szCs w:val="20"/>
          <w:highlight w:val="none"/>
        </w:rPr>
        <w:t>包人应承担由此增加的费用和（或）工期延误，并支付承包人合理利润。</w:t>
      </w:r>
    </w:p>
    <w:p w14:paraId="3AB74BD4">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18.5  施工期运行</w:t>
      </w:r>
    </w:p>
    <w:p w14:paraId="62C2B1B1">
      <w:pPr>
        <w:spacing w:before="297" w:line="360" w:lineRule="auto"/>
        <w:ind w:left="22" w:right="69"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18.5.1  施工期运行是指合同工程尚未全部竣工，其中某项或某几项单位工程或工程设</w:t>
      </w:r>
      <w:r>
        <w:rPr>
          <w:rFonts w:hint="eastAsia" w:ascii="宋体" w:hAnsi="宋体" w:cs="宋体"/>
          <w:color w:val="auto"/>
          <w:spacing w:val="10"/>
          <w:sz w:val="20"/>
          <w:szCs w:val="20"/>
          <w:highlight w:val="none"/>
        </w:rPr>
        <w:t>备安装已竣工，根据合同条款专用部分约定，需要投入施工期运行的，经发包人按第18.4</w:t>
      </w:r>
      <w:r>
        <w:rPr>
          <w:rFonts w:hint="eastAsia" w:ascii="宋体" w:hAnsi="宋体" w:cs="宋体"/>
          <w:color w:val="auto"/>
          <w:spacing w:val="9"/>
          <w:sz w:val="20"/>
          <w:szCs w:val="20"/>
          <w:highlight w:val="none"/>
        </w:rPr>
        <w:t>款的约定验收合格，证明能确保安全后，才能在施工期投入运行。</w:t>
      </w:r>
    </w:p>
    <w:p w14:paraId="1E915084">
      <w:pPr>
        <w:spacing w:before="161" w:line="360" w:lineRule="auto"/>
        <w:ind w:left="20" w:right="93"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18.5.2  在施工期运行中发现工程或工程设备损坏或存在缺陷的，</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由承包人按第19.2</w:t>
      </w:r>
      <w:r>
        <w:rPr>
          <w:rFonts w:hint="eastAsia" w:ascii="宋体" w:hAnsi="宋体" w:cs="宋体"/>
          <w:color w:val="auto"/>
          <w:spacing w:val="7"/>
          <w:sz w:val="20"/>
          <w:szCs w:val="20"/>
          <w:highlight w:val="none"/>
        </w:rPr>
        <w:t>款约定进行修复。</w:t>
      </w:r>
    </w:p>
    <w:p w14:paraId="7B494759">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18.6</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试运行</w:t>
      </w:r>
    </w:p>
    <w:p w14:paraId="6CFD7155">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18.6.1  工程及工程设备试运行的组织与费用承担</w:t>
      </w:r>
    </w:p>
    <w:p w14:paraId="6465D242">
      <w:pPr>
        <w:spacing w:before="159"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（1）工程设备安装具备单机无负荷试运行条件，由承包人组织试</w:t>
      </w:r>
      <w:r>
        <w:rPr>
          <w:rFonts w:hint="eastAsia" w:ascii="宋体" w:hAnsi="宋体" w:cs="宋体"/>
          <w:color w:val="auto"/>
          <w:spacing w:val="9"/>
          <w:sz w:val="20"/>
          <w:szCs w:val="20"/>
          <w:highlight w:val="none"/>
        </w:rPr>
        <w:t>运行，费用由承包人</w:t>
      </w:r>
      <w:r>
        <w:rPr>
          <w:rFonts w:hint="eastAsia" w:ascii="宋体" w:hAnsi="宋体" w:cs="宋体"/>
          <w:color w:val="auto"/>
          <w:spacing w:val="3"/>
          <w:sz w:val="20"/>
          <w:szCs w:val="20"/>
          <w:highlight w:val="none"/>
        </w:rPr>
        <w:t>承担。</w:t>
      </w:r>
    </w:p>
    <w:p w14:paraId="495E3D9B">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（2）工程设备安装具备无负荷联动试运行条件，由发包人组织试</w:t>
      </w:r>
      <w:r>
        <w:rPr>
          <w:rFonts w:hint="eastAsia" w:ascii="宋体" w:hAnsi="宋体" w:cs="宋体"/>
          <w:color w:val="auto"/>
          <w:spacing w:val="9"/>
          <w:sz w:val="20"/>
          <w:szCs w:val="20"/>
          <w:highlight w:val="none"/>
        </w:rPr>
        <w:t>运行，费用由发包人</w:t>
      </w:r>
      <w:r>
        <w:rPr>
          <w:rFonts w:hint="eastAsia" w:ascii="宋体" w:hAnsi="宋体" w:cs="宋体"/>
          <w:color w:val="auto"/>
          <w:spacing w:val="3"/>
          <w:sz w:val="20"/>
          <w:szCs w:val="20"/>
          <w:highlight w:val="none"/>
        </w:rPr>
        <w:t>承担。</w:t>
      </w:r>
    </w:p>
    <w:p w14:paraId="3F3891FE">
      <w:pPr>
        <w:spacing w:before="162"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（3）投料试运行应在工程竣工验收后由发包人负责，如发包</w:t>
      </w:r>
      <w:r>
        <w:rPr>
          <w:rFonts w:hint="eastAsia" w:ascii="宋体" w:hAnsi="宋体" w:cs="宋体"/>
          <w:color w:val="auto"/>
          <w:spacing w:val="9"/>
          <w:sz w:val="20"/>
          <w:szCs w:val="20"/>
          <w:highlight w:val="none"/>
        </w:rPr>
        <w:t>人要求在工程竣工验收前进行或需要承包人配合时，应征得承包人同意，另行签订补充协议。</w:t>
      </w:r>
    </w:p>
    <w:p w14:paraId="2BB366F3">
      <w:pPr>
        <w:spacing w:before="159"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18.6.2  由于承包人的原因导致试运行失败的，承包人应采取措施保证试运行合格，并</w:t>
      </w:r>
      <w:r>
        <w:rPr>
          <w:rFonts w:hint="eastAsia" w:ascii="宋体" w:hAnsi="宋体" w:cs="宋体"/>
          <w:color w:val="auto"/>
          <w:spacing w:val="4"/>
          <w:sz w:val="20"/>
          <w:szCs w:val="20"/>
          <w:highlight w:val="none"/>
        </w:rPr>
        <w:t>承担相应费用。由于发包人的原因导致试运行失败的，承包人应当采取措</w:t>
      </w:r>
      <w:r>
        <w:rPr>
          <w:rFonts w:hint="eastAsia" w:ascii="宋体" w:hAnsi="宋体" w:cs="宋体"/>
          <w:color w:val="auto"/>
          <w:spacing w:val="3"/>
          <w:sz w:val="20"/>
          <w:szCs w:val="20"/>
          <w:highlight w:val="none"/>
        </w:rPr>
        <w:t>施保证试运行合格，</w:t>
      </w:r>
      <w:r>
        <w:rPr>
          <w:rFonts w:hint="eastAsia" w:ascii="宋体" w:hAnsi="宋体" w:cs="宋体"/>
          <w:color w:val="auto"/>
          <w:spacing w:val="9"/>
          <w:sz w:val="20"/>
          <w:szCs w:val="20"/>
          <w:highlight w:val="none"/>
        </w:rPr>
        <w:t>发包人应承担由此产生的费用，并支付承包人合理利润。</w:t>
      </w:r>
    </w:p>
    <w:p w14:paraId="538DC8C4">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18.7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竣工清场</w:t>
      </w:r>
    </w:p>
    <w:p w14:paraId="22CFC297">
      <w:pPr>
        <w:spacing w:before="297" w:line="360" w:lineRule="auto"/>
        <w:ind w:left="23" w:right="94"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18.7.1  监理人颁发（出具）工程接收证书后，承包人负责按照以下要求对施工场地进</w:t>
      </w:r>
      <w:r>
        <w:rPr>
          <w:rFonts w:hint="eastAsia" w:ascii="宋体" w:hAnsi="宋体" w:cs="宋体"/>
          <w:color w:val="auto"/>
          <w:spacing w:val="9"/>
          <w:sz w:val="20"/>
          <w:szCs w:val="20"/>
          <w:highlight w:val="none"/>
        </w:rPr>
        <w:t>行清理，直至监理人检验合格为止。竣工清场费用由承包人承担。</w:t>
      </w:r>
    </w:p>
    <w:p w14:paraId="7E119F13">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（1）施工场地内残留的垃圾已全部清除出场；</w:t>
      </w:r>
    </w:p>
    <w:p w14:paraId="37612BD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（2）临时工程已拆除，场地已按合同要求进行清理</w:t>
      </w:r>
      <w:r>
        <w:rPr>
          <w:rFonts w:hint="eastAsia" w:ascii="宋体" w:hAnsi="宋体" w:cs="宋体"/>
          <w:color w:val="auto"/>
          <w:spacing w:val="8"/>
          <w:sz w:val="20"/>
          <w:szCs w:val="20"/>
          <w:highlight w:val="none"/>
        </w:rPr>
        <w:t>、平整或复原；</w:t>
      </w:r>
    </w:p>
    <w:p w14:paraId="2227EC6B">
      <w:pPr>
        <w:spacing w:before="160"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（3）按合同约定应撤离的承包人设备和剩余的材料，包括废</w:t>
      </w:r>
      <w:r>
        <w:rPr>
          <w:rFonts w:hint="eastAsia" w:ascii="宋体" w:hAnsi="宋体" w:cs="宋体"/>
          <w:color w:val="auto"/>
          <w:spacing w:val="9"/>
          <w:sz w:val="20"/>
          <w:szCs w:val="20"/>
          <w:highlight w:val="none"/>
        </w:rPr>
        <w:t>弃的施工设备和材料，已</w:t>
      </w:r>
      <w:r>
        <w:rPr>
          <w:rFonts w:hint="eastAsia" w:ascii="宋体" w:hAnsi="宋体" w:cs="宋体"/>
          <w:color w:val="auto"/>
          <w:spacing w:val="7"/>
          <w:sz w:val="20"/>
          <w:szCs w:val="20"/>
          <w:highlight w:val="none"/>
        </w:rPr>
        <w:t>按计划撤离施工场地；</w:t>
      </w:r>
    </w:p>
    <w:p w14:paraId="5EE6B88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（4）工程建筑物周边及其附近道路、河道的施工堆积物，已按监理人指示全部清理；</w:t>
      </w:r>
    </w:p>
    <w:p w14:paraId="74B631AA">
      <w:pPr>
        <w:spacing w:before="164"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（5）监理人指示的其他场地清理工作已全部完成。</w:t>
      </w:r>
    </w:p>
    <w:p w14:paraId="6BB22143">
      <w:pPr>
        <w:spacing w:before="160"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18.7.2  承包人未按监理人的要求恢复临时占地，或者场地清理未达到合同约定的，发</w:t>
      </w:r>
      <w:r>
        <w:rPr>
          <w:rFonts w:hint="eastAsia" w:ascii="宋体" w:hAnsi="宋体" w:cs="宋体"/>
          <w:color w:val="auto"/>
          <w:spacing w:val="9"/>
          <w:sz w:val="20"/>
          <w:szCs w:val="20"/>
          <w:highlight w:val="none"/>
        </w:rPr>
        <w:t>包人有权委托其他人恢复或清理，所发生的金额从拟支付给承包人的款项中扣除。</w:t>
      </w:r>
    </w:p>
    <w:p w14:paraId="360532FF">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18.8  施工队伍的撤离</w:t>
      </w:r>
    </w:p>
    <w:p w14:paraId="75E65590">
      <w:pPr>
        <w:spacing w:before="297"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18.8.1  工程接收证书颁发后的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天内，除了经监理人同意需在缺陷责任期</w:t>
      </w:r>
      <w:r>
        <w:rPr>
          <w:rFonts w:hint="eastAsia" w:ascii="宋体" w:hAnsi="宋体" w:cs="宋体"/>
          <w:color w:val="auto"/>
          <w:spacing w:val="7"/>
          <w:sz w:val="20"/>
          <w:szCs w:val="20"/>
          <w:highlight w:val="none"/>
        </w:rPr>
        <w:t>内继续工</w:t>
      </w:r>
      <w:r>
        <w:rPr>
          <w:rFonts w:hint="eastAsia" w:ascii="宋体" w:hAnsi="宋体" w:cs="宋体"/>
          <w:color w:val="auto"/>
          <w:spacing w:val="8"/>
          <w:sz w:val="20"/>
          <w:szCs w:val="20"/>
          <w:highlight w:val="none"/>
        </w:rPr>
        <w:t>作和使用的人员、施工设备和临时工程外，其余的</w:t>
      </w:r>
      <w:r>
        <w:rPr>
          <w:rFonts w:hint="eastAsia" w:ascii="宋体" w:hAnsi="宋体" w:cs="宋体"/>
          <w:color w:val="auto"/>
          <w:spacing w:val="7"/>
          <w:sz w:val="20"/>
          <w:szCs w:val="20"/>
          <w:highlight w:val="none"/>
        </w:rPr>
        <w:t>人员、施工设备和临时工程均应撤离施工</w:t>
      </w:r>
      <w:r>
        <w:rPr>
          <w:rFonts w:hint="eastAsia" w:ascii="宋体" w:hAnsi="宋体" w:cs="宋体"/>
          <w:color w:val="auto"/>
          <w:spacing w:val="6"/>
          <w:sz w:val="20"/>
          <w:szCs w:val="20"/>
          <w:highlight w:val="none"/>
        </w:rPr>
        <w:t>场地或拆除。</w:t>
      </w:r>
    </w:p>
    <w:p w14:paraId="34C9E3AA">
      <w:pPr>
        <w:spacing w:before="163"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18.8.2  承包人撤离施工场地（现场）时，监理人和承包人应当办理永久工程和施工场</w:t>
      </w:r>
      <w:r>
        <w:rPr>
          <w:rFonts w:hint="eastAsia" w:ascii="宋体" w:hAnsi="宋体" w:cs="宋体"/>
          <w:color w:val="auto"/>
          <w:spacing w:val="4"/>
          <w:sz w:val="20"/>
          <w:szCs w:val="20"/>
          <w:highlight w:val="none"/>
        </w:rPr>
        <w:t>地移交手续，移交手续以书面方式出具，并分别经过发包人、监理人和承</w:t>
      </w:r>
      <w:r>
        <w:rPr>
          <w:rFonts w:hint="eastAsia" w:ascii="宋体" w:hAnsi="宋体" w:cs="宋体"/>
          <w:color w:val="auto"/>
          <w:spacing w:val="3"/>
          <w:sz w:val="20"/>
          <w:szCs w:val="20"/>
          <w:highlight w:val="none"/>
        </w:rPr>
        <w:t>包人的签认。但是，</w:t>
      </w:r>
      <w:r>
        <w:rPr>
          <w:rFonts w:hint="eastAsia" w:ascii="宋体" w:hAnsi="宋体" w:cs="宋体"/>
          <w:color w:val="auto"/>
          <w:spacing w:val="9"/>
          <w:sz w:val="20"/>
          <w:szCs w:val="20"/>
          <w:highlight w:val="none"/>
        </w:rPr>
        <w:t>监理人和发包人未按第17.5.2</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项约定的期</w:t>
      </w:r>
      <w:r>
        <w:rPr>
          <w:rFonts w:hint="eastAsia" w:ascii="宋体" w:hAnsi="宋体" w:cs="宋体"/>
          <w:color w:val="auto"/>
          <w:spacing w:val="8"/>
          <w:sz w:val="20"/>
          <w:szCs w:val="20"/>
          <w:highlight w:val="none"/>
        </w:rPr>
        <w:t>限办清竣工结算和竣工付款的，本工程不得交付</w:t>
      </w:r>
      <w:r>
        <w:rPr>
          <w:rFonts w:hint="eastAsia" w:ascii="宋体" w:hAnsi="宋体" w:cs="宋体"/>
          <w:color w:val="auto"/>
          <w:spacing w:val="7"/>
          <w:sz w:val="20"/>
          <w:szCs w:val="20"/>
          <w:highlight w:val="none"/>
        </w:rPr>
        <w:t>使用，发包人和监理人也无权要求承包人按合同约定的期限撤离施工场地（现场）和办理工</w:t>
      </w:r>
      <w:r>
        <w:rPr>
          <w:rFonts w:hint="eastAsia" w:ascii="宋体" w:hAnsi="宋体" w:cs="宋体"/>
          <w:color w:val="auto"/>
          <w:spacing w:val="6"/>
          <w:sz w:val="20"/>
          <w:szCs w:val="20"/>
          <w:highlight w:val="none"/>
        </w:rPr>
        <w:t>程移交手续。</w:t>
      </w:r>
    </w:p>
    <w:p w14:paraId="742A65BC">
      <w:pPr>
        <w:spacing w:before="1" w:line="360" w:lineRule="auto"/>
        <w:ind w:left="19" w:right="3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18.8.3  缺陷责任期满时，承包人的人员和施工设备应在合同约定期限内全部撤离施工</w:t>
      </w:r>
      <w:r>
        <w:rPr>
          <w:rFonts w:hint="eastAsia" w:ascii="宋体" w:hAnsi="宋体" w:cs="宋体"/>
          <w:color w:val="auto"/>
          <w:spacing w:val="9"/>
          <w:sz w:val="20"/>
          <w:szCs w:val="20"/>
          <w:highlight w:val="none"/>
        </w:rPr>
        <w:t>场地。撤离施工场地的期限要求见合同条款专用部分。</w:t>
      </w:r>
    </w:p>
    <w:p w14:paraId="2409F996">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8"/>
          <w:sz w:val="24"/>
          <w:highlight w:val="none"/>
        </w:rPr>
        <w:t>18.9</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中间验收</w:t>
      </w:r>
    </w:p>
    <w:p w14:paraId="33488DFE">
      <w:pPr>
        <w:spacing w:before="294" w:line="360" w:lineRule="auto"/>
        <w:ind w:left="24" w:right="36"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18.9.1  本工程需要按照合同约定进行中间验收。进行中间验收的部位见合同条款专用</w:t>
      </w:r>
      <w:r>
        <w:rPr>
          <w:rFonts w:hint="eastAsia" w:ascii="宋体" w:hAnsi="宋体" w:cs="宋体"/>
          <w:color w:val="auto"/>
          <w:spacing w:val="1"/>
          <w:sz w:val="20"/>
          <w:szCs w:val="20"/>
          <w:highlight w:val="none"/>
        </w:rPr>
        <w:t>部分。</w:t>
      </w:r>
    </w:p>
    <w:p w14:paraId="51C9A272">
      <w:pPr>
        <w:spacing w:before="3" w:line="360" w:lineRule="auto"/>
        <w:ind w:left="19" w:right="36"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18.9.2  当工程进度达到第</w:t>
      </w:r>
      <w:r>
        <w:rPr>
          <w:rFonts w:hint="eastAsia" w:ascii="宋体" w:hAnsi="宋体" w:cs="宋体"/>
          <w:color w:val="auto"/>
          <w:spacing w:val="-7"/>
          <w:sz w:val="20"/>
          <w:szCs w:val="20"/>
          <w:highlight w:val="none"/>
        </w:rPr>
        <w:t xml:space="preserve"> </w:t>
      </w:r>
      <w:r>
        <w:rPr>
          <w:rFonts w:hint="eastAsia" w:ascii="宋体" w:hAnsi="宋体" w:cs="宋体"/>
          <w:color w:val="auto"/>
          <w:spacing w:val="7"/>
          <w:sz w:val="20"/>
          <w:szCs w:val="20"/>
          <w:highlight w:val="none"/>
        </w:rPr>
        <w:t>18.9.1</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项约定的中间验收部位时，承包人应当进行自检，</w:t>
      </w:r>
      <w:r>
        <w:rPr>
          <w:rFonts w:hint="eastAsia" w:ascii="宋体" w:hAnsi="宋体" w:cs="宋体"/>
          <w:color w:val="auto"/>
          <w:spacing w:val="11"/>
          <w:sz w:val="20"/>
          <w:szCs w:val="20"/>
          <w:highlight w:val="none"/>
        </w:rPr>
        <w:t>并在中间验收前48小时以书面形式通知监理人验收。书面通知应包括中间验</w:t>
      </w:r>
      <w:r>
        <w:rPr>
          <w:rFonts w:hint="eastAsia" w:ascii="宋体" w:hAnsi="宋体" w:cs="宋体"/>
          <w:color w:val="auto"/>
          <w:spacing w:val="10"/>
          <w:sz w:val="20"/>
          <w:szCs w:val="20"/>
          <w:highlight w:val="none"/>
        </w:rPr>
        <w:t>收的内容、验</w:t>
      </w:r>
      <w:r>
        <w:rPr>
          <w:rFonts w:hint="eastAsia" w:ascii="宋体" w:hAnsi="宋体" w:cs="宋体"/>
          <w:color w:val="auto"/>
          <w:spacing w:val="8"/>
          <w:sz w:val="20"/>
          <w:szCs w:val="20"/>
          <w:highlight w:val="none"/>
        </w:rPr>
        <w:t>收时间和地点。承包人应当准备验收记录。只有监</w:t>
      </w:r>
      <w:r>
        <w:rPr>
          <w:rFonts w:hint="eastAsia" w:ascii="宋体" w:hAnsi="宋体" w:cs="宋体"/>
          <w:color w:val="auto"/>
          <w:spacing w:val="7"/>
          <w:sz w:val="20"/>
          <w:szCs w:val="20"/>
          <w:highlight w:val="none"/>
        </w:rPr>
        <w:t>理人验收合格并在验收记录上签字后，承</w:t>
      </w:r>
      <w:r>
        <w:rPr>
          <w:rFonts w:hint="eastAsia" w:ascii="宋体" w:hAnsi="宋体" w:cs="宋体"/>
          <w:color w:val="auto"/>
          <w:spacing w:val="8"/>
          <w:sz w:val="20"/>
          <w:szCs w:val="20"/>
          <w:highlight w:val="none"/>
        </w:rPr>
        <w:t>包人方可继续施工。验收不合格的，承包人</w:t>
      </w:r>
      <w:r>
        <w:rPr>
          <w:rFonts w:hint="eastAsia" w:ascii="宋体" w:hAnsi="宋体" w:cs="宋体"/>
          <w:color w:val="auto"/>
          <w:spacing w:val="7"/>
          <w:sz w:val="20"/>
          <w:szCs w:val="20"/>
          <w:highlight w:val="none"/>
        </w:rPr>
        <w:t>在合同约定的期限内修改后重新验收。重新验收</w:t>
      </w:r>
      <w:r>
        <w:rPr>
          <w:rFonts w:hint="eastAsia" w:ascii="宋体" w:hAnsi="宋体" w:cs="宋体"/>
          <w:color w:val="auto"/>
          <w:spacing w:val="8"/>
          <w:sz w:val="20"/>
          <w:szCs w:val="20"/>
          <w:highlight w:val="none"/>
        </w:rPr>
        <w:t>的期限见合同条款专用部分。</w:t>
      </w:r>
    </w:p>
    <w:p w14:paraId="3F7C1BCE">
      <w:pPr>
        <w:spacing w:before="159" w:line="360" w:lineRule="auto"/>
        <w:ind w:left="21" w:right="37"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18.9.3  监理人不能按时进行验收的，应在验收前至少24小时以书面形式向承</w:t>
      </w:r>
      <w:r>
        <w:rPr>
          <w:rFonts w:hint="eastAsia" w:ascii="宋体" w:hAnsi="宋体" w:cs="宋体"/>
          <w:color w:val="auto"/>
          <w:spacing w:val="7"/>
          <w:sz w:val="20"/>
          <w:szCs w:val="20"/>
          <w:highlight w:val="none"/>
        </w:rPr>
        <w:t>包人提</w:t>
      </w:r>
      <w:r>
        <w:rPr>
          <w:rFonts w:hint="eastAsia" w:ascii="宋体" w:hAnsi="宋体" w:cs="宋体"/>
          <w:color w:val="auto"/>
          <w:spacing w:val="11"/>
          <w:sz w:val="20"/>
          <w:szCs w:val="20"/>
          <w:highlight w:val="none"/>
        </w:rPr>
        <w:t>出延期要求，但延期不能超过48小时。监理人未能按本款约定的时</w:t>
      </w:r>
      <w:r>
        <w:rPr>
          <w:rFonts w:hint="eastAsia" w:ascii="宋体" w:hAnsi="宋体" w:cs="宋体"/>
          <w:color w:val="auto"/>
          <w:spacing w:val="10"/>
          <w:sz w:val="20"/>
          <w:szCs w:val="20"/>
          <w:highlight w:val="none"/>
        </w:rPr>
        <w:t>限提出延期要求，又未</w:t>
      </w:r>
      <w:r>
        <w:rPr>
          <w:rFonts w:hint="eastAsia" w:ascii="宋体" w:hAnsi="宋体" w:cs="宋体"/>
          <w:color w:val="auto"/>
          <w:spacing w:val="9"/>
          <w:sz w:val="20"/>
          <w:szCs w:val="20"/>
          <w:highlight w:val="none"/>
        </w:rPr>
        <w:t>按期进行验收的，承包人可自行组织验收，监理人必须认同验收记录。</w:t>
      </w:r>
    </w:p>
    <w:p w14:paraId="157F0F29">
      <w:pPr>
        <w:spacing w:before="161" w:line="360" w:lineRule="auto"/>
        <w:ind w:left="20" w:right="37"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经监理人验收后工程质量符合约定的验收标准，但验收24小时后监理人仍不在验收记录上签字的，视为监理人已经认可验收记录，承包人可继续施工。</w:t>
      </w:r>
    </w:p>
    <w:p w14:paraId="2BD8CCEC">
      <w:pPr>
        <w:spacing w:before="127" w:line="360" w:lineRule="auto"/>
        <w:ind w:left="43"/>
        <w:outlineLvl w:val="0"/>
        <w:rPr>
          <w:rFonts w:hint="eastAsia" w:ascii="宋体" w:hAnsi="宋体" w:cs="宋体"/>
          <w:color w:val="auto"/>
          <w:highlight w:val="none"/>
        </w:rPr>
      </w:pPr>
      <w:r>
        <w:rPr>
          <w:rFonts w:hint="eastAsia" w:ascii="宋体" w:hAnsi="宋体" w:cs="宋体"/>
          <w:color w:val="auto"/>
          <w:spacing w:val="-3"/>
          <w:sz w:val="28"/>
          <w:szCs w:val="28"/>
          <w:highlight w:val="none"/>
        </w:rPr>
        <w:t>19.缺陷责任与保修责任</w:t>
      </w:r>
    </w:p>
    <w:p w14:paraId="2B2AA63C">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19.1  缺陷责任期的起算时间</w:t>
      </w:r>
    </w:p>
    <w:p w14:paraId="65A5287B">
      <w:pPr>
        <w:spacing w:before="297" w:line="360" w:lineRule="auto"/>
        <w:ind w:left="19" w:right="37"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缺陷责任期自实际竣工日期起计算。在全部工程竣工验收前，已经发包人提前验收的单</w:t>
      </w:r>
      <w:r>
        <w:rPr>
          <w:rFonts w:hint="eastAsia" w:ascii="宋体" w:hAnsi="宋体" w:cs="宋体"/>
          <w:color w:val="auto"/>
          <w:spacing w:val="9"/>
          <w:sz w:val="20"/>
          <w:szCs w:val="20"/>
          <w:highlight w:val="none"/>
        </w:rPr>
        <w:t>位工程，其缺陷责任期的起算日期相应提前。</w:t>
      </w:r>
    </w:p>
    <w:p w14:paraId="1D585BDE">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19.2</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缺陷责任</w:t>
      </w:r>
    </w:p>
    <w:p w14:paraId="2D2B2D6C">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19.2.1  承包人应在缺陷责任期内对已交付使用的工</w:t>
      </w:r>
      <w:r>
        <w:rPr>
          <w:rFonts w:hint="eastAsia" w:ascii="宋体" w:hAnsi="宋体" w:cs="宋体"/>
          <w:color w:val="auto"/>
          <w:spacing w:val="7"/>
          <w:sz w:val="20"/>
          <w:szCs w:val="20"/>
          <w:highlight w:val="none"/>
        </w:rPr>
        <w:t>程承担缺陷责任。</w:t>
      </w:r>
    </w:p>
    <w:p w14:paraId="1B3E4867">
      <w:pPr>
        <w:spacing w:before="162"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19.2.2  缺陷责任期内，发包人对已接收使用的工程负责日常维护工作。发包人在使用</w:t>
      </w:r>
      <w:r>
        <w:rPr>
          <w:rFonts w:hint="eastAsia" w:ascii="宋体" w:hAnsi="宋体" w:cs="宋体"/>
          <w:color w:val="auto"/>
          <w:spacing w:val="7"/>
          <w:sz w:val="20"/>
          <w:szCs w:val="20"/>
          <w:highlight w:val="none"/>
        </w:rPr>
        <w:t>过程中，发现已接收的工程存在新的缺陷或已修复的缺陷部位或部件又遭损坏的，承包人应</w:t>
      </w:r>
      <w:r>
        <w:rPr>
          <w:rFonts w:hint="eastAsia" w:ascii="宋体" w:hAnsi="宋体" w:cs="宋体"/>
          <w:color w:val="auto"/>
          <w:spacing w:val="8"/>
          <w:sz w:val="20"/>
          <w:szCs w:val="20"/>
          <w:highlight w:val="none"/>
        </w:rPr>
        <w:t>负责修复，直至检验合格为止。</w:t>
      </w:r>
    </w:p>
    <w:p w14:paraId="78BF1C00">
      <w:pPr>
        <w:spacing w:before="160"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19.2.3  监理人和承包人应共同查清缺陷和（或）损坏的原因。经查明属承包人原因造</w:t>
      </w:r>
      <w:r>
        <w:rPr>
          <w:rFonts w:hint="eastAsia" w:ascii="宋体" w:hAnsi="宋体" w:cs="宋体"/>
          <w:color w:val="auto"/>
          <w:spacing w:val="7"/>
          <w:sz w:val="20"/>
          <w:szCs w:val="20"/>
          <w:highlight w:val="none"/>
        </w:rPr>
        <w:t>成的，应由承包人承担修复和查验的费用。经查验属发包人原因造成的，发包人应承担修复</w:t>
      </w:r>
      <w:r>
        <w:rPr>
          <w:rFonts w:hint="eastAsia" w:ascii="宋体" w:hAnsi="宋体" w:cs="宋体"/>
          <w:color w:val="auto"/>
          <w:spacing w:val="8"/>
          <w:sz w:val="20"/>
          <w:szCs w:val="20"/>
          <w:highlight w:val="none"/>
        </w:rPr>
        <w:t>和查验的费用，并支付承包人合理利润。</w:t>
      </w:r>
    </w:p>
    <w:p w14:paraId="0408F831">
      <w:pPr>
        <w:spacing w:before="160"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19.2.4  承包人不能在合理时间内修复缺陷的，发包人可自行修复或委托其他人修复，</w:t>
      </w:r>
      <w:r>
        <w:rPr>
          <w:rFonts w:hint="eastAsia" w:ascii="宋体" w:hAnsi="宋体" w:cs="宋体"/>
          <w:color w:val="auto"/>
          <w:spacing w:val="6"/>
          <w:sz w:val="20"/>
          <w:szCs w:val="20"/>
          <w:highlight w:val="none"/>
        </w:rPr>
        <w:t>所需费用和利润的承担，按第</w:t>
      </w:r>
      <w:r>
        <w:rPr>
          <w:rFonts w:hint="eastAsia" w:ascii="宋体" w:hAnsi="宋体" w:cs="宋体"/>
          <w:color w:val="auto"/>
          <w:spacing w:val="-11"/>
          <w:sz w:val="20"/>
          <w:szCs w:val="20"/>
          <w:highlight w:val="none"/>
        </w:rPr>
        <w:t xml:space="preserve"> </w:t>
      </w:r>
      <w:r>
        <w:rPr>
          <w:rFonts w:hint="eastAsia" w:ascii="宋体" w:hAnsi="宋体" w:cs="宋体"/>
          <w:color w:val="auto"/>
          <w:spacing w:val="6"/>
          <w:sz w:val="20"/>
          <w:szCs w:val="20"/>
          <w:highlight w:val="none"/>
        </w:rPr>
        <w:t>19.2.3</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项约定办理。</w:t>
      </w:r>
    </w:p>
    <w:p w14:paraId="30FF4D9C">
      <w:pPr>
        <w:spacing w:line="360" w:lineRule="auto"/>
        <w:rPr>
          <w:rFonts w:hint="eastAsia" w:ascii="宋体" w:hAnsi="宋体" w:cs="宋体"/>
          <w:color w:val="auto"/>
          <w:sz w:val="20"/>
          <w:szCs w:val="20"/>
          <w:highlight w:val="none"/>
        </w:rPr>
        <w:sectPr>
          <w:footerReference r:id="rId16" w:type="default"/>
          <w:type w:val="nextColumn"/>
          <w:pgSz w:w="11906" w:h="16839"/>
          <w:pgMar w:top="1132" w:right="1760" w:bottom="1214" w:left="1785" w:header="831" w:footer="977" w:gutter="0"/>
          <w:pgNumType w:fmt="decimal"/>
          <w:cols w:space="720" w:num="1"/>
        </w:sectPr>
      </w:pPr>
    </w:p>
    <w:p w14:paraId="4B304B45">
      <w:pPr>
        <w:pStyle w:val="21"/>
        <w:spacing w:line="360" w:lineRule="auto"/>
        <w:rPr>
          <w:rFonts w:hint="eastAsia" w:cs="宋体"/>
          <w:color w:val="auto"/>
          <w:highlight w:val="none"/>
        </w:rPr>
      </w:pPr>
    </w:p>
    <w:p w14:paraId="40AEE7F2">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19.3  缺陷责任期的延长</w:t>
      </w:r>
    </w:p>
    <w:p w14:paraId="67CBE608">
      <w:pPr>
        <w:spacing w:before="298" w:line="360" w:lineRule="auto"/>
        <w:ind w:left="20" w:right="174"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由于承包人原因造成某项缺陷或损坏，使某项工程或工程设备不</w:t>
      </w:r>
      <w:r>
        <w:rPr>
          <w:rFonts w:hint="eastAsia" w:ascii="宋体" w:hAnsi="宋体" w:cs="宋体"/>
          <w:color w:val="auto"/>
          <w:spacing w:val="6"/>
          <w:sz w:val="20"/>
          <w:szCs w:val="20"/>
          <w:highlight w:val="none"/>
        </w:rPr>
        <w:t>能按原定目标使用，需</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要再次检查、检验和修复的，发包人有权要求承</w:t>
      </w:r>
      <w:r>
        <w:rPr>
          <w:rFonts w:hint="eastAsia" w:ascii="宋体" w:hAnsi="宋体" w:cs="宋体"/>
          <w:color w:val="auto"/>
          <w:spacing w:val="7"/>
          <w:sz w:val="20"/>
          <w:szCs w:val="20"/>
          <w:highlight w:val="none"/>
        </w:rPr>
        <w:t>包人相应延长缺陷责任期，但缺陷责任期最</w:t>
      </w:r>
      <w:r>
        <w:rPr>
          <w:rFonts w:hint="eastAsia" w:ascii="宋体" w:hAnsi="宋体" w:cs="宋体"/>
          <w:color w:val="auto"/>
          <w:spacing w:val="3"/>
          <w:sz w:val="20"/>
          <w:szCs w:val="20"/>
          <w:highlight w:val="none"/>
        </w:rPr>
        <w:t>长不超过</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2</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年。</w:t>
      </w:r>
    </w:p>
    <w:p w14:paraId="5CDADBAD">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19.4  进一步试验和试运行</w:t>
      </w:r>
    </w:p>
    <w:p w14:paraId="1E0BD566">
      <w:pPr>
        <w:spacing w:before="297" w:line="360" w:lineRule="auto"/>
        <w:ind w:left="19" w:right="17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任何一项缺陷或损坏修复后，经检查证明其影响了工程或工程设备的使用性能，承包人</w:t>
      </w:r>
      <w:r>
        <w:rPr>
          <w:rFonts w:hint="eastAsia" w:ascii="宋体" w:hAnsi="宋体" w:cs="宋体"/>
          <w:color w:val="auto"/>
          <w:spacing w:val="9"/>
          <w:sz w:val="20"/>
          <w:szCs w:val="20"/>
          <w:highlight w:val="none"/>
        </w:rPr>
        <w:t>应重新进行合同约定的试验和试运行，试验和试运行的全部费用应由责任方承担。</w:t>
      </w:r>
    </w:p>
    <w:p w14:paraId="08CB4EF0">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19.5  承包人的进入权</w:t>
      </w:r>
    </w:p>
    <w:p w14:paraId="4539FEC4">
      <w:pPr>
        <w:spacing w:before="298" w:line="360" w:lineRule="auto"/>
        <w:ind w:left="20" w:right="177"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缺陷责任期内承包人为缺陷修复工作需要，有权进入工程现场，但应遵守发包人的保安</w:t>
      </w:r>
      <w:r>
        <w:rPr>
          <w:rFonts w:hint="eastAsia" w:ascii="宋体" w:hAnsi="宋体" w:cs="宋体"/>
          <w:color w:val="auto"/>
          <w:spacing w:val="6"/>
          <w:sz w:val="20"/>
          <w:szCs w:val="20"/>
          <w:highlight w:val="none"/>
        </w:rPr>
        <w:t>和保密规定。</w:t>
      </w:r>
    </w:p>
    <w:p w14:paraId="428673B3">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19.6  缺陷责任期终止证书</w:t>
      </w:r>
    </w:p>
    <w:p w14:paraId="27531733">
      <w:pPr>
        <w:spacing w:before="297" w:line="360" w:lineRule="auto"/>
        <w:ind w:left="20" w:right="174" w:firstLine="418"/>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在第1.1.4.5目约定的缺陷责任期，包括根据第19.3款延长的期限终止</w:t>
      </w:r>
      <w:r>
        <w:rPr>
          <w:rFonts w:hint="eastAsia" w:ascii="宋体" w:hAnsi="宋体" w:cs="宋体"/>
          <w:color w:val="auto"/>
          <w:spacing w:val="2"/>
          <w:sz w:val="20"/>
          <w:szCs w:val="20"/>
          <w:highlight w:val="none"/>
        </w:rPr>
        <w:t>后14天内，由</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监理人向承包人出具经发包人签认的缺陷责任期终止证书，并退还剩余的质量保证金或退还</w:t>
      </w:r>
      <w:r>
        <w:rPr>
          <w:rFonts w:hint="eastAsia" w:ascii="宋体" w:hAnsi="宋体" w:cs="宋体"/>
          <w:color w:val="auto"/>
          <w:spacing w:val="2"/>
          <w:sz w:val="20"/>
          <w:szCs w:val="20"/>
          <w:highlight w:val="none"/>
        </w:rPr>
        <w:t>保函。</w:t>
      </w:r>
    </w:p>
    <w:p w14:paraId="37F72F24">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保修责任</w:t>
      </w:r>
    </w:p>
    <w:p w14:paraId="1ED2C005">
      <w:pPr>
        <w:spacing w:before="296" w:line="360" w:lineRule="auto"/>
        <w:ind w:left="19" w:right="177"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19.7.1  合同当事人根据有关法律法规规定明确工程质量保修范围、期限和责任。保修</w:t>
      </w:r>
      <w:r>
        <w:rPr>
          <w:rFonts w:hint="eastAsia" w:ascii="宋体" w:hAnsi="宋体" w:cs="宋体"/>
          <w:color w:val="auto"/>
          <w:spacing w:val="8"/>
          <w:sz w:val="20"/>
          <w:szCs w:val="20"/>
          <w:highlight w:val="none"/>
        </w:rPr>
        <w:t>期自实际竣工日期起计算。在全部工程竣工</w:t>
      </w:r>
      <w:r>
        <w:rPr>
          <w:rFonts w:hint="eastAsia" w:ascii="宋体" w:hAnsi="宋体" w:cs="宋体"/>
          <w:color w:val="auto"/>
          <w:spacing w:val="7"/>
          <w:sz w:val="20"/>
          <w:szCs w:val="20"/>
          <w:highlight w:val="none"/>
        </w:rPr>
        <w:t>验收前，已经发包人提前验收的单位工程，其保</w:t>
      </w:r>
      <w:r>
        <w:rPr>
          <w:rFonts w:hint="eastAsia" w:ascii="宋体" w:hAnsi="宋体" w:cs="宋体"/>
          <w:color w:val="auto"/>
          <w:spacing w:val="9"/>
          <w:sz w:val="20"/>
          <w:szCs w:val="20"/>
          <w:highlight w:val="none"/>
        </w:rPr>
        <w:t>修期的起算日期相应提前。工程质量保修范围、期限和责任见合同条款专用部分。</w:t>
      </w:r>
    </w:p>
    <w:p w14:paraId="32D27D4C">
      <w:pPr>
        <w:spacing w:before="163"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19.7.2  质量保修书是竣工验收申请报告的组成内容。承包人应当按照有关法律法规规</w:t>
      </w:r>
      <w:r>
        <w:rPr>
          <w:rFonts w:hint="eastAsia" w:ascii="宋体" w:hAnsi="宋体" w:cs="宋体"/>
          <w:color w:val="auto"/>
          <w:spacing w:val="7"/>
          <w:sz w:val="20"/>
          <w:szCs w:val="20"/>
          <w:highlight w:val="none"/>
        </w:rPr>
        <w:t>定和合同所附的格式出具质量保修书，质量保修书的主要内容应当与</w:t>
      </w:r>
      <w:r>
        <w:rPr>
          <w:rFonts w:hint="eastAsia" w:ascii="宋体" w:hAnsi="宋体" w:cs="宋体"/>
          <w:color w:val="auto"/>
          <w:spacing w:val="6"/>
          <w:sz w:val="20"/>
          <w:szCs w:val="20"/>
          <w:highlight w:val="none"/>
        </w:rPr>
        <w:t>本款上述约定内容一致。</w:t>
      </w:r>
      <w:r>
        <w:rPr>
          <w:rFonts w:hint="eastAsia" w:ascii="宋体" w:hAnsi="宋体" w:cs="宋体"/>
          <w:color w:val="auto"/>
          <w:spacing w:val="9"/>
          <w:sz w:val="20"/>
          <w:szCs w:val="20"/>
          <w:highlight w:val="none"/>
        </w:rPr>
        <w:t>承包人在递交合同条款第18.2款约定的竣工验收报告的同时，将质量保修</w:t>
      </w:r>
      <w:r>
        <w:rPr>
          <w:rFonts w:hint="eastAsia" w:ascii="宋体" w:hAnsi="宋体" w:cs="宋体"/>
          <w:color w:val="auto"/>
          <w:spacing w:val="8"/>
          <w:sz w:val="20"/>
          <w:szCs w:val="20"/>
          <w:highlight w:val="none"/>
        </w:rPr>
        <w:t>书一并报送监理</w:t>
      </w:r>
      <w:r>
        <w:rPr>
          <w:rFonts w:hint="eastAsia" w:ascii="宋体" w:hAnsi="宋体" w:cs="宋体"/>
          <w:color w:val="auto"/>
          <w:sz w:val="20"/>
          <w:szCs w:val="20"/>
          <w:highlight w:val="none"/>
        </w:rPr>
        <w:t>人。</w:t>
      </w:r>
    </w:p>
    <w:p w14:paraId="2F5C3922">
      <w:pPr>
        <w:spacing w:before="291" w:line="360" w:lineRule="auto"/>
        <w:ind w:left="26"/>
        <w:outlineLvl w:val="0"/>
        <w:rPr>
          <w:rFonts w:hint="eastAsia" w:ascii="宋体" w:hAnsi="宋体" w:cs="宋体"/>
          <w:color w:val="auto"/>
          <w:highlight w:val="none"/>
        </w:rPr>
      </w:pPr>
      <w:r>
        <w:rPr>
          <w:rFonts w:hint="eastAsia" w:ascii="宋体" w:hAnsi="宋体" w:cs="宋体"/>
          <w:color w:val="auto"/>
          <w:spacing w:val="-3"/>
          <w:sz w:val="28"/>
          <w:szCs w:val="28"/>
          <w:highlight w:val="none"/>
        </w:rPr>
        <w:t>20.保险</w:t>
      </w:r>
    </w:p>
    <w:p w14:paraId="6185DD5A">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4"/>
          <w:sz w:val="24"/>
          <w:highlight w:val="none"/>
        </w:rPr>
        <w:t>20.1</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工程保险</w:t>
      </w:r>
    </w:p>
    <w:p w14:paraId="1D696F1F">
      <w:pPr>
        <w:spacing w:before="296" w:line="360" w:lineRule="auto"/>
        <w:ind w:left="22" w:right="177"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承包人应以发包人和承包人的共同名义向双方同意的保险人投保建筑工程一切险、安装工程一切险。其具体的投保内容、保险金额、保险费率、保险期限等有关内容见合同条款专</w:t>
      </w:r>
      <w:r>
        <w:rPr>
          <w:rFonts w:hint="eastAsia" w:ascii="宋体" w:hAnsi="宋体" w:cs="宋体"/>
          <w:color w:val="auto"/>
          <w:spacing w:val="4"/>
          <w:sz w:val="20"/>
          <w:szCs w:val="20"/>
          <w:highlight w:val="none"/>
        </w:rPr>
        <w:t>用部分。</w:t>
      </w:r>
    </w:p>
    <w:p w14:paraId="7C1ACCCC">
      <w:pPr>
        <w:spacing w:before="123"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20.2  人员工伤事故的保险</w:t>
      </w:r>
    </w:p>
    <w:p w14:paraId="58713F7C">
      <w:pPr>
        <w:spacing w:before="295"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20.2.1  承包人员工伤事故的保险</w:t>
      </w:r>
    </w:p>
    <w:p w14:paraId="403FC986">
      <w:pPr>
        <w:spacing w:before="65" w:line="360" w:lineRule="auto"/>
        <w:ind w:left="29" w:right="177"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（1）承包人应依照有关法律法规规定参加工伤保险，为其履</w:t>
      </w:r>
      <w:r>
        <w:rPr>
          <w:rFonts w:hint="eastAsia" w:ascii="宋体" w:hAnsi="宋体" w:cs="宋体"/>
          <w:color w:val="auto"/>
          <w:spacing w:val="9"/>
          <w:sz w:val="20"/>
          <w:szCs w:val="20"/>
          <w:highlight w:val="none"/>
        </w:rPr>
        <w:t>行合同所雇佣的全部人员</w:t>
      </w:r>
      <w:r>
        <w:rPr>
          <w:rFonts w:hint="eastAsia" w:ascii="宋体" w:hAnsi="宋体" w:cs="宋体"/>
          <w:color w:val="auto"/>
          <w:spacing w:val="10"/>
          <w:sz w:val="20"/>
          <w:szCs w:val="20"/>
          <w:highlight w:val="none"/>
        </w:rPr>
        <w:t>（包括专业分包人、劳务分包人使用的人员</w:t>
      </w:r>
      <w:r>
        <w:rPr>
          <w:rFonts w:hint="eastAsia" w:ascii="宋体" w:hAnsi="宋体" w:cs="宋体"/>
          <w:color w:val="auto"/>
          <w:spacing w:val="-38"/>
          <w:sz w:val="20"/>
          <w:szCs w:val="20"/>
          <w:highlight w:val="none"/>
        </w:rPr>
        <w:t>），</w:t>
      </w:r>
      <w:r>
        <w:rPr>
          <w:rFonts w:hint="eastAsia" w:ascii="宋体" w:hAnsi="宋体" w:cs="宋体"/>
          <w:color w:val="auto"/>
          <w:spacing w:val="10"/>
          <w:sz w:val="20"/>
          <w:szCs w:val="20"/>
          <w:highlight w:val="none"/>
        </w:rPr>
        <w:t>在合同工</w:t>
      </w:r>
      <w:r>
        <w:rPr>
          <w:rFonts w:hint="eastAsia" w:ascii="宋体" w:hAnsi="宋体" w:cs="宋体"/>
          <w:color w:val="auto"/>
          <w:spacing w:val="9"/>
          <w:sz w:val="20"/>
          <w:szCs w:val="20"/>
          <w:highlight w:val="none"/>
        </w:rPr>
        <w:t>程开工前应当一次性缴纳工伤保险费。承包人在工程分包计费时，不得再向分包人另行计提、划拨工伤保险费。</w:t>
      </w:r>
    </w:p>
    <w:p w14:paraId="7D9C782E">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（2）承包人工伤事故保险期限自合同工程开工之日起至合同终</w:t>
      </w:r>
      <w:r>
        <w:rPr>
          <w:rFonts w:hint="eastAsia" w:ascii="宋体" w:hAnsi="宋体" w:cs="宋体"/>
          <w:color w:val="auto"/>
          <w:spacing w:val="8"/>
          <w:sz w:val="20"/>
          <w:szCs w:val="20"/>
          <w:highlight w:val="none"/>
        </w:rPr>
        <w:t>止之日止。</w:t>
      </w:r>
    </w:p>
    <w:p w14:paraId="150AFFBC">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20.2.2  发包人员工伤事故的保险</w:t>
      </w:r>
    </w:p>
    <w:p w14:paraId="3C6F8E81">
      <w:pPr>
        <w:spacing w:before="160"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发包人应依照有关法律法规规定参加工伤保险，为其现场机构雇佣的全部人员，缴纳工</w:t>
      </w:r>
      <w:r>
        <w:rPr>
          <w:rFonts w:hint="eastAsia" w:ascii="宋体" w:hAnsi="宋体" w:cs="宋体"/>
          <w:color w:val="auto"/>
          <w:spacing w:val="9"/>
          <w:sz w:val="20"/>
          <w:szCs w:val="20"/>
          <w:highlight w:val="none"/>
        </w:rPr>
        <w:t>伤保险费，并要求其监理人也进行此项保险。</w:t>
      </w:r>
    </w:p>
    <w:p w14:paraId="65F6E780">
      <w:pPr>
        <w:spacing w:before="119"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20.3  人身意外伤害险</w:t>
      </w:r>
    </w:p>
    <w:p w14:paraId="27F36786">
      <w:pPr>
        <w:spacing w:before="295"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20.3.1  发包人应在整个施工期间为其现场机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缴纳保险费，并要求其监理人也进行此项保险。</w:t>
      </w:r>
    </w:p>
    <w:p w14:paraId="1011F8DA">
      <w:pPr>
        <w:spacing w:before="159"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20.3.2  承包人应在整个施工期间为其现场机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缴纳保险费，并要求其分包人也进行此项保险。</w:t>
      </w:r>
    </w:p>
    <w:p w14:paraId="3C1DFF47">
      <w:pPr>
        <w:spacing w:before="285"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20.4  第三者责任险</w:t>
      </w:r>
    </w:p>
    <w:p w14:paraId="4BE81B21">
      <w:pPr>
        <w:spacing w:before="298" w:line="360" w:lineRule="auto"/>
        <w:ind w:left="27" w:right="174" w:firstLine="41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20.4.1  第三者责任系指在保险期内，对因工程意外</w:t>
      </w:r>
      <w:r>
        <w:rPr>
          <w:rFonts w:hint="eastAsia" w:ascii="宋体" w:hAnsi="宋体" w:cs="宋体"/>
          <w:color w:val="auto"/>
          <w:spacing w:val="6"/>
          <w:sz w:val="20"/>
          <w:szCs w:val="20"/>
          <w:highlight w:val="none"/>
        </w:rPr>
        <w:t>事故造成的、依法应由被保险人负</w:t>
      </w:r>
      <w:r>
        <w:rPr>
          <w:rFonts w:hint="eastAsia" w:ascii="宋体" w:hAnsi="宋体" w:cs="宋体"/>
          <w:color w:val="auto"/>
          <w:spacing w:val="9"/>
          <w:sz w:val="20"/>
          <w:szCs w:val="20"/>
          <w:highlight w:val="none"/>
        </w:rPr>
        <w:t>责的工地上及毗邻地区的第三者人身伤亡、疾病或财产损失（本工程除外</w:t>
      </w:r>
      <w:r>
        <w:rPr>
          <w:rFonts w:hint="eastAsia" w:ascii="宋体" w:hAnsi="宋体" w:cs="宋体"/>
          <w:color w:val="auto"/>
          <w:spacing w:val="-25"/>
          <w:sz w:val="20"/>
          <w:szCs w:val="20"/>
          <w:highlight w:val="none"/>
        </w:rPr>
        <w:t>），</w:t>
      </w:r>
      <w:r>
        <w:rPr>
          <w:rFonts w:hint="eastAsia" w:ascii="宋体" w:hAnsi="宋体" w:cs="宋体"/>
          <w:color w:val="auto"/>
          <w:spacing w:val="9"/>
          <w:sz w:val="20"/>
          <w:szCs w:val="20"/>
          <w:highlight w:val="none"/>
        </w:rPr>
        <w:t>以及被保险人因此而支付的诉讼费用和事先经保险人书面同意支付的其他费用等赔偿责任。</w:t>
      </w:r>
    </w:p>
    <w:p w14:paraId="2551072C">
      <w:pPr>
        <w:spacing w:before="160" w:line="360" w:lineRule="auto"/>
        <w:ind w:left="19" w:right="174"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20.4.2  在缺陷责任期终止证书颁发前，承包人</w:t>
      </w:r>
      <w:r>
        <w:rPr>
          <w:rFonts w:hint="eastAsia" w:ascii="宋体" w:hAnsi="宋体" w:cs="宋体"/>
          <w:color w:val="auto"/>
          <w:spacing w:val="6"/>
          <w:sz w:val="20"/>
          <w:szCs w:val="20"/>
          <w:highlight w:val="none"/>
        </w:rPr>
        <w:t>应以承包人和发包人的共同名义，投保</w:t>
      </w:r>
      <w:r>
        <w:rPr>
          <w:rFonts w:hint="eastAsia" w:ascii="宋体" w:hAnsi="宋体" w:cs="宋体"/>
          <w:color w:val="auto"/>
          <w:spacing w:val="9"/>
          <w:sz w:val="20"/>
          <w:szCs w:val="20"/>
          <w:highlight w:val="none"/>
        </w:rPr>
        <w:t>第20.4.1项约定的第三者责任险，其保险费率、保险金额、保险费承担人等有关内</w:t>
      </w:r>
      <w:r>
        <w:rPr>
          <w:rFonts w:hint="eastAsia" w:ascii="宋体" w:hAnsi="宋体" w:cs="宋体"/>
          <w:color w:val="auto"/>
          <w:spacing w:val="8"/>
          <w:sz w:val="20"/>
          <w:szCs w:val="20"/>
          <w:highlight w:val="none"/>
        </w:rPr>
        <w:t>容见合</w:t>
      </w:r>
      <w:r>
        <w:rPr>
          <w:rFonts w:hint="eastAsia" w:ascii="宋体" w:hAnsi="宋体" w:cs="宋体"/>
          <w:color w:val="auto"/>
          <w:spacing w:val="7"/>
          <w:sz w:val="20"/>
          <w:szCs w:val="20"/>
          <w:highlight w:val="none"/>
        </w:rPr>
        <w:t>同条款专用部分。</w:t>
      </w:r>
    </w:p>
    <w:p w14:paraId="744D926B">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20.5  其他保险</w:t>
      </w:r>
    </w:p>
    <w:p w14:paraId="39C860A9">
      <w:pPr>
        <w:spacing w:before="297" w:line="360" w:lineRule="auto"/>
        <w:jc w:val="left"/>
        <w:rPr>
          <w:rFonts w:hint="eastAsia" w:ascii="宋体" w:hAnsi="宋体" w:cs="宋体"/>
          <w:color w:val="auto"/>
          <w:sz w:val="20"/>
          <w:szCs w:val="20"/>
          <w:highlight w:val="none"/>
        </w:rPr>
      </w:pPr>
      <w:r>
        <w:rPr>
          <w:rFonts w:hint="eastAsia" w:ascii="宋体" w:hAnsi="宋体" w:cs="宋体"/>
          <w:color w:val="auto"/>
          <w:spacing w:val="7"/>
          <w:sz w:val="20"/>
          <w:szCs w:val="20"/>
          <w:highlight w:val="none"/>
          <w:lang w:val="en-US" w:eastAsia="zh-CN"/>
        </w:rPr>
        <w:t xml:space="preserve">    </w:t>
      </w:r>
      <w:r>
        <w:rPr>
          <w:rFonts w:hint="eastAsia" w:ascii="宋体" w:hAnsi="宋体" w:cs="宋体"/>
          <w:color w:val="auto"/>
          <w:spacing w:val="7"/>
          <w:sz w:val="20"/>
          <w:szCs w:val="20"/>
          <w:highlight w:val="none"/>
        </w:rPr>
        <w:t>承包人应为其施工设备和进场的材料等办理保险。办</w:t>
      </w:r>
      <w:r>
        <w:rPr>
          <w:rFonts w:hint="eastAsia" w:ascii="宋体" w:hAnsi="宋体" w:cs="宋体"/>
          <w:color w:val="auto"/>
          <w:spacing w:val="6"/>
          <w:sz w:val="20"/>
          <w:szCs w:val="20"/>
          <w:highlight w:val="none"/>
        </w:rPr>
        <w:t>理保险的险种见合同条款专用部分。</w:t>
      </w:r>
    </w:p>
    <w:p w14:paraId="10D1D56E">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20.6  对各项保险的一般要求</w:t>
      </w:r>
    </w:p>
    <w:p w14:paraId="3CF7943E">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20.6.1  保险凭证</w:t>
      </w:r>
    </w:p>
    <w:p w14:paraId="659F74CA">
      <w:pPr>
        <w:spacing w:before="162" w:line="360" w:lineRule="auto"/>
        <w:ind w:left="23" w:right="17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承包人应在合同约定的期限内向发包人提交各项保险生效的证据和保险单副本，保险单必须与合同约定的条件保持一致。各项保险生效的证据和保险单副本的期限见合同条款专用</w:t>
      </w:r>
      <w:r>
        <w:rPr>
          <w:rFonts w:hint="eastAsia" w:ascii="宋体" w:hAnsi="宋体" w:cs="宋体"/>
          <w:color w:val="auto"/>
          <w:spacing w:val="2"/>
          <w:sz w:val="20"/>
          <w:szCs w:val="20"/>
          <w:highlight w:val="none"/>
        </w:rPr>
        <w:t>部分。</w:t>
      </w:r>
    </w:p>
    <w:p w14:paraId="0F5D74D8">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20.6.2  保险合同条款的变动</w:t>
      </w:r>
    </w:p>
    <w:p w14:paraId="2EE5D094">
      <w:pPr>
        <w:spacing w:before="159"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承包人需要变动保险合同条款时，应事先征得发包人同意，并通知监理人。保险人作出</w:t>
      </w:r>
      <w:r>
        <w:rPr>
          <w:rFonts w:hint="eastAsia" w:ascii="宋体" w:hAnsi="宋体" w:cs="宋体"/>
          <w:color w:val="auto"/>
          <w:spacing w:val="9"/>
          <w:sz w:val="20"/>
          <w:szCs w:val="20"/>
          <w:highlight w:val="none"/>
        </w:rPr>
        <w:t>变动的，承包人应在收到保险人通知后立即通知发包人和监理人。</w:t>
      </w:r>
    </w:p>
    <w:p w14:paraId="021CD326">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20.6.3  持续保险</w:t>
      </w:r>
    </w:p>
    <w:p w14:paraId="00EFDC8F">
      <w:pPr>
        <w:spacing w:before="161"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承包人应与保险人保持联系，使保险人能够随时了解工程实施中的变动，并确保按保险</w:t>
      </w:r>
      <w:r>
        <w:rPr>
          <w:rFonts w:hint="eastAsia" w:ascii="宋体" w:hAnsi="宋体" w:cs="宋体"/>
          <w:color w:val="auto"/>
          <w:spacing w:val="8"/>
          <w:sz w:val="20"/>
          <w:szCs w:val="20"/>
          <w:highlight w:val="none"/>
        </w:rPr>
        <w:t>合同条款要求持续保险。</w:t>
      </w:r>
    </w:p>
    <w:p w14:paraId="49E9765E">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20.6.4  保险金不足的补偿</w:t>
      </w:r>
    </w:p>
    <w:p w14:paraId="5F923519">
      <w:pPr>
        <w:spacing w:before="161"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保险金不足以补偿损失的，应由承包人和（或）发包人按合同约定负责补偿。保险金不</w:t>
      </w:r>
      <w:r>
        <w:rPr>
          <w:rFonts w:hint="eastAsia" w:ascii="宋体" w:hAnsi="宋体" w:cs="宋体"/>
          <w:color w:val="auto"/>
          <w:spacing w:val="8"/>
          <w:sz w:val="20"/>
          <w:szCs w:val="20"/>
          <w:highlight w:val="none"/>
        </w:rPr>
        <w:t>足的补偿原则见合同条款专用部分。</w:t>
      </w:r>
    </w:p>
    <w:p w14:paraId="411A7398">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20.6.5  未按约定投保的补救</w:t>
      </w:r>
    </w:p>
    <w:p w14:paraId="50F1BD70">
      <w:pPr>
        <w:spacing w:before="159" w:line="360" w:lineRule="auto"/>
        <w:ind w:left="36" w:right="94"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合同约定办理保险，或未能使保险持续有效的，另一方当事人可代为办理，所需费用由对方当事人承担。</w:t>
      </w:r>
    </w:p>
    <w:p w14:paraId="2A2C05A9">
      <w:pPr>
        <w:spacing w:before="160" w:line="360" w:lineRule="auto"/>
        <w:ind w:left="25" w:right="94"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合同约定办理某项保险，导致受益人未能得</w:t>
      </w:r>
      <w:r>
        <w:rPr>
          <w:rFonts w:hint="eastAsia" w:ascii="宋体" w:hAnsi="宋体" w:cs="宋体"/>
          <w:color w:val="auto"/>
          <w:spacing w:val="9"/>
          <w:sz w:val="20"/>
          <w:szCs w:val="20"/>
          <w:highlight w:val="none"/>
        </w:rPr>
        <w:t>到保险人的赔偿，原应从该项保险得到的保险金应由负有投保义务的一方当事人支付。</w:t>
      </w:r>
    </w:p>
    <w:p w14:paraId="50C1586C">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20.6.6  报告义务</w:t>
      </w:r>
    </w:p>
    <w:p w14:paraId="5EF266BD">
      <w:pPr>
        <w:spacing w:before="164"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当保险事故发生时，投保人应按照保险单规定的条件和期限及时向保险人报告。</w:t>
      </w:r>
    </w:p>
    <w:p w14:paraId="5D1EF1D7">
      <w:pPr>
        <w:spacing w:before="292" w:line="360" w:lineRule="auto"/>
        <w:ind w:left="26"/>
        <w:outlineLvl w:val="0"/>
        <w:rPr>
          <w:rFonts w:hint="eastAsia" w:ascii="宋体" w:hAnsi="宋体" w:cs="宋体"/>
          <w:color w:val="auto"/>
          <w:highlight w:val="none"/>
        </w:rPr>
      </w:pPr>
      <w:r>
        <w:rPr>
          <w:rFonts w:hint="eastAsia" w:ascii="宋体" w:hAnsi="宋体" w:cs="宋体"/>
          <w:color w:val="auto"/>
          <w:spacing w:val="-2"/>
          <w:sz w:val="28"/>
          <w:szCs w:val="28"/>
          <w:highlight w:val="none"/>
        </w:rPr>
        <w:t>21.不可抗力</w:t>
      </w:r>
    </w:p>
    <w:p w14:paraId="0FB547D9">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21.1  不可抗力的确认</w:t>
      </w:r>
    </w:p>
    <w:p w14:paraId="7262B1B8">
      <w:pPr>
        <w:spacing w:before="296" w:line="360" w:lineRule="auto"/>
        <w:ind w:left="18" w:right="94"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21.1.1  不可抗力是指承包人和发包人在订立合</w:t>
      </w:r>
      <w:r>
        <w:rPr>
          <w:rFonts w:hint="eastAsia" w:ascii="宋体" w:hAnsi="宋体" w:cs="宋体"/>
          <w:color w:val="auto"/>
          <w:spacing w:val="6"/>
          <w:sz w:val="20"/>
          <w:szCs w:val="20"/>
          <w:highlight w:val="none"/>
        </w:rPr>
        <w:t>同时不可预见，在工程施工过程中不可</w:t>
      </w:r>
      <w:r>
        <w:rPr>
          <w:rFonts w:hint="eastAsia" w:ascii="宋体" w:hAnsi="宋体" w:cs="宋体"/>
          <w:color w:val="auto"/>
          <w:spacing w:val="8"/>
          <w:sz w:val="20"/>
          <w:szCs w:val="20"/>
          <w:highlight w:val="none"/>
        </w:rPr>
        <w:t>避免发生并不能克服的自然灾害和社会性突发事</w:t>
      </w:r>
      <w:r>
        <w:rPr>
          <w:rFonts w:hint="eastAsia" w:ascii="宋体" w:hAnsi="宋体" w:cs="宋体"/>
          <w:color w:val="auto"/>
          <w:spacing w:val="7"/>
          <w:sz w:val="20"/>
          <w:szCs w:val="20"/>
          <w:highlight w:val="none"/>
        </w:rPr>
        <w:t>件，如地震、海啸、瘟疫、水灾、骚乱、暴</w:t>
      </w:r>
      <w:r>
        <w:rPr>
          <w:rFonts w:hint="eastAsia" w:ascii="宋体" w:hAnsi="宋体" w:cs="宋体"/>
          <w:color w:val="auto"/>
          <w:spacing w:val="9"/>
          <w:sz w:val="20"/>
          <w:szCs w:val="20"/>
          <w:highlight w:val="none"/>
        </w:rPr>
        <w:t>动、战争和合同约定的其他情形。其他情形见合同条款专用部分。</w:t>
      </w:r>
    </w:p>
    <w:p w14:paraId="76384C63">
      <w:pPr>
        <w:spacing w:before="2" w:line="360" w:lineRule="auto"/>
        <w:ind w:left="23"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21.1.2  不可抗力发生后，发包人和承包人应及时认</w:t>
      </w:r>
      <w:r>
        <w:rPr>
          <w:rFonts w:hint="eastAsia" w:ascii="宋体" w:hAnsi="宋体" w:cs="宋体"/>
          <w:color w:val="auto"/>
          <w:spacing w:val="6"/>
          <w:sz w:val="20"/>
          <w:szCs w:val="20"/>
          <w:highlight w:val="none"/>
        </w:rPr>
        <w:t>真统计所造成的损失，收集不可抗</w:t>
      </w:r>
      <w:r>
        <w:rPr>
          <w:rFonts w:hint="eastAsia" w:ascii="宋体" w:hAnsi="宋体" w:cs="宋体"/>
          <w:color w:val="auto"/>
          <w:spacing w:val="7"/>
          <w:sz w:val="20"/>
          <w:szCs w:val="20"/>
          <w:highlight w:val="none"/>
        </w:rPr>
        <w:t>力造成损失的证据。合同双方对是否属于不可抗力或其损失的意见不一致的，由监理人按第3.5</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款商定或确定。发生争议时，按第24条的约定办理。</w:t>
      </w:r>
    </w:p>
    <w:p w14:paraId="33245BD4">
      <w:pPr>
        <w:spacing w:before="121"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21.2  不可抗力的通知</w:t>
      </w:r>
    </w:p>
    <w:p w14:paraId="02DE93E7">
      <w:pPr>
        <w:spacing w:before="298" w:line="360" w:lineRule="auto"/>
        <w:ind w:left="24" w:right="22"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21.2.1  合同一方当事人遇到不可抗力事件，使</w:t>
      </w:r>
      <w:r>
        <w:rPr>
          <w:rFonts w:hint="eastAsia" w:ascii="宋体" w:hAnsi="宋体" w:cs="宋体"/>
          <w:color w:val="auto"/>
          <w:spacing w:val="6"/>
          <w:sz w:val="20"/>
          <w:szCs w:val="20"/>
          <w:highlight w:val="none"/>
        </w:rPr>
        <w:t>其履行合同义务受到阻碍时，应立即通</w:t>
      </w:r>
      <w:r>
        <w:rPr>
          <w:rFonts w:hint="eastAsia" w:ascii="宋体" w:hAnsi="宋体" w:cs="宋体"/>
          <w:color w:val="auto"/>
          <w:spacing w:val="4"/>
          <w:sz w:val="20"/>
          <w:szCs w:val="20"/>
          <w:highlight w:val="none"/>
        </w:rPr>
        <w:t>知合同另一方当事人和监理人，书面说明不可抗力和受阻碍的详细情况，并提供必要的证明。</w:t>
      </w:r>
    </w:p>
    <w:p w14:paraId="2455156F">
      <w:pPr>
        <w:spacing w:before="163" w:line="360" w:lineRule="auto"/>
        <w:ind w:left="22"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21.2.2  如不可抗力持续发生，合同一方当事人</w:t>
      </w:r>
      <w:r>
        <w:rPr>
          <w:rFonts w:hint="eastAsia" w:ascii="宋体" w:hAnsi="宋体" w:cs="宋体"/>
          <w:color w:val="auto"/>
          <w:spacing w:val="6"/>
          <w:sz w:val="20"/>
          <w:szCs w:val="20"/>
          <w:highlight w:val="none"/>
        </w:rPr>
        <w:t>应及时向合同另一方当事人和监理人提</w:t>
      </w:r>
      <w:r>
        <w:rPr>
          <w:rFonts w:hint="eastAsia" w:ascii="宋体" w:hAnsi="宋体" w:cs="宋体"/>
          <w:color w:val="auto"/>
          <w:spacing w:val="9"/>
          <w:sz w:val="20"/>
          <w:szCs w:val="20"/>
          <w:highlight w:val="none"/>
        </w:rPr>
        <w:t>交中间报告，说明不可抗力和履行合同受阻的情况，并于不可抗力事件结束后28天内提交</w:t>
      </w:r>
      <w:r>
        <w:rPr>
          <w:rFonts w:hint="eastAsia" w:ascii="宋体" w:hAnsi="宋体" w:cs="宋体"/>
          <w:color w:val="auto"/>
          <w:spacing w:val="7"/>
          <w:sz w:val="20"/>
          <w:szCs w:val="20"/>
          <w:highlight w:val="none"/>
        </w:rPr>
        <w:t>最终报告及有关资料。</w:t>
      </w:r>
    </w:p>
    <w:p w14:paraId="7281A081">
      <w:pPr>
        <w:spacing w:before="287"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21.3  不可抗力后果及其处理</w:t>
      </w:r>
    </w:p>
    <w:p w14:paraId="74FC60B1">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21.3.1  不可抗力造成损害的责任</w:t>
      </w:r>
    </w:p>
    <w:p w14:paraId="0DB5D384">
      <w:pPr>
        <w:spacing w:before="162" w:line="360" w:lineRule="auto"/>
        <w:ind w:left="21"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不可抗力导致的人员伤亡、财产损失、费用增加和（或）工期延误等后果，由合同双方按以下原则承担：</w:t>
      </w:r>
    </w:p>
    <w:p w14:paraId="00883641">
      <w:pPr>
        <w:spacing w:before="2" w:line="360" w:lineRule="auto"/>
        <w:ind w:left="19" w:right="94" w:firstLine="430"/>
        <w:rPr>
          <w:rFonts w:hint="eastAsia" w:ascii="宋体" w:hAnsi="宋体" w:cs="宋体"/>
          <w:color w:val="auto"/>
          <w:highlight w:val="none"/>
        </w:rPr>
      </w:pPr>
      <w:r>
        <w:rPr>
          <w:rFonts w:hint="eastAsia" w:ascii="宋体" w:hAnsi="宋体" w:cs="宋体"/>
          <w:color w:val="auto"/>
          <w:spacing w:val="10"/>
          <w:sz w:val="20"/>
          <w:szCs w:val="20"/>
          <w:highlight w:val="none"/>
        </w:rPr>
        <w:t>（1）永久工程、已运至施工现场的材料的损坏及修复费用，</w:t>
      </w:r>
      <w:r>
        <w:rPr>
          <w:rFonts w:hint="eastAsia" w:ascii="宋体" w:hAnsi="宋体" w:cs="宋体"/>
          <w:color w:val="auto"/>
          <w:spacing w:val="9"/>
          <w:sz w:val="20"/>
          <w:szCs w:val="20"/>
          <w:highlight w:val="none"/>
        </w:rPr>
        <w:t>以及因不可抗力事件引起施工场地内及工程损坏造成的第三方人员伤亡和财产损失由发包人承担；</w:t>
      </w:r>
    </w:p>
    <w:p w14:paraId="072EB038">
      <w:pPr>
        <w:spacing w:before="65"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（2）承包人施工机具的损坏及停工损失和措施项目的损坏、</w:t>
      </w:r>
      <w:r>
        <w:rPr>
          <w:rFonts w:hint="eastAsia" w:ascii="宋体" w:hAnsi="宋体" w:cs="宋体"/>
          <w:color w:val="auto"/>
          <w:spacing w:val="9"/>
          <w:sz w:val="20"/>
          <w:szCs w:val="20"/>
          <w:highlight w:val="none"/>
        </w:rPr>
        <w:t>清理、修复费用，以及因承包人原因发生的第三方人员伤亡和财产损失由承包人承担；</w:t>
      </w:r>
    </w:p>
    <w:p w14:paraId="24CF78EF">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（3）发包人和承包人各自承担其人员伤亡和其他财产损失；</w:t>
      </w:r>
    </w:p>
    <w:p w14:paraId="4333FABD">
      <w:pPr>
        <w:spacing w:before="161"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（4）因不可抗力引起暂停施工的，停工期间应监理人要求照</w:t>
      </w:r>
      <w:r>
        <w:rPr>
          <w:rFonts w:hint="eastAsia" w:ascii="宋体" w:hAnsi="宋体" w:cs="宋体"/>
          <w:color w:val="auto"/>
          <w:spacing w:val="9"/>
          <w:sz w:val="20"/>
          <w:szCs w:val="20"/>
          <w:highlight w:val="none"/>
        </w:rPr>
        <w:t>管、清理、修复工程的费</w:t>
      </w:r>
      <w:r>
        <w:rPr>
          <w:rFonts w:hint="eastAsia" w:ascii="宋体" w:hAnsi="宋体" w:cs="宋体"/>
          <w:color w:val="auto"/>
          <w:spacing w:val="7"/>
          <w:sz w:val="20"/>
          <w:szCs w:val="20"/>
          <w:highlight w:val="none"/>
        </w:rPr>
        <w:t>用和监理人要求留驻施工现场必要的管理与保卫人员工资，以及按监理人要求留驻现场待工</w:t>
      </w:r>
      <w:r>
        <w:rPr>
          <w:rFonts w:hint="eastAsia" w:ascii="宋体" w:hAnsi="宋体" w:cs="宋体"/>
          <w:color w:val="auto"/>
          <w:spacing w:val="8"/>
          <w:sz w:val="20"/>
          <w:szCs w:val="20"/>
          <w:highlight w:val="none"/>
        </w:rPr>
        <w:t>人员的工资由发包人承担；</w:t>
      </w:r>
    </w:p>
    <w:p w14:paraId="751D327F">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（5）因不可抗力影响承包人履行合同约定的义务，引起工期</w:t>
      </w:r>
      <w:r>
        <w:rPr>
          <w:rFonts w:hint="eastAsia" w:ascii="宋体" w:hAnsi="宋体" w:cs="宋体"/>
          <w:color w:val="auto"/>
          <w:spacing w:val="9"/>
          <w:sz w:val="20"/>
          <w:szCs w:val="20"/>
          <w:highlight w:val="none"/>
        </w:rPr>
        <w:t>延误的，应顺延工期，承</w:t>
      </w:r>
      <w:r>
        <w:rPr>
          <w:rFonts w:hint="eastAsia" w:ascii="宋体" w:hAnsi="宋体" w:cs="宋体"/>
          <w:color w:val="auto"/>
          <w:spacing w:val="8"/>
          <w:sz w:val="20"/>
          <w:szCs w:val="20"/>
          <w:highlight w:val="none"/>
        </w:rPr>
        <w:t>包人不需支付逾期竣工违约金。发包人要求</w:t>
      </w:r>
      <w:r>
        <w:rPr>
          <w:rFonts w:hint="eastAsia" w:ascii="宋体" w:hAnsi="宋体" w:cs="宋体"/>
          <w:color w:val="auto"/>
          <w:spacing w:val="7"/>
          <w:sz w:val="20"/>
          <w:szCs w:val="20"/>
          <w:highlight w:val="none"/>
        </w:rPr>
        <w:t>赶工的，承包人应采取赶工措施，赶工费用由发</w:t>
      </w:r>
      <w:r>
        <w:rPr>
          <w:rFonts w:hint="eastAsia" w:ascii="宋体" w:hAnsi="宋体" w:cs="宋体"/>
          <w:color w:val="auto"/>
          <w:spacing w:val="5"/>
          <w:sz w:val="20"/>
          <w:szCs w:val="20"/>
          <w:highlight w:val="none"/>
        </w:rPr>
        <w:t>包人承担。</w:t>
      </w:r>
    </w:p>
    <w:p w14:paraId="2D6C0D9E">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21.3.2  延迟履行期间发生的不可抗力</w:t>
      </w:r>
    </w:p>
    <w:p w14:paraId="3437527B">
      <w:pPr>
        <w:spacing w:before="163"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合同一方当事人延迟履行，在延迟履行期间发生不可抗力的，不免除其责任。</w:t>
      </w:r>
    </w:p>
    <w:p w14:paraId="35CCA6FF">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21.3.3  避免和减少不可抗力损失</w:t>
      </w:r>
    </w:p>
    <w:p w14:paraId="2A2DC03A">
      <w:pPr>
        <w:spacing w:before="160"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不可抗力发生后，发包人和承包人均应采取措施尽量避免和减少损失的扩大，任何一方</w:t>
      </w:r>
      <w:r>
        <w:rPr>
          <w:rFonts w:hint="eastAsia" w:ascii="宋体" w:hAnsi="宋体" w:cs="宋体"/>
          <w:color w:val="auto"/>
          <w:spacing w:val="9"/>
          <w:sz w:val="20"/>
          <w:szCs w:val="20"/>
          <w:highlight w:val="none"/>
        </w:rPr>
        <w:t>没有采取有效措施导致损失扩大的，应对扩大的损失承担责任。</w:t>
      </w:r>
    </w:p>
    <w:p w14:paraId="4A433AFF">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21.3.4</w:t>
      </w:r>
      <w:r>
        <w:rPr>
          <w:rFonts w:hint="eastAsia" w:ascii="宋体" w:hAnsi="宋体" w:cs="宋体"/>
          <w:color w:val="auto"/>
          <w:spacing w:val="21"/>
          <w:sz w:val="20"/>
          <w:szCs w:val="20"/>
          <w:highlight w:val="none"/>
        </w:rPr>
        <w:t xml:space="preserve">  </w:t>
      </w:r>
      <w:r>
        <w:rPr>
          <w:rFonts w:hint="eastAsia" w:ascii="宋体" w:hAnsi="宋体" w:cs="宋体"/>
          <w:color w:val="auto"/>
          <w:spacing w:val="5"/>
          <w:sz w:val="20"/>
          <w:szCs w:val="20"/>
          <w:highlight w:val="none"/>
        </w:rPr>
        <w:t>因不可抗力解除合同</w:t>
      </w:r>
    </w:p>
    <w:p w14:paraId="2012D0EB">
      <w:pPr>
        <w:spacing w:before="159" w:line="360" w:lineRule="auto"/>
        <w:ind w:left="19" w:firstLine="42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合同一方当事人因不可抗力不能履行合同的，应当及时通知对方解除合同。合同解除后，</w:t>
      </w:r>
      <w:r>
        <w:rPr>
          <w:rFonts w:hint="eastAsia" w:ascii="宋体" w:hAnsi="宋体" w:cs="宋体"/>
          <w:color w:val="auto"/>
          <w:spacing w:val="9"/>
          <w:sz w:val="20"/>
          <w:szCs w:val="20"/>
          <w:highlight w:val="none"/>
        </w:rPr>
        <w:t>承包人应按照第22.2.5</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项约定撤离施工场地。已经订货的材料、设备由订货方负</w:t>
      </w:r>
      <w:r>
        <w:rPr>
          <w:rFonts w:hint="eastAsia" w:ascii="宋体" w:hAnsi="宋体" w:cs="宋体"/>
          <w:color w:val="auto"/>
          <w:spacing w:val="8"/>
          <w:sz w:val="20"/>
          <w:szCs w:val="20"/>
          <w:highlight w:val="none"/>
        </w:rPr>
        <w:t>责退货或解除订货合同，不能退还的货款和因退货、解</w:t>
      </w:r>
      <w:r>
        <w:rPr>
          <w:rFonts w:hint="eastAsia" w:ascii="宋体" w:hAnsi="宋体" w:cs="宋体"/>
          <w:color w:val="auto"/>
          <w:spacing w:val="7"/>
          <w:sz w:val="20"/>
          <w:szCs w:val="20"/>
          <w:highlight w:val="none"/>
        </w:rPr>
        <w:t>除订货合同发生的费用，由发包人承担，因未</w:t>
      </w:r>
      <w:r>
        <w:rPr>
          <w:rFonts w:hint="eastAsia" w:ascii="宋体" w:hAnsi="宋体" w:cs="宋体"/>
          <w:color w:val="auto"/>
          <w:spacing w:val="8"/>
          <w:sz w:val="20"/>
          <w:szCs w:val="20"/>
          <w:highlight w:val="none"/>
        </w:rPr>
        <w:t>及时退货造成的损失由责任方承担。合同解除后的付款，参照第</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22.2.4</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w:t>
      </w:r>
      <w:r>
        <w:rPr>
          <w:rFonts w:hint="eastAsia" w:ascii="宋体" w:hAnsi="宋体" w:cs="宋体"/>
          <w:color w:val="auto"/>
          <w:spacing w:val="7"/>
          <w:sz w:val="20"/>
          <w:szCs w:val="20"/>
          <w:highlight w:val="none"/>
        </w:rPr>
        <w:t>监理人</w:t>
      </w:r>
      <w:r>
        <w:rPr>
          <w:rFonts w:hint="eastAsia" w:ascii="宋体" w:hAnsi="宋体" w:cs="宋体"/>
          <w:color w:val="auto"/>
          <w:spacing w:val="5"/>
          <w:sz w:val="20"/>
          <w:szCs w:val="20"/>
          <w:highlight w:val="none"/>
        </w:rPr>
        <w:t>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3.5</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款商定或确定。</w:t>
      </w:r>
    </w:p>
    <w:p w14:paraId="65D3DED5">
      <w:pPr>
        <w:spacing w:before="129" w:line="360" w:lineRule="auto"/>
        <w:ind w:left="26"/>
        <w:outlineLvl w:val="0"/>
        <w:rPr>
          <w:rFonts w:hint="eastAsia" w:ascii="宋体" w:hAnsi="宋体" w:cs="宋体"/>
          <w:color w:val="auto"/>
          <w:sz w:val="28"/>
          <w:szCs w:val="28"/>
          <w:highlight w:val="none"/>
        </w:rPr>
      </w:pPr>
      <w:r>
        <w:rPr>
          <w:rFonts w:hint="eastAsia" w:ascii="宋体" w:hAnsi="宋体" w:cs="宋体"/>
          <w:color w:val="auto"/>
          <w:spacing w:val="-3"/>
          <w:sz w:val="28"/>
          <w:szCs w:val="28"/>
          <w:highlight w:val="none"/>
        </w:rPr>
        <w:t>22.违约</w:t>
      </w:r>
    </w:p>
    <w:p w14:paraId="04317AB0">
      <w:pPr>
        <w:spacing w:before="317"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22.1  承包人违约</w:t>
      </w:r>
    </w:p>
    <w:p w14:paraId="34EE1443">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22.1.1  承包人违约的情形</w:t>
      </w:r>
    </w:p>
    <w:p w14:paraId="122AD6C0">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在履行合同过程中发生的下列情况属承包人违约：</w:t>
      </w:r>
    </w:p>
    <w:p w14:paraId="7285CA3F">
      <w:pPr>
        <w:spacing w:before="160"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（1）承包人违反第1.8款或第4.3款的约定，私自将合同的全部或部分权利转让给其他人，或私自将合同的全部或部分义务转移给其他人；</w:t>
      </w:r>
    </w:p>
    <w:p w14:paraId="768ACCD8">
      <w:pPr>
        <w:spacing w:before="161" w:line="360" w:lineRule="auto"/>
        <w:ind w:left="18" w:right="56" w:firstLine="43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（2）承包人违反第</w:t>
      </w:r>
      <w:r>
        <w:rPr>
          <w:rFonts w:hint="eastAsia" w:ascii="宋体" w:hAnsi="宋体" w:cs="宋体"/>
          <w:color w:val="auto"/>
          <w:spacing w:val="-33"/>
          <w:sz w:val="20"/>
          <w:szCs w:val="20"/>
          <w:highlight w:val="none"/>
        </w:rPr>
        <w:t xml:space="preserve"> </w:t>
      </w:r>
      <w:r>
        <w:rPr>
          <w:rFonts w:hint="eastAsia" w:ascii="宋体" w:hAnsi="宋体" w:cs="宋体"/>
          <w:color w:val="auto"/>
          <w:spacing w:val="8"/>
          <w:sz w:val="20"/>
          <w:szCs w:val="20"/>
          <w:highlight w:val="none"/>
        </w:rPr>
        <w:t>5.3款或第</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6.4款的约定，未经监理人批准，私自将已按</w:t>
      </w:r>
      <w:r>
        <w:rPr>
          <w:rFonts w:hint="eastAsia" w:ascii="宋体" w:hAnsi="宋体" w:cs="宋体"/>
          <w:color w:val="auto"/>
          <w:spacing w:val="7"/>
          <w:sz w:val="20"/>
          <w:szCs w:val="20"/>
          <w:highlight w:val="none"/>
        </w:rPr>
        <w:t>合同约定</w:t>
      </w:r>
      <w:r>
        <w:rPr>
          <w:rFonts w:hint="eastAsia" w:ascii="宋体" w:hAnsi="宋体" w:cs="宋体"/>
          <w:color w:val="auto"/>
          <w:spacing w:val="9"/>
          <w:sz w:val="20"/>
          <w:szCs w:val="20"/>
          <w:highlight w:val="none"/>
        </w:rPr>
        <w:t>进入施工场地的施工设备、临时设施或材料撤离施工场地；</w:t>
      </w:r>
    </w:p>
    <w:p w14:paraId="5B61B218">
      <w:pPr>
        <w:spacing w:before="160"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（3）承包人违反第5.4款的约定使用了不合格材料，工程质量</w:t>
      </w:r>
      <w:r>
        <w:rPr>
          <w:rFonts w:hint="eastAsia" w:ascii="宋体" w:hAnsi="宋体" w:cs="宋体"/>
          <w:color w:val="auto"/>
          <w:spacing w:val="8"/>
          <w:sz w:val="20"/>
          <w:szCs w:val="20"/>
          <w:highlight w:val="none"/>
        </w:rPr>
        <w:t>达不到标准要求，又拒</w:t>
      </w:r>
      <w:r>
        <w:rPr>
          <w:rFonts w:hint="eastAsia" w:ascii="宋体" w:hAnsi="宋体" w:cs="宋体"/>
          <w:color w:val="auto"/>
          <w:spacing w:val="7"/>
          <w:sz w:val="20"/>
          <w:szCs w:val="20"/>
          <w:highlight w:val="none"/>
        </w:rPr>
        <w:t>绝清除不合格工程；</w:t>
      </w:r>
    </w:p>
    <w:p w14:paraId="76F9F804">
      <w:pPr>
        <w:spacing w:before="161" w:line="360" w:lineRule="auto"/>
        <w:ind w:left="22" w:right="56"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（4）承包人未能按合同进度计划及时完成合同约定的工作，</w:t>
      </w:r>
      <w:r>
        <w:rPr>
          <w:rFonts w:hint="eastAsia" w:ascii="宋体" w:hAnsi="宋体" w:cs="宋体"/>
          <w:color w:val="auto"/>
          <w:spacing w:val="9"/>
          <w:sz w:val="20"/>
          <w:szCs w:val="20"/>
          <w:highlight w:val="none"/>
        </w:rPr>
        <w:t>已造成或预期造成工期延</w:t>
      </w:r>
      <w:r>
        <w:rPr>
          <w:rFonts w:hint="eastAsia" w:ascii="宋体" w:hAnsi="宋体" w:cs="宋体"/>
          <w:color w:val="auto"/>
          <w:spacing w:val="-1"/>
          <w:sz w:val="20"/>
          <w:szCs w:val="20"/>
          <w:highlight w:val="none"/>
        </w:rPr>
        <w:t>误；</w:t>
      </w:r>
    </w:p>
    <w:p w14:paraId="155767E4">
      <w:pPr>
        <w:spacing w:before="159"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（5）承包人在缺陷责任期内，未能对工程接收证书所列的缺</w:t>
      </w:r>
      <w:r>
        <w:rPr>
          <w:rFonts w:hint="eastAsia" w:ascii="宋体" w:hAnsi="宋体" w:cs="宋体"/>
          <w:color w:val="auto"/>
          <w:spacing w:val="9"/>
          <w:sz w:val="20"/>
          <w:szCs w:val="20"/>
          <w:highlight w:val="none"/>
        </w:rPr>
        <w:t>陷清单的内容或缺陷责任期内发生的缺陷进行修复，而又拒绝按监理人指示再进行修补；</w:t>
      </w:r>
    </w:p>
    <w:p w14:paraId="6B141A4B">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（6）承包人无法继续履行或明确表示不履行或实质上已停止</w:t>
      </w:r>
      <w:r>
        <w:rPr>
          <w:rFonts w:hint="eastAsia" w:ascii="宋体" w:hAnsi="宋体" w:cs="宋体"/>
          <w:color w:val="auto"/>
          <w:spacing w:val="8"/>
          <w:sz w:val="20"/>
          <w:szCs w:val="20"/>
          <w:highlight w:val="none"/>
        </w:rPr>
        <w:t>履行合同；</w:t>
      </w:r>
    </w:p>
    <w:p w14:paraId="3F2F1F9E">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（7）承包人不按合同约定履行义务的其他情况。</w:t>
      </w:r>
    </w:p>
    <w:p w14:paraId="21C6C1AB">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22.1.2  对承包人违约的处理</w:t>
      </w:r>
    </w:p>
    <w:p w14:paraId="1B4BF4DB">
      <w:pPr>
        <w:spacing w:before="159" w:line="360" w:lineRule="auto"/>
        <w:ind w:left="20" w:right="161" w:firstLine="42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（1）承包人发生第22.1.1（6）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目约定的违约情况时，发包人可通知承包人立即解除合同，并按有关法律处理。</w:t>
      </w:r>
    </w:p>
    <w:p w14:paraId="6308B271">
      <w:pPr>
        <w:spacing w:before="164" w:line="360" w:lineRule="auto"/>
        <w:ind w:right="74"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（2）承包人发生除第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22.1.1（6）</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目约定以外的其他违约情况时，监理人可向承包人</w:t>
      </w:r>
      <w:r>
        <w:rPr>
          <w:rFonts w:hint="eastAsia" w:ascii="宋体" w:hAnsi="宋体" w:cs="宋体"/>
          <w:color w:val="auto"/>
          <w:spacing w:val="5"/>
          <w:sz w:val="20"/>
          <w:szCs w:val="20"/>
          <w:highlight w:val="none"/>
        </w:rPr>
        <w:t>发出整改通知，要求其在指定的期限内改正。</w:t>
      </w:r>
      <w:r>
        <w:rPr>
          <w:rFonts w:hint="eastAsia" w:ascii="宋体" w:hAnsi="宋体" w:cs="宋体"/>
          <w:color w:val="auto"/>
          <w:spacing w:val="4"/>
          <w:sz w:val="20"/>
          <w:szCs w:val="20"/>
          <w:highlight w:val="none"/>
        </w:rPr>
        <w:t>承包人应承担其违约所引起的费用增加和（或）</w:t>
      </w:r>
      <w:r>
        <w:rPr>
          <w:rFonts w:hint="eastAsia" w:ascii="宋体" w:hAnsi="宋体" w:cs="宋体"/>
          <w:color w:val="auto"/>
          <w:spacing w:val="5"/>
          <w:sz w:val="20"/>
          <w:szCs w:val="20"/>
          <w:highlight w:val="none"/>
        </w:rPr>
        <w:t>工期延误。</w:t>
      </w:r>
    </w:p>
    <w:p w14:paraId="7EB0A6CC">
      <w:pPr>
        <w:spacing w:before="159" w:line="360" w:lineRule="auto"/>
        <w:ind w:left="21" w:right="161"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（3）经检查证明承包人已采取了有效措施纠正违约行为，具</w:t>
      </w:r>
      <w:r>
        <w:rPr>
          <w:rFonts w:hint="eastAsia" w:ascii="宋体" w:hAnsi="宋体" w:cs="宋体"/>
          <w:color w:val="auto"/>
          <w:spacing w:val="9"/>
          <w:sz w:val="20"/>
          <w:szCs w:val="20"/>
          <w:highlight w:val="none"/>
        </w:rPr>
        <w:t>备复工条件的，可由监理</w:t>
      </w:r>
      <w:r>
        <w:rPr>
          <w:rFonts w:hint="eastAsia" w:ascii="宋体" w:hAnsi="宋体" w:cs="宋体"/>
          <w:color w:val="auto"/>
          <w:spacing w:val="7"/>
          <w:sz w:val="20"/>
          <w:szCs w:val="20"/>
          <w:highlight w:val="none"/>
        </w:rPr>
        <w:t>人签发复工通知复工。</w:t>
      </w:r>
    </w:p>
    <w:p w14:paraId="2E5EDDBF">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22.1.3  承包人违约解除合同</w:t>
      </w:r>
    </w:p>
    <w:p w14:paraId="5EAD6AA6">
      <w:pPr>
        <w:spacing w:before="160" w:line="360" w:lineRule="auto"/>
        <w:ind w:left="18" w:right="90"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监理人发出整改通知28天后，承包人仍不纠正违约行为的，发包人可向承包人发出解</w:t>
      </w:r>
      <w:r>
        <w:rPr>
          <w:rFonts w:hint="eastAsia" w:ascii="宋体" w:hAnsi="宋体" w:cs="宋体"/>
          <w:color w:val="auto"/>
          <w:spacing w:val="8"/>
          <w:sz w:val="20"/>
          <w:szCs w:val="20"/>
          <w:highlight w:val="none"/>
        </w:rPr>
        <w:t>除合同通知。合同解除后，发包人可派员进驻施工场</w:t>
      </w:r>
      <w:r>
        <w:rPr>
          <w:rFonts w:hint="eastAsia" w:ascii="宋体" w:hAnsi="宋体" w:cs="宋体"/>
          <w:color w:val="auto"/>
          <w:spacing w:val="7"/>
          <w:sz w:val="20"/>
          <w:szCs w:val="20"/>
          <w:highlight w:val="none"/>
        </w:rPr>
        <w:t>地，另行组织人员或委托其他承包人施</w:t>
      </w:r>
      <w:r>
        <w:rPr>
          <w:rFonts w:hint="eastAsia" w:ascii="宋体" w:hAnsi="宋体" w:cs="宋体"/>
          <w:color w:val="auto"/>
          <w:spacing w:val="4"/>
          <w:sz w:val="20"/>
          <w:szCs w:val="20"/>
          <w:highlight w:val="none"/>
        </w:rPr>
        <w:t>工。发包人因继续完成该工程的需要，有权扣留使用承包人在现场的材料、设备和临时设施。</w:t>
      </w:r>
      <w:r>
        <w:rPr>
          <w:rFonts w:hint="eastAsia" w:ascii="宋体" w:hAnsi="宋体" w:cs="宋体"/>
          <w:color w:val="auto"/>
          <w:spacing w:val="8"/>
          <w:sz w:val="20"/>
          <w:szCs w:val="20"/>
          <w:highlight w:val="none"/>
        </w:rPr>
        <w:t>但发包人的这一行动不免除承包人应承担的违约</w:t>
      </w:r>
      <w:r>
        <w:rPr>
          <w:rFonts w:hint="eastAsia" w:ascii="宋体" w:hAnsi="宋体" w:cs="宋体"/>
          <w:color w:val="auto"/>
          <w:spacing w:val="7"/>
          <w:sz w:val="20"/>
          <w:szCs w:val="20"/>
          <w:highlight w:val="none"/>
        </w:rPr>
        <w:t>责任，也不影响发包人根据合同约定享有的</w:t>
      </w:r>
      <w:r>
        <w:rPr>
          <w:rFonts w:hint="eastAsia" w:ascii="宋体" w:hAnsi="宋体" w:cs="宋体"/>
          <w:color w:val="auto"/>
          <w:spacing w:val="6"/>
          <w:sz w:val="20"/>
          <w:szCs w:val="20"/>
          <w:highlight w:val="none"/>
        </w:rPr>
        <w:t>索赔权利。</w:t>
      </w:r>
    </w:p>
    <w:p w14:paraId="40B0B009">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22.1.4  合同解除后的估价、付款和结清</w:t>
      </w:r>
    </w:p>
    <w:p w14:paraId="7DA8EF60">
      <w:pPr>
        <w:spacing w:before="162" w:line="360" w:lineRule="auto"/>
        <w:ind w:left="19" w:right="15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（1）合同解除后，监理人按第3.5款商定或确定承包人实际完成工</w:t>
      </w:r>
      <w:r>
        <w:rPr>
          <w:rFonts w:hint="eastAsia" w:ascii="宋体" w:hAnsi="宋体" w:cs="宋体"/>
          <w:color w:val="auto"/>
          <w:spacing w:val="8"/>
          <w:sz w:val="20"/>
          <w:szCs w:val="20"/>
          <w:highlight w:val="none"/>
        </w:rPr>
        <w:t>作的价值，以及承</w:t>
      </w:r>
      <w:r>
        <w:rPr>
          <w:rFonts w:hint="eastAsia" w:ascii="宋体" w:hAnsi="宋体" w:cs="宋体"/>
          <w:color w:val="auto"/>
          <w:spacing w:val="9"/>
          <w:sz w:val="20"/>
          <w:szCs w:val="20"/>
          <w:highlight w:val="none"/>
        </w:rPr>
        <w:t>包人已提供的材料、施工设备和临时工程等的价值。</w:t>
      </w:r>
    </w:p>
    <w:p w14:paraId="4DE05986">
      <w:pPr>
        <w:spacing w:before="164" w:line="360" w:lineRule="auto"/>
        <w:ind w:left="19" w:right="211"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（2）合同解除后，发包人可暂停对承包人的一切付款，查清各项付款和已扣款金额，包括承包人应支付的违约金。</w:t>
      </w:r>
    </w:p>
    <w:p w14:paraId="39DE1B98">
      <w:pPr>
        <w:spacing w:before="161" w:line="360" w:lineRule="auto"/>
        <w:ind w:left="21" w:right="159"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（3）合同解除后，发包人应按第23.4</w:t>
      </w:r>
      <w:r>
        <w:rPr>
          <w:rFonts w:hint="eastAsia" w:ascii="宋体" w:hAnsi="宋体" w:cs="宋体"/>
          <w:color w:val="auto"/>
          <w:spacing w:val="-38"/>
          <w:sz w:val="20"/>
          <w:szCs w:val="20"/>
          <w:highlight w:val="none"/>
        </w:rPr>
        <w:t xml:space="preserve"> </w:t>
      </w:r>
      <w:r>
        <w:rPr>
          <w:rFonts w:hint="eastAsia" w:ascii="宋体" w:hAnsi="宋体" w:cs="宋体"/>
          <w:color w:val="auto"/>
          <w:spacing w:val="6"/>
          <w:sz w:val="20"/>
          <w:szCs w:val="20"/>
          <w:highlight w:val="none"/>
        </w:rPr>
        <w:t>款的约定向承包人索赔由于解除合同给发包人造</w:t>
      </w:r>
      <w:r>
        <w:rPr>
          <w:rFonts w:hint="eastAsia" w:ascii="宋体" w:hAnsi="宋体" w:cs="宋体"/>
          <w:color w:val="auto"/>
          <w:spacing w:val="5"/>
          <w:sz w:val="20"/>
          <w:szCs w:val="20"/>
          <w:highlight w:val="none"/>
        </w:rPr>
        <w:t>成的损失。</w:t>
      </w:r>
    </w:p>
    <w:p w14:paraId="02FFAF26">
      <w:pPr>
        <w:spacing w:before="158"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（4）合同双方确认上述往来款项后，出具最终结清付款证书，结清全部合同款项。</w:t>
      </w:r>
    </w:p>
    <w:p w14:paraId="6E6C1EC3">
      <w:pPr>
        <w:spacing w:before="161" w:line="360" w:lineRule="auto"/>
        <w:ind w:left="24" w:right="159"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（5）发包人和承包人未能就解除合同后的结清达成一致而形成争议的，按第24条的约</w:t>
      </w:r>
      <w:r>
        <w:rPr>
          <w:rFonts w:hint="eastAsia" w:ascii="宋体" w:hAnsi="宋体" w:cs="宋体"/>
          <w:color w:val="auto"/>
          <w:spacing w:val="3"/>
          <w:sz w:val="20"/>
          <w:szCs w:val="20"/>
          <w:highlight w:val="none"/>
        </w:rPr>
        <w:t>定办理。</w:t>
      </w:r>
    </w:p>
    <w:p w14:paraId="74DC8372">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22.1.5  协议利益的转让</w:t>
      </w:r>
    </w:p>
    <w:p w14:paraId="7340A06D">
      <w:pPr>
        <w:spacing w:before="158" w:line="360" w:lineRule="auto"/>
        <w:ind w:left="20" w:right="161"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因承包人违约解除合同的，发包人有权要求承包人将其为实施合同而签订的材料</w:t>
      </w:r>
      <w:r>
        <w:rPr>
          <w:rFonts w:hint="eastAsia" w:ascii="宋体" w:hAnsi="宋体" w:cs="宋体"/>
          <w:color w:val="auto"/>
          <w:spacing w:val="6"/>
          <w:sz w:val="20"/>
          <w:szCs w:val="20"/>
          <w:highlight w:val="none"/>
        </w:rPr>
        <w:t>的订货</w:t>
      </w:r>
      <w:r>
        <w:rPr>
          <w:rFonts w:hint="eastAsia" w:ascii="宋体" w:hAnsi="宋体" w:cs="宋体"/>
          <w:color w:val="auto"/>
          <w:spacing w:val="8"/>
          <w:sz w:val="20"/>
          <w:szCs w:val="20"/>
          <w:highlight w:val="none"/>
        </w:rPr>
        <w:t>协议或任何服务协议利益转让给发包人，并在解除合同后的14天内，依法办理转让手续。</w:t>
      </w:r>
    </w:p>
    <w:p w14:paraId="59EF2421">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22.1.6  紧急情况下无能力或不愿进行抢救</w:t>
      </w:r>
    </w:p>
    <w:p w14:paraId="7565EE8A">
      <w:pPr>
        <w:spacing w:before="159" w:line="360" w:lineRule="auto"/>
        <w:ind w:left="19" w:firstLine="419"/>
        <w:rPr>
          <w:rFonts w:hint="eastAsia" w:ascii="宋体" w:hAnsi="宋体" w:cs="宋体"/>
          <w:color w:val="auto"/>
          <w:highlight w:val="none"/>
        </w:rPr>
      </w:pPr>
      <w:r>
        <w:rPr>
          <w:rFonts w:hint="eastAsia" w:ascii="宋体" w:hAnsi="宋体" w:cs="宋体"/>
          <w:color w:val="auto"/>
          <w:spacing w:val="6"/>
          <w:sz w:val="20"/>
          <w:szCs w:val="20"/>
          <w:highlight w:val="none"/>
        </w:rPr>
        <w:t>在工程实施期间或缺陷责任期内发生危及工程安全的事件，监理人通知承包人进行抢救，</w:t>
      </w:r>
      <w:r>
        <w:rPr>
          <w:rFonts w:hint="eastAsia" w:ascii="宋体" w:hAnsi="宋体" w:cs="宋体"/>
          <w:color w:val="auto"/>
          <w:spacing w:val="8"/>
          <w:sz w:val="20"/>
          <w:szCs w:val="20"/>
          <w:highlight w:val="none"/>
        </w:rPr>
        <w:t>承包人声明无能力或不愿立即执行的，发包人有权</w:t>
      </w:r>
      <w:r>
        <w:rPr>
          <w:rFonts w:hint="eastAsia" w:ascii="宋体" w:hAnsi="宋体" w:cs="宋体"/>
          <w:color w:val="auto"/>
          <w:spacing w:val="7"/>
          <w:sz w:val="20"/>
          <w:szCs w:val="20"/>
          <w:highlight w:val="none"/>
        </w:rPr>
        <w:t>雇佣其他人员进行抢救。此类抢救按合同</w:t>
      </w:r>
      <w:r>
        <w:rPr>
          <w:rFonts w:hint="eastAsia" w:ascii="宋体" w:hAnsi="宋体" w:cs="宋体"/>
          <w:color w:val="auto"/>
          <w:spacing w:val="9"/>
          <w:sz w:val="20"/>
          <w:szCs w:val="20"/>
          <w:highlight w:val="none"/>
        </w:rPr>
        <w:t>约定属于承包人义务的，由此发生的金额和（或）工期延误由承包人承担。</w:t>
      </w:r>
    </w:p>
    <w:p w14:paraId="793C0D57">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22.2  发包人违约</w:t>
      </w:r>
    </w:p>
    <w:p w14:paraId="41AE607A">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22.2.1  发包人违约的情形</w:t>
      </w:r>
    </w:p>
    <w:p w14:paraId="6606F39B">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在履行合同过程中发生的下列情形，属发包人违约：</w:t>
      </w:r>
    </w:p>
    <w:p w14:paraId="6F74F5CF">
      <w:pPr>
        <w:spacing w:before="158"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（1）发包人未能按合同约定支付预付款或合同价款，或拖延</w:t>
      </w:r>
      <w:r>
        <w:rPr>
          <w:rFonts w:hint="eastAsia" w:ascii="宋体" w:hAnsi="宋体" w:cs="宋体"/>
          <w:color w:val="auto"/>
          <w:spacing w:val="9"/>
          <w:sz w:val="20"/>
          <w:szCs w:val="20"/>
          <w:highlight w:val="none"/>
        </w:rPr>
        <w:t>、拒绝批准付款申请和支</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付凭证，导致付款延误的；</w:t>
      </w:r>
    </w:p>
    <w:p w14:paraId="36DB8EE8">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（2）发包人原因造成停工的；</w:t>
      </w:r>
    </w:p>
    <w:p w14:paraId="42AE1A0F">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（3）监理人无正当理由没有在约定期限内发出复工指示，导致承包人无法复工的；</w:t>
      </w:r>
    </w:p>
    <w:p w14:paraId="5E25323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（4）发包人无法继续履行或明确表示不履行或实质上已停止履</w:t>
      </w:r>
      <w:r>
        <w:rPr>
          <w:rFonts w:hint="eastAsia" w:ascii="宋体" w:hAnsi="宋体" w:cs="宋体"/>
          <w:color w:val="auto"/>
          <w:spacing w:val="8"/>
          <w:sz w:val="20"/>
          <w:szCs w:val="20"/>
          <w:highlight w:val="none"/>
        </w:rPr>
        <w:t>行合同的；</w:t>
      </w:r>
    </w:p>
    <w:p w14:paraId="029E586D">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（5）发包人不履行合同约定其他义务的。</w:t>
      </w:r>
    </w:p>
    <w:p w14:paraId="72A8CB24">
      <w:pPr>
        <w:spacing w:before="164"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22.2.2  承包人有权暂停施工</w:t>
      </w:r>
    </w:p>
    <w:p w14:paraId="253148EC">
      <w:pPr>
        <w:spacing w:before="161"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发包人发生除第22.2.1（4）</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目以外的违约情况时，承包人可向发包人发出通知，要求发包人采取有效措施纠正违约行为。发包人收到</w:t>
      </w:r>
      <w:r>
        <w:rPr>
          <w:rFonts w:hint="eastAsia" w:ascii="宋体" w:hAnsi="宋体" w:cs="宋体"/>
          <w:color w:val="auto"/>
          <w:spacing w:val="5"/>
          <w:sz w:val="20"/>
          <w:szCs w:val="20"/>
          <w:highlight w:val="none"/>
        </w:rPr>
        <w:t>承包人通知后的28天内仍不履行合同义务，</w:t>
      </w:r>
      <w:r>
        <w:rPr>
          <w:rFonts w:hint="eastAsia" w:ascii="宋体" w:hAnsi="宋体" w:cs="宋体"/>
          <w:color w:val="auto"/>
          <w:spacing w:val="8"/>
          <w:sz w:val="20"/>
          <w:szCs w:val="20"/>
          <w:highlight w:val="none"/>
        </w:rPr>
        <w:t>承包人有权暂停施工，并通知监理人，发包人应承</w:t>
      </w:r>
      <w:r>
        <w:rPr>
          <w:rFonts w:hint="eastAsia" w:ascii="宋体" w:hAnsi="宋体" w:cs="宋体"/>
          <w:color w:val="auto"/>
          <w:spacing w:val="7"/>
          <w:sz w:val="20"/>
          <w:szCs w:val="20"/>
          <w:highlight w:val="none"/>
        </w:rPr>
        <w:t>担由此增加的费用和（或）工期延误，并</w:t>
      </w:r>
      <w:r>
        <w:rPr>
          <w:rFonts w:hint="eastAsia" w:ascii="宋体" w:hAnsi="宋体" w:cs="宋体"/>
          <w:color w:val="auto"/>
          <w:spacing w:val="8"/>
          <w:sz w:val="20"/>
          <w:szCs w:val="20"/>
          <w:highlight w:val="none"/>
        </w:rPr>
        <w:t>支付承包人合理利润。</w:t>
      </w:r>
    </w:p>
    <w:p w14:paraId="452674C1">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22.2.3  发包人违约解除合同</w:t>
      </w:r>
    </w:p>
    <w:p w14:paraId="2CC89061">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（1）发生第22.2.1（4）</w:t>
      </w:r>
      <w:r>
        <w:rPr>
          <w:rFonts w:hint="eastAsia" w:ascii="宋体" w:hAnsi="宋体" w:cs="宋体"/>
          <w:color w:val="auto"/>
          <w:spacing w:val="-45"/>
          <w:sz w:val="20"/>
          <w:szCs w:val="20"/>
          <w:highlight w:val="none"/>
        </w:rPr>
        <w:t xml:space="preserve"> </w:t>
      </w:r>
      <w:r>
        <w:rPr>
          <w:rFonts w:hint="eastAsia" w:ascii="宋体" w:hAnsi="宋体" w:cs="宋体"/>
          <w:color w:val="auto"/>
          <w:spacing w:val="6"/>
          <w:sz w:val="20"/>
          <w:szCs w:val="20"/>
          <w:highlight w:val="none"/>
        </w:rPr>
        <w:t>目的违约情况时，承包人可书面通知发包人解除合同。</w:t>
      </w:r>
    </w:p>
    <w:p w14:paraId="4B49FCA7">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（2）承包人按第22.2.2</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项暂停施工</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天后，</w:t>
      </w:r>
      <w:r>
        <w:rPr>
          <w:rFonts w:hint="eastAsia" w:ascii="宋体" w:hAnsi="宋体" w:cs="宋体"/>
          <w:color w:val="auto"/>
          <w:spacing w:val="7"/>
          <w:sz w:val="20"/>
          <w:szCs w:val="20"/>
          <w:highlight w:val="none"/>
        </w:rPr>
        <w:t>发包人仍不纠正违约行为的，承包人可</w:t>
      </w:r>
      <w:r>
        <w:rPr>
          <w:rFonts w:hint="eastAsia" w:ascii="宋体" w:hAnsi="宋体" w:cs="宋体"/>
          <w:color w:val="auto"/>
          <w:spacing w:val="8"/>
          <w:sz w:val="20"/>
          <w:szCs w:val="20"/>
          <w:highlight w:val="none"/>
        </w:rPr>
        <w:t>向发包人发出解除合同通知。但承包人的这</w:t>
      </w:r>
      <w:r>
        <w:rPr>
          <w:rFonts w:hint="eastAsia" w:ascii="宋体" w:hAnsi="宋体" w:cs="宋体"/>
          <w:color w:val="auto"/>
          <w:spacing w:val="7"/>
          <w:sz w:val="20"/>
          <w:szCs w:val="20"/>
          <w:highlight w:val="none"/>
        </w:rPr>
        <w:t>一行动不免除发包人承担的违约责任，也不影响</w:t>
      </w:r>
      <w:r>
        <w:rPr>
          <w:rFonts w:hint="eastAsia" w:ascii="宋体" w:hAnsi="宋体" w:cs="宋体"/>
          <w:color w:val="auto"/>
          <w:spacing w:val="8"/>
          <w:sz w:val="20"/>
          <w:szCs w:val="20"/>
          <w:highlight w:val="none"/>
        </w:rPr>
        <w:t>承包人根据合同约定享有的索赔权利。</w:t>
      </w:r>
    </w:p>
    <w:p w14:paraId="4F0CA547">
      <w:pPr>
        <w:spacing w:before="163"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22.2.4  解除合同后的付款</w:t>
      </w:r>
    </w:p>
    <w:p w14:paraId="58E0EE6C">
      <w:pPr>
        <w:spacing w:before="160" w:line="360" w:lineRule="auto"/>
        <w:ind w:left="19" w:right="56" w:firstLine="43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因发包人违约解除合同的，发包人应在解除合同后28天内向承包人支付</w:t>
      </w:r>
      <w:r>
        <w:rPr>
          <w:rFonts w:hint="eastAsia" w:ascii="宋体" w:hAnsi="宋体" w:cs="宋体"/>
          <w:color w:val="auto"/>
          <w:spacing w:val="8"/>
          <w:sz w:val="20"/>
          <w:szCs w:val="20"/>
          <w:highlight w:val="none"/>
        </w:rPr>
        <w:t>下列金额，承</w:t>
      </w:r>
      <w:r>
        <w:rPr>
          <w:rFonts w:hint="eastAsia" w:ascii="宋体" w:hAnsi="宋体" w:cs="宋体"/>
          <w:color w:val="auto"/>
          <w:spacing w:val="9"/>
          <w:sz w:val="20"/>
          <w:szCs w:val="20"/>
          <w:highlight w:val="none"/>
        </w:rPr>
        <w:t>包人应在此期限内及时向发包人提交要求支付下列金额的有关资料和凭证：</w:t>
      </w:r>
    </w:p>
    <w:p w14:paraId="26E462A4">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（1）合同解除前承包人已完成工程的价款；</w:t>
      </w:r>
    </w:p>
    <w:p w14:paraId="1C467280">
      <w:pPr>
        <w:spacing w:before="164"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（2）承包人为合同工程按施工进度计划合理订购且已交付的</w:t>
      </w:r>
      <w:r>
        <w:rPr>
          <w:rFonts w:hint="eastAsia" w:ascii="宋体" w:hAnsi="宋体" w:cs="宋体"/>
          <w:color w:val="auto"/>
          <w:spacing w:val="9"/>
          <w:sz w:val="20"/>
          <w:szCs w:val="20"/>
          <w:highlight w:val="none"/>
        </w:rPr>
        <w:t>，或承包人有责任接受交付的材料和其他物品的价款。发包人付款后，该材料和其他物品归发包人所有；</w:t>
      </w:r>
    </w:p>
    <w:p w14:paraId="3596C4F6">
      <w:pPr>
        <w:spacing w:before="161"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（3）发包人要求承包人退货或解除订货合同而产生的费用，</w:t>
      </w:r>
      <w:r>
        <w:rPr>
          <w:rFonts w:hint="eastAsia" w:ascii="宋体" w:hAnsi="宋体" w:cs="宋体"/>
          <w:color w:val="auto"/>
          <w:spacing w:val="9"/>
          <w:sz w:val="20"/>
          <w:szCs w:val="20"/>
          <w:highlight w:val="none"/>
        </w:rPr>
        <w:t>或因不能退货或解除合同</w:t>
      </w:r>
      <w:r>
        <w:rPr>
          <w:rFonts w:hint="eastAsia" w:ascii="宋体" w:hAnsi="宋体" w:cs="宋体"/>
          <w:color w:val="auto"/>
          <w:spacing w:val="6"/>
          <w:sz w:val="20"/>
          <w:szCs w:val="20"/>
          <w:highlight w:val="none"/>
        </w:rPr>
        <w:t>而产生的损失；</w:t>
      </w:r>
    </w:p>
    <w:p w14:paraId="6036F1E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（4）承包人撤离施工场地以及遣散承包人施工人员的费用；</w:t>
      </w:r>
    </w:p>
    <w:p w14:paraId="3401D4CA">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（5）在合同解除前应支付给承包人的其他价款；</w:t>
      </w:r>
    </w:p>
    <w:p w14:paraId="26FD5E73">
      <w:pPr>
        <w:spacing w:before="165"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（6）发包人应扣减承包人的价款；</w:t>
      </w:r>
    </w:p>
    <w:p w14:paraId="478C4FE9">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（7）发包人和承包人协商确定的其他价款。</w:t>
      </w:r>
    </w:p>
    <w:p w14:paraId="37C6658F">
      <w:pPr>
        <w:spacing w:before="161" w:line="360" w:lineRule="auto"/>
        <w:ind w:left="20" w:right="53" w:firstLine="422"/>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发包人应按本项约定支付上述金额并退还质量保证金或退还质量保证金保函和</w:t>
      </w:r>
      <w:r>
        <w:rPr>
          <w:rFonts w:hint="eastAsia" w:ascii="宋体" w:hAnsi="宋体" w:cs="宋体"/>
          <w:color w:val="auto"/>
          <w:spacing w:val="12"/>
          <w:sz w:val="20"/>
          <w:szCs w:val="20"/>
          <w:highlight w:val="none"/>
        </w:rPr>
        <w:t>履约担</w:t>
      </w:r>
      <w:r>
        <w:rPr>
          <w:rFonts w:hint="eastAsia" w:ascii="宋体" w:hAnsi="宋体" w:cs="宋体"/>
          <w:color w:val="auto"/>
          <w:spacing w:val="9"/>
          <w:sz w:val="20"/>
          <w:szCs w:val="20"/>
          <w:highlight w:val="none"/>
        </w:rPr>
        <w:t>保，但有权要求承包人支付应偿还给发包人的各项金额。</w:t>
      </w:r>
    </w:p>
    <w:p w14:paraId="3B1E31A7">
      <w:pPr>
        <w:spacing w:before="1"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22.2.5  解除合同后的承包人撤离</w:t>
      </w:r>
    </w:p>
    <w:p w14:paraId="5CD86BF7">
      <w:pPr>
        <w:spacing w:before="65" w:line="360" w:lineRule="auto"/>
        <w:ind w:left="20" w:right="92"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因发包人违约而解除合同后，承包人应妥善做好已竣工工程和已购材料、设备的</w:t>
      </w:r>
      <w:r>
        <w:rPr>
          <w:rFonts w:hint="eastAsia" w:ascii="宋体" w:hAnsi="宋体" w:cs="宋体"/>
          <w:color w:val="auto"/>
          <w:spacing w:val="6"/>
          <w:sz w:val="20"/>
          <w:szCs w:val="20"/>
          <w:highlight w:val="none"/>
        </w:rPr>
        <w:t>保护和</w:t>
      </w:r>
      <w:r>
        <w:rPr>
          <w:rFonts w:hint="eastAsia" w:ascii="宋体" w:hAnsi="宋体" w:cs="宋体"/>
          <w:color w:val="auto"/>
          <w:spacing w:val="8"/>
          <w:sz w:val="20"/>
          <w:szCs w:val="20"/>
          <w:highlight w:val="none"/>
        </w:rPr>
        <w:t>移交工作，按发包人要求将承包人设备和人员撤</w:t>
      </w:r>
      <w:r>
        <w:rPr>
          <w:rFonts w:hint="eastAsia" w:ascii="宋体" w:hAnsi="宋体" w:cs="宋体"/>
          <w:color w:val="auto"/>
          <w:spacing w:val="7"/>
          <w:sz w:val="20"/>
          <w:szCs w:val="20"/>
          <w:highlight w:val="none"/>
        </w:rPr>
        <w:t>出施工场地。承包人撤出施工场地应遵守第</w:t>
      </w:r>
      <w:r>
        <w:rPr>
          <w:rFonts w:hint="eastAsia" w:ascii="宋体" w:hAnsi="宋体" w:cs="宋体"/>
          <w:color w:val="auto"/>
          <w:spacing w:val="8"/>
          <w:sz w:val="20"/>
          <w:szCs w:val="20"/>
          <w:highlight w:val="none"/>
        </w:rPr>
        <w:t>18.7.1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项的约定，发包人应为承包人撤出</w:t>
      </w:r>
      <w:r>
        <w:rPr>
          <w:rFonts w:hint="eastAsia" w:ascii="宋体" w:hAnsi="宋体" w:cs="宋体"/>
          <w:color w:val="auto"/>
          <w:spacing w:val="7"/>
          <w:sz w:val="20"/>
          <w:szCs w:val="20"/>
          <w:highlight w:val="none"/>
        </w:rPr>
        <w:t>提供必要条件。</w:t>
      </w:r>
    </w:p>
    <w:p w14:paraId="314DBD9F">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22.3  第三人造成的违约</w:t>
      </w:r>
    </w:p>
    <w:p w14:paraId="2A1A8B4D">
      <w:pPr>
        <w:spacing w:before="294"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在履行合同过程中，一方当事人因第三人的原因造成违约的，应当向对方当事人承担违</w:t>
      </w:r>
      <w:r>
        <w:rPr>
          <w:rFonts w:hint="eastAsia" w:ascii="宋体" w:hAnsi="宋体" w:cs="宋体"/>
          <w:color w:val="auto"/>
          <w:spacing w:val="9"/>
          <w:sz w:val="20"/>
          <w:szCs w:val="20"/>
          <w:highlight w:val="none"/>
        </w:rPr>
        <w:t>约责任。一方当事人和第三人之间的纠纷，依照法律规定或者按照约定解决。</w:t>
      </w:r>
    </w:p>
    <w:p w14:paraId="0EB5EBC4">
      <w:pPr>
        <w:spacing w:before="130"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23.工程索赔</w:t>
      </w:r>
    </w:p>
    <w:p w14:paraId="78B3A509">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23.1  承包人工程索赔的提出</w:t>
      </w:r>
    </w:p>
    <w:p w14:paraId="7FF4103D">
      <w:pPr>
        <w:spacing w:before="296" w:line="360" w:lineRule="auto"/>
        <w:ind w:left="19"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根据合同约定，承包人认为有权得到追加付款和（或）延长工期的，应按以下程序向发包人提出工程索赔：</w:t>
      </w:r>
    </w:p>
    <w:p w14:paraId="43A8D243">
      <w:pPr>
        <w:spacing w:before="3"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（1）承包人应在知道或应当知道工程索赔事件发生后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天内，向监理人递交工程索赔</w:t>
      </w:r>
      <w:r>
        <w:rPr>
          <w:rFonts w:hint="eastAsia" w:ascii="宋体" w:hAnsi="宋体" w:cs="宋体"/>
          <w:color w:val="auto"/>
          <w:spacing w:val="9"/>
          <w:sz w:val="20"/>
          <w:szCs w:val="20"/>
          <w:highlight w:val="none"/>
        </w:rPr>
        <w:t>意向通知书，并说明发生工程索赔事件的事由。承包人未在前述28天内发出工程索赔意向通知书的，丧失要求追加付款和（或）延长工期的权利；</w:t>
      </w:r>
    </w:p>
    <w:p w14:paraId="5388CA12">
      <w:pPr>
        <w:spacing w:before="160"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（2）承包人应在发出工程索赔意向通知书后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天内，向监理人正式递交工程索赔通知</w:t>
      </w:r>
      <w:r>
        <w:rPr>
          <w:rFonts w:hint="eastAsia" w:ascii="宋体" w:hAnsi="宋体" w:cs="宋体"/>
          <w:color w:val="auto"/>
          <w:spacing w:val="7"/>
          <w:sz w:val="20"/>
          <w:szCs w:val="20"/>
          <w:highlight w:val="none"/>
        </w:rPr>
        <w:t>书。工程索赔通知书应详细说明索赔理由以及要求追加的付款金额和（或）延长的工期，并</w:t>
      </w:r>
      <w:r>
        <w:rPr>
          <w:rFonts w:hint="eastAsia" w:ascii="宋体" w:hAnsi="宋体" w:cs="宋体"/>
          <w:color w:val="auto"/>
          <w:spacing w:val="8"/>
          <w:sz w:val="20"/>
          <w:szCs w:val="20"/>
          <w:highlight w:val="none"/>
        </w:rPr>
        <w:t>附必要的记录和证明材料；</w:t>
      </w:r>
    </w:p>
    <w:p w14:paraId="5BC58B12">
      <w:pPr>
        <w:spacing w:before="160" w:line="360" w:lineRule="auto"/>
        <w:ind w:left="19" w:right="58"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（3）工程索赔事件具有连续影响的，承包人应按合理时间间</w:t>
      </w:r>
      <w:r>
        <w:rPr>
          <w:rFonts w:hint="eastAsia" w:ascii="宋体" w:hAnsi="宋体" w:cs="宋体"/>
          <w:color w:val="auto"/>
          <w:spacing w:val="9"/>
          <w:sz w:val="20"/>
          <w:szCs w:val="20"/>
          <w:highlight w:val="none"/>
        </w:rPr>
        <w:t>隔继续递交延续工程索赔</w:t>
      </w:r>
      <w:r>
        <w:rPr>
          <w:rFonts w:hint="eastAsia" w:ascii="宋体" w:hAnsi="宋体" w:cs="宋体"/>
          <w:color w:val="auto"/>
          <w:spacing w:val="8"/>
          <w:sz w:val="20"/>
          <w:szCs w:val="20"/>
          <w:highlight w:val="none"/>
        </w:rPr>
        <w:t>通知，说明连续影响的实际情况和记录，列出累计的追加付款金额和（或）工期延长天数；</w:t>
      </w:r>
    </w:p>
    <w:p w14:paraId="4F788CB8">
      <w:pPr>
        <w:spacing w:before="163" w:line="360" w:lineRule="auto"/>
        <w:ind w:left="24" w:right="94"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（4）在工程索赔事件影响结束后的</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天内，承包人应向监理人递交最终工程索赔通知</w:t>
      </w:r>
      <w:r>
        <w:rPr>
          <w:rFonts w:hint="eastAsia" w:ascii="宋体" w:hAnsi="宋体" w:cs="宋体"/>
          <w:color w:val="auto"/>
          <w:spacing w:val="9"/>
          <w:sz w:val="20"/>
          <w:szCs w:val="20"/>
          <w:highlight w:val="none"/>
        </w:rPr>
        <w:t>书，说明最终要求索赔的追加付款金额和延长的工期，并附必要的记录和证明材料。</w:t>
      </w:r>
    </w:p>
    <w:p w14:paraId="747A6342">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23.2  承包人工程索赔处理程序</w:t>
      </w:r>
    </w:p>
    <w:p w14:paraId="6E4F4C98">
      <w:pPr>
        <w:spacing w:before="298" w:line="360" w:lineRule="auto"/>
        <w:ind w:left="22" w:right="23"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（1）监理人收到承包人提交的工程索赔通知书后，应及时审查工程索赔通知书的内容、</w:t>
      </w:r>
      <w:r>
        <w:rPr>
          <w:rFonts w:hint="eastAsia" w:ascii="宋体" w:hAnsi="宋体" w:cs="宋体"/>
          <w:color w:val="auto"/>
          <w:spacing w:val="9"/>
          <w:sz w:val="20"/>
          <w:szCs w:val="20"/>
          <w:highlight w:val="none"/>
        </w:rPr>
        <w:t>查验承包人的记录和证明材料，必要时监理人可要求承包人提交全部原始记录副本。</w:t>
      </w:r>
    </w:p>
    <w:p w14:paraId="67BFC9B1">
      <w:pPr>
        <w:spacing w:before="162"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（2）监理人应按第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9"/>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款商定或确定追加的付款和（或）延长</w:t>
      </w:r>
      <w:r>
        <w:rPr>
          <w:rFonts w:hint="eastAsia" w:ascii="宋体" w:hAnsi="宋体" w:cs="宋体"/>
          <w:color w:val="auto"/>
          <w:spacing w:val="8"/>
          <w:sz w:val="20"/>
          <w:szCs w:val="20"/>
          <w:highlight w:val="none"/>
        </w:rPr>
        <w:t>的工期，并在收到上述</w:t>
      </w:r>
      <w:r>
        <w:rPr>
          <w:rFonts w:hint="eastAsia" w:ascii="宋体" w:hAnsi="宋体" w:cs="宋体"/>
          <w:color w:val="auto"/>
          <w:spacing w:val="11"/>
          <w:sz w:val="20"/>
          <w:szCs w:val="20"/>
          <w:highlight w:val="none"/>
        </w:rPr>
        <w:t>工程索赔通知书或有关工程索赔的进一步证明材料后的42天内，将索赔处理</w:t>
      </w:r>
      <w:r>
        <w:rPr>
          <w:rFonts w:hint="eastAsia" w:ascii="宋体" w:hAnsi="宋体" w:cs="宋体"/>
          <w:color w:val="auto"/>
          <w:spacing w:val="10"/>
          <w:sz w:val="20"/>
          <w:szCs w:val="20"/>
          <w:highlight w:val="none"/>
        </w:rPr>
        <w:t>结果答复承包</w:t>
      </w:r>
      <w:r>
        <w:rPr>
          <w:rFonts w:hint="eastAsia" w:ascii="宋体" w:hAnsi="宋体" w:cs="宋体"/>
          <w:color w:val="auto"/>
          <w:spacing w:val="-1"/>
          <w:sz w:val="20"/>
          <w:szCs w:val="20"/>
          <w:highlight w:val="none"/>
        </w:rPr>
        <w:t>人。</w:t>
      </w:r>
    </w:p>
    <w:p w14:paraId="0B90F994">
      <w:pPr>
        <w:spacing w:before="156"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（3）承包人接受索赔处理结果的，发包人应在作出索赔处理结果答复后28天内完成赔</w:t>
      </w:r>
      <w:r>
        <w:rPr>
          <w:rFonts w:hint="eastAsia" w:ascii="宋体" w:hAnsi="宋体" w:cs="宋体"/>
          <w:color w:val="auto"/>
          <w:spacing w:val="8"/>
          <w:sz w:val="20"/>
          <w:szCs w:val="20"/>
          <w:highlight w:val="none"/>
        </w:rPr>
        <w:t>付。承包人不接受索赔处理结果的，按第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24</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条的约定办理。</w:t>
      </w:r>
    </w:p>
    <w:p w14:paraId="3971546F">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23.3  承包人提出工程索赔的期限</w:t>
      </w:r>
    </w:p>
    <w:p w14:paraId="2ABDE638">
      <w:pPr>
        <w:spacing w:before="294" w:line="360" w:lineRule="auto"/>
        <w:ind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23.3.1  承包人按第17.5</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款的约定接受了竣工付款证书后，应被认为</w:t>
      </w:r>
      <w:r>
        <w:rPr>
          <w:rFonts w:hint="eastAsia" w:ascii="宋体" w:hAnsi="宋体" w:cs="宋体"/>
          <w:color w:val="auto"/>
          <w:spacing w:val="7"/>
          <w:sz w:val="20"/>
          <w:szCs w:val="20"/>
          <w:highlight w:val="none"/>
        </w:rPr>
        <w:t>已无权再提出在</w:t>
      </w:r>
      <w:r>
        <w:rPr>
          <w:rFonts w:hint="eastAsia" w:ascii="宋体" w:hAnsi="宋体" w:cs="宋体"/>
          <w:color w:val="auto"/>
          <w:spacing w:val="9"/>
          <w:sz w:val="20"/>
          <w:szCs w:val="20"/>
          <w:highlight w:val="none"/>
        </w:rPr>
        <w:t>合同工程接收证书颁发前所发生的任何工程索赔。</w:t>
      </w:r>
    </w:p>
    <w:p w14:paraId="4BE28183">
      <w:pPr>
        <w:spacing w:before="160" w:line="360" w:lineRule="auto"/>
        <w:ind w:left="24" w:right="68"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23.3.2  承包人按第17.6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款的约定提交的最终结清申请单中，只限于</w:t>
      </w:r>
      <w:r>
        <w:rPr>
          <w:rFonts w:hint="eastAsia" w:ascii="宋体" w:hAnsi="宋体" w:cs="宋体"/>
          <w:color w:val="auto"/>
          <w:spacing w:val="7"/>
          <w:sz w:val="20"/>
          <w:szCs w:val="20"/>
          <w:highlight w:val="none"/>
        </w:rPr>
        <w:t>提出工程接收证</w:t>
      </w:r>
      <w:r>
        <w:rPr>
          <w:rFonts w:hint="eastAsia" w:ascii="宋体" w:hAnsi="宋体" w:cs="宋体"/>
          <w:color w:val="auto"/>
          <w:spacing w:val="9"/>
          <w:sz w:val="20"/>
          <w:szCs w:val="20"/>
          <w:highlight w:val="none"/>
        </w:rPr>
        <w:t>书颁发后发生的工程索赔。提出工程索赔的期限自接受最终结清证书时终止。</w:t>
      </w:r>
    </w:p>
    <w:p w14:paraId="4237C7EC">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23.4  发包人的工程索赔</w:t>
      </w:r>
    </w:p>
    <w:p w14:paraId="23D96415">
      <w:pPr>
        <w:spacing w:before="296" w:line="360" w:lineRule="auto"/>
        <w:ind w:left="22" w:right="68"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23.4.1  发生工程索赔事件后，监理人应及时书</w:t>
      </w:r>
      <w:r>
        <w:rPr>
          <w:rFonts w:hint="eastAsia" w:ascii="宋体" w:hAnsi="宋体" w:cs="宋体"/>
          <w:color w:val="auto"/>
          <w:spacing w:val="6"/>
          <w:sz w:val="20"/>
          <w:szCs w:val="20"/>
          <w:highlight w:val="none"/>
        </w:rPr>
        <w:t>面通知承包人，详细说明发包人有权得</w:t>
      </w:r>
      <w:r>
        <w:rPr>
          <w:rFonts w:hint="eastAsia" w:ascii="宋体" w:hAnsi="宋体" w:cs="宋体"/>
          <w:color w:val="auto"/>
          <w:spacing w:val="13"/>
          <w:sz w:val="20"/>
          <w:szCs w:val="20"/>
          <w:highlight w:val="none"/>
        </w:rPr>
        <w:t>到的索赔金额和（或）延长缺陷责任期的细节和依据。发包人提出索赔</w:t>
      </w:r>
      <w:r>
        <w:rPr>
          <w:rFonts w:hint="eastAsia" w:ascii="宋体" w:hAnsi="宋体" w:cs="宋体"/>
          <w:color w:val="auto"/>
          <w:spacing w:val="12"/>
          <w:sz w:val="20"/>
          <w:szCs w:val="20"/>
          <w:highlight w:val="none"/>
        </w:rPr>
        <w:t>的期限和要求与第</w:t>
      </w:r>
      <w:r>
        <w:rPr>
          <w:rFonts w:hint="eastAsia" w:ascii="宋体" w:hAnsi="宋体" w:cs="宋体"/>
          <w:color w:val="auto"/>
          <w:spacing w:val="8"/>
          <w:sz w:val="20"/>
          <w:szCs w:val="20"/>
          <w:highlight w:val="none"/>
        </w:rPr>
        <w:t>23.3</w:t>
      </w:r>
      <w:r>
        <w:rPr>
          <w:rFonts w:hint="eastAsia" w:ascii="宋体" w:hAnsi="宋体" w:cs="宋体"/>
          <w:color w:val="auto"/>
          <w:spacing w:val="-25"/>
          <w:sz w:val="20"/>
          <w:szCs w:val="20"/>
          <w:highlight w:val="none"/>
        </w:rPr>
        <w:t xml:space="preserve"> </w:t>
      </w:r>
      <w:r>
        <w:rPr>
          <w:rFonts w:hint="eastAsia" w:ascii="宋体" w:hAnsi="宋体" w:cs="宋体"/>
          <w:color w:val="auto"/>
          <w:spacing w:val="8"/>
          <w:sz w:val="20"/>
          <w:szCs w:val="20"/>
          <w:highlight w:val="none"/>
        </w:rPr>
        <w:t>款的约定相同，延长缺陷责任期的通知应在缺陷责任期届满前发出。</w:t>
      </w:r>
    </w:p>
    <w:p w14:paraId="224C6F0E">
      <w:pPr>
        <w:spacing w:before="2" w:line="360" w:lineRule="auto"/>
        <w:ind w:left="19" w:right="70" w:firstLine="42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23.4.2  监理人按第</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款商定或确定发包人从承包人处得到赔付的金</w:t>
      </w:r>
      <w:r>
        <w:rPr>
          <w:rFonts w:hint="eastAsia" w:ascii="宋体" w:hAnsi="宋体" w:cs="宋体"/>
          <w:color w:val="auto"/>
          <w:spacing w:val="5"/>
          <w:sz w:val="20"/>
          <w:szCs w:val="20"/>
          <w:highlight w:val="none"/>
        </w:rPr>
        <w:t>额和（或）缺陷</w:t>
      </w:r>
      <w:r>
        <w:rPr>
          <w:rFonts w:hint="eastAsia" w:ascii="宋体" w:hAnsi="宋体" w:cs="宋体"/>
          <w:color w:val="auto"/>
          <w:spacing w:val="8"/>
          <w:sz w:val="20"/>
          <w:szCs w:val="20"/>
          <w:highlight w:val="none"/>
        </w:rPr>
        <w:t>责任期的延长期。承包人应付给发包人的金</w:t>
      </w:r>
      <w:r>
        <w:rPr>
          <w:rFonts w:hint="eastAsia" w:ascii="宋体" w:hAnsi="宋体" w:cs="宋体"/>
          <w:color w:val="auto"/>
          <w:spacing w:val="7"/>
          <w:sz w:val="20"/>
          <w:szCs w:val="20"/>
          <w:highlight w:val="none"/>
        </w:rPr>
        <w:t>额可从拟支付给承包人的合同价款中扣除，或由</w:t>
      </w:r>
      <w:r>
        <w:rPr>
          <w:rFonts w:hint="eastAsia" w:ascii="宋体" w:hAnsi="宋体" w:cs="宋体"/>
          <w:color w:val="auto"/>
          <w:spacing w:val="8"/>
          <w:sz w:val="20"/>
          <w:szCs w:val="20"/>
          <w:highlight w:val="none"/>
        </w:rPr>
        <w:t>承包人以其他方式支付给发包人。</w:t>
      </w:r>
    </w:p>
    <w:p w14:paraId="3EF5B5CB">
      <w:pPr>
        <w:spacing w:before="125"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24.争议的解决</w:t>
      </w:r>
    </w:p>
    <w:p w14:paraId="5D71FAE2">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24.1  争议的解决方式</w:t>
      </w:r>
    </w:p>
    <w:p w14:paraId="1969A38C">
      <w:pPr>
        <w:spacing w:before="295" w:line="360" w:lineRule="auto"/>
        <w:ind w:left="2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发包人和承包人在履行合同中发生争议的，应通过友好协商解决，经协商不能达成一致</w:t>
      </w:r>
      <w:r>
        <w:rPr>
          <w:rFonts w:hint="eastAsia" w:ascii="宋体" w:hAnsi="宋体" w:cs="宋体"/>
          <w:color w:val="auto"/>
          <w:spacing w:val="4"/>
          <w:sz w:val="20"/>
          <w:szCs w:val="20"/>
          <w:highlight w:val="none"/>
        </w:rPr>
        <w:t>意见的，可以提请调解人（机构）调解或争议评审委员会（或机构）评审。如不愿提请调解、</w:t>
      </w:r>
      <w:r>
        <w:rPr>
          <w:rFonts w:hint="eastAsia" w:ascii="宋体" w:hAnsi="宋体" w:cs="宋体"/>
          <w:color w:val="auto"/>
          <w:spacing w:val="7"/>
          <w:sz w:val="20"/>
          <w:szCs w:val="20"/>
          <w:highlight w:val="none"/>
        </w:rPr>
        <w:t>争议评审，或通过调解、争议评审仍不能解决双方争议的，合同当事人可在合同条款专用部</w:t>
      </w:r>
      <w:r>
        <w:rPr>
          <w:rFonts w:hint="eastAsia" w:ascii="宋体" w:hAnsi="宋体" w:cs="宋体"/>
          <w:color w:val="auto"/>
          <w:spacing w:val="8"/>
          <w:sz w:val="20"/>
          <w:szCs w:val="20"/>
          <w:highlight w:val="none"/>
        </w:rPr>
        <w:t>分中约定下列一种方式解决。</w:t>
      </w:r>
    </w:p>
    <w:p w14:paraId="6063FC25">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（1）向约定的仲裁委员会申请仲裁；</w:t>
      </w:r>
    </w:p>
    <w:p w14:paraId="62E38488">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（2）向有管辖权的人民法院提起诉讼。</w:t>
      </w:r>
    </w:p>
    <w:p w14:paraId="5AA10D96">
      <w:pPr>
        <w:spacing w:before="164" w:line="360" w:lineRule="auto"/>
        <w:ind w:left="21" w:right="68"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除因发包人或承包人违约引起合同已无法继续履行，或双方协商确定停止施工或合同已</w:t>
      </w:r>
      <w:r>
        <w:rPr>
          <w:rFonts w:hint="eastAsia" w:ascii="宋体" w:hAnsi="宋体" w:cs="宋体"/>
          <w:color w:val="auto"/>
          <w:spacing w:val="9"/>
          <w:sz w:val="20"/>
          <w:szCs w:val="20"/>
          <w:highlight w:val="none"/>
        </w:rPr>
        <w:t>经解除外，发包人和承包人在争议发生后应继续履行合同工程，直至争议解决。</w:t>
      </w:r>
    </w:p>
    <w:p w14:paraId="3DBC2C3A">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24.2</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和解</w:t>
      </w:r>
    </w:p>
    <w:p w14:paraId="4DDDA9C0">
      <w:pPr>
        <w:spacing w:before="298" w:line="360" w:lineRule="auto"/>
        <w:ind w:left="19" w:right="68"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发包人和承包人在履行合同中发生争议的，应通过友好协商解决，并在协商一致后签订</w:t>
      </w:r>
      <w:r>
        <w:rPr>
          <w:rFonts w:hint="eastAsia" w:ascii="宋体" w:hAnsi="宋体" w:cs="宋体"/>
          <w:color w:val="auto"/>
          <w:spacing w:val="8"/>
          <w:sz w:val="20"/>
          <w:szCs w:val="20"/>
          <w:highlight w:val="none"/>
        </w:rPr>
        <w:t>相关的补充（和解）协议，所签订的补充（和解）</w:t>
      </w:r>
      <w:r>
        <w:rPr>
          <w:rFonts w:hint="eastAsia" w:ascii="宋体" w:hAnsi="宋体" w:cs="宋体"/>
          <w:color w:val="auto"/>
          <w:spacing w:val="7"/>
          <w:sz w:val="20"/>
          <w:szCs w:val="20"/>
          <w:highlight w:val="none"/>
        </w:rPr>
        <w:t>协议作为合同补充文件，对合同双方均具</w:t>
      </w:r>
      <w:r>
        <w:rPr>
          <w:rFonts w:hint="eastAsia" w:ascii="宋体" w:hAnsi="宋体" w:cs="宋体"/>
          <w:color w:val="auto"/>
          <w:spacing w:val="8"/>
          <w:sz w:val="20"/>
          <w:szCs w:val="20"/>
          <w:highlight w:val="none"/>
        </w:rPr>
        <w:t>有约束力，合同双方都应遵守执行。</w:t>
      </w:r>
    </w:p>
    <w:p w14:paraId="511AD28B">
      <w:pPr>
        <w:spacing w:before="122"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24.3</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争议评审</w:t>
      </w:r>
    </w:p>
    <w:p w14:paraId="37614BF6">
      <w:pPr>
        <w:spacing w:before="298" w:line="360" w:lineRule="auto"/>
        <w:ind w:left="24" w:right="70"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24.3.1  采用争议评审方式解决争议的，发包人</w:t>
      </w:r>
      <w:r>
        <w:rPr>
          <w:rFonts w:hint="eastAsia" w:ascii="宋体" w:hAnsi="宋体" w:cs="宋体"/>
          <w:color w:val="auto"/>
          <w:spacing w:val="6"/>
          <w:sz w:val="20"/>
          <w:szCs w:val="20"/>
          <w:highlight w:val="none"/>
        </w:rPr>
        <w:t>和承包人应在合同履行过程中共同确定</w:t>
      </w:r>
      <w:r>
        <w:rPr>
          <w:rFonts w:hint="eastAsia" w:ascii="宋体" w:hAnsi="宋体" w:cs="宋体"/>
          <w:color w:val="auto"/>
          <w:spacing w:val="9"/>
          <w:sz w:val="20"/>
          <w:szCs w:val="20"/>
          <w:highlight w:val="none"/>
        </w:rPr>
        <w:t>争议评审委员会（或机构）的选择形式、人员构成和数量。</w:t>
      </w:r>
    </w:p>
    <w:p w14:paraId="184D2269">
      <w:pPr>
        <w:spacing w:before="161" w:line="360" w:lineRule="auto"/>
        <w:ind w:left="20" w:right="68"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24.3.2  合同双方或任一方提出争议的，应在争</w:t>
      </w:r>
      <w:r>
        <w:rPr>
          <w:rFonts w:hint="eastAsia" w:ascii="宋体" w:hAnsi="宋体" w:cs="宋体"/>
          <w:color w:val="auto"/>
          <w:spacing w:val="6"/>
          <w:sz w:val="20"/>
          <w:szCs w:val="20"/>
          <w:highlight w:val="none"/>
        </w:rPr>
        <w:t>议评审委员会（或机构）确定后，由合</w:t>
      </w:r>
      <w:r>
        <w:rPr>
          <w:rFonts w:hint="eastAsia" w:ascii="宋体" w:hAnsi="宋体" w:cs="宋体"/>
          <w:color w:val="auto"/>
          <w:spacing w:val="10"/>
          <w:sz w:val="20"/>
          <w:szCs w:val="20"/>
          <w:highlight w:val="none"/>
        </w:rPr>
        <w:t>同双方共同将与争议事项相关的工程资料以书面形式提供给争议评审委</w:t>
      </w:r>
      <w:r>
        <w:rPr>
          <w:rFonts w:hint="eastAsia" w:ascii="宋体" w:hAnsi="宋体" w:cs="宋体"/>
          <w:color w:val="auto"/>
          <w:spacing w:val="9"/>
          <w:sz w:val="20"/>
          <w:szCs w:val="20"/>
          <w:highlight w:val="none"/>
        </w:rPr>
        <w:t>员会（或机构</w:t>
      </w:r>
      <w:r>
        <w:rPr>
          <w:rFonts w:hint="eastAsia" w:ascii="宋体" w:hAnsi="宋体" w:cs="宋体"/>
          <w:color w:val="auto"/>
          <w:spacing w:val="-36"/>
          <w:sz w:val="20"/>
          <w:szCs w:val="20"/>
          <w:highlight w:val="none"/>
        </w:rPr>
        <w:t>），</w:t>
      </w:r>
      <w:r>
        <w:rPr>
          <w:rFonts w:hint="eastAsia" w:ascii="宋体" w:hAnsi="宋体" w:cs="宋体"/>
          <w:color w:val="auto"/>
          <w:spacing w:val="9"/>
          <w:sz w:val="20"/>
          <w:szCs w:val="20"/>
          <w:highlight w:val="none"/>
        </w:rPr>
        <w:t>或</w:t>
      </w:r>
      <w:r>
        <w:rPr>
          <w:rFonts w:hint="eastAsia" w:ascii="宋体" w:hAnsi="宋体" w:cs="宋体"/>
          <w:color w:val="auto"/>
          <w:spacing w:val="13"/>
          <w:sz w:val="20"/>
          <w:szCs w:val="20"/>
          <w:highlight w:val="none"/>
        </w:rPr>
        <w:t>提出相关争议的一方将争议事项相关的工程资料以书面形式提供给争议评审</w:t>
      </w:r>
      <w:r>
        <w:rPr>
          <w:rFonts w:hint="eastAsia" w:ascii="宋体" w:hAnsi="宋体" w:cs="宋体"/>
          <w:color w:val="auto"/>
          <w:spacing w:val="12"/>
          <w:sz w:val="20"/>
          <w:szCs w:val="20"/>
          <w:highlight w:val="none"/>
        </w:rPr>
        <w:t>委员会（或机</w:t>
      </w:r>
      <w:r>
        <w:rPr>
          <w:rFonts w:hint="eastAsia" w:ascii="宋体" w:hAnsi="宋体" w:cs="宋体"/>
          <w:color w:val="auto"/>
          <w:spacing w:val="6"/>
          <w:sz w:val="20"/>
          <w:szCs w:val="20"/>
          <w:highlight w:val="none"/>
        </w:rPr>
        <w:t>构</w:t>
      </w:r>
      <w:r>
        <w:rPr>
          <w:rFonts w:hint="eastAsia" w:ascii="宋体" w:hAnsi="宋体" w:cs="宋体"/>
          <w:color w:val="auto"/>
          <w:spacing w:val="-25"/>
          <w:sz w:val="20"/>
          <w:szCs w:val="20"/>
          <w:highlight w:val="none"/>
        </w:rPr>
        <w:t>），</w:t>
      </w:r>
      <w:r>
        <w:rPr>
          <w:rFonts w:hint="eastAsia" w:ascii="宋体" w:hAnsi="宋体" w:cs="宋体"/>
          <w:color w:val="auto"/>
          <w:spacing w:val="6"/>
          <w:sz w:val="20"/>
          <w:szCs w:val="20"/>
          <w:highlight w:val="none"/>
        </w:rPr>
        <w:t>同时提供一份给合同的另一方。</w:t>
      </w:r>
    </w:p>
    <w:p w14:paraId="00A68676">
      <w:pPr>
        <w:spacing w:before="160" w:line="360" w:lineRule="auto"/>
        <w:ind w:left="19" w:right="18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24.3.3  争议评审委员会（或机构）应在收到争</w:t>
      </w:r>
      <w:r>
        <w:rPr>
          <w:rFonts w:hint="eastAsia" w:ascii="宋体" w:hAnsi="宋体" w:cs="宋体"/>
          <w:color w:val="auto"/>
          <w:spacing w:val="6"/>
          <w:sz w:val="20"/>
          <w:szCs w:val="20"/>
          <w:highlight w:val="none"/>
        </w:rPr>
        <w:t>议事项文件资料后，全面了解争议事项</w:t>
      </w:r>
      <w:r>
        <w:rPr>
          <w:rFonts w:hint="eastAsia" w:ascii="宋体" w:hAnsi="宋体" w:cs="宋体"/>
          <w:color w:val="auto"/>
          <w:spacing w:val="8"/>
          <w:sz w:val="20"/>
          <w:szCs w:val="20"/>
          <w:highlight w:val="none"/>
        </w:rPr>
        <w:t>的发生实情，并在收到争议事项文件资料后</w:t>
      </w:r>
      <w:r>
        <w:rPr>
          <w:rFonts w:hint="eastAsia" w:ascii="宋体" w:hAnsi="宋体" w:cs="宋体"/>
          <w:color w:val="auto"/>
          <w:spacing w:val="7"/>
          <w:sz w:val="20"/>
          <w:szCs w:val="20"/>
          <w:highlight w:val="none"/>
        </w:rPr>
        <w:t>的约定时间内将争议处理意见以书面形式同时提</w:t>
      </w:r>
      <w:r>
        <w:rPr>
          <w:rFonts w:hint="eastAsia" w:ascii="宋体" w:hAnsi="宋体" w:cs="宋体"/>
          <w:color w:val="auto"/>
          <w:spacing w:val="9"/>
          <w:sz w:val="20"/>
          <w:szCs w:val="20"/>
          <w:highlight w:val="none"/>
        </w:rPr>
        <w:t>供给合同双方，包括相关的详细说明和依据。</w:t>
      </w:r>
    </w:p>
    <w:p w14:paraId="24751663">
      <w:pPr>
        <w:spacing w:before="162" w:line="360" w:lineRule="auto"/>
        <w:ind w:left="19" w:right="183"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24.3.4  如合同双方中的任一方对争议评审委员</w:t>
      </w:r>
      <w:r>
        <w:rPr>
          <w:rFonts w:hint="eastAsia" w:ascii="宋体" w:hAnsi="宋体" w:cs="宋体"/>
          <w:color w:val="auto"/>
          <w:spacing w:val="6"/>
          <w:sz w:val="20"/>
          <w:szCs w:val="20"/>
          <w:highlight w:val="none"/>
        </w:rPr>
        <w:t>会（或机构）的意见提出异议的，提出</w:t>
      </w:r>
      <w:r>
        <w:rPr>
          <w:rFonts w:hint="eastAsia" w:ascii="宋体" w:hAnsi="宋体" w:cs="宋体"/>
          <w:color w:val="auto"/>
          <w:spacing w:val="8"/>
          <w:sz w:val="20"/>
          <w:szCs w:val="20"/>
          <w:highlight w:val="none"/>
        </w:rPr>
        <w:t>异议的一方应在收到争议评审委员会（或机构</w:t>
      </w:r>
      <w:r>
        <w:rPr>
          <w:rFonts w:hint="eastAsia" w:ascii="宋体" w:hAnsi="宋体" w:cs="宋体"/>
          <w:color w:val="auto"/>
          <w:spacing w:val="7"/>
          <w:sz w:val="20"/>
          <w:szCs w:val="20"/>
          <w:highlight w:val="none"/>
        </w:rPr>
        <w:t>）的意见后的规定时间内，将不认可理由的函</w:t>
      </w:r>
      <w:r>
        <w:rPr>
          <w:rFonts w:hint="eastAsia" w:ascii="宋体" w:hAnsi="宋体" w:cs="宋体"/>
          <w:color w:val="auto"/>
          <w:spacing w:val="10"/>
          <w:sz w:val="20"/>
          <w:szCs w:val="20"/>
          <w:highlight w:val="none"/>
        </w:rPr>
        <w:t>件以书面形式提供给争议评审委员会（或机构</w:t>
      </w:r>
      <w:r>
        <w:rPr>
          <w:rFonts w:hint="eastAsia" w:ascii="宋体" w:hAnsi="宋体" w:cs="宋体"/>
          <w:color w:val="auto"/>
          <w:spacing w:val="-35"/>
          <w:sz w:val="20"/>
          <w:szCs w:val="20"/>
          <w:highlight w:val="none"/>
        </w:rPr>
        <w:t>），</w:t>
      </w:r>
      <w:r>
        <w:rPr>
          <w:rFonts w:hint="eastAsia" w:ascii="宋体" w:hAnsi="宋体" w:cs="宋体"/>
          <w:color w:val="auto"/>
          <w:spacing w:val="10"/>
          <w:sz w:val="20"/>
          <w:szCs w:val="20"/>
          <w:highlight w:val="none"/>
        </w:rPr>
        <w:t>并同时抄送一份给</w:t>
      </w:r>
      <w:r>
        <w:rPr>
          <w:rFonts w:hint="eastAsia" w:ascii="宋体" w:hAnsi="宋体" w:cs="宋体"/>
          <w:color w:val="auto"/>
          <w:spacing w:val="9"/>
          <w:sz w:val="20"/>
          <w:szCs w:val="20"/>
          <w:highlight w:val="none"/>
        </w:rPr>
        <w:t>合同的另一方，包括相</w:t>
      </w:r>
      <w:r>
        <w:rPr>
          <w:rFonts w:hint="eastAsia" w:ascii="宋体" w:hAnsi="宋体" w:cs="宋体"/>
          <w:color w:val="auto"/>
          <w:spacing w:val="8"/>
          <w:sz w:val="20"/>
          <w:szCs w:val="20"/>
          <w:highlight w:val="none"/>
        </w:rPr>
        <w:t>关说明、依据及补充提供的支持性资料。争议</w:t>
      </w:r>
      <w:r>
        <w:rPr>
          <w:rFonts w:hint="eastAsia" w:ascii="宋体" w:hAnsi="宋体" w:cs="宋体"/>
          <w:color w:val="auto"/>
          <w:spacing w:val="7"/>
          <w:sz w:val="20"/>
          <w:szCs w:val="20"/>
          <w:highlight w:val="none"/>
        </w:rPr>
        <w:t>评审委员会（或机构）复查后，将维持原意见</w:t>
      </w:r>
      <w:r>
        <w:rPr>
          <w:rFonts w:hint="eastAsia" w:ascii="宋体" w:hAnsi="宋体" w:cs="宋体"/>
          <w:color w:val="auto"/>
          <w:spacing w:val="9"/>
          <w:sz w:val="20"/>
          <w:szCs w:val="20"/>
          <w:highlight w:val="none"/>
        </w:rPr>
        <w:t>或修改意见的理由及决定以书面形式同时提供给合同双方。</w:t>
      </w:r>
    </w:p>
    <w:p w14:paraId="39E58068">
      <w:pPr>
        <w:spacing w:before="161" w:line="360" w:lineRule="auto"/>
        <w:ind w:left="22" w:right="18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24.3.5  如合同双方对争议评审委员会（或机构</w:t>
      </w:r>
      <w:r>
        <w:rPr>
          <w:rFonts w:hint="eastAsia" w:ascii="宋体" w:hAnsi="宋体" w:cs="宋体"/>
          <w:color w:val="auto"/>
          <w:spacing w:val="6"/>
          <w:sz w:val="20"/>
          <w:szCs w:val="20"/>
          <w:highlight w:val="none"/>
        </w:rPr>
        <w:t>）提出的争议解决意见或修改意见没有</w:t>
      </w:r>
      <w:r>
        <w:rPr>
          <w:rFonts w:hint="eastAsia" w:ascii="宋体" w:hAnsi="宋体" w:cs="宋体"/>
          <w:color w:val="auto"/>
          <w:spacing w:val="8"/>
          <w:sz w:val="20"/>
          <w:szCs w:val="20"/>
          <w:highlight w:val="none"/>
        </w:rPr>
        <w:t>异议的，合同双方应以书面形式签署确认，</w:t>
      </w:r>
      <w:r>
        <w:rPr>
          <w:rFonts w:hint="eastAsia" w:ascii="宋体" w:hAnsi="宋体" w:cs="宋体"/>
          <w:color w:val="auto"/>
          <w:spacing w:val="7"/>
          <w:sz w:val="20"/>
          <w:szCs w:val="20"/>
          <w:highlight w:val="none"/>
        </w:rPr>
        <w:t>作为相关争议的和解协议，对合同双方应均具有</w:t>
      </w:r>
      <w:r>
        <w:rPr>
          <w:rFonts w:hint="eastAsia" w:ascii="宋体" w:hAnsi="宋体" w:cs="宋体"/>
          <w:color w:val="auto"/>
          <w:spacing w:val="8"/>
          <w:sz w:val="20"/>
          <w:szCs w:val="20"/>
          <w:highlight w:val="none"/>
        </w:rPr>
        <w:t>约束力，合同双方都应遵守执行。</w:t>
      </w:r>
    </w:p>
    <w:p w14:paraId="1489BC2B">
      <w:pPr>
        <w:spacing w:before="159" w:line="360" w:lineRule="auto"/>
        <w:ind w:left="25" w:right="183"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24.3.6  如合同双方中的任一方对争议评审委员</w:t>
      </w:r>
      <w:r>
        <w:rPr>
          <w:rFonts w:hint="eastAsia" w:ascii="宋体" w:hAnsi="宋体" w:cs="宋体"/>
          <w:color w:val="auto"/>
          <w:spacing w:val="6"/>
          <w:sz w:val="20"/>
          <w:szCs w:val="20"/>
          <w:highlight w:val="none"/>
        </w:rPr>
        <w:t>会（或机构）的处理意见有异议，处理</w:t>
      </w:r>
      <w:r>
        <w:rPr>
          <w:rFonts w:hint="eastAsia" w:ascii="宋体" w:hAnsi="宋体" w:cs="宋体"/>
          <w:color w:val="auto"/>
          <w:spacing w:val="8"/>
          <w:sz w:val="20"/>
          <w:szCs w:val="20"/>
          <w:highlight w:val="none"/>
        </w:rPr>
        <w:t>意见对合同双方不具有约束力。</w:t>
      </w:r>
    </w:p>
    <w:p w14:paraId="23B6E5F1">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24.4</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调解</w:t>
      </w:r>
    </w:p>
    <w:p w14:paraId="47B65F3D">
      <w:pPr>
        <w:spacing w:before="298"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24.4.1  采用调解方式解决合同履行过程中发生争议</w:t>
      </w:r>
      <w:r>
        <w:rPr>
          <w:rFonts w:hint="eastAsia" w:ascii="宋体" w:hAnsi="宋体" w:cs="宋体"/>
          <w:color w:val="auto"/>
          <w:spacing w:val="6"/>
          <w:sz w:val="20"/>
          <w:szCs w:val="20"/>
          <w:highlight w:val="none"/>
        </w:rPr>
        <w:t>事项的，应在合同履行过程中双方</w:t>
      </w:r>
      <w:r>
        <w:rPr>
          <w:rFonts w:hint="eastAsia" w:ascii="宋体" w:hAnsi="宋体" w:cs="宋体"/>
          <w:color w:val="auto"/>
          <w:spacing w:val="10"/>
          <w:sz w:val="20"/>
          <w:szCs w:val="20"/>
          <w:highlight w:val="none"/>
        </w:rPr>
        <w:t>共同选择、确定具有调解能力的调解人（或机构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负责双方在合</w:t>
      </w:r>
      <w:r>
        <w:rPr>
          <w:rFonts w:hint="eastAsia" w:ascii="宋体" w:hAnsi="宋体" w:cs="宋体"/>
          <w:color w:val="auto"/>
          <w:spacing w:val="9"/>
          <w:sz w:val="20"/>
          <w:szCs w:val="20"/>
          <w:highlight w:val="none"/>
        </w:rPr>
        <w:t>同履行过程中发生争议事</w:t>
      </w:r>
      <w:r>
        <w:rPr>
          <w:rFonts w:hint="eastAsia" w:ascii="宋体" w:hAnsi="宋体" w:cs="宋体"/>
          <w:color w:val="auto"/>
          <w:spacing w:val="6"/>
          <w:sz w:val="20"/>
          <w:szCs w:val="20"/>
          <w:highlight w:val="none"/>
        </w:rPr>
        <w:t>项的调解。</w:t>
      </w:r>
    </w:p>
    <w:p w14:paraId="1E8EDB9F">
      <w:pPr>
        <w:spacing w:before="159" w:line="360" w:lineRule="auto"/>
        <w:ind w:left="20" w:right="181"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24.4.2  合同双方发生争议解决事项时，提出争</w:t>
      </w:r>
      <w:r>
        <w:rPr>
          <w:rFonts w:hint="eastAsia" w:ascii="宋体" w:hAnsi="宋体" w:cs="宋体"/>
          <w:color w:val="auto"/>
          <w:spacing w:val="6"/>
          <w:sz w:val="20"/>
          <w:szCs w:val="20"/>
          <w:highlight w:val="none"/>
        </w:rPr>
        <w:t>议合理解决的任一方应将相关争议事项</w:t>
      </w:r>
      <w:r>
        <w:rPr>
          <w:rFonts w:hint="eastAsia" w:ascii="宋体" w:hAnsi="宋体" w:cs="宋体"/>
          <w:color w:val="auto"/>
          <w:spacing w:val="10"/>
          <w:sz w:val="20"/>
          <w:szCs w:val="20"/>
          <w:highlight w:val="none"/>
        </w:rPr>
        <w:t>的所有文件、工程指令等以书面形式提交调解人（或机构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w:t>
      </w:r>
      <w:r>
        <w:rPr>
          <w:rFonts w:hint="eastAsia" w:ascii="宋体" w:hAnsi="宋体" w:cs="宋体"/>
          <w:color w:val="auto"/>
          <w:spacing w:val="9"/>
          <w:sz w:val="20"/>
          <w:szCs w:val="20"/>
          <w:highlight w:val="none"/>
        </w:rPr>
        <w:t>书面抄送一份给合同的另一</w:t>
      </w:r>
      <w:r>
        <w:rPr>
          <w:rFonts w:hint="eastAsia" w:ascii="宋体" w:hAnsi="宋体" w:cs="宋体"/>
          <w:color w:val="auto"/>
          <w:spacing w:val="8"/>
          <w:sz w:val="20"/>
          <w:szCs w:val="20"/>
          <w:highlight w:val="none"/>
        </w:rPr>
        <w:t>方，委托调解人（或机构）进行调解。</w:t>
      </w:r>
    </w:p>
    <w:p w14:paraId="6527FDCB">
      <w:pPr>
        <w:spacing w:before="160" w:line="360" w:lineRule="auto"/>
        <w:ind w:left="19" w:right="180"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24.4.3  合同双方应按照调解人（或机构）提出的要</w:t>
      </w:r>
      <w:r>
        <w:rPr>
          <w:rFonts w:hint="eastAsia" w:ascii="宋体" w:hAnsi="宋体" w:cs="宋体"/>
          <w:color w:val="auto"/>
          <w:spacing w:val="6"/>
          <w:sz w:val="20"/>
          <w:szCs w:val="20"/>
          <w:highlight w:val="none"/>
        </w:rPr>
        <w:t>求，提供其所需要的资料、进入现</w:t>
      </w:r>
      <w:r>
        <w:rPr>
          <w:rFonts w:hint="eastAsia" w:ascii="宋体" w:hAnsi="宋体" w:cs="宋体"/>
          <w:color w:val="auto"/>
          <w:spacing w:val="8"/>
          <w:sz w:val="20"/>
          <w:szCs w:val="20"/>
          <w:highlight w:val="none"/>
        </w:rPr>
        <w:t>场的权利及相应工作设施条件。</w:t>
      </w:r>
    </w:p>
    <w:p w14:paraId="2D271197">
      <w:pPr>
        <w:spacing w:before="163" w:line="360" w:lineRule="auto"/>
        <w:ind w:left="31" w:right="127" w:firstLine="41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24.4.4  调解人（或机构）收到争议事项文件资料后，应全面了解争议事项的发生实情，</w:t>
      </w:r>
      <w:r>
        <w:rPr>
          <w:rFonts w:hint="eastAsia" w:ascii="宋体" w:hAnsi="宋体" w:cs="宋体"/>
          <w:color w:val="auto"/>
          <w:spacing w:val="4"/>
          <w:sz w:val="20"/>
          <w:szCs w:val="20"/>
          <w:highlight w:val="none"/>
        </w:rPr>
        <w:t xml:space="preserve"> </w:t>
      </w:r>
      <w:r>
        <w:rPr>
          <w:rFonts w:hint="eastAsia" w:ascii="宋体" w:hAnsi="宋体" w:cs="宋体"/>
          <w:color w:val="auto"/>
          <w:spacing w:val="7"/>
          <w:sz w:val="20"/>
          <w:szCs w:val="20"/>
          <w:highlight w:val="none"/>
        </w:rPr>
        <w:t>听取合同双方的意见及协调双方的主张，并在收到争议事项文件资料后的约定时间内将自身</w:t>
      </w:r>
      <w:r>
        <w:rPr>
          <w:rFonts w:hint="eastAsia" w:ascii="宋体" w:hAnsi="宋体" w:cs="宋体"/>
          <w:color w:val="auto"/>
          <w:spacing w:val="9"/>
          <w:sz w:val="20"/>
          <w:szCs w:val="20"/>
          <w:highlight w:val="none"/>
        </w:rPr>
        <w:t>的争议处理意见以书面形式提供给合同双方，包括相关的详细说明和依据。</w:t>
      </w:r>
    </w:p>
    <w:p w14:paraId="3F40585D">
      <w:pPr>
        <w:spacing w:before="163"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24.4.5  如合同双方中的任一方不认可调解人（或机</w:t>
      </w:r>
      <w:r>
        <w:rPr>
          <w:rFonts w:hint="eastAsia" w:ascii="宋体" w:hAnsi="宋体" w:cs="宋体"/>
          <w:color w:val="auto"/>
          <w:spacing w:val="6"/>
          <w:sz w:val="20"/>
          <w:szCs w:val="20"/>
          <w:highlight w:val="none"/>
        </w:rPr>
        <w:t>构）的决定，提出异议的一方应在</w:t>
      </w:r>
      <w:r>
        <w:rPr>
          <w:rFonts w:hint="eastAsia" w:ascii="宋体" w:hAnsi="宋体" w:cs="宋体"/>
          <w:color w:val="auto"/>
          <w:spacing w:val="10"/>
          <w:sz w:val="20"/>
          <w:szCs w:val="20"/>
          <w:highlight w:val="none"/>
        </w:rPr>
        <w:t>收到调解人（或机构）的决定后,在规定的时间内将不认可理由的函件以书面形式提交给调解人（或机构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并同时抄送一份给合同的另一方，包括相关的详细</w:t>
      </w:r>
      <w:r>
        <w:rPr>
          <w:rFonts w:hint="eastAsia" w:ascii="宋体" w:hAnsi="宋体" w:cs="宋体"/>
          <w:color w:val="auto"/>
          <w:spacing w:val="9"/>
          <w:sz w:val="20"/>
          <w:szCs w:val="20"/>
          <w:highlight w:val="none"/>
        </w:rPr>
        <w:t>说明、依据及补充提供</w:t>
      </w:r>
      <w:r>
        <w:rPr>
          <w:rFonts w:hint="eastAsia" w:ascii="宋体" w:hAnsi="宋体" w:cs="宋体"/>
          <w:color w:val="auto"/>
          <w:spacing w:val="8"/>
          <w:sz w:val="20"/>
          <w:szCs w:val="20"/>
          <w:highlight w:val="none"/>
        </w:rPr>
        <w:t>的支持性资料。调解人（或机构）复查、协调</w:t>
      </w:r>
      <w:r>
        <w:rPr>
          <w:rFonts w:hint="eastAsia" w:ascii="宋体" w:hAnsi="宋体" w:cs="宋体"/>
          <w:color w:val="auto"/>
          <w:spacing w:val="7"/>
          <w:sz w:val="20"/>
          <w:szCs w:val="20"/>
          <w:highlight w:val="none"/>
        </w:rPr>
        <w:t>后，将维持决定或修改决定的调整意见书同时提供给合同双方。</w:t>
      </w:r>
    </w:p>
    <w:p w14:paraId="365FBF54">
      <w:pPr>
        <w:spacing w:before="160" w:line="360" w:lineRule="auto"/>
        <w:ind w:left="36" w:right="183"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24.4.6  合同双方接受调解人（或机构）提出的</w:t>
      </w:r>
      <w:r>
        <w:rPr>
          <w:rFonts w:hint="eastAsia" w:ascii="宋体" w:hAnsi="宋体" w:cs="宋体"/>
          <w:color w:val="auto"/>
          <w:spacing w:val="6"/>
          <w:sz w:val="20"/>
          <w:szCs w:val="20"/>
          <w:highlight w:val="none"/>
        </w:rPr>
        <w:t>调解书的，双方应签署确认并作为合同</w:t>
      </w:r>
      <w:r>
        <w:rPr>
          <w:rFonts w:hint="eastAsia" w:ascii="宋体" w:hAnsi="宋体" w:cs="宋体"/>
          <w:color w:val="auto"/>
          <w:spacing w:val="8"/>
          <w:sz w:val="20"/>
          <w:szCs w:val="20"/>
          <w:highlight w:val="none"/>
        </w:rPr>
        <w:t>的补充文件，对合同双方应均具有约束力，双方都应遵守执行。</w:t>
      </w:r>
    </w:p>
    <w:p w14:paraId="00AA2A60">
      <w:pPr>
        <w:pStyle w:val="21"/>
        <w:spacing w:line="360" w:lineRule="auto"/>
        <w:rPr>
          <w:rFonts w:hint="eastAsia" w:cs="宋体"/>
          <w:color w:val="auto"/>
          <w:highlight w:val="none"/>
        </w:rPr>
      </w:pPr>
    </w:p>
    <w:p w14:paraId="41C39AD4">
      <w:pPr>
        <w:spacing w:before="65" w:line="360" w:lineRule="auto"/>
        <w:ind w:left="21" w:right="17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24.4.7  当合同双方中的任一方对调解人（或机</w:t>
      </w:r>
      <w:r>
        <w:rPr>
          <w:rFonts w:hint="eastAsia" w:ascii="宋体" w:hAnsi="宋体" w:cs="宋体"/>
          <w:color w:val="auto"/>
          <w:spacing w:val="6"/>
          <w:sz w:val="20"/>
          <w:szCs w:val="20"/>
          <w:highlight w:val="none"/>
        </w:rPr>
        <w:t>构）的调解书有异议时，应在收到调解</w:t>
      </w:r>
      <w:r>
        <w:rPr>
          <w:rFonts w:hint="eastAsia" w:ascii="宋体" w:hAnsi="宋体" w:cs="宋体"/>
          <w:color w:val="auto"/>
          <w:spacing w:val="7"/>
          <w:sz w:val="20"/>
          <w:szCs w:val="20"/>
          <w:highlight w:val="none"/>
        </w:rPr>
        <w:t>书后约定的时间内提出异议的事项和理由。当调解人（或机构）已就争议事项向合同双方提</w:t>
      </w:r>
      <w:r>
        <w:rPr>
          <w:rFonts w:hint="eastAsia" w:ascii="宋体" w:hAnsi="宋体" w:cs="宋体"/>
          <w:color w:val="auto"/>
          <w:spacing w:val="8"/>
          <w:sz w:val="20"/>
          <w:szCs w:val="20"/>
          <w:highlight w:val="none"/>
        </w:rPr>
        <w:t>交了调解书，而任一方在收到调解书后的约定</w:t>
      </w:r>
      <w:r>
        <w:rPr>
          <w:rFonts w:hint="eastAsia" w:ascii="宋体" w:hAnsi="宋体" w:cs="宋体"/>
          <w:color w:val="auto"/>
          <w:spacing w:val="7"/>
          <w:sz w:val="20"/>
          <w:szCs w:val="20"/>
          <w:highlight w:val="none"/>
        </w:rPr>
        <w:t>时间内未发出表示异议的通知时，视为已认可</w:t>
      </w:r>
      <w:r>
        <w:rPr>
          <w:rFonts w:hint="eastAsia" w:ascii="宋体" w:hAnsi="宋体" w:cs="宋体"/>
          <w:color w:val="auto"/>
          <w:spacing w:val="4"/>
          <w:sz w:val="20"/>
          <w:szCs w:val="20"/>
          <w:highlight w:val="none"/>
        </w:rPr>
        <w:t>调解书。</w:t>
      </w:r>
    </w:p>
    <w:p w14:paraId="3496E186">
      <w:pPr>
        <w:spacing w:before="160"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24.4.8  合同双方未共同签字确认的调解书，除调解协议另有约定或罚解书在</w:t>
      </w:r>
      <w:r>
        <w:rPr>
          <w:rFonts w:hint="eastAsia" w:ascii="宋体" w:hAnsi="宋体" w:cs="宋体"/>
          <w:color w:val="auto"/>
          <w:spacing w:val="5"/>
          <w:sz w:val="20"/>
          <w:szCs w:val="20"/>
          <w:highlight w:val="none"/>
        </w:rPr>
        <w:t>仲裁裁决、</w:t>
      </w:r>
      <w:r>
        <w:rPr>
          <w:rFonts w:hint="eastAsia" w:ascii="宋体" w:hAnsi="宋体" w:cs="宋体"/>
          <w:color w:val="auto"/>
          <w:spacing w:val="9"/>
          <w:sz w:val="20"/>
          <w:szCs w:val="20"/>
          <w:highlight w:val="none"/>
        </w:rPr>
        <w:t>诉讼判决中予以确认外，对合同双方均不应具有约束力。</w:t>
      </w:r>
    </w:p>
    <w:p w14:paraId="048ADAFF">
      <w:pPr>
        <w:spacing w:before="287"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24.5  仲裁与诉讼</w:t>
      </w:r>
    </w:p>
    <w:p w14:paraId="3B73062A">
      <w:pPr>
        <w:spacing w:before="295"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24.5.1  如果合同双方按</w:t>
      </w:r>
      <w:r>
        <w:rPr>
          <w:rFonts w:hint="eastAsia" w:ascii="宋体" w:hAnsi="宋体" w:cs="宋体"/>
          <w:color w:val="auto"/>
          <w:spacing w:val="-28"/>
          <w:sz w:val="20"/>
          <w:szCs w:val="20"/>
          <w:highlight w:val="none"/>
        </w:rPr>
        <w:t xml:space="preserve"> </w:t>
      </w:r>
      <w:r>
        <w:rPr>
          <w:rFonts w:hint="eastAsia" w:ascii="宋体" w:hAnsi="宋体" w:cs="宋体"/>
          <w:color w:val="auto"/>
          <w:spacing w:val="8"/>
          <w:sz w:val="20"/>
          <w:szCs w:val="20"/>
          <w:highlight w:val="none"/>
        </w:rPr>
        <w:t>24.1</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款约定采用仲裁或诉讼方式解决争议事项的，在仲裁委员会裁决或人民法院判决前，合同双方可按仲裁委</w:t>
      </w:r>
      <w:r>
        <w:rPr>
          <w:rFonts w:hint="eastAsia" w:ascii="宋体" w:hAnsi="宋体" w:cs="宋体"/>
          <w:color w:val="auto"/>
          <w:spacing w:val="7"/>
          <w:sz w:val="20"/>
          <w:szCs w:val="20"/>
          <w:highlight w:val="none"/>
        </w:rPr>
        <w:t>员会或人民法院的调解程序和方法进行调</w:t>
      </w:r>
      <w:r>
        <w:rPr>
          <w:rFonts w:hint="eastAsia" w:ascii="宋体" w:hAnsi="宋体" w:cs="宋体"/>
          <w:color w:val="auto"/>
          <w:sz w:val="20"/>
          <w:szCs w:val="20"/>
          <w:highlight w:val="none"/>
        </w:rPr>
        <w:t>解。</w:t>
      </w:r>
    </w:p>
    <w:p w14:paraId="494C6667">
      <w:pPr>
        <w:spacing w:before="160" w:line="360" w:lineRule="auto"/>
        <w:ind w:left="19" w:right="17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24.5.2  合同双方各自的义务不因在工程实施期间进</w:t>
      </w:r>
      <w:r>
        <w:rPr>
          <w:rFonts w:hint="eastAsia" w:ascii="宋体" w:hAnsi="宋体" w:cs="宋体"/>
          <w:color w:val="auto"/>
          <w:spacing w:val="6"/>
          <w:sz w:val="20"/>
          <w:szCs w:val="20"/>
          <w:highlight w:val="none"/>
        </w:rPr>
        <w:t>行仲裁或诉讼而改变。当仲裁或诉</w:t>
      </w:r>
      <w:r>
        <w:rPr>
          <w:rFonts w:hint="eastAsia" w:ascii="宋体" w:hAnsi="宋体" w:cs="宋体"/>
          <w:color w:val="auto"/>
          <w:spacing w:val="8"/>
          <w:sz w:val="20"/>
          <w:szCs w:val="20"/>
          <w:highlight w:val="none"/>
        </w:rPr>
        <w:t>讼时，按仲裁委员会或人民法院要求停止施</w:t>
      </w:r>
      <w:r>
        <w:rPr>
          <w:rFonts w:hint="eastAsia" w:ascii="宋体" w:hAnsi="宋体" w:cs="宋体"/>
          <w:color w:val="auto"/>
          <w:spacing w:val="7"/>
          <w:sz w:val="20"/>
          <w:szCs w:val="20"/>
          <w:highlight w:val="none"/>
        </w:rPr>
        <w:t>工的，承包人应对合同工程采取保护措施，由此</w:t>
      </w:r>
      <w:r>
        <w:rPr>
          <w:rFonts w:hint="eastAsia" w:ascii="宋体" w:hAnsi="宋体" w:cs="宋体"/>
          <w:color w:val="auto"/>
          <w:spacing w:val="9"/>
          <w:sz w:val="20"/>
          <w:szCs w:val="20"/>
          <w:highlight w:val="none"/>
        </w:rPr>
        <w:t>增加的费用应由败诉方承担，或按责任分担。</w:t>
      </w:r>
    </w:p>
    <w:p w14:paraId="32844E80">
      <w:pPr>
        <w:spacing w:before="162" w:line="360" w:lineRule="auto"/>
        <w:ind w:left="21" w:right="17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24.5.3  合同双方中的任一方未能遵守双方确认</w:t>
      </w:r>
      <w:r>
        <w:rPr>
          <w:rFonts w:hint="eastAsia" w:ascii="宋体" w:hAnsi="宋体" w:cs="宋体"/>
          <w:color w:val="auto"/>
          <w:spacing w:val="6"/>
          <w:sz w:val="20"/>
          <w:szCs w:val="20"/>
          <w:highlight w:val="none"/>
        </w:rPr>
        <w:t>的争议评审意见或调解书的，另一方可</w:t>
      </w:r>
      <w:r>
        <w:rPr>
          <w:rFonts w:hint="eastAsia" w:ascii="宋体" w:hAnsi="宋体" w:cs="宋体"/>
          <w:color w:val="auto"/>
          <w:spacing w:val="9"/>
          <w:sz w:val="20"/>
          <w:szCs w:val="20"/>
          <w:highlight w:val="none"/>
        </w:rPr>
        <w:t>按合同约定的争议解决方式将争议事项提交仲裁或诉讼。</w:t>
      </w:r>
    </w:p>
    <w:p w14:paraId="2D33463D">
      <w:pPr>
        <w:spacing w:before="161" w:line="360" w:lineRule="auto"/>
        <w:ind w:left="442"/>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t>24.5.4  仲裁或诉讼的最终决定，对合同双方均有约束力，应共同遵守。</w:t>
      </w:r>
    </w:p>
    <w:p w14:paraId="51748B28">
      <w:pPr>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br w:type="page"/>
      </w:r>
    </w:p>
    <w:p w14:paraId="70C22578">
      <w:pPr>
        <w:pStyle w:val="21"/>
        <w:widowControl/>
        <w:kinsoku w:val="0"/>
        <w:snapToGrid w:val="0"/>
        <w:spacing w:line="360" w:lineRule="auto"/>
        <w:textAlignment w:val="baseline"/>
        <w:rPr>
          <w:rFonts w:hint="eastAsia"/>
          <w:color w:val="auto"/>
          <w:highlight w:val="none"/>
        </w:rPr>
      </w:pPr>
    </w:p>
    <w:p w14:paraId="4B885193">
      <w:pPr>
        <w:pStyle w:val="21"/>
        <w:widowControl/>
        <w:kinsoku w:val="0"/>
        <w:snapToGrid w:val="0"/>
        <w:spacing w:line="360" w:lineRule="auto"/>
        <w:textAlignment w:val="baseline"/>
        <w:rPr>
          <w:rFonts w:hint="eastAsia"/>
          <w:color w:val="auto"/>
          <w:highlight w:val="none"/>
        </w:rPr>
      </w:pPr>
    </w:p>
    <w:p w14:paraId="5AB4FCEE">
      <w:pPr>
        <w:pStyle w:val="3"/>
        <w:spacing w:before="0" w:line="360" w:lineRule="auto"/>
        <w:ind w:right="26"/>
        <w:rPr>
          <w:rFonts w:hint="eastAsia" w:ascii="宋体" w:hAnsi="宋体" w:eastAsia="宋体" w:cs="宋体"/>
          <w:color w:val="auto"/>
          <w:sz w:val="32"/>
          <w:szCs w:val="21"/>
          <w:highlight w:val="none"/>
        </w:rPr>
      </w:pPr>
      <w:bookmarkStart w:id="731" w:name="bookmark99"/>
      <w:bookmarkEnd w:id="731"/>
      <w:bookmarkStart w:id="732" w:name="bookmark98"/>
      <w:bookmarkEnd w:id="732"/>
      <w:r>
        <w:rPr>
          <w:rFonts w:ascii="宋体" w:hAnsi="宋体" w:eastAsia="宋体" w:cs="宋体"/>
          <w:bCs/>
          <w:color w:val="auto"/>
          <w:spacing w:val="6"/>
          <w:sz w:val="32"/>
          <w:szCs w:val="21"/>
          <w:highlight w:val="none"/>
        </w:rPr>
        <w:t>合同条款专用部分</w:t>
      </w:r>
    </w:p>
    <w:p w14:paraId="2055D57E">
      <w:pPr>
        <w:pStyle w:val="21"/>
        <w:widowControl/>
        <w:kinsoku w:val="0"/>
        <w:snapToGrid w:val="0"/>
        <w:spacing w:line="360" w:lineRule="auto"/>
        <w:textAlignment w:val="baseline"/>
        <w:rPr>
          <w:rFonts w:hint="eastAsia"/>
          <w:color w:val="auto"/>
          <w:highlight w:val="none"/>
        </w:rPr>
      </w:pPr>
    </w:p>
    <w:p w14:paraId="7EBCA647">
      <w:pPr>
        <w:pStyle w:val="21"/>
        <w:widowControl/>
        <w:kinsoku w:val="0"/>
        <w:snapToGrid w:val="0"/>
        <w:spacing w:line="360" w:lineRule="auto"/>
        <w:textAlignment w:val="baseline"/>
        <w:rPr>
          <w:rFonts w:hint="eastAsia"/>
          <w:color w:val="auto"/>
          <w:highlight w:val="none"/>
        </w:rPr>
      </w:pPr>
    </w:p>
    <w:p w14:paraId="06760C0D">
      <w:pPr>
        <w:widowControl/>
        <w:kinsoku w:val="0"/>
        <w:autoSpaceDE w:val="0"/>
        <w:autoSpaceDN w:val="0"/>
        <w:adjustRightInd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6"/>
          <w:szCs w:val="21"/>
          <w:highlight w:val="none"/>
        </w:rPr>
        <w:t>1.一般约定</w:t>
      </w:r>
    </w:p>
    <w:p w14:paraId="698F41F0">
      <w:pPr>
        <w:pStyle w:val="21"/>
        <w:widowControl/>
        <w:kinsoku w:val="0"/>
        <w:autoSpaceDE w:val="0"/>
        <w:autoSpaceDN w:val="0"/>
        <w:adjustRightInd w:val="0"/>
        <w:snapToGrid w:val="0"/>
        <w:spacing w:line="360" w:lineRule="auto"/>
        <w:textAlignment w:val="baseline"/>
        <w:rPr>
          <w:rFonts w:hint="eastAsia"/>
          <w:color w:val="auto"/>
          <w:sz w:val="21"/>
          <w:szCs w:val="21"/>
          <w:highlight w:val="none"/>
        </w:rPr>
      </w:pPr>
    </w:p>
    <w:p w14:paraId="2720140D">
      <w:pPr>
        <w:widowControl/>
        <w:kinsoku w:val="0"/>
        <w:autoSpaceDE w:val="0"/>
        <w:autoSpaceDN w:val="0"/>
        <w:adjustRightInd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6"/>
          <w:szCs w:val="21"/>
          <w:highlight w:val="none"/>
        </w:rPr>
        <w:t>1.1</w:t>
      </w:r>
      <w:r>
        <w:rPr>
          <w:rFonts w:ascii="宋体" w:hAnsi="宋体" w:cs="宋体"/>
          <w:color w:val="auto"/>
          <w:spacing w:val="6"/>
          <w:szCs w:val="21"/>
          <w:highlight w:val="none"/>
        </w:rPr>
        <w:t xml:space="preserve">  </w:t>
      </w:r>
      <w:r>
        <w:rPr>
          <w:rFonts w:ascii="宋体" w:hAnsi="宋体" w:cs="宋体"/>
          <w:color w:val="auto"/>
          <w:spacing w:val="-6"/>
          <w:szCs w:val="21"/>
          <w:highlight w:val="none"/>
        </w:rPr>
        <w:t>词语定义</w:t>
      </w:r>
    </w:p>
    <w:p w14:paraId="7F3FBC3B">
      <w:pPr>
        <w:widowControl/>
        <w:kinsoku w:val="0"/>
        <w:autoSpaceDE w:val="0"/>
        <w:autoSpaceDN w:val="0"/>
        <w:adjustRightInd w:val="0"/>
        <w:snapToGrid w:val="0"/>
        <w:spacing w:before="160" w:line="360" w:lineRule="auto"/>
        <w:ind w:firstLine="432" w:firstLineChars="2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  合同当事人和人员</w:t>
      </w:r>
    </w:p>
    <w:p w14:paraId="485DD862">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1.1.2.2  发包人：</w:t>
      </w:r>
      <w:r>
        <w:rPr>
          <w:rFonts w:hint="eastAsia" w:ascii="宋体" w:hAnsi="宋体" w:cstheme="minorEastAsia"/>
          <w:color w:val="auto"/>
          <w:szCs w:val="21"/>
          <w:highlight w:val="none"/>
          <w:u w:val="single"/>
        </w:rPr>
        <w:t xml:space="preserve">北京市顺义区仁和中学  </w:t>
      </w:r>
      <w:r>
        <w:rPr>
          <w:rFonts w:ascii="宋体" w:hAnsi="宋体" w:cs="宋体"/>
          <w:color w:val="auto"/>
          <w:spacing w:val="3"/>
          <w:szCs w:val="21"/>
          <w:highlight w:val="none"/>
        </w:rPr>
        <w:t xml:space="preserve">                                                  </w:t>
      </w:r>
    </w:p>
    <w:p w14:paraId="0172FF83">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1.1.2.3  承包人：</w:t>
      </w:r>
      <w:r>
        <w:rPr>
          <w:rFonts w:hint="eastAsia" w:ascii="宋体" w:hAnsi="宋体" w:cstheme="minorEastAsia"/>
          <w:color w:val="auto"/>
          <w:szCs w:val="21"/>
          <w:highlight w:val="none"/>
          <w:u w:val="single"/>
        </w:rPr>
        <w:t>待定</w:t>
      </w:r>
    </w:p>
    <w:p w14:paraId="31168EC2">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1.1.2.6  监理人：</w:t>
      </w:r>
      <w:r>
        <w:rPr>
          <w:rFonts w:hint="eastAsia" w:ascii="宋体" w:hAnsi="宋体" w:cstheme="minorEastAsia"/>
          <w:color w:val="auto"/>
          <w:szCs w:val="21"/>
          <w:highlight w:val="none"/>
          <w:u w:val="single"/>
        </w:rPr>
        <w:t>待定</w:t>
      </w:r>
    </w:p>
    <w:p w14:paraId="428CDE40">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5"/>
          <w:szCs w:val="21"/>
          <w:highlight w:val="none"/>
        </w:rPr>
      </w:pPr>
      <w:r>
        <w:rPr>
          <w:rFonts w:ascii="宋体" w:hAnsi="宋体" w:cs="宋体"/>
          <w:color w:val="auto"/>
          <w:spacing w:val="3"/>
          <w:szCs w:val="21"/>
          <w:highlight w:val="none"/>
        </w:rPr>
        <w:t>1.1.2.8  发包人代表：</w:t>
      </w:r>
    </w:p>
    <w:p w14:paraId="2E991D15">
      <w:pPr>
        <w:widowControl/>
        <w:kinsoku w:val="0"/>
        <w:autoSpaceDE w:val="0"/>
        <w:autoSpaceDN w:val="0"/>
        <w:adjustRightInd w:val="0"/>
        <w:snapToGrid w:val="0"/>
        <w:spacing w:before="66" w:line="360" w:lineRule="auto"/>
        <w:ind w:left="1594"/>
        <w:textAlignment w:val="baseline"/>
        <w:rPr>
          <w:rFonts w:hint="eastAsia" w:ascii="宋体" w:hAnsi="宋体" w:cs="宋体"/>
          <w:color w:val="auto"/>
          <w:szCs w:val="21"/>
          <w:highlight w:val="none"/>
        </w:rPr>
      </w:pPr>
      <w:r>
        <w:rPr>
          <w:rFonts w:ascii="宋体" w:hAnsi="宋体" w:cs="宋体"/>
          <w:color w:val="auto"/>
          <w:spacing w:val="-6"/>
          <w:szCs w:val="21"/>
          <w:highlight w:val="none"/>
        </w:rPr>
        <w:t>姓</w:t>
      </w:r>
      <w:r>
        <w:rPr>
          <w:rFonts w:ascii="宋体" w:hAnsi="宋体" w:cs="宋体"/>
          <w:color w:val="auto"/>
          <w:spacing w:val="7"/>
          <w:szCs w:val="21"/>
          <w:highlight w:val="none"/>
        </w:rPr>
        <w:t xml:space="preserve">    </w:t>
      </w:r>
      <w:r>
        <w:rPr>
          <w:rFonts w:ascii="宋体" w:hAnsi="宋体" w:cs="宋体"/>
          <w:color w:val="auto"/>
          <w:spacing w:val="-6"/>
          <w:szCs w:val="21"/>
          <w:highlight w:val="none"/>
        </w:rPr>
        <w:t>名</w:t>
      </w:r>
      <w:r>
        <w:rPr>
          <w:rFonts w:ascii="宋体" w:hAnsi="宋体" w:cs="宋体"/>
          <w:color w:val="auto"/>
          <w:spacing w:val="-72"/>
          <w:szCs w:val="21"/>
          <w:highlight w:val="none"/>
        </w:rPr>
        <w:t xml:space="preserve"> </w:t>
      </w:r>
      <w:r>
        <w:rPr>
          <w:rFonts w:ascii="宋体" w:hAnsi="宋体" w:cs="宋体"/>
          <w:color w:val="auto"/>
          <w:spacing w:val="-6"/>
          <w:szCs w:val="21"/>
          <w:highlight w:val="none"/>
        </w:rPr>
        <w:t>：</w:t>
      </w:r>
      <w:r>
        <w:rPr>
          <w:rFonts w:hint="eastAsia" w:ascii="宋体" w:hAnsi="宋体" w:cstheme="minorEastAsia"/>
          <w:color w:val="auto"/>
          <w:szCs w:val="21"/>
          <w:highlight w:val="none"/>
          <w:u w:val="single"/>
        </w:rPr>
        <w:t>待定</w:t>
      </w:r>
    </w:p>
    <w:p w14:paraId="14F068F9">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5"/>
          <w:szCs w:val="21"/>
          <w:highlight w:val="none"/>
        </w:rPr>
        <w:t>职</w:t>
      </w:r>
      <w:r>
        <w:rPr>
          <w:rFonts w:ascii="宋体" w:hAnsi="宋体" w:cs="宋体"/>
          <w:color w:val="auto"/>
          <w:spacing w:val="6"/>
          <w:szCs w:val="21"/>
          <w:highlight w:val="none"/>
        </w:rPr>
        <w:t xml:space="preserve">    </w:t>
      </w:r>
      <w:r>
        <w:rPr>
          <w:rFonts w:ascii="宋体" w:hAnsi="宋体" w:cs="宋体"/>
          <w:color w:val="auto"/>
          <w:spacing w:val="-5"/>
          <w:szCs w:val="21"/>
          <w:highlight w:val="none"/>
        </w:rPr>
        <w:t>称</w:t>
      </w:r>
      <w:r>
        <w:rPr>
          <w:rFonts w:ascii="宋体" w:hAnsi="宋体" w:cs="宋体"/>
          <w:color w:val="auto"/>
          <w:spacing w:val="-71"/>
          <w:szCs w:val="21"/>
          <w:highlight w:val="none"/>
        </w:rPr>
        <w:t xml:space="preserve"> </w:t>
      </w:r>
      <w:r>
        <w:rPr>
          <w:rFonts w:ascii="宋体" w:hAnsi="宋体" w:cs="宋体"/>
          <w:color w:val="auto"/>
          <w:spacing w:val="-5"/>
          <w:szCs w:val="21"/>
          <w:highlight w:val="none"/>
        </w:rPr>
        <w:t>：</w:t>
      </w:r>
      <w:r>
        <w:rPr>
          <w:rFonts w:hint="eastAsia" w:ascii="宋体" w:hAnsi="宋体" w:cstheme="minorEastAsia"/>
          <w:color w:val="auto"/>
          <w:szCs w:val="21"/>
          <w:highlight w:val="none"/>
          <w:u w:val="single"/>
        </w:rPr>
        <w:t>待定</w:t>
      </w:r>
    </w:p>
    <w:p w14:paraId="1509E3AC">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4"/>
          <w:szCs w:val="21"/>
          <w:highlight w:val="none"/>
        </w:rPr>
        <w:t>联系电话：</w:t>
      </w:r>
      <w:r>
        <w:rPr>
          <w:rFonts w:hint="eastAsia" w:ascii="宋体" w:hAnsi="宋体" w:cstheme="minorEastAsia"/>
          <w:color w:val="auto"/>
          <w:szCs w:val="21"/>
          <w:highlight w:val="none"/>
          <w:u w:val="single"/>
        </w:rPr>
        <w:t>待定</w:t>
      </w:r>
    </w:p>
    <w:p w14:paraId="071FB5A0">
      <w:pPr>
        <w:widowControl/>
        <w:kinsoku w:val="0"/>
        <w:autoSpaceDE w:val="0"/>
        <w:autoSpaceDN w:val="0"/>
        <w:adjustRightInd w:val="0"/>
        <w:snapToGrid w:val="0"/>
        <w:spacing w:before="159" w:line="360" w:lineRule="auto"/>
        <w:ind w:left="1618"/>
        <w:textAlignment w:val="baseline"/>
        <w:rPr>
          <w:rFonts w:hint="eastAsia" w:ascii="宋体" w:hAnsi="宋体" w:cs="宋体"/>
          <w:color w:val="auto"/>
          <w:szCs w:val="21"/>
          <w:highlight w:val="none"/>
        </w:rPr>
      </w:pPr>
      <w:r>
        <w:rPr>
          <w:rFonts w:ascii="宋体" w:hAnsi="宋体" w:cs="宋体"/>
          <w:color w:val="auto"/>
          <w:spacing w:val="2"/>
          <w:szCs w:val="21"/>
          <w:highlight w:val="none"/>
        </w:rPr>
        <w:t>电子信箱：</w:t>
      </w:r>
      <w:r>
        <w:rPr>
          <w:rFonts w:hint="eastAsia" w:ascii="宋体" w:hAnsi="宋体" w:cstheme="minorEastAsia"/>
          <w:color w:val="auto"/>
          <w:szCs w:val="21"/>
          <w:highlight w:val="none"/>
          <w:u w:val="single"/>
        </w:rPr>
        <w:t>待定</w:t>
      </w:r>
    </w:p>
    <w:p w14:paraId="29B5A422">
      <w:pPr>
        <w:widowControl/>
        <w:kinsoku w:val="0"/>
        <w:autoSpaceDE w:val="0"/>
        <w:autoSpaceDN w:val="0"/>
        <w:adjustRightInd w:val="0"/>
        <w:snapToGrid w:val="0"/>
        <w:spacing w:before="161" w:line="360" w:lineRule="auto"/>
        <w:ind w:left="1594"/>
        <w:textAlignment w:val="baseline"/>
        <w:rPr>
          <w:rFonts w:hint="eastAsia" w:ascii="宋体" w:hAnsi="宋体" w:cs="宋体"/>
          <w:color w:val="auto"/>
          <w:szCs w:val="21"/>
          <w:highlight w:val="none"/>
        </w:rPr>
      </w:pPr>
      <w:r>
        <w:rPr>
          <w:rFonts w:ascii="宋体" w:hAnsi="宋体" w:cs="宋体"/>
          <w:color w:val="auto"/>
          <w:spacing w:val="4"/>
          <w:szCs w:val="21"/>
          <w:highlight w:val="none"/>
        </w:rPr>
        <w:t>通信地址：</w:t>
      </w:r>
      <w:r>
        <w:rPr>
          <w:rFonts w:hint="eastAsia" w:ascii="宋体" w:hAnsi="宋体" w:cstheme="minorEastAsia"/>
          <w:color w:val="auto"/>
          <w:szCs w:val="21"/>
          <w:highlight w:val="none"/>
          <w:u w:val="single"/>
        </w:rPr>
        <w:t>待定</w:t>
      </w:r>
    </w:p>
    <w:p w14:paraId="0FE3F6DF">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3"/>
          <w:szCs w:val="21"/>
          <w:highlight w:val="none"/>
        </w:rPr>
        <w:t>1.1.3</w:t>
      </w:r>
      <w:r>
        <w:rPr>
          <w:rFonts w:ascii="宋体" w:hAnsi="宋体" w:cs="宋体"/>
          <w:color w:val="auto"/>
          <w:spacing w:val="14"/>
          <w:szCs w:val="21"/>
          <w:highlight w:val="none"/>
        </w:rPr>
        <w:t xml:space="preserve">  </w:t>
      </w:r>
      <w:r>
        <w:rPr>
          <w:rFonts w:ascii="宋体" w:hAnsi="宋体" w:cs="宋体"/>
          <w:color w:val="auto"/>
          <w:spacing w:val="3"/>
          <w:szCs w:val="21"/>
          <w:highlight w:val="none"/>
        </w:rPr>
        <w:t>工程和设备</w:t>
      </w:r>
    </w:p>
    <w:p w14:paraId="0A26A20D">
      <w:pPr>
        <w:widowControl/>
        <w:kinsoku w:val="0"/>
        <w:autoSpaceDE w:val="0"/>
        <w:autoSpaceDN w:val="0"/>
        <w:adjustRightInd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1.1.3.2  永久工程：</w:t>
      </w:r>
      <w:r>
        <w:rPr>
          <w:rFonts w:hint="eastAsia" w:ascii="宋体" w:hAnsi="宋体" w:cstheme="minorEastAsia"/>
          <w:color w:val="auto"/>
          <w:szCs w:val="21"/>
          <w:highlight w:val="none"/>
          <w:u w:val="single"/>
        </w:rPr>
        <w:t xml:space="preserve">      /     </w:t>
      </w:r>
    </w:p>
    <w:p w14:paraId="3DE989DF">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2"/>
          <w:szCs w:val="21"/>
          <w:highlight w:val="none"/>
        </w:rPr>
        <w:t>1.1.3.3</w:t>
      </w:r>
      <w:r>
        <w:rPr>
          <w:rFonts w:ascii="宋体" w:hAnsi="宋体" w:cs="宋体"/>
          <w:color w:val="auto"/>
          <w:spacing w:val="14"/>
          <w:szCs w:val="21"/>
          <w:highlight w:val="none"/>
        </w:rPr>
        <w:t xml:space="preserve">  </w:t>
      </w:r>
      <w:r>
        <w:rPr>
          <w:rFonts w:ascii="宋体" w:hAnsi="宋体" w:cs="宋体"/>
          <w:color w:val="auto"/>
          <w:spacing w:val="2"/>
          <w:szCs w:val="21"/>
          <w:highlight w:val="none"/>
        </w:rPr>
        <w:t>临时工程：</w:t>
      </w:r>
      <w:r>
        <w:rPr>
          <w:rFonts w:hint="eastAsia" w:ascii="宋体" w:hAnsi="宋体" w:cstheme="minorEastAsia"/>
          <w:color w:val="auto"/>
          <w:szCs w:val="21"/>
          <w:highlight w:val="none"/>
          <w:u w:val="single"/>
        </w:rPr>
        <w:t xml:space="preserve">      /     </w:t>
      </w:r>
    </w:p>
    <w:p w14:paraId="3876774C">
      <w:pPr>
        <w:widowControl/>
        <w:kinsoku w:val="0"/>
        <w:autoSpaceDE w:val="0"/>
        <w:autoSpaceDN w:val="0"/>
        <w:adjustRightInd w:val="0"/>
        <w:snapToGrid w:val="0"/>
        <w:spacing w:before="161"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1.1.3.10  永久占地：</w:t>
      </w:r>
      <w:r>
        <w:rPr>
          <w:rFonts w:hint="eastAsia" w:ascii="宋体" w:hAnsi="宋体" w:cstheme="minorEastAsia"/>
          <w:color w:val="auto"/>
          <w:szCs w:val="21"/>
          <w:highlight w:val="none"/>
          <w:u w:val="single"/>
        </w:rPr>
        <w:t xml:space="preserve">      /     </w:t>
      </w:r>
    </w:p>
    <w:p w14:paraId="5479E9F6">
      <w:pPr>
        <w:widowControl/>
        <w:kinsoku w:val="0"/>
        <w:autoSpaceDE w:val="0"/>
        <w:autoSpaceDN w:val="0"/>
        <w:adjustRightInd w:val="0"/>
        <w:snapToGrid w:val="0"/>
        <w:spacing w:before="159" w:line="360" w:lineRule="auto"/>
        <w:ind w:left="664"/>
        <w:textAlignment w:val="baseline"/>
        <w:rPr>
          <w:rFonts w:hint="eastAsia" w:ascii="宋体" w:hAnsi="宋体" w:cs="宋体"/>
          <w:color w:val="auto"/>
          <w:szCs w:val="21"/>
          <w:highlight w:val="none"/>
        </w:rPr>
      </w:pPr>
      <w:r>
        <w:rPr>
          <w:rFonts w:ascii="宋体" w:hAnsi="宋体" w:cs="宋体"/>
          <w:color w:val="auto"/>
          <w:spacing w:val="3"/>
          <w:szCs w:val="21"/>
          <w:highlight w:val="none"/>
        </w:rPr>
        <w:t>1.1.3.11</w:t>
      </w:r>
      <w:r>
        <w:rPr>
          <w:rFonts w:ascii="宋体" w:hAnsi="宋体" w:cs="宋体"/>
          <w:color w:val="auto"/>
          <w:spacing w:val="17"/>
          <w:szCs w:val="21"/>
          <w:highlight w:val="none"/>
        </w:rPr>
        <w:t xml:space="preserve">  </w:t>
      </w:r>
      <w:r>
        <w:rPr>
          <w:rFonts w:ascii="宋体" w:hAnsi="宋体" w:cs="宋体"/>
          <w:color w:val="auto"/>
          <w:spacing w:val="3"/>
          <w:szCs w:val="21"/>
          <w:highlight w:val="none"/>
        </w:rPr>
        <w:t>临时占地：</w:t>
      </w:r>
      <w:r>
        <w:rPr>
          <w:rFonts w:hint="eastAsia" w:ascii="宋体" w:hAnsi="宋体" w:cstheme="minorEastAsia"/>
          <w:color w:val="auto"/>
          <w:szCs w:val="21"/>
          <w:highlight w:val="none"/>
          <w:u w:val="single"/>
        </w:rPr>
        <w:t xml:space="preserve">      /     </w:t>
      </w:r>
    </w:p>
    <w:p w14:paraId="680C7E01">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1.1.4</w:t>
      </w:r>
      <w:r>
        <w:rPr>
          <w:rFonts w:ascii="宋体" w:hAnsi="宋体" w:cs="宋体"/>
          <w:color w:val="auto"/>
          <w:spacing w:val="27"/>
          <w:szCs w:val="21"/>
          <w:highlight w:val="none"/>
        </w:rPr>
        <w:t xml:space="preserve">  </w:t>
      </w:r>
      <w:r>
        <w:rPr>
          <w:rFonts w:ascii="宋体" w:hAnsi="宋体" w:cs="宋体"/>
          <w:color w:val="auto"/>
          <w:spacing w:val="-4"/>
          <w:szCs w:val="21"/>
          <w:highlight w:val="none"/>
        </w:rPr>
        <w:t>日期</w:t>
      </w:r>
    </w:p>
    <w:p w14:paraId="73E25446">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1.1.4.5  缺陷责任期期限：</w:t>
      </w:r>
      <w:r>
        <w:rPr>
          <w:rFonts w:hint="eastAsia" w:ascii="宋体" w:hAnsi="宋体" w:cstheme="minorEastAsia"/>
          <w:color w:val="auto"/>
          <w:szCs w:val="21"/>
          <w:highlight w:val="none"/>
          <w:u w:val="single"/>
        </w:rPr>
        <w:t xml:space="preserve">  24个 </w:t>
      </w:r>
      <w:r>
        <w:rPr>
          <w:rFonts w:ascii="宋体" w:hAnsi="宋体" w:cs="宋体"/>
          <w:color w:val="auto"/>
          <w:spacing w:val="-86"/>
          <w:szCs w:val="21"/>
          <w:highlight w:val="none"/>
        </w:rPr>
        <w:t xml:space="preserve"> </w:t>
      </w:r>
      <w:r>
        <w:rPr>
          <w:rFonts w:ascii="宋体" w:hAnsi="宋体" w:cs="宋体"/>
          <w:color w:val="auto"/>
          <w:spacing w:val="5"/>
          <w:szCs w:val="21"/>
          <w:highlight w:val="none"/>
        </w:rPr>
        <w:t>月。</w:t>
      </w:r>
    </w:p>
    <w:p w14:paraId="0A33FABA">
      <w:pPr>
        <w:widowControl/>
        <w:kinsoku w:val="0"/>
        <w:autoSpaceDE w:val="0"/>
        <w:autoSpaceDN w:val="0"/>
        <w:adjustRightInd w:val="0"/>
        <w:snapToGrid w:val="0"/>
        <w:spacing w:before="163"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1.1.4.6  基准日期：</w:t>
      </w:r>
      <w:r>
        <w:rPr>
          <w:rFonts w:hint="eastAsia" w:ascii="宋体" w:hAnsi="宋体" w:cstheme="minorEastAsia"/>
          <w:color w:val="auto"/>
          <w:szCs w:val="21"/>
          <w:highlight w:val="none"/>
          <w:u w:val="single"/>
        </w:rPr>
        <w:t xml:space="preserve">      /     </w:t>
      </w:r>
    </w:p>
    <w:p w14:paraId="10A6F8AC">
      <w:pPr>
        <w:widowControl/>
        <w:kinsoku w:val="0"/>
        <w:autoSpaceDE w:val="0"/>
        <w:autoSpaceDN w:val="0"/>
        <w:adjustRightInd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1.1.8  其他需要补充的内容</w:t>
      </w:r>
    </w:p>
    <w:p w14:paraId="2BE6BD57">
      <w:pPr>
        <w:widowControl/>
        <w:kinsoku w:val="0"/>
        <w:autoSpaceDE w:val="0"/>
        <w:autoSpaceDN w:val="0"/>
        <w:adjustRightInd w:val="0"/>
        <w:snapToGrid w:val="0"/>
        <w:spacing w:before="161" w:line="360" w:lineRule="auto"/>
        <w:ind w:left="664"/>
        <w:textAlignment w:val="baseline"/>
        <w:rPr>
          <w:rFonts w:hint="eastAsia" w:ascii="宋体" w:hAnsi="宋体"/>
          <w:color w:val="auto"/>
          <w:szCs w:val="21"/>
          <w:highlight w:val="none"/>
        </w:rPr>
      </w:pPr>
      <w:r>
        <w:rPr>
          <w:rFonts w:ascii="宋体" w:hAnsi="宋体" w:cs="宋体"/>
          <w:color w:val="auto"/>
          <w:spacing w:val="4"/>
          <w:szCs w:val="21"/>
          <w:highlight w:val="none"/>
        </w:rPr>
        <w:t>1.1.8.5  其他需要补充的内容：</w:t>
      </w:r>
      <w:r>
        <w:rPr>
          <w:rFonts w:hint="eastAsia" w:ascii="宋体" w:hAnsi="宋体" w:cstheme="minorEastAsia"/>
          <w:color w:val="auto"/>
          <w:szCs w:val="21"/>
          <w:highlight w:val="none"/>
          <w:u w:val="single"/>
        </w:rPr>
        <w:t xml:space="preserve">      /     </w:t>
      </w:r>
    </w:p>
    <w:p w14:paraId="36102817">
      <w:pPr>
        <w:widowControl/>
        <w:kinsoku w:val="0"/>
        <w:autoSpaceDE w:val="0"/>
        <w:autoSpaceDN w:val="0"/>
        <w:adjustRightInd w:val="0"/>
        <w:snapToGrid w:val="0"/>
        <w:spacing w:before="286" w:line="360" w:lineRule="auto"/>
        <w:ind w:left="38"/>
        <w:textAlignment w:val="baseline"/>
        <w:outlineLvl w:val="2"/>
        <w:rPr>
          <w:rFonts w:hint="eastAsia" w:ascii="宋体" w:hAnsi="宋体" w:cs="宋体"/>
          <w:color w:val="auto"/>
          <w:szCs w:val="21"/>
          <w:highlight w:val="none"/>
        </w:rPr>
      </w:pPr>
      <w:bookmarkStart w:id="733" w:name="bookmark100"/>
      <w:bookmarkEnd w:id="733"/>
      <w:r>
        <w:rPr>
          <w:rFonts w:ascii="宋体" w:hAnsi="宋体" w:cs="宋体"/>
          <w:color w:val="auto"/>
          <w:spacing w:val="-2"/>
          <w:szCs w:val="21"/>
          <w:highlight w:val="none"/>
        </w:rPr>
        <w:t>1.4  合同文件的优先顺序</w:t>
      </w:r>
    </w:p>
    <w:p w14:paraId="29F3AE3B">
      <w:pPr>
        <w:widowControl/>
        <w:kinsoku w:val="0"/>
        <w:autoSpaceDE w:val="0"/>
        <w:autoSpaceDN w:val="0"/>
        <w:adjustRightInd w:val="0"/>
        <w:snapToGrid w:val="0"/>
        <w:spacing w:before="296" w:line="360" w:lineRule="auto"/>
        <w:ind w:left="503"/>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合同文件的优先解释顺序如下：</w:t>
      </w:r>
    </w:p>
    <w:p w14:paraId="269CD738">
      <w:pPr>
        <w:widowControl/>
        <w:kinsoku w:val="0"/>
        <w:autoSpaceDE w:val="0"/>
        <w:autoSpaceDN w:val="0"/>
        <w:adjustRightInd w:val="0"/>
        <w:snapToGrid w:val="0"/>
        <w:spacing w:before="160"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（1）合同协议书；</w:t>
      </w:r>
    </w:p>
    <w:p w14:paraId="3B529000">
      <w:pPr>
        <w:widowControl/>
        <w:kinsoku w:val="0"/>
        <w:autoSpaceDE w:val="0"/>
        <w:autoSpaceDN w:val="0"/>
        <w:adjustRightInd w:val="0"/>
        <w:snapToGrid w:val="0"/>
        <w:spacing w:before="163"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（2）中标通知书；</w:t>
      </w:r>
    </w:p>
    <w:p w14:paraId="3E618C18">
      <w:pPr>
        <w:widowControl/>
        <w:kinsoku w:val="0"/>
        <w:autoSpaceDE w:val="0"/>
        <w:autoSpaceDN w:val="0"/>
        <w:adjustRightInd w:val="0"/>
        <w:snapToGrid w:val="0"/>
        <w:spacing w:before="161" w:line="360" w:lineRule="auto"/>
        <w:ind w:left="512"/>
        <w:textAlignment w:val="baseline"/>
        <w:rPr>
          <w:rFonts w:hint="eastAsia" w:ascii="宋体" w:hAnsi="宋体" w:cs="宋体"/>
          <w:color w:val="auto"/>
          <w:szCs w:val="21"/>
          <w:highlight w:val="none"/>
        </w:rPr>
      </w:pPr>
      <w:r>
        <w:rPr>
          <w:rFonts w:ascii="宋体" w:hAnsi="宋体" w:cs="宋体"/>
          <w:color w:val="auto"/>
          <w:spacing w:val="7"/>
          <w:szCs w:val="21"/>
          <w:highlight w:val="none"/>
        </w:rPr>
        <w:t>（3）投标函及投标函附录；</w:t>
      </w:r>
    </w:p>
    <w:p w14:paraId="5BBA4785">
      <w:pPr>
        <w:widowControl/>
        <w:kinsoku w:val="0"/>
        <w:autoSpaceDE w:val="0"/>
        <w:autoSpaceDN w:val="0"/>
        <w:adjustRightInd w:val="0"/>
        <w:snapToGrid w:val="0"/>
        <w:spacing w:before="162" w:line="360" w:lineRule="auto"/>
        <w:ind w:left="512"/>
        <w:textAlignment w:val="baseline"/>
        <w:rPr>
          <w:rFonts w:hint="eastAsia" w:ascii="宋体" w:hAnsi="宋体"/>
          <w:color w:val="auto"/>
          <w:szCs w:val="21"/>
          <w:highlight w:val="none"/>
        </w:rPr>
      </w:pPr>
      <w:r>
        <w:rPr>
          <w:rFonts w:ascii="宋体" w:hAnsi="宋体" w:cs="宋体"/>
          <w:color w:val="auto"/>
          <w:spacing w:val="7"/>
          <w:szCs w:val="21"/>
          <w:highlight w:val="none"/>
        </w:rPr>
        <w:t>（4）合同条款专用部分；</w:t>
      </w:r>
    </w:p>
    <w:p w14:paraId="4264BC21">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（5）合同条款通用部分；</w:t>
      </w:r>
    </w:p>
    <w:p w14:paraId="607746C6">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（6）</w:t>
      </w:r>
      <w:r>
        <w:rPr>
          <w:rFonts w:hint="eastAsia" w:ascii="宋体" w:hAnsi="宋体" w:cs="宋体"/>
          <w:color w:val="auto"/>
          <w:spacing w:val="5"/>
          <w:szCs w:val="21"/>
          <w:highlight w:val="none"/>
          <w:u w:val="single"/>
        </w:rPr>
        <w:t>已标价工程量清单；</w:t>
      </w:r>
    </w:p>
    <w:p w14:paraId="34F2A195">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（7）</w:t>
      </w:r>
      <w:r>
        <w:rPr>
          <w:rFonts w:hint="eastAsia" w:ascii="宋体" w:hAnsi="宋体" w:cs="宋体"/>
          <w:color w:val="auto"/>
          <w:spacing w:val="5"/>
          <w:szCs w:val="21"/>
          <w:highlight w:val="none"/>
          <w:u w:val="single"/>
        </w:rPr>
        <w:t>技术标准和要求；</w:t>
      </w:r>
    </w:p>
    <w:p w14:paraId="1F22CC57">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（8）</w:t>
      </w:r>
      <w:r>
        <w:rPr>
          <w:rFonts w:hint="eastAsia" w:ascii="宋体" w:hAnsi="宋体" w:cs="宋体"/>
          <w:color w:val="auto"/>
          <w:spacing w:val="5"/>
          <w:szCs w:val="21"/>
          <w:highlight w:val="none"/>
          <w:u w:val="single"/>
        </w:rPr>
        <w:t>图纸；</w:t>
      </w:r>
    </w:p>
    <w:p w14:paraId="7EC70E21">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（9）</w:t>
      </w:r>
      <w:r>
        <w:rPr>
          <w:rFonts w:hint="eastAsia" w:ascii="宋体" w:hAnsi="宋体" w:cs="宋体"/>
          <w:color w:val="auto"/>
          <w:spacing w:val="5"/>
          <w:szCs w:val="21"/>
          <w:highlight w:val="none"/>
          <w:u w:val="single"/>
        </w:rPr>
        <w:t>其他合同文件</w:t>
      </w:r>
    </w:p>
    <w:p w14:paraId="5DA59229">
      <w:pPr>
        <w:widowControl/>
        <w:kinsoku w:val="0"/>
        <w:autoSpaceDE w:val="0"/>
        <w:autoSpaceDN w:val="0"/>
        <w:adjustRightInd w:val="0"/>
        <w:snapToGrid w:val="0"/>
        <w:spacing w:before="147" w:line="360" w:lineRule="auto"/>
        <w:ind w:left="21" w:right="13" w:firstLine="488"/>
        <w:textAlignment w:val="baseline"/>
        <w:rPr>
          <w:rFonts w:hint="eastAsia" w:ascii="宋体" w:hAnsi="宋体" w:cs="宋体"/>
          <w:color w:val="auto"/>
          <w:szCs w:val="21"/>
          <w:highlight w:val="none"/>
        </w:rPr>
      </w:pPr>
      <w:r>
        <w:rPr>
          <w:rFonts w:ascii="宋体" w:hAnsi="宋体" w:cs="宋体"/>
          <w:color w:val="auto"/>
          <w:spacing w:val="9"/>
          <w:szCs w:val="21"/>
          <w:highlight w:val="none"/>
        </w:rPr>
        <w:t>（说明</w:t>
      </w:r>
      <w:r>
        <w:rPr>
          <w:rFonts w:ascii="宋体" w:hAnsi="宋体" w:cs="宋体"/>
          <w:color w:val="auto"/>
          <w:spacing w:val="-9"/>
          <w:szCs w:val="21"/>
          <w:highlight w:val="none"/>
        </w:rPr>
        <w:t>：（</w:t>
      </w:r>
      <w:r>
        <w:rPr>
          <w:rFonts w:ascii="宋体" w:hAnsi="宋体" w:cs="宋体"/>
          <w:color w:val="auto"/>
          <w:spacing w:val="9"/>
          <w:szCs w:val="21"/>
          <w:highlight w:val="none"/>
        </w:rPr>
        <w:t>6）、（7）、（8）填空内容分别限于技术标准和要求、图纸</w:t>
      </w:r>
      <w:r>
        <w:rPr>
          <w:rFonts w:ascii="宋体" w:hAnsi="宋体" w:cs="宋体"/>
          <w:color w:val="auto"/>
          <w:spacing w:val="8"/>
          <w:szCs w:val="21"/>
          <w:highlight w:val="none"/>
        </w:rPr>
        <w:t>、合同清单三</w:t>
      </w:r>
      <w:r>
        <w:rPr>
          <w:rFonts w:ascii="宋体" w:hAnsi="宋体" w:cs="宋体"/>
          <w:color w:val="auto"/>
          <w:szCs w:val="21"/>
          <w:highlight w:val="none"/>
        </w:rPr>
        <w:t xml:space="preserve"> </w:t>
      </w:r>
      <w:r>
        <w:rPr>
          <w:rFonts w:ascii="宋体" w:hAnsi="宋体" w:cs="宋体"/>
          <w:color w:val="auto"/>
          <w:spacing w:val="4"/>
          <w:szCs w:val="21"/>
          <w:highlight w:val="none"/>
        </w:rPr>
        <w:t>者之一。）</w:t>
      </w:r>
    </w:p>
    <w:p w14:paraId="3F537B09">
      <w:pPr>
        <w:widowControl/>
        <w:kinsoku w:val="0"/>
        <w:autoSpaceDE w:val="0"/>
        <w:autoSpaceDN w:val="0"/>
        <w:adjustRightInd w:val="0"/>
        <w:snapToGrid w:val="0"/>
        <w:spacing w:before="118" w:line="360" w:lineRule="auto"/>
        <w:ind w:left="38"/>
        <w:textAlignment w:val="baseline"/>
        <w:outlineLvl w:val="2"/>
        <w:rPr>
          <w:rFonts w:hint="eastAsia" w:ascii="宋体" w:hAnsi="宋体" w:cs="宋体"/>
          <w:color w:val="auto"/>
          <w:szCs w:val="21"/>
          <w:highlight w:val="none"/>
        </w:rPr>
      </w:pPr>
      <w:bookmarkStart w:id="734" w:name="bookmark101"/>
      <w:bookmarkEnd w:id="734"/>
      <w:r>
        <w:rPr>
          <w:rFonts w:ascii="宋体" w:hAnsi="宋体" w:cs="宋体"/>
          <w:color w:val="auto"/>
          <w:spacing w:val="-3"/>
          <w:szCs w:val="21"/>
          <w:highlight w:val="none"/>
        </w:rPr>
        <w:t>1.5  合同协议书</w:t>
      </w:r>
    </w:p>
    <w:p w14:paraId="203A9146">
      <w:pPr>
        <w:widowControl/>
        <w:kinsoku w:val="0"/>
        <w:autoSpaceDE w:val="0"/>
        <w:autoSpaceDN w:val="0"/>
        <w:adjustRightInd w:val="0"/>
        <w:snapToGrid w:val="0"/>
        <w:spacing w:before="297" w:line="360" w:lineRule="auto"/>
        <w:ind w:left="440"/>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合同生效的条件：</w:t>
      </w:r>
      <w:r>
        <w:rPr>
          <w:rFonts w:hint="eastAsia" w:ascii="宋体" w:hAnsi="宋体" w:cstheme="minorEastAsia"/>
          <w:color w:val="auto"/>
          <w:szCs w:val="21"/>
          <w:highlight w:val="none"/>
          <w:u w:val="single"/>
        </w:rPr>
        <w:t>双方签字并盖章。</w:t>
      </w:r>
    </w:p>
    <w:p w14:paraId="5B3A3033">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5" w:name="bookmark102"/>
      <w:bookmarkEnd w:id="735"/>
      <w:r>
        <w:rPr>
          <w:rFonts w:ascii="宋体" w:hAnsi="宋体" w:cs="宋体"/>
          <w:color w:val="auto"/>
          <w:spacing w:val="-6"/>
          <w:szCs w:val="21"/>
          <w:highlight w:val="none"/>
        </w:rPr>
        <w:t>1.6</w:t>
      </w:r>
      <w:r>
        <w:rPr>
          <w:rFonts w:ascii="宋体" w:hAnsi="宋体" w:cs="宋体"/>
          <w:color w:val="auto"/>
          <w:spacing w:val="18"/>
          <w:szCs w:val="21"/>
          <w:highlight w:val="none"/>
        </w:rPr>
        <w:t xml:space="preserve">  </w:t>
      </w:r>
      <w:r>
        <w:rPr>
          <w:rFonts w:ascii="宋体" w:hAnsi="宋体" w:cs="宋体"/>
          <w:color w:val="auto"/>
          <w:spacing w:val="-6"/>
          <w:szCs w:val="21"/>
          <w:highlight w:val="none"/>
        </w:rPr>
        <w:t>图纸和承包人文件</w:t>
      </w:r>
    </w:p>
    <w:p w14:paraId="73A27346">
      <w:pPr>
        <w:widowControl/>
        <w:kinsoku w:val="0"/>
        <w:autoSpaceDE w:val="0"/>
        <w:autoSpaceDN w:val="0"/>
        <w:adjustRightInd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1.6.1</w:t>
      </w:r>
      <w:r>
        <w:rPr>
          <w:rFonts w:ascii="宋体" w:hAnsi="宋体" w:cs="宋体"/>
          <w:color w:val="auto"/>
          <w:spacing w:val="19"/>
          <w:szCs w:val="21"/>
          <w:highlight w:val="none"/>
        </w:rPr>
        <w:t xml:space="preserve">  </w:t>
      </w:r>
      <w:r>
        <w:rPr>
          <w:rFonts w:ascii="宋体" w:hAnsi="宋体" w:cs="宋体"/>
          <w:color w:val="auto"/>
          <w:spacing w:val="2"/>
          <w:szCs w:val="21"/>
          <w:highlight w:val="none"/>
        </w:rPr>
        <w:t>图纸的提供</w:t>
      </w:r>
    </w:p>
    <w:p w14:paraId="04FEC130">
      <w:pPr>
        <w:widowControl/>
        <w:kinsoku w:val="0"/>
        <w:autoSpaceDE w:val="0"/>
        <w:autoSpaceDN w:val="0"/>
        <w:adjustRightInd w:val="0"/>
        <w:snapToGrid w:val="0"/>
        <w:spacing w:before="162" w:line="360" w:lineRule="auto"/>
        <w:ind w:left="648" w:right="28" w:hanging="199"/>
        <w:textAlignment w:val="baseline"/>
        <w:rPr>
          <w:rFonts w:hint="eastAsia" w:ascii="宋体" w:hAnsi="宋体" w:cs="宋体"/>
          <w:color w:val="auto"/>
          <w:szCs w:val="21"/>
          <w:highlight w:val="none"/>
        </w:rPr>
      </w:pPr>
      <w:r>
        <w:rPr>
          <w:rFonts w:ascii="宋体" w:hAnsi="宋体" w:cs="宋体"/>
          <w:color w:val="auto"/>
          <w:spacing w:val="6"/>
          <w:szCs w:val="21"/>
          <w:highlight w:val="none"/>
        </w:rPr>
        <w:t>（5）发包人提供图纸的期限：</w:t>
      </w:r>
      <w:r>
        <w:rPr>
          <w:rFonts w:hint="eastAsia" w:ascii="宋体" w:hAnsi="宋体" w:cstheme="minorEastAsia"/>
          <w:color w:val="auto"/>
          <w:szCs w:val="21"/>
          <w:highlight w:val="none"/>
          <w:u w:val="single"/>
        </w:rPr>
        <w:t>合同签订后14天内。</w:t>
      </w:r>
      <w:r>
        <w:rPr>
          <w:rFonts w:ascii="宋体" w:hAnsi="宋体" w:cs="宋体"/>
          <w:color w:val="auto"/>
          <w:szCs w:val="21"/>
          <w:highlight w:val="none"/>
        </w:rPr>
        <w:t xml:space="preserve"> </w:t>
      </w:r>
    </w:p>
    <w:p w14:paraId="737FCCF7">
      <w:pPr>
        <w:widowControl/>
        <w:kinsoku w:val="0"/>
        <w:autoSpaceDE w:val="0"/>
        <w:autoSpaceDN w:val="0"/>
        <w:adjustRightInd w:val="0"/>
        <w:snapToGrid w:val="0"/>
        <w:spacing w:before="162" w:line="360" w:lineRule="auto"/>
        <w:ind w:left="680" w:leftChars="324" w:right="28" w:firstLine="11" w:firstLineChars="5"/>
        <w:textAlignment w:val="baseline"/>
        <w:rPr>
          <w:rFonts w:hint="eastAsia" w:ascii="宋体" w:hAnsi="宋体" w:cs="宋体"/>
          <w:color w:val="auto"/>
          <w:szCs w:val="21"/>
          <w:highlight w:val="none"/>
        </w:rPr>
      </w:pPr>
      <w:r>
        <w:rPr>
          <w:rFonts w:ascii="宋体" w:hAnsi="宋体" w:cs="宋体"/>
          <w:color w:val="auto"/>
          <w:spacing w:val="6"/>
          <w:szCs w:val="21"/>
          <w:highlight w:val="none"/>
        </w:rPr>
        <w:t>发包人提供图纸的数量：</w:t>
      </w:r>
      <w:r>
        <w:rPr>
          <w:rFonts w:hint="eastAsia" w:ascii="宋体" w:hAnsi="宋体" w:cstheme="minorEastAsia"/>
          <w:color w:val="auto"/>
          <w:szCs w:val="21"/>
          <w:highlight w:val="none"/>
          <w:u w:val="single"/>
        </w:rPr>
        <w:t>8 套，其中4 套用于编制竣工图。</w:t>
      </w:r>
      <w:r>
        <w:rPr>
          <w:rFonts w:hint="eastAsia" w:ascii="宋体" w:hAnsi="宋体" w:cstheme="minorEastAsia"/>
          <w:color w:val="auto"/>
          <w:szCs w:val="21"/>
          <w:highlight w:val="none"/>
        </w:rPr>
        <w:br w:type="textWrapping"/>
      </w:r>
      <w:r>
        <w:rPr>
          <w:rFonts w:ascii="宋体" w:hAnsi="宋体" w:cs="宋体"/>
          <w:color w:val="auto"/>
          <w:spacing w:val="4"/>
          <w:szCs w:val="21"/>
          <w:highlight w:val="none"/>
        </w:rPr>
        <w:t>其他约定：</w:t>
      </w:r>
      <w:r>
        <w:rPr>
          <w:rFonts w:hint="eastAsia" w:ascii="宋体" w:hAnsi="宋体" w:cstheme="minorEastAsia"/>
          <w:color w:val="auto"/>
          <w:szCs w:val="21"/>
          <w:highlight w:val="none"/>
          <w:u w:val="single"/>
        </w:rPr>
        <w:t xml:space="preserve">   /    </w:t>
      </w:r>
    </w:p>
    <w:p w14:paraId="740C4670">
      <w:pPr>
        <w:widowControl/>
        <w:kinsoku w:val="0"/>
        <w:autoSpaceDE w:val="0"/>
        <w:autoSpaceDN w:val="0"/>
        <w:adjustRightInd w:val="0"/>
        <w:snapToGrid w:val="0"/>
        <w:spacing w:before="159"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1.6.2  承包人提供的文件</w:t>
      </w:r>
    </w:p>
    <w:p w14:paraId="28AFE7A1">
      <w:pPr>
        <w:pStyle w:val="21"/>
        <w:widowControl/>
        <w:tabs>
          <w:tab w:val="left" w:pos="8305"/>
          <w:tab w:val="clear" w:pos="567"/>
        </w:tabs>
        <w:kinsoku w:val="0"/>
        <w:autoSpaceDE w:val="0"/>
        <w:autoSpaceDN w:val="0"/>
        <w:adjustRightInd w:val="0"/>
        <w:snapToGrid w:val="0"/>
        <w:spacing w:before="169" w:line="360" w:lineRule="auto"/>
        <w:ind w:left="11" w:firstLine="440" w:firstLineChars="200"/>
        <w:textAlignment w:val="baseline"/>
        <w:rPr>
          <w:rFonts w:hint="eastAsia" w:cstheme="minorEastAsia"/>
          <w:snapToGrid w:val="0"/>
          <w:color w:val="auto"/>
          <w:kern w:val="0"/>
          <w:sz w:val="21"/>
          <w:szCs w:val="21"/>
          <w:highlight w:val="none"/>
          <w:u w:val="single"/>
        </w:rPr>
      </w:pPr>
      <w:r>
        <w:rPr>
          <w:rFonts w:cs="宋体"/>
          <w:color w:val="auto"/>
          <w:spacing w:val="5"/>
          <w:sz w:val="21"/>
          <w:szCs w:val="21"/>
          <w:highlight w:val="none"/>
        </w:rPr>
        <w:t>（1）</w:t>
      </w:r>
      <w:r>
        <w:rPr>
          <w:rFonts w:cs="宋体"/>
          <w:color w:val="auto"/>
          <w:spacing w:val="-52"/>
          <w:sz w:val="21"/>
          <w:szCs w:val="21"/>
          <w:highlight w:val="none"/>
        </w:rPr>
        <w:t xml:space="preserve"> </w:t>
      </w:r>
      <w:r>
        <w:rPr>
          <w:rFonts w:cs="宋体"/>
          <w:color w:val="auto"/>
          <w:spacing w:val="5"/>
          <w:sz w:val="21"/>
          <w:szCs w:val="21"/>
          <w:highlight w:val="none"/>
        </w:rPr>
        <w:t>由承包人提供的文件范围：</w:t>
      </w:r>
      <w:r>
        <w:rPr>
          <w:rFonts w:hint="eastAsia" w:cstheme="minorEastAsia"/>
          <w:snapToGrid w:val="0"/>
          <w:color w:val="auto"/>
          <w:kern w:val="0"/>
          <w:sz w:val="21"/>
          <w:szCs w:val="21"/>
          <w:highlight w:val="none"/>
          <w:u w:val="single"/>
        </w:rPr>
        <w:t>施工组织设计方案、施工进度计划（含分包招标、材料与设备采购进度计划）等监理、发包人认为必要的资料。其他应由承包人提供的文件包括：深化设计施工图纸（如果有）、必要的加工图和大样图等。</w:t>
      </w:r>
    </w:p>
    <w:p w14:paraId="34CCA9A2">
      <w:pPr>
        <w:widowControl/>
        <w:kinsoku w:val="0"/>
        <w:autoSpaceDE w:val="0"/>
        <w:autoSpaceDN w:val="0"/>
        <w:adjustRightInd w:val="0"/>
        <w:snapToGrid w:val="0"/>
        <w:spacing w:line="360" w:lineRule="auto"/>
        <w:ind w:firstLine="456" w:firstLineChars="200"/>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承包人提供文件的期限：</w:t>
      </w:r>
      <w:r>
        <w:rPr>
          <w:rFonts w:hint="eastAsia" w:ascii="宋体" w:hAnsi="宋体" w:cstheme="minorEastAsia"/>
          <w:color w:val="auto"/>
          <w:szCs w:val="21"/>
          <w:highlight w:val="none"/>
          <w:u w:val="single"/>
        </w:rPr>
        <w:t xml:space="preserve">合同签订后 3 日内提供满足工程进度需要的工期计划；施工组织设计方案在合同签订后 3 个工作日内提交；周进度计划在每周监理例会前一日提交；月、季进度计划在每月、季开始的 5 日前提交。 以上提交文件应向监理人、发包人等提交，并经发包人、监理人审批确认后方可实施。 </w:t>
      </w:r>
    </w:p>
    <w:p w14:paraId="208DA391">
      <w:pPr>
        <w:widowControl/>
        <w:kinsoku w:val="0"/>
        <w:autoSpaceDE w:val="0"/>
        <w:autoSpaceDN w:val="0"/>
        <w:adjustRightInd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承包人提供文件的数量：</w:t>
      </w:r>
      <w:r>
        <w:rPr>
          <w:rFonts w:hint="eastAsia" w:ascii="宋体" w:hAnsi="宋体" w:cstheme="minorEastAsia"/>
          <w:color w:val="auto"/>
          <w:szCs w:val="21"/>
          <w:highlight w:val="none"/>
          <w:u w:val="single"/>
        </w:rPr>
        <w:t>提供发包人，监理人，各一份。</w:t>
      </w:r>
    </w:p>
    <w:p w14:paraId="6C8D58FF">
      <w:pPr>
        <w:pStyle w:val="21"/>
        <w:widowControl/>
        <w:tabs>
          <w:tab w:val="left" w:pos="8305"/>
          <w:tab w:val="clear" w:pos="567"/>
        </w:tabs>
        <w:kinsoku w:val="0"/>
        <w:autoSpaceDE w:val="0"/>
        <w:autoSpaceDN w:val="0"/>
        <w:adjustRightInd w:val="0"/>
        <w:snapToGrid w:val="0"/>
        <w:spacing w:before="167"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监理人批复承包人提供文件的期限：</w:t>
      </w:r>
      <w:r>
        <w:rPr>
          <w:rFonts w:hint="eastAsia" w:cstheme="minorEastAsia"/>
          <w:color w:val="auto"/>
          <w:sz w:val="21"/>
          <w:szCs w:val="21"/>
          <w:highlight w:val="none"/>
          <w:u w:val="single"/>
        </w:rPr>
        <w:t>收到上述文件后 7 日内。</w:t>
      </w:r>
    </w:p>
    <w:p w14:paraId="285D6D35">
      <w:pPr>
        <w:pStyle w:val="21"/>
        <w:widowControl/>
        <w:tabs>
          <w:tab w:val="left" w:pos="8305"/>
          <w:tab w:val="clear" w:pos="567"/>
        </w:tabs>
        <w:kinsoku w:val="0"/>
        <w:autoSpaceDE w:val="0"/>
        <w:autoSpaceDN w:val="0"/>
        <w:adjustRightInd w:val="0"/>
        <w:snapToGrid w:val="0"/>
        <w:spacing w:before="167"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其他约定：</w:t>
      </w:r>
      <w:r>
        <w:rPr>
          <w:rFonts w:hint="eastAsia" w:cstheme="minorEastAsia"/>
          <w:color w:val="auto"/>
          <w:sz w:val="21"/>
          <w:szCs w:val="21"/>
          <w:highlight w:val="none"/>
          <w:u w:val="single"/>
        </w:rPr>
        <w:t xml:space="preserve">    /   </w:t>
      </w:r>
    </w:p>
    <w:p w14:paraId="652E4751">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6" w:name="bookmark103"/>
      <w:bookmarkEnd w:id="736"/>
      <w:r>
        <w:rPr>
          <w:rFonts w:ascii="宋体" w:hAnsi="宋体" w:cs="宋体"/>
          <w:color w:val="auto"/>
          <w:spacing w:val="-8"/>
          <w:szCs w:val="21"/>
          <w:highlight w:val="none"/>
        </w:rPr>
        <w:t>1.7</w:t>
      </w:r>
      <w:r>
        <w:rPr>
          <w:rFonts w:ascii="宋体" w:hAnsi="宋体" w:cs="宋体"/>
          <w:color w:val="auto"/>
          <w:spacing w:val="5"/>
          <w:szCs w:val="21"/>
          <w:highlight w:val="none"/>
        </w:rPr>
        <w:t xml:space="preserve">  </w:t>
      </w:r>
      <w:r>
        <w:rPr>
          <w:rFonts w:ascii="宋体" w:hAnsi="宋体" w:cs="宋体"/>
          <w:color w:val="auto"/>
          <w:spacing w:val="-8"/>
          <w:szCs w:val="21"/>
          <w:highlight w:val="none"/>
        </w:rPr>
        <w:t>联</w:t>
      </w:r>
      <w:r>
        <w:rPr>
          <w:rFonts w:ascii="宋体" w:hAnsi="宋体" w:cs="宋体"/>
          <w:color w:val="auto"/>
          <w:spacing w:val="12"/>
          <w:szCs w:val="21"/>
          <w:highlight w:val="none"/>
        </w:rPr>
        <w:t xml:space="preserve"> </w:t>
      </w:r>
      <w:r>
        <w:rPr>
          <w:rFonts w:ascii="宋体" w:hAnsi="宋体" w:cs="宋体"/>
          <w:color w:val="auto"/>
          <w:spacing w:val="-8"/>
          <w:szCs w:val="21"/>
          <w:highlight w:val="none"/>
        </w:rPr>
        <w:t>络</w:t>
      </w:r>
    </w:p>
    <w:p w14:paraId="4317757D">
      <w:pPr>
        <w:widowControl/>
        <w:kinsoku w:val="0"/>
        <w:autoSpaceDE w:val="0"/>
        <w:autoSpaceDN w:val="0"/>
        <w:adjustRightInd w:val="0"/>
        <w:snapToGrid w:val="0"/>
        <w:spacing w:before="29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  联络来往函件的送达和接收</w:t>
      </w:r>
    </w:p>
    <w:p w14:paraId="017088AE">
      <w:pPr>
        <w:widowControl/>
        <w:kinsoku w:val="0"/>
        <w:autoSpaceDE w:val="0"/>
        <w:autoSpaceDN w:val="0"/>
        <w:adjustRightInd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（2）发包人指定的接收地点：</w:t>
      </w:r>
      <w:r>
        <w:rPr>
          <w:rFonts w:hint="eastAsia" w:ascii="宋体" w:hAnsi="宋体" w:cstheme="minorEastAsia"/>
          <w:color w:val="auto"/>
          <w:szCs w:val="21"/>
          <w:highlight w:val="none"/>
          <w:u w:val="single"/>
        </w:rPr>
        <w:t xml:space="preserve">      </w:t>
      </w:r>
    </w:p>
    <w:p w14:paraId="2E37C7D2">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发包人指定的接收人为：</w:t>
      </w:r>
      <w:r>
        <w:rPr>
          <w:rFonts w:hint="eastAsia" w:ascii="宋体" w:hAnsi="宋体" w:cstheme="minorEastAsia"/>
          <w:color w:val="auto"/>
          <w:szCs w:val="21"/>
          <w:highlight w:val="none"/>
          <w:u w:val="single"/>
        </w:rPr>
        <w:t xml:space="preserve">       </w:t>
      </w:r>
    </w:p>
    <w:p w14:paraId="5D9D4F7B">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监理人指定的接收地点：</w:t>
      </w:r>
      <w:r>
        <w:rPr>
          <w:rFonts w:hint="eastAsia" w:ascii="宋体" w:hAnsi="宋体" w:cstheme="minorEastAsia"/>
          <w:color w:val="auto"/>
          <w:szCs w:val="21"/>
          <w:highlight w:val="none"/>
          <w:u w:val="single"/>
        </w:rPr>
        <w:t xml:space="preserve">       </w:t>
      </w:r>
    </w:p>
    <w:p w14:paraId="199CFD89">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监理人指定的接收人为：</w:t>
      </w:r>
      <w:r>
        <w:rPr>
          <w:rFonts w:hint="eastAsia" w:ascii="宋体" w:hAnsi="宋体" w:cstheme="minorEastAsia"/>
          <w:color w:val="auto"/>
          <w:szCs w:val="21"/>
          <w:highlight w:val="none"/>
          <w:u w:val="single"/>
        </w:rPr>
        <w:t xml:space="preserve">       </w:t>
      </w:r>
    </w:p>
    <w:p w14:paraId="0F6F5159">
      <w:pPr>
        <w:widowControl/>
        <w:kinsoku w:val="0"/>
        <w:snapToGrid w:val="0"/>
        <w:spacing w:before="65"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（4）承包人指定的接收地点：</w:t>
      </w:r>
      <w:r>
        <w:rPr>
          <w:rFonts w:hint="eastAsia" w:ascii="宋体" w:hAnsi="宋体" w:cstheme="minorEastAsia"/>
          <w:color w:val="auto"/>
          <w:szCs w:val="21"/>
          <w:highlight w:val="none"/>
          <w:u w:val="single"/>
        </w:rPr>
        <w:t xml:space="preserve">      </w:t>
      </w:r>
    </w:p>
    <w:p w14:paraId="3EA1896F">
      <w:pPr>
        <w:widowControl/>
        <w:kinsoku w:val="0"/>
        <w:snapToGrid w:val="0"/>
        <w:spacing w:before="284" w:line="360" w:lineRule="auto"/>
        <w:ind w:left="27"/>
        <w:textAlignment w:val="baseline"/>
        <w:outlineLvl w:val="2"/>
        <w:rPr>
          <w:rFonts w:hint="eastAsia" w:ascii="宋体" w:hAnsi="宋体" w:cs="宋体"/>
          <w:color w:val="auto"/>
          <w:szCs w:val="21"/>
          <w:highlight w:val="none"/>
        </w:rPr>
      </w:pPr>
      <w:bookmarkStart w:id="737" w:name="bookmark104"/>
      <w:bookmarkEnd w:id="737"/>
      <w:r>
        <w:rPr>
          <w:rFonts w:ascii="宋体" w:hAnsi="宋体" w:cs="宋体"/>
          <w:color w:val="auto"/>
          <w:spacing w:val="-1"/>
          <w:szCs w:val="21"/>
          <w:highlight w:val="none"/>
        </w:rPr>
        <w:t>1.13  工程量清单缺陷引起的价格调整（适用于采用单价合同形式）</w:t>
      </w:r>
    </w:p>
    <w:p w14:paraId="1709985F">
      <w:pPr>
        <w:widowControl/>
        <w:kinsoku w:val="0"/>
        <w:snapToGrid w:val="0"/>
        <w:spacing w:before="299" w:line="360" w:lineRule="auto"/>
        <w:ind w:firstLine="448" w:firstLineChars="200"/>
        <w:textAlignment w:val="baseline"/>
        <w:rPr>
          <w:rFonts w:hint="eastAsia" w:ascii="宋体" w:hAnsi="宋体" w:cs="宋体"/>
          <w:color w:val="auto"/>
          <w:szCs w:val="21"/>
          <w:highlight w:val="none"/>
        </w:rPr>
      </w:pPr>
      <w:r>
        <w:rPr>
          <w:rFonts w:ascii="宋体" w:hAnsi="宋体" w:cs="宋体"/>
          <w:color w:val="auto"/>
          <w:spacing w:val="7"/>
          <w:szCs w:val="21"/>
          <w:highlight w:val="none"/>
        </w:rPr>
        <w:t>因工程量清单缺陷引起的价格调整办法：</w:t>
      </w:r>
    </w:p>
    <w:p w14:paraId="45B66EB7">
      <w:pPr>
        <w:widowControl/>
        <w:kinsoku w:val="0"/>
        <w:snapToGrid w:val="0"/>
        <w:spacing w:before="162" w:line="360" w:lineRule="auto"/>
        <w:ind w:left="438"/>
        <w:textAlignment w:val="baseline"/>
        <w:rPr>
          <w:rFonts w:hint="eastAsia" w:ascii="宋体" w:hAnsi="宋体" w:cs="宋体"/>
          <w:color w:val="auto"/>
          <w:szCs w:val="21"/>
          <w:highlight w:val="none"/>
        </w:rPr>
      </w:pPr>
      <w:r>
        <w:rPr>
          <w:rFonts w:ascii="宋体" w:hAnsi="宋体" w:cs="宋体"/>
          <w:color w:val="auto"/>
          <w:spacing w:val="7"/>
          <w:szCs w:val="21"/>
          <w:highlight w:val="none"/>
        </w:rPr>
        <w:t>（1）</w:t>
      </w:r>
      <w:r>
        <w:rPr>
          <w:rFonts w:ascii="宋体" w:hAnsi="宋体" w:cs="宋体"/>
          <w:color w:val="auto"/>
          <w:spacing w:val="-53"/>
          <w:szCs w:val="21"/>
          <w:highlight w:val="none"/>
        </w:rPr>
        <w:t xml:space="preserve"> </w:t>
      </w:r>
      <w:r>
        <w:rPr>
          <w:rFonts w:ascii="宋体" w:hAnsi="宋体" w:cs="宋体"/>
          <w:color w:val="auto"/>
          <w:spacing w:val="7"/>
          <w:szCs w:val="21"/>
          <w:highlight w:val="none"/>
        </w:rPr>
        <w:t>以项计价的分部分项工程清单项目不应重新计量及调整。</w:t>
      </w:r>
    </w:p>
    <w:p w14:paraId="1974F293">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bookmarkStart w:id="738" w:name="bookmark107"/>
      <w:bookmarkEnd w:id="738"/>
      <w:bookmarkStart w:id="739" w:name="bookmark105"/>
      <w:bookmarkEnd w:id="739"/>
      <w:bookmarkStart w:id="740" w:name="bookmark106"/>
      <w:bookmarkEnd w:id="740"/>
      <w:r>
        <w:rPr>
          <w:rFonts w:ascii="宋体" w:hAnsi="宋体" w:cs="宋体"/>
          <w:color w:val="auto"/>
          <w:spacing w:val="1"/>
          <w:szCs w:val="21"/>
          <w:highlight w:val="none"/>
        </w:rPr>
        <w:t>（2）</w:t>
      </w:r>
      <w:r>
        <w:rPr>
          <w:rFonts w:hint="eastAsia" w:ascii="宋体" w:hAnsi="宋体" w:cstheme="minorEastAsia"/>
          <w:color w:val="auto"/>
          <w:szCs w:val="21"/>
          <w:highlight w:val="none"/>
          <w:u w:val="single"/>
        </w:rPr>
        <w:t>应</w:t>
      </w:r>
      <w:r>
        <w:rPr>
          <w:rFonts w:hint="eastAsia" w:ascii="宋体" w:hAnsi="宋体" w:cstheme="minorEastAsia"/>
          <w:color w:val="auto"/>
          <w:szCs w:val="21"/>
          <w:highlight w:val="none"/>
          <w:u w:val="single"/>
          <w:lang w:val="en-US" w:eastAsia="zh-CN"/>
        </w:rPr>
        <w:t>按以下</w:t>
      </w:r>
      <w:r>
        <w:rPr>
          <w:rFonts w:hint="eastAsia" w:ascii="宋体" w:hAnsi="宋体" w:cstheme="minorEastAsia"/>
          <w:color w:val="auto"/>
          <w:szCs w:val="21"/>
          <w:highlight w:val="none"/>
          <w:u w:val="single"/>
        </w:rPr>
        <w:t>规定重新计量合同图纸的分部分项工程项目清单的所有清单项目及工程量</w:t>
      </w:r>
      <w:r>
        <w:rPr>
          <w:rFonts w:hint="eastAsia" w:ascii="宋体" w:hAnsi="宋体" w:cstheme="minorEastAsia"/>
          <w:color w:val="auto"/>
          <w:szCs w:val="21"/>
          <w:highlight w:val="none"/>
          <w:u w:val="single"/>
          <w:lang w:eastAsia="zh-CN"/>
        </w:rPr>
        <w:t>：</w:t>
      </w:r>
    </w:p>
    <w:p w14:paraId="60B9A08C">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分部分项工程项目清单的单价计价清单项目应依据发包人提供的工程实际施工图纸及颁发和确认的变更指令，按照合同约定的国家及行业工程量计算标准及补充的工程量计算规则进行重新计量，可作为计算分部分项工程项目清单价格的依据。</w:t>
      </w:r>
    </w:p>
    <w:p w14:paraId="1D9E41B0">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以综合单价形式计价，在分部分项工程项目清单中所列属于措施项目的模板等工程及合同约定应予计量的其他措施项目，可按</w:t>
      </w:r>
      <w:r>
        <w:rPr>
          <w:rFonts w:hint="eastAsia" w:ascii="宋体" w:hAnsi="宋体" w:cstheme="minorEastAsia"/>
          <w:color w:val="auto"/>
          <w:szCs w:val="21"/>
          <w:highlight w:val="none"/>
          <w:u w:val="single"/>
          <w:lang w:val="en-US" w:eastAsia="zh-CN"/>
        </w:rPr>
        <w:t>上一条</w:t>
      </w:r>
      <w:r>
        <w:rPr>
          <w:rFonts w:hint="eastAsia" w:ascii="宋体" w:hAnsi="宋体" w:cstheme="minorEastAsia"/>
          <w:color w:val="auto"/>
          <w:szCs w:val="21"/>
          <w:highlight w:val="none"/>
          <w:u w:val="single"/>
          <w:lang w:eastAsia="zh-CN"/>
        </w:rPr>
        <w:t>的规定执行。</w:t>
      </w:r>
    </w:p>
    <w:p w14:paraId="2B893C8A">
      <w:pPr>
        <w:widowControl/>
        <w:kinsoku w:val="0"/>
        <w:snapToGrid w:val="0"/>
        <w:spacing w:before="161" w:line="360" w:lineRule="auto"/>
        <w:ind w:firstLine="420" w:firstLineChars="200"/>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并按下列规定调整其与已标价工程量清单存在差异的工程量清单缺陷引起的合同价格</w:t>
      </w:r>
      <w:r>
        <w:rPr>
          <w:rFonts w:hint="eastAsia" w:ascii="宋体" w:hAnsi="宋体" w:cstheme="minorEastAsia"/>
          <w:color w:val="auto"/>
          <w:szCs w:val="21"/>
          <w:highlight w:val="none"/>
          <w:u w:val="single"/>
          <w:lang w:eastAsia="zh-CN"/>
        </w:rPr>
        <w:t>：</w:t>
      </w:r>
    </w:p>
    <w:p w14:paraId="4E6DC64A">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1</w:t>
      </w:r>
      <w:r>
        <w:rPr>
          <w:rFonts w:hint="eastAsia" w:ascii="宋体" w:hAnsi="宋体" w:cstheme="minorEastAsia"/>
          <w:color w:val="auto"/>
          <w:szCs w:val="21"/>
          <w:highlight w:val="none"/>
          <w:u w:val="single"/>
          <w:lang w:eastAsia="zh-CN"/>
        </w:rPr>
        <w:t>）</w:t>
      </w:r>
      <w:r>
        <w:rPr>
          <w:rFonts w:hint="eastAsia" w:ascii="宋体" w:hAnsi="宋体" w:cstheme="minorEastAsia"/>
          <w:color w:val="auto"/>
          <w:szCs w:val="21"/>
          <w:highlight w:val="none"/>
          <w:u w:val="single"/>
        </w:rPr>
        <w:t>工程量清单缺陷引起清单项目变化(项目增减)，或清单工程量增加或减少且增减工程量未超过相应清单项目合同清单所含工程量的15%(含15%)的，应按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4B022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相同施工条件下实施相同项目特征的清单项目，应采用相应的合同单价</w:t>
      </w:r>
      <w:r>
        <w:rPr>
          <w:rFonts w:hint="eastAsia" w:ascii="宋体" w:hAnsi="宋体" w:cstheme="minorEastAsia"/>
          <w:color w:val="auto"/>
          <w:szCs w:val="21"/>
          <w:highlight w:val="none"/>
          <w:u w:val="single"/>
          <w:lang w:eastAsia="zh-CN"/>
        </w:rPr>
        <w:t>。</w:t>
      </w:r>
    </w:p>
    <w:p w14:paraId="50809B00">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相同施工条件下实施类似项目特征的清单项目或类似施工条件下实施相同项目特征的清单项目，应采用类似清单项目的合同单价换算调整后的综合单价</w:t>
      </w:r>
      <w:r>
        <w:rPr>
          <w:rFonts w:hint="eastAsia" w:ascii="宋体" w:hAnsi="宋体" w:cstheme="minorEastAsia"/>
          <w:color w:val="auto"/>
          <w:szCs w:val="21"/>
          <w:highlight w:val="none"/>
          <w:u w:val="single"/>
          <w:lang w:eastAsia="zh-CN"/>
        </w:rPr>
        <w:t>。</w:t>
      </w:r>
    </w:p>
    <w:p w14:paraId="53E4A577">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相同施工条件下实施不同项目特征的清单项目或不同施工条件下实施相同项目特征的清单项目，可依据工程实施情况，结合类似项目的合同单价计价规则及报价水平，协商确定市场合理的综合单价</w:t>
      </w:r>
      <w:r>
        <w:rPr>
          <w:rFonts w:hint="eastAsia" w:ascii="宋体" w:hAnsi="宋体" w:cstheme="minorEastAsia"/>
          <w:color w:val="auto"/>
          <w:szCs w:val="21"/>
          <w:highlight w:val="none"/>
          <w:u w:val="single"/>
          <w:lang w:eastAsia="zh-CN"/>
        </w:rPr>
        <w:t>。</w:t>
      </w:r>
    </w:p>
    <w:p w14:paraId="1D9D1083">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不同施工条件下实施不同项目特征的清单项目，可依据工程实施情况、结合同类工程类似清单项目的综合单价，协商确定市场合理的综合单价</w:t>
      </w:r>
      <w:r>
        <w:rPr>
          <w:rFonts w:hint="eastAsia" w:ascii="宋体" w:hAnsi="宋体" w:cstheme="minorEastAsia"/>
          <w:color w:val="auto"/>
          <w:szCs w:val="21"/>
          <w:highlight w:val="none"/>
          <w:u w:val="single"/>
          <w:lang w:eastAsia="zh-CN"/>
        </w:rPr>
        <w:t>。</w:t>
      </w:r>
    </w:p>
    <w:p w14:paraId="61F4FB7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因减少或取消清单项目的工程变更显著改变了实施中的工程施工条件，可根据实施工程的具体情况、市场价格、合同单价计价规则及报价水平协商确定工程变更的综合单价。</w:t>
      </w:r>
    </w:p>
    <w:p w14:paraId="3E2D0C1B">
      <w:pPr>
        <w:widowControl/>
        <w:numPr>
          <w:ilvl w:val="0"/>
          <w:numId w:val="15"/>
        </w:numPr>
        <w:kinsoku w:val="0"/>
        <w:snapToGrid w:val="0"/>
        <w:spacing w:before="161" w:line="360" w:lineRule="auto"/>
        <w:ind w:left="438"/>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工程量清单缺陷引起清单工程量增加或减少，且增减工程量超过相应清单项目合同清单所含工程量的15%(不含15%)的，应按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C4BDC2">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如工程变更或工程量清单缺陷引起增加清单项目及相应清单项目工程量的，可依据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的规定，并结合因增加工程数量引起的人工及材料采购价格优惠的影响，在合理下调其合同单价及新增综合单价后，计算相应清单项目价格，调整合同价格</w:t>
      </w:r>
      <w:r>
        <w:rPr>
          <w:rFonts w:hint="eastAsia" w:ascii="宋体" w:hAnsi="宋体" w:cstheme="minorEastAsia"/>
          <w:color w:val="auto"/>
          <w:szCs w:val="21"/>
          <w:highlight w:val="none"/>
          <w:u w:val="single"/>
          <w:lang w:eastAsia="zh-CN"/>
        </w:rPr>
        <w:t>。</w:t>
      </w:r>
    </w:p>
    <w:p w14:paraId="76918E4D">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如工程变更或工程量清单缺陷引起减少清单项目及相应清单项目工程量的，可依据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的规定，并结合因减少工程数量引起的人工及材料采购价格失去优惠的影响，在合理上调其合同单价及新增综合单价后，计算相应清单项目价格，调整合同价格。</w:t>
      </w:r>
    </w:p>
    <w:p w14:paraId="14B76872">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rPr>
      </w:pPr>
      <w:r>
        <w:rPr>
          <w:rFonts w:hint="eastAsia" w:ascii="宋体" w:hAnsi="宋体" w:cstheme="minorEastAsia"/>
          <w:b/>
          <w:bCs/>
          <w:color w:val="auto"/>
          <w:szCs w:val="21"/>
          <w:highlight w:val="none"/>
          <w:u w:val="single"/>
          <w:lang w:val="en-US" w:eastAsia="zh-CN"/>
        </w:rPr>
        <w:t>经过以上条款调整后的竣工结算价应不超过签约合同价。</w:t>
      </w:r>
    </w:p>
    <w:p w14:paraId="5692AC78">
      <w:pPr>
        <w:widowControl/>
        <w:kinsoku w:val="0"/>
        <w:snapToGrid w:val="0"/>
        <w:spacing w:before="288" w:line="360" w:lineRule="auto"/>
        <w:ind w:left="14"/>
        <w:textAlignment w:val="baseline"/>
        <w:outlineLvl w:val="1"/>
        <w:rPr>
          <w:rFonts w:hint="eastAsia" w:ascii="宋体" w:hAnsi="宋体" w:cs="宋体"/>
          <w:color w:val="auto"/>
          <w:szCs w:val="21"/>
          <w:highlight w:val="none"/>
        </w:rPr>
      </w:pPr>
      <w:r>
        <w:rPr>
          <w:rFonts w:ascii="宋体" w:hAnsi="宋体" w:cs="宋体"/>
          <w:color w:val="auto"/>
          <w:spacing w:val="-3"/>
          <w:szCs w:val="21"/>
          <w:highlight w:val="none"/>
        </w:rPr>
        <w:t>2.发包人义务</w:t>
      </w:r>
    </w:p>
    <w:p w14:paraId="2B5C7307">
      <w:pPr>
        <w:pStyle w:val="667"/>
        <w:widowControl/>
        <w:kinsoku w:val="0"/>
        <w:snapToGrid w:val="0"/>
        <w:spacing w:line="360" w:lineRule="auto"/>
        <w:textAlignment w:val="baseline"/>
        <w:rPr>
          <w:rFonts w:hint="eastAsia" w:ascii="宋体" w:hAnsi="宋体" w:eastAsia="宋体"/>
          <w:color w:val="auto"/>
          <w:highlight w:val="none"/>
          <w:lang w:eastAsia="zh-CN"/>
        </w:rPr>
      </w:pPr>
    </w:p>
    <w:p w14:paraId="63A33770">
      <w:pPr>
        <w:widowControl/>
        <w:kinsoku w:val="0"/>
        <w:snapToGrid w:val="0"/>
        <w:spacing w:before="78"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2.3  提供施工场地</w:t>
      </w:r>
    </w:p>
    <w:p w14:paraId="7AA6D7E1">
      <w:pPr>
        <w:widowControl/>
        <w:kinsoku w:val="0"/>
        <w:snapToGrid w:val="0"/>
        <w:spacing w:before="299" w:line="360" w:lineRule="auto"/>
        <w:ind w:left="11"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发包人移交施工场地的期限：发包人应当将具备施工条件的施工场地，在监理人发出开工通知中载明的开工日期</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【7】</w:t>
      </w:r>
      <w:r>
        <w:rPr>
          <w:rFonts w:ascii="宋体" w:hAnsi="宋体" w:cs="宋体"/>
          <w:color w:val="auto"/>
          <w:spacing w:val="7"/>
          <w:szCs w:val="21"/>
          <w:highlight w:val="none"/>
          <w:u w:val="single"/>
        </w:rPr>
        <w:t xml:space="preserve">  </w:t>
      </w:r>
      <w:r>
        <w:rPr>
          <w:rFonts w:ascii="宋体" w:hAnsi="宋体" w:cs="宋体"/>
          <w:color w:val="auto"/>
          <w:spacing w:val="-76"/>
          <w:szCs w:val="21"/>
          <w:highlight w:val="none"/>
        </w:rPr>
        <w:t xml:space="preserve"> </w:t>
      </w:r>
      <w:r>
        <w:rPr>
          <w:rFonts w:ascii="宋体" w:hAnsi="宋体" w:cs="宋体"/>
          <w:color w:val="auto"/>
          <w:spacing w:val="7"/>
          <w:szCs w:val="21"/>
          <w:highlight w:val="none"/>
        </w:rPr>
        <w:t>天前移交给承包人。</w:t>
      </w:r>
    </w:p>
    <w:p w14:paraId="2B865293">
      <w:pPr>
        <w:widowControl/>
        <w:kinsoku w:val="0"/>
        <w:snapToGrid w:val="0"/>
        <w:spacing w:line="360" w:lineRule="auto"/>
        <w:textAlignment w:val="baseline"/>
        <w:rPr>
          <w:rFonts w:hint="eastAsia" w:ascii="宋体" w:hAnsi="宋体" w:cs="宋体"/>
          <w:color w:val="auto"/>
          <w:szCs w:val="21"/>
          <w:highlight w:val="none"/>
        </w:rPr>
      </w:pPr>
    </w:p>
    <w:p w14:paraId="52D241FF">
      <w:pPr>
        <w:widowControl/>
        <w:kinsoku w:val="0"/>
        <w:snapToGrid w:val="0"/>
        <w:spacing w:before="121"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2.8</w:t>
      </w:r>
      <w:r>
        <w:rPr>
          <w:rFonts w:ascii="宋体" w:hAnsi="宋体" w:cs="宋体"/>
          <w:color w:val="auto"/>
          <w:spacing w:val="19"/>
          <w:szCs w:val="21"/>
          <w:highlight w:val="none"/>
        </w:rPr>
        <w:t xml:space="preserve">  </w:t>
      </w:r>
      <w:r>
        <w:rPr>
          <w:rFonts w:ascii="宋体" w:hAnsi="宋体" w:cs="宋体"/>
          <w:color w:val="auto"/>
          <w:spacing w:val="-4"/>
          <w:szCs w:val="21"/>
          <w:highlight w:val="none"/>
        </w:rPr>
        <w:t>向承包人提交支付担保</w:t>
      </w:r>
    </w:p>
    <w:p w14:paraId="37837D20">
      <w:pPr>
        <w:widowControl/>
        <w:kinsoku w:val="0"/>
        <w:snapToGrid w:val="0"/>
        <w:spacing w:line="360" w:lineRule="auto"/>
        <w:ind w:firstLine="452" w:firstLineChars="200"/>
        <w:textAlignment w:val="baseline"/>
        <w:rPr>
          <w:rFonts w:hint="eastAsia" w:ascii="宋体" w:hAnsi="宋体" w:cs="宋体"/>
          <w:color w:val="auto"/>
          <w:szCs w:val="21"/>
          <w:highlight w:val="none"/>
        </w:rPr>
      </w:pPr>
      <w:r>
        <w:rPr>
          <w:rFonts w:ascii="宋体" w:hAnsi="宋体" w:cs="宋体"/>
          <w:color w:val="auto"/>
          <w:spacing w:val="8"/>
          <w:szCs w:val="21"/>
          <w:highlight w:val="none"/>
        </w:rPr>
        <w:t>（1）发包人向承包人提交支付担保的金额：</w:t>
      </w:r>
      <w:r>
        <w:rPr>
          <w:rFonts w:hint="eastAsia" w:ascii="宋体" w:hAnsi="宋体" w:cstheme="minorEastAsia"/>
          <w:color w:val="auto"/>
          <w:szCs w:val="21"/>
          <w:highlight w:val="none"/>
          <w:u w:val="single"/>
        </w:rPr>
        <w:t xml:space="preserve">      /       </w:t>
      </w:r>
    </w:p>
    <w:p w14:paraId="333CCACF">
      <w:pPr>
        <w:widowControl/>
        <w:kinsoku w:val="0"/>
        <w:snapToGrid w:val="0"/>
        <w:spacing w:before="285" w:line="360" w:lineRule="auto"/>
        <w:ind w:left="12"/>
        <w:textAlignment w:val="baseline"/>
        <w:outlineLvl w:val="2"/>
        <w:rPr>
          <w:rFonts w:hint="eastAsia" w:ascii="宋体" w:hAnsi="宋体" w:cs="宋体"/>
          <w:color w:val="auto"/>
          <w:szCs w:val="21"/>
          <w:highlight w:val="none"/>
        </w:rPr>
      </w:pPr>
      <w:bookmarkStart w:id="741" w:name="bookmark109"/>
      <w:bookmarkEnd w:id="741"/>
      <w:r>
        <w:rPr>
          <w:rFonts w:ascii="宋体" w:hAnsi="宋体" w:cs="宋体"/>
          <w:color w:val="auto"/>
          <w:spacing w:val="-2"/>
          <w:szCs w:val="21"/>
          <w:highlight w:val="none"/>
        </w:rPr>
        <w:t>2.13  其他义务</w:t>
      </w:r>
    </w:p>
    <w:p w14:paraId="0756E85D">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发包人应当履行的其他义务：</w:t>
      </w:r>
      <w:r>
        <w:rPr>
          <w:rFonts w:hint="eastAsia" w:ascii="宋体" w:hAnsi="宋体" w:cstheme="minorEastAsia"/>
          <w:color w:val="auto"/>
          <w:szCs w:val="21"/>
          <w:highlight w:val="none"/>
          <w:u w:val="single"/>
        </w:rPr>
        <w:t xml:space="preserve">   无   </w:t>
      </w:r>
    </w:p>
    <w:p w14:paraId="58F7896D">
      <w:pPr>
        <w:widowControl/>
        <w:kinsoku w:val="0"/>
        <w:snapToGrid w:val="0"/>
        <w:spacing w:line="360" w:lineRule="auto"/>
        <w:textAlignment w:val="baseline"/>
        <w:rPr>
          <w:rFonts w:hint="eastAsia" w:ascii="宋体" w:hAnsi="宋体" w:cs="宋体"/>
          <w:color w:val="auto"/>
          <w:spacing w:val="5"/>
          <w:szCs w:val="21"/>
          <w:highlight w:val="none"/>
        </w:rPr>
      </w:pPr>
    </w:p>
    <w:p w14:paraId="0956D5E2">
      <w:pPr>
        <w:widowControl/>
        <w:kinsoku w:val="0"/>
        <w:snapToGrid w:val="0"/>
        <w:spacing w:before="91" w:line="360" w:lineRule="auto"/>
        <w:ind w:left="17"/>
        <w:textAlignment w:val="baseline"/>
        <w:outlineLvl w:val="1"/>
        <w:rPr>
          <w:rFonts w:hint="eastAsia" w:ascii="宋体" w:hAnsi="宋体" w:cs="宋体"/>
          <w:color w:val="auto"/>
          <w:szCs w:val="21"/>
          <w:highlight w:val="none"/>
        </w:rPr>
      </w:pPr>
      <w:r>
        <w:rPr>
          <w:rFonts w:ascii="宋体" w:hAnsi="宋体" w:cs="宋体"/>
          <w:color w:val="auto"/>
          <w:spacing w:val="-4"/>
          <w:szCs w:val="21"/>
          <w:highlight w:val="none"/>
        </w:rPr>
        <w:t>3.监理人</w:t>
      </w:r>
    </w:p>
    <w:p w14:paraId="32364FF6">
      <w:pPr>
        <w:pStyle w:val="667"/>
        <w:widowControl/>
        <w:kinsoku w:val="0"/>
        <w:snapToGrid w:val="0"/>
        <w:spacing w:line="360" w:lineRule="auto"/>
        <w:textAlignment w:val="baseline"/>
        <w:rPr>
          <w:rFonts w:hint="eastAsia" w:ascii="宋体" w:hAnsi="宋体" w:eastAsia="宋体"/>
          <w:color w:val="auto"/>
          <w:highlight w:val="none"/>
          <w:lang w:eastAsia="zh-CN"/>
        </w:rPr>
      </w:pPr>
    </w:p>
    <w:p w14:paraId="7B6DCDE1">
      <w:pPr>
        <w:widowControl/>
        <w:kinsoku w:val="0"/>
        <w:snapToGrid w:val="0"/>
        <w:spacing w:before="78" w:line="360" w:lineRule="auto"/>
        <w:ind w:left="14"/>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3.1  监理人的职责和权力</w:t>
      </w:r>
    </w:p>
    <w:p w14:paraId="32B2F3C2">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3.1.1  发包人需批准明确行使的权力：</w:t>
      </w:r>
    </w:p>
    <w:p w14:paraId="1460CDDB">
      <w:pPr>
        <w:widowControl/>
        <w:kinsoku w:val="0"/>
        <w:snapToGrid w:val="0"/>
        <w:spacing w:line="360" w:lineRule="auto"/>
        <w:ind w:left="420" w:left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1）</w:t>
      </w:r>
      <w:r>
        <w:rPr>
          <w:rFonts w:hint="eastAsia" w:ascii="宋体" w:hAnsi="宋体" w:cstheme="minorEastAsia"/>
          <w:color w:val="auto"/>
          <w:szCs w:val="21"/>
          <w:highlight w:val="none"/>
          <w:u w:val="single"/>
        </w:rPr>
        <w:t>同意分包本工程的非主体和非关键性工作。</w:t>
      </w:r>
    </w:p>
    <w:p w14:paraId="2975DE05">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2）</w:t>
      </w:r>
      <w:r>
        <w:rPr>
          <w:rFonts w:hint="eastAsia" w:ascii="宋体" w:hAnsi="宋体" w:cstheme="minorEastAsia"/>
          <w:color w:val="auto"/>
          <w:szCs w:val="21"/>
          <w:highlight w:val="none"/>
          <w:u w:val="single"/>
        </w:rPr>
        <w:t>发布开工通知、暂停施工指示或者复工通知。</w:t>
      </w:r>
    </w:p>
    <w:p w14:paraId="24730145">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3)</w:t>
      </w:r>
      <w:r>
        <w:rPr>
          <w:rFonts w:hint="eastAsia" w:ascii="宋体" w:hAnsi="宋体" w:cstheme="minorEastAsia"/>
          <w:color w:val="auto"/>
          <w:szCs w:val="21"/>
          <w:highlight w:val="none"/>
          <w:lang w:val="en-US" w:eastAsia="zh-CN"/>
        </w:rPr>
        <w:t xml:space="preserve"> </w:t>
      </w:r>
      <w:r>
        <w:rPr>
          <w:rFonts w:hint="eastAsia" w:ascii="宋体" w:hAnsi="宋体" w:cstheme="minorEastAsia"/>
          <w:color w:val="auto"/>
          <w:szCs w:val="21"/>
          <w:highlight w:val="none"/>
          <w:u w:val="single"/>
        </w:rPr>
        <w:t>工期延长。</w:t>
      </w:r>
    </w:p>
    <w:p w14:paraId="268009D2">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4）</w:t>
      </w:r>
      <w:r>
        <w:rPr>
          <w:rFonts w:hint="eastAsia" w:ascii="宋体" w:hAnsi="宋体" w:cstheme="minorEastAsia"/>
          <w:color w:val="auto"/>
          <w:szCs w:val="21"/>
          <w:highlight w:val="none"/>
          <w:u w:val="single"/>
        </w:rPr>
        <w:t>审查批准技术规范或设计的变更。</w:t>
      </w:r>
    </w:p>
    <w:p w14:paraId="6044EB23">
      <w:pPr>
        <w:widowControl/>
        <w:kinsoku w:val="0"/>
        <w:snapToGrid w:val="0"/>
        <w:spacing w:line="360" w:lineRule="auto"/>
        <w:ind w:firstLine="420" w:firstLineChars="200"/>
        <w:textAlignment w:val="baseline"/>
        <w:rPr>
          <w:rFonts w:hint="eastAsia" w:ascii="宋体" w:hAnsi="宋体" w:cs="宋体"/>
          <w:color w:val="auto"/>
          <w:spacing w:val="5"/>
          <w:szCs w:val="21"/>
          <w:highlight w:val="none"/>
        </w:rPr>
      </w:pPr>
      <w:r>
        <w:rPr>
          <w:rFonts w:hint="eastAsia" w:ascii="宋体" w:hAnsi="宋体" w:cstheme="minorEastAsia"/>
          <w:color w:val="auto"/>
          <w:szCs w:val="21"/>
          <w:highlight w:val="none"/>
        </w:rPr>
        <w:t>5）</w:t>
      </w:r>
      <w:r>
        <w:rPr>
          <w:rFonts w:hint="eastAsia" w:ascii="宋体" w:hAnsi="宋体" w:cstheme="minorEastAsia"/>
          <w:color w:val="auto"/>
          <w:szCs w:val="21"/>
          <w:highlight w:val="none"/>
          <w:u w:val="single"/>
        </w:rPr>
        <w:t>发布的变更指令。</w:t>
      </w:r>
    </w:p>
    <w:p w14:paraId="59A15ED8">
      <w:pPr>
        <w:widowControl/>
        <w:kinsoku w:val="0"/>
        <w:snapToGrid w:val="0"/>
        <w:spacing w:line="360" w:lineRule="auto"/>
        <w:textAlignment w:val="baseline"/>
        <w:rPr>
          <w:rFonts w:hint="eastAsia" w:ascii="宋体" w:hAnsi="宋体" w:cs="宋体"/>
          <w:color w:val="auto"/>
          <w:spacing w:val="5"/>
          <w:szCs w:val="21"/>
          <w:highlight w:val="none"/>
        </w:rPr>
      </w:pPr>
    </w:p>
    <w:p w14:paraId="7C556F80">
      <w:pPr>
        <w:widowControl/>
        <w:numPr>
          <w:ilvl w:val="0"/>
          <w:numId w:val="16"/>
        </w:numPr>
        <w:kinsoku w:val="0"/>
        <w:snapToGrid w:val="0"/>
        <w:spacing w:before="91" w:line="360" w:lineRule="auto"/>
        <w:ind w:left="10"/>
        <w:textAlignment w:val="baseline"/>
        <w:outlineLvl w:val="1"/>
        <w:rPr>
          <w:rFonts w:hint="eastAsia" w:ascii="宋体" w:hAnsi="宋体" w:cs="宋体"/>
          <w:color w:val="auto"/>
          <w:spacing w:val="-2"/>
          <w:szCs w:val="21"/>
          <w:highlight w:val="none"/>
        </w:rPr>
      </w:pPr>
      <w:r>
        <w:rPr>
          <w:rFonts w:ascii="宋体" w:hAnsi="宋体" w:cs="宋体"/>
          <w:color w:val="auto"/>
          <w:spacing w:val="-2"/>
          <w:szCs w:val="21"/>
          <w:highlight w:val="none"/>
        </w:rPr>
        <w:t>承包人</w:t>
      </w:r>
    </w:p>
    <w:p w14:paraId="0C727DE4">
      <w:pPr>
        <w:widowControl/>
        <w:kinsoku w:val="0"/>
        <w:snapToGrid w:val="0"/>
        <w:spacing w:before="91" w:line="360" w:lineRule="auto"/>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4.1  承包人的一般义务</w:t>
      </w:r>
    </w:p>
    <w:p w14:paraId="7A6BC461">
      <w:pPr>
        <w:widowControl/>
        <w:kinsoku w:val="0"/>
        <w:snapToGrid w:val="0"/>
        <w:spacing w:before="294" w:line="360" w:lineRule="auto"/>
        <w:ind w:left="427"/>
        <w:textAlignment w:val="baseline"/>
        <w:rPr>
          <w:rFonts w:hint="eastAsia" w:ascii="宋体" w:hAnsi="宋体" w:cs="宋体"/>
          <w:color w:val="auto"/>
          <w:szCs w:val="21"/>
          <w:highlight w:val="none"/>
        </w:rPr>
      </w:pPr>
      <w:r>
        <w:rPr>
          <w:rFonts w:ascii="宋体" w:hAnsi="宋体" w:cs="宋体"/>
          <w:color w:val="auto"/>
          <w:spacing w:val="6"/>
          <w:szCs w:val="21"/>
          <w:highlight w:val="none"/>
        </w:rPr>
        <w:t>4.1.8  为他人提供方便</w:t>
      </w:r>
    </w:p>
    <w:p w14:paraId="1BBE47B2">
      <w:pPr>
        <w:widowControl/>
        <w:kinsoku w:val="0"/>
        <w:snapToGrid w:val="0"/>
        <w:spacing w:line="360" w:lineRule="auto"/>
        <w:ind w:firstLine="448" w:firstLineChars="200"/>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（1）承包人应当对在施工场地或者附近实施与合同工程有关的其他工作的独立承包人履</w:t>
      </w:r>
      <w:r>
        <w:rPr>
          <w:rFonts w:ascii="宋体" w:hAnsi="宋体" w:cs="宋体"/>
          <w:color w:val="auto"/>
          <w:spacing w:val="9"/>
          <w:szCs w:val="21"/>
          <w:highlight w:val="none"/>
        </w:rPr>
        <w:t>行管理、协调、配合、照管和服务义务的具体工作内容和要求：</w:t>
      </w:r>
      <w:r>
        <w:rPr>
          <w:rFonts w:hint="eastAsia" w:ascii="宋体" w:hAnsi="宋体" w:cstheme="minorEastAsia"/>
          <w:color w:val="auto"/>
          <w:szCs w:val="21"/>
          <w:highlight w:val="none"/>
          <w:u w:val="single"/>
        </w:rPr>
        <w:t>需承包人办理的有关施工场地交通、环卫等手续；①需要办理特别通行证时，由承包人负责办证，发包人协助；②施工现场需要排放有害物质及污水时，由承包人办理有关手续；③承包人有责任和义务采取适当的措施，降低施工过程中产生的不可避免的施工扰民并采取必要的措施，协商并解决扰民问题。承包人应主动协调同周围村民及有关单位的关系，避免造成窝工、停工、延误工期的情况发生。施工噪音超过当地主管部门的规定时，由承包人提出措施。</w:t>
      </w:r>
    </w:p>
    <w:p w14:paraId="7E6A790C">
      <w:pPr>
        <w:widowControl/>
        <w:kinsoku w:val="0"/>
        <w:snapToGrid w:val="0"/>
        <w:spacing w:line="360" w:lineRule="auto"/>
        <w:textAlignment w:val="baseline"/>
        <w:rPr>
          <w:rFonts w:hint="eastAsia" w:ascii="宋体" w:hAnsi="宋体" w:cs="宋体"/>
          <w:color w:val="auto"/>
          <w:spacing w:val="9"/>
          <w:szCs w:val="21"/>
          <w:highlight w:val="none"/>
        </w:rPr>
      </w:pPr>
    </w:p>
    <w:p w14:paraId="4BFB8C93">
      <w:pPr>
        <w:widowControl/>
        <w:kinsoku w:val="0"/>
        <w:snapToGrid w:val="0"/>
        <w:spacing w:before="65" w:line="360" w:lineRule="auto"/>
        <w:ind w:left="439"/>
        <w:textAlignment w:val="baseline"/>
        <w:rPr>
          <w:rFonts w:hint="eastAsia" w:ascii="宋体" w:hAnsi="宋体" w:cs="宋体"/>
          <w:color w:val="auto"/>
          <w:szCs w:val="21"/>
          <w:highlight w:val="none"/>
        </w:rPr>
      </w:pPr>
      <w:r>
        <w:rPr>
          <w:rFonts w:ascii="宋体" w:hAnsi="宋体" w:cs="宋体"/>
          <w:color w:val="auto"/>
          <w:spacing w:val="6"/>
          <w:szCs w:val="21"/>
          <w:highlight w:val="none"/>
        </w:rPr>
        <w:t>4.1.10  承包人的设计工作</w:t>
      </w:r>
    </w:p>
    <w:p w14:paraId="0F659823">
      <w:pPr>
        <w:pStyle w:val="21"/>
        <w:widowControl/>
        <w:tabs>
          <w:tab w:val="left" w:pos="8200"/>
          <w:tab w:val="clear" w:pos="567"/>
        </w:tabs>
        <w:kinsoku w:val="0"/>
        <w:snapToGrid w:val="0"/>
        <w:spacing w:before="168" w:line="360" w:lineRule="auto"/>
        <w:ind w:left="11"/>
        <w:textAlignment w:val="baseline"/>
        <w:rPr>
          <w:rFonts w:hint="eastAsia"/>
          <w:color w:val="auto"/>
          <w:sz w:val="21"/>
          <w:szCs w:val="21"/>
          <w:highlight w:val="none"/>
        </w:rPr>
      </w:pPr>
      <w:r>
        <w:rPr>
          <w:rFonts w:cs="宋体"/>
          <w:color w:val="auto"/>
          <w:spacing w:val="9"/>
          <w:sz w:val="21"/>
          <w:szCs w:val="21"/>
          <w:highlight w:val="none"/>
        </w:rPr>
        <w:t>承包人承担的施工图设计或与工程配套的设计工作内容：</w:t>
      </w:r>
      <w:r>
        <w:rPr>
          <w:rFonts w:hint="eastAsia" w:cstheme="minorEastAsia"/>
          <w:color w:val="auto"/>
          <w:sz w:val="21"/>
          <w:szCs w:val="21"/>
          <w:highlight w:val="none"/>
          <w:u w:val="single"/>
        </w:rPr>
        <w:t xml:space="preserve"> / </w:t>
      </w:r>
    </w:p>
    <w:p w14:paraId="6E067DCB">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4.1.13  其他义务</w:t>
      </w:r>
    </w:p>
    <w:p w14:paraId="58069169">
      <w:pPr>
        <w:widowControl/>
        <w:kinsoku w:val="0"/>
        <w:snapToGrid w:val="0"/>
        <w:spacing w:before="160" w:line="360" w:lineRule="auto"/>
        <w:ind w:left="19" w:right="21" w:firstLine="430"/>
        <w:textAlignment w:val="baseline"/>
        <w:rPr>
          <w:rFonts w:hint="eastAsia" w:ascii="宋体" w:hAnsi="宋体" w:cs="宋体"/>
          <w:color w:val="auto"/>
          <w:szCs w:val="21"/>
          <w:highlight w:val="none"/>
        </w:rPr>
      </w:pPr>
      <w:r>
        <w:rPr>
          <w:rFonts w:ascii="宋体" w:hAnsi="宋体" w:cs="宋体"/>
          <w:color w:val="auto"/>
          <w:spacing w:val="6"/>
          <w:szCs w:val="21"/>
          <w:highlight w:val="none"/>
        </w:rPr>
        <w:t>（1）安全生产标准化措施费由承包人统一管理，承包人对工程安全生产标准化负总责。</w:t>
      </w:r>
      <w:r>
        <w:rPr>
          <w:rFonts w:ascii="宋体" w:hAnsi="宋体" w:cs="宋体"/>
          <w:color w:val="auto"/>
          <w:spacing w:val="8"/>
          <w:szCs w:val="21"/>
          <w:highlight w:val="none"/>
        </w:rPr>
        <w:t>承包人不按分包合同约定支付安全生产标准化</w:t>
      </w:r>
      <w:r>
        <w:rPr>
          <w:rFonts w:ascii="宋体" w:hAnsi="宋体" w:cs="宋体"/>
          <w:color w:val="auto"/>
          <w:spacing w:val="7"/>
          <w:szCs w:val="21"/>
          <w:highlight w:val="none"/>
        </w:rPr>
        <w:t>措施费，造成分包人不能及时落实安全防护措</w:t>
      </w:r>
      <w:r>
        <w:rPr>
          <w:rFonts w:ascii="宋体" w:hAnsi="宋体" w:cs="宋体"/>
          <w:color w:val="auto"/>
          <w:spacing w:val="8"/>
          <w:szCs w:val="21"/>
          <w:highlight w:val="none"/>
        </w:rPr>
        <w:t>施导致发生事故的，由承包人负主要责任。</w:t>
      </w:r>
    </w:p>
    <w:p w14:paraId="5A2EF0AD">
      <w:pPr>
        <w:widowControl/>
        <w:kinsoku w:val="0"/>
        <w:snapToGrid w:val="0"/>
        <w:spacing w:before="161" w:line="360" w:lineRule="auto"/>
        <w:ind w:left="19" w:right="93" w:firstLine="430"/>
        <w:textAlignment w:val="baseline"/>
        <w:rPr>
          <w:rFonts w:hint="eastAsia" w:ascii="宋体" w:hAnsi="宋体" w:cs="宋体"/>
          <w:color w:val="auto"/>
          <w:szCs w:val="21"/>
          <w:highlight w:val="none"/>
        </w:rPr>
      </w:pPr>
      <w:r>
        <w:rPr>
          <w:rFonts w:ascii="宋体" w:hAnsi="宋体" w:cs="宋体"/>
          <w:color w:val="auto"/>
          <w:spacing w:val="9"/>
          <w:szCs w:val="21"/>
          <w:highlight w:val="none"/>
        </w:rPr>
        <w:t>（2）对于超过一定规模的危大工程（如有</w:t>
      </w:r>
      <w:r>
        <w:rPr>
          <w:rFonts w:ascii="宋体" w:hAnsi="宋体" w:cs="宋体"/>
          <w:color w:val="auto"/>
          <w:spacing w:val="22"/>
          <w:szCs w:val="21"/>
          <w:highlight w:val="none"/>
        </w:rPr>
        <w:t>），</w:t>
      </w:r>
      <w:r>
        <w:rPr>
          <w:rFonts w:ascii="宋体" w:hAnsi="宋体" w:cs="宋体"/>
          <w:color w:val="auto"/>
          <w:spacing w:val="9"/>
          <w:szCs w:val="21"/>
          <w:highlight w:val="none"/>
        </w:rPr>
        <w:t>承包人应当组织召开专家论证会对专项</w:t>
      </w:r>
      <w:r>
        <w:rPr>
          <w:rFonts w:ascii="宋体" w:hAnsi="宋体" w:cs="宋体"/>
          <w:color w:val="auto"/>
          <w:spacing w:val="8"/>
          <w:szCs w:val="21"/>
          <w:highlight w:val="none"/>
        </w:rPr>
        <w:t>施工方案进行论证，并根据专家论证意见对专</w:t>
      </w:r>
      <w:r>
        <w:rPr>
          <w:rFonts w:ascii="宋体" w:hAnsi="宋体" w:cs="宋体"/>
          <w:color w:val="auto"/>
          <w:spacing w:val="7"/>
          <w:szCs w:val="21"/>
          <w:highlight w:val="none"/>
        </w:rPr>
        <w:t>项方案进行调整，发包人原因造成的专项方案</w:t>
      </w:r>
      <w:r>
        <w:rPr>
          <w:rFonts w:ascii="宋体" w:hAnsi="宋体" w:cs="宋体"/>
          <w:color w:val="auto"/>
          <w:spacing w:val="8"/>
          <w:szCs w:val="21"/>
          <w:highlight w:val="none"/>
        </w:rPr>
        <w:t>调整，其费用变化由发包人承担。</w:t>
      </w:r>
    </w:p>
    <w:p w14:paraId="6077C002">
      <w:pPr>
        <w:widowControl/>
        <w:kinsoku w:val="0"/>
        <w:snapToGrid w:val="0"/>
        <w:spacing w:before="161" w:line="360" w:lineRule="auto"/>
        <w:ind w:left="29"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（3）承包人应使用符合北京市《建筑类涂料与胶粘剂挥发性有</w:t>
      </w:r>
      <w:r>
        <w:rPr>
          <w:rFonts w:ascii="宋体" w:hAnsi="宋体" w:cs="宋体"/>
          <w:color w:val="auto"/>
          <w:spacing w:val="6"/>
          <w:szCs w:val="21"/>
          <w:highlight w:val="none"/>
        </w:rPr>
        <w:t>机化合物含量限值标准》（</w:t>
      </w:r>
      <w:r>
        <w:rPr>
          <w:rFonts w:ascii="宋体" w:hAnsi="宋体" w:cs="宋体"/>
          <w:color w:val="auto"/>
          <w:szCs w:val="21"/>
          <w:highlight w:val="none"/>
        </w:rPr>
        <w:t>DB</w:t>
      </w:r>
      <w:r>
        <w:rPr>
          <w:rFonts w:ascii="宋体" w:hAnsi="宋体" w:cs="宋体"/>
          <w:color w:val="auto"/>
          <w:spacing w:val="6"/>
          <w:szCs w:val="21"/>
          <w:highlight w:val="none"/>
        </w:rPr>
        <w:t>11／1983-2022）相关要求的产品。</w:t>
      </w:r>
    </w:p>
    <w:p w14:paraId="1A06D3FF">
      <w:pPr>
        <w:pStyle w:val="21"/>
        <w:widowControl/>
        <w:tabs>
          <w:tab w:val="left" w:pos="8322"/>
          <w:tab w:val="clear" w:pos="567"/>
        </w:tabs>
        <w:kinsoku w:val="0"/>
        <w:snapToGrid w:val="0"/>
        <w:spacing w:before="166" w:line="360" w:lineRule="auto"/>
        <w:ind w:left="11" w:firstLine="440" w:firstLineChars="200"/>
        <w:textAlignment w:val="baseline"/>
        <w:rPr>
          <w:rFonts w:hint="eastAsia" w:cs="宋体"/>
          <w:color w:val="auto"/>
          <w:spacing w:val="5"/>
          <w:sz w:val="21"/>
          <w:szCs w:val="21"/>
          <w:highlight w:val="none"/>
        </w:rPr>
      </w:pPr>
      <w:r>
        <w:rPr>
          <w:rFonts w:cs="宋体"/>
          <w:color w:val="auto"/>
          <w:spacing w:val="5"/>
          <w:sz w:val="21"/>
          <w:szCs w:val="21"/>
          <w:highlight w:val="none"/>
        </w:rPr>
        <w:t>（4）承包人应履行的其他义务：</w:t>
      </w:r>
    </w:p>
    <w:p w14:paraId="09306735">
      <w:pPr>
        <w:pStyle w:val="665"/>
        <w:widowControl/>
        <w:kinsoku w:val="0"/>
        <w:snapToGrid w:val="0"/>
        <w:spacing w:line="360" w:lineRule="auto"/>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1）承包人进行竣工验收工作，准备并报送验收资料；承包人应按相关主管部门相关规定移交符合存档要求的完整资料，并留存记录，及时撤场；</w:t>
      </w:r>
    </w:p>
    <w:p w14:paraId="618FDDB9">
      <w:pPr>
        <w:pStyle w:val="665"/>
        <w:widowControl/>
        <w:tabs>
          <w:tab w:val="left" w:pos="410"/>
        </w:tabs>
        <w:kinsoku w:val="0"/>
        <w:snapToGrid w:val="0"/>
        <w:spacing w:after="140"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2）承包人应服从发包人对施工现场协调方面的决定意见，服从项目整体管理；按照发包人要求移交已完工程内容。</w:t>
      </w:r>
    </w:p>
    <w:p w14:paraId="05A35734">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3）承包人需对施工现场及周边进行踏勘，了解现场及周边情况，做好施工准备工作，并负责施工期间内外部影响的协调、解决工作；排除不力影响因素，与当地群众与部门开展必要协调。</w:t>
      </w:r>
    </w:p>
    <w:p w14:paraId="208EEE3C">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4</w:t>
      </w:r>
      <w:r>
        <w:rPr>
          <w:rFonts w:hint="eastAsia" w:cstheme="minorEastAsia"/>
          <w:color w:val="auto"/>
          <w:sz w:val="21"/>
          <w:szCs w:val="21"/>
          <w:highlight w:val="none"/>
          <w:u w:val="single"/>
        </w:rPr>
        <w:t>）承包人应按照国家现行规范标准与合同要求实施工程，完成全部工作内容，达到合同预期目的，接受发包人、政府主管部门及监理人的监督、检査、指导和管理。</w:t>
      </w:r>
    </w:p>
    <w:p w14:paraId="698881D2">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5</w:t>
      </w:r>
      <w:r>
        <w:rPr>
          <w:rFonts w:hint="eastAsia" w:cstheme="minorEastAsia"/>
          <w:color w:val="auto"/>
          <w:sz w:val="21"/>
          <w:szCs w:val="21"/>
          <w:highlight w:val="none"/>
          <w:u w:val="single"/>
        </w:rPr>
        <w:t>）政府有关职能部门下发的有关本工程的任何管理意见和通知，凡涉及承包人的，承包人应无条件承担相关责任和工作。</w:t>
      </w:r>
    </w:p>
    <w:p w14:paraId="0271E561">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6</w:t>
      </w:r>
      <w:r>
        <w:rPr>
          <w:rFonts w:hint="eastAsia" w:cstheme="minorEastAsia"/>
          <w:color w:val="auto"/>
          <w:sz w:val="21"/>
          <w:szCs w:val="21"/>
          <w:highlight w:val="none"/>
          <w:u w:val="single"/>
        </w:rPr>
        <w:t>）承包人负责办理有关施工场地交通、环卫和施工噪声管理等相关手续，协调与市容、环保、交通、城管及街道等有关各方关系。承包人应采取有效措施避免施工噪声扰民，并承担由于施工噪声扰民所产生的相关后果及费用。</w:t>
      </w:r>
    </w:p>
    <w:p w14:paraId="695E6E31">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7）</w:t>
      </w:r>
      <w:r>
        <w:rPr>
          <w:rFonts w:hint="eastAsia" w:cstheme="minorEastAsia"/>
          <w:color w:val="auto"/>
          <w:sz w:val="21"/>
          <w:szCs w:val="21"/>
          <w:highlight w:val="none"/>
          <w:u w:val="single"/>
        </w:rPr>
        <w:t>承包人应遵照《北京市工程建设领域农民工工资支付工作管理办法》（</w:t>
      </w:r>
      <w:r>
        <w:rPr>
          <w:rFonts w:hint="eastAsia" w:cstheme="minorEastAsia"/>
          <w:color w:val="auto"/>
          <w:sz w:val="21"/>
          <w:szCs w:val="21"/>
          <w:highlight w:val="none"/>
          <w:u w:val="single"/>
          <w:lang w:eastAsia="zh-CN"/>
        </w:rPr>
        <w:t>京人社监发[2021]12号</w:t>
      </w:r>
      <w:r>
        <w:rPr>
          <w:rFonts w:hint="eastAsia" w:cstheme="minorEastAsia"/>
          <w:color w:val="auto"/>
          <w:sz w:val="21"/>
          <w:szCs w:val="21"/>
          <w:highlight w:val="none"/>
          <w:u w:val="single"/>
        </w:rPr>
        <w:t>）文件中的相关规定，按期足额发放本工程的农民工工资。</w:t>
      </w:r>
    </w:p>
    <w:p w14:paraId="392CDE86">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8</w:t>
      </w:r>
      <w:r>
        <w:rPr>
          <w:rFonts w:hint="eastAsia" w:cstheme="minorEastAsia"/>
          <w:color w:val="auto"/>
          <w:sz w:val="21"/>
          <w:szCs w:val="21"/>
          <w:highlight w:val="none"/>
          <w:u w:val="single"/>
        </w:rPr>
        <w:t>）承包人负责办理本工程的渣土消纳证及相关渣土消纳手续。</w:t>
      </w:r>
    </w:p>
    <w:p w14:paraId="68F36D43">
      <w:pPr>
        <w:pStyle w:val="665"/>
        <w:widowControl/>
        <w:tabs>
          <w:tab w:val="left" w:pos="502"/>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9</w:t>
      </w:r>
      <w:r>
        <w:rPr>
          <w:rFonts w:hint="eastAsia" w:cstheme="minorEastAsia"/>
          <w:color w:val="auto"/>
          <w:sz w:val="21"/>
          <w:szCs w:val="21"/>
          <w:highlight w:val="none"/>
          <w:u w:val="single"/>
        </w:rPr>
        <w:t>）关于危险品、安全用电及食品卫生，承包人应按照北京市的相关标准执行。</w:t>
      </w:r>
    </w:p>
    <w:p w14:paraId="52B1DBA3">
      <w:pPr>
        <w:pStyle w:val="412"/>
        <w:widowControl/>
        <w:kinsoku w:val="0"/>
        <w:snapToGrid w:val="0"/>
        <w:spacing w:line="360" w:lineRule="auto"/>
        <w:ind w:firstLine="420" w:firstLineChars="200"/>
        <w:textAlignment w:val="baseline"/>
        <w:rPr>
          <w:rFonts w:hint="eastAsia" w:ascii="宋体" w:eastAsia="宋体" w:cstheme="minorEastAsia"/>
          <w:color w:val="auto"/>
          <w:sz w:val="21"/>
          <w:szCs w:val="21"/>
          <w:highlight w:val="none"/>
          <w:u w:val="single"/>
        </w:rPr>
      </w:pPr>
      <w:r>
        <w:rPr>
          <w:rFonts w:hint="eastAsia" w:ascii="宋体" w:eastAsia="宋体" w:cstheme="minorEastAsia"/>
          <w:color w:val="auto"/>
          <w:sz w:val="21"/>
          <w:szCs w:val="21"/>
          <w:highlight w:val="none"/>
          <w:u w:val="single"/>
        </w:rPr>
        <w:t>10）图纸及清单以外增加部分应经发包人审批后施工。</w:t>
      </w:r>
    </w:p>
    <w:p w14:paraId="0261F192">
      <w:pPr>
        <w:pStyle w:val="21"/>
        <w:widowControl/>
        <w:tabs>
          <w:tab w:val="left" w:pos="8322"/>
          <w:tab w:val="clear" w:pos="567"/>
        </w:tabs>
        <w:kinsoku w:val="0"/>
        <w:snapToGrid w:val="0"/>
        <w:spacing w:before="166" w:line="360" w:lineRule="auto"/>
        <w:ind w:left="11"/>
        <w:textAlignment w:val="baseline"/>
        <w:rPr>
          <w:rFonts w:hint="eastAsia" w:cs="宋体"/>
          <w:color w:val="auto"/>
          <w:spacing w:val="5"/>
          <w:sz w:val="21"/>
          <w:szCs w:val="21"/>
          <w:highlight w:val="none"/>
        </w:rPr>
      </w:pPr>
    </w:p>
    <w:p w14:paraId="5662C52A">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2" w:name="bookmark114"/>
      <w:bookmarkEnd w:id="742"/>
      <w:r>
        <w:rPr>
          <w:rFonts w:ascii="宋体" w:hAnsi="宋体" w:cs="宋体"/>
          <w:color w:val="auto"/>
          <w:spacing w:val="-4"/>
          <w:szCs w:val="21"/>
          <w:highlight w:val="none"/>
        </w:rPr>
        <w:t>4.2</w:t>
      </w:r>
      <w:r>
        <w:rPr>
          <w:rFonts w:ascii="宋体" w:hAnsi="宋体" w:cs="宋体"/>
          <w:color w:val="auto"/>
          <w:spacing w:val="9"/>
          <w:szCs w:val="21"/>
          <w:highlight w:val="none"/>
        </w:rPr>
        <w:t xml:space="preserve">  </w:t>
      </w:r>
      <w:r>
        <w:rPr>
          <w:rFonts w:ascii="宋体" w:hAnsi="宋体" w:cs="宋体"/>
          <w:color w:val="auto"/>
          <w:spacing w:val="-4"/>
          <w:szCs w:val="21"/>
          <w:highlight w:val="none"/>
        </w:rPr>
        <w:t>履约担保</w:t>
      </w:r>
    </w:p>
    <w:p w14:paraId="10C2EF24">
      <w:pPr>
        <w:widowControl/>
        <w:kinsoku w:val="0"/>
        <w:snapToGrid w:val="0"/>
        <w:spacing w:before="296" w:line="360" w:lineRule="auto"/>
        <w:ind w:left="439"/>
        <w:textAlignment w:val="baseline"/>
        <w:rPr>
          <w:rFonts w:hint="eastAsia" w:ascii="宋体" w:hAnsi="宋体" w:cs="宋体"/>
          <w:color w:val="auto"/>
          <w:szCs w:val="21"/>
          <w:highlight w:val="none"/>
        </w:rPr>
      </w:pPr>
      <w:r>
        <w:rPr>
          <w:rFonts w:ascii="宋体" w:hAnsi="宋体" w:cs="宋体"/>
          <w:color w:val="auto"/>
          <w:spacing w:val="7"/>
          <w:szCs w:val="21"/>
          <w:highlight w:val="none"/>
        </w:rPr>
        <w:t>4.2.1  承包人履约担保的格式和金额</w:t>
      </w:r>
    </w:p>
    <w:p w14:paraId="5094C715">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8"/>
          <w:szCs w:val="21"/>
          <w:highlight w:val="none"/>
        </w:rPr>
        <w:t>发包人</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 xml:space="preserve"> 不要求</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（要求/不要求）承包</w:t>
      </w:r>
      <w:r>
        <w:rPr>
          <w:rFonts w:ascii="宋体" w:hAnsi="宋体" w:cs="宋体"/>
          <w:color w:val="auto"/>
          <w:spacing w:val="7"/>
          <w:szCs w:val="21"/>
          <w:highlight w:val="none"/>
        </w:rPr>
        <w:t>人提供承包人履约担保。</w:t>
      </w:r>
    </w:p>
    <w:p w14:paraId="44EB39D3">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承包人履约担保的金额为</w:t>
      </w:r>
      <w:r>
        <w:rPr>
          <w:rFonts w:ascii="宋体" w:hAnsi="宋体" w:cs="宋体"/>
          <w:color w:val="auto"/>
          <w:spacing w:val="5"/>
          <w:szCs w:val="21"/>
          <w:highlight w:val="none"/>
          <w:u w:val="single"/>
        </w:rPr>
        <w:t xml:space="preserve"> </w:t>
      </w:r>
      <w:r>
        <w:rPr>
          <w:rFonts w:hint="eastAsia" w:ascii="宋体" w:hAnsi="宋体" w:cstheme="minorEastAsia"/>
          <w:color w:val="auto"/>
          <w:szCs w:val="21"/>
          <w:highlight w:val="none"/>
          <w:u w:val="single"/>
        </w:rPr>
        <w:t xml:space="preserve">      /       </w:t>
      </w:r>
    </w:p>
    <w:p w14:paraId="7CED1674">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3" w:name="bookmark115"/>
      <w:bookmarkEnd w:id="743"/>
      <w:r>
        <w:rPr>
          <w:rFonts w:ascii="宋体" w:hAnsi="宋体" w:cs="宋体"/>
          <w:color w:val="auto"/>
          <w:spacing w:val="-1"/>
          <w:szCs w:val="21"/>
          <w:highlight w:val="none"/>
        </w:rPr>
        <w:t>4.11  不利物质条件</w:t>
      </w:r>
    </w:p>
    <w:p w14:paraId="5FCA605F">
      <w:pPr>
        <w:pStyle w:val="21"/>
        <w:widowControl/>
        <w:tabs>
          <w:tab w:val="left" w:pos="8322"/>
          <w:tab w:val="clear" w:pos="567"/>
        </w:tabs>
        <w:kinsoku w:val="0"/>
        <w:snapToGrid w:val="0"/>
        <w:spacing w:before="169"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4.11.1  不利物质条件的范围：</w:t>
      </w:r>
      <w:r>
        <w:rPr>
          <w:rFonts w:hint="eastAsia" w:cstheme="minorEastAsia"/>
          <w:color w:val="auto"/>
          <w:sz w:val="21"/>
          <w:szCs w:val="21"/>
          <w:highlight w:val="none"/>
          <w:u w:val="single"/>
        </w:rPr>
        <w:t xml:space="preserve">      /       </w:t>
      </w:r>
    </w:p>
    <w:p w14:paraId="13B39048">
      <w:pPr>
        <w:widowControl/>
        <w:kinsoku w:val="0"/>
        <w:snapToGrid w:val="0"/>
        <w:spacing w:before="289" w:line="360" w:lineRule="auto"/>
        <w:ind w:left="28"/>
        <w:textAlignment w:val="baseline"/>
        <w:outlineLvl w:val="1"/>
        <w:rPr>
          <w:rFonts w:hint="eastAsia" w:ascii="宋体" w:hAnsi="宋体" w:cs="宋体"/>
          <w:color w:val="auto"/>
          <w:szCs w:val="21"/>
          <w:highlight w:val="none"/>
        </w:rPr>
      </w:pPr>
      <w:bookmarkStart w:id="744" w:name="bookmark116"/>
      <w:bookmarkEnd w:id="744"/>
      <w:bookmarkStart w:id="745" w:name="bookmark117"/>
      <w:bookmarkEnd w:id="745"/>
      <w:r>
        <w:rPr>
          <w:rFonts w:ascii="宋体" w:hAnsi="宋体" w:cs="宋体"/>
          <w:color w:val="auto"/>
          <w:spacing w:val="-5"/>
          <w:szCs w:val="21"/>
          <w:highlight w:val="none"/>
        </w:rPr>
        <w:t>5.材料</w:t>
      </w:r>
    </w:p>
    <w:p w14:paraId="5C500A78">
      <w:pPr>
        <w:pStyle w:val="21"/>
        <w:widowControl/>
        <w:kinsoku w:val="0"/>
        <w:snapToGrid w:val="0"/>
        <w:spacing w:line="360" w:lineRule="auto"/>
        <w:textAlignment w:val="baseline"/>
        <w:rPr>
          <w:rFonts w:hint="eastAsia"/>
          <w:color w:val="auto"/>
          <w:sz w:val="21"/>
          <w:szCs w:val="21"/>
          <w:highlight w:val="none"/>
        </w:rPr>
      </w:pPr>
    </w:p>
    <w:p w14:paraId="77E0EBAC">
      <w:pPr>
        <w:widowControl/>
        <w:kinsoku w:val="0"/>
        <w:snapToGrid w:val="0"/>
        <w:spacing w:before="78" w:line="360" w:lineRule="auto"/>
        <w:ind w:left="25"/>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5.1  承包人提供的材料</w:t>
      </w:r>
    </w:p>
    <w:p w14:paraId="7CBA63C7">
      <w:pPr>
        <w:widowControl/>
        <w:kinsoku w:val="0"/>
        <w:snapToGrid w:val="0"/>
        <w:spacing w:before="299" w:line="360" w:lineRule="auto"/>
        <w:ind w:left="26" w:right="90" w:firstLine="417"/>
        <w:textAlignment w:val="baseline"/>
        <w:rPr>
          <w:rFonts w:hint="eastAsia" w:ascii="宋体" w:hAnsi="宋体" w:cs="宋体"/>
          <w:color w:val="auto"/>
          <w:szCs w:val="21"/>
          <w:highlight w:val="none"/>
        </w:rPr>
      </w:pPr>
      <w:r>
        <w:rPr>
          <w:rFonts w:ascii="宋体" w:hAnsi="宋体" w:cs="宋体"/>
          <w:color w:val="auto"/>
          <w:spacing w:val="7"/>
          <w:szCs w:val="21"/>
          <w:highlight w:val="none"/>
        </w:rPr>
        <w:t>5.1.2 承包人将由其提供的材料的供货人和品种、规格、数量及</w:t>
      </w:r>
      <w:r>
        <w:rPr>
          <w:rFonts w:ascii="宋体" w:hAnsi="宋体" w:cs="宋体"/>
          <w:color w:val="auto"/>
          <w:spacing w:val="6"/>
          <w:szCs w:val="21"/>
          <w:highlight w:val="none"/>
        </w:rPr>
        <w:t>供货时间等报送监理人</w:t>
      </w:r>
      <w:r>
        <w:rPr>
          <w:rFonts w:ascii="宋体" w:hAnsi="宋体" w:cs="宋体"/>
          <w:color w:val="auto"/>
          <w:spacing w:val="4"/>
          <w:szCs w:val="21"/>
          <w:highlight w:val="none"/>
        </w:rPr>
        <w:t>审批的期限：</w:t>
      </w:r>
      <w:r>
        <w:rPr>
          <w:rFonts w:ascii="宋体" w:hAnsi="宋体" w:cs="宋体"/>
          <w:color w:val="auto"/>
          <w:spacing w:val="4"/>
          <w:szCs w:val="21"/>
          <w:highlight w:val="none"/>
          <w:u w:val="single"/>
        </w:rPr>
        <w:t xml:space="preserve"> </w:t>
      </w:r>
      <w:r>
        <w:rPr>
          <w:rFonts w:hint="eastAsia" w:ascii="宋体" w:hAnsi="宋体" w:cstheme="minorEastAsia"/>
          <w:color w:val="auto"/>
          <w:spacing w:val="4"/>
          <w:szCs w:val="21"/>
          <w:highlight w:val="none"/>
          <w:u w:val="single"/>
        </w:rPr>
        <w:t xml:space="preserve">上报7天内 </w:t>
      </w:r>
    </w:p>
    <w:p w14:paraId="565BD4EB">
      <w:pPr>
        <w:widowControl/>
        <w:kinsoku w:val="0"/>
        <w:snapToGrid w:val="0"/>
        <w:spacing w:before="121" w:line="360" w:lineRule="auto"/>
        <w:ind w:left="25"/>
        <w:textAlignment w:val="baseline"/>
        <w:outlineLvl w:val="2"/>
        <w:rPr>
          <w:rFonts w:hint="eastAsia" w:ascii="宋体" w:hAnsi="宋体" w:cs="宋体"/>
          <w:color w:val="auto"/>
          <w:szCs w:val="21"/>
          <w:highlight w:val="none"/>
        </w:rPr>
      </w:pPr>
      <w:bookmarkStart w:id="746" w:name="bookmark118"/>
      <w:bookmarkEnd w:id="746"/>
      <w:r>
        <w:rPr>
          <w:rFonts w:ascii="宋体" w:hAnsi="宋体" w:cs="宋体"/>
          <w:color w:val="auto"/>
          <w:spacing w:val="-2"/>
          <w:szCs w:val="21"/>
          <w:highlight w:val="none"/>
        </w:rPr>
        <w:t>5.2  发包人提供的材料</w:t>
      </w:r>
    </w:p>
    <w:p w14:paraId="3DAA77C2">
      <w:pPr>
        <w:widowControl/>
        <w:kinsoku w:val="0"/>
        <w:snapToGrid w:val="0"/>
        <w:spacing w:before="297" w:line="360" w:lineRule="auto"/>
        <w:ind w:left="21" w:right="92" w:firstLine="422"/>
        <w:textAlignment w:val="baseline"/>
        <w:rPr>
          <w:rFonts w:hint="eastAsia" w:ascii="宋体" w:hAnsi="宋体" w:cs="宋体"/>
          <w:color w:val="auto"/>
          <w:szCs w:val="21"/>
          <w:highlight w:val="none"/>
        </w:rPr>
      </w:pPr>
      <w:r>
        <w:rPr>
          <w:rFonts w:ascii="宋体" w:hAnsi="宋体" w:cs="宋体"/>
          <w:color w:val="auto"/>
          <w:spacing w:val="6"/>
          <w:szCs w:val="21"/>
          <w:highlight w:val="none"/>
        </w:rPr>
        <w:t>5.2.7  因承包人原因引起发包人提供的材料的实际领用数量超过</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rPr>
        <w:t>/</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（按图纸计</w:t>
      </w:r>
      <w:r>
        <w:rPr>
          <w:rFonts w:ascii="宋体" w:hAnsi="宋体" w:cs="宋体"/>
          <w:color w:val="auto"/>
          <w:spacing w:val="10"/>
          <w:szCs w:val="21"/>
          <w:highlight w:val="none"/>
        </w:rPr>
        <w:t>算的实际数量（适用于采用单价合同形式）/按图纸计算的合理数量（适用于采用总</w:t>
      </w:r>
      <w:r>
        <w:rPr>
          <w:rFonts w:ascii="宋体" w:hAnsi="宋体" w:cs="宋体"/>
          <w:color w:val="auto"/>
          <w:spacing w:val="9"/>
          <w:szCs w:val="21"/>
          <w:highlight w:val="none"/>
        </w:rPr>
        <w:t>价合同形式</w:t>
      </w:r>
      <w:r>
        <w:rPr>
          <w:rFonts w:ascii="宋体" w:hAnsi="宋体" w:cs="宋体"/>
          <w:color w:val="auto"/>
          <w:spacing w:val="-6"/>
          <w:szCs w:val="21"/>
          <w:highlight w:val="none"/>
        </w:rPr>
        <w:t>））</w:t>
      </w:r>
      <w:r>
        <w:rPr>
          <w:rFonts w:ascii="宋体" w:hAnsi="宋体" w:cs="宋体"/>
          <w:color w:val="auto"/>
          <w:spacing w:val="9"/>
          <w:szCs w:val="21"/>
          <w:highlight w:val="none"/>
        </w:rPr>
        <w:t>及材料有效损耗时，超出部分的材料费用由</w:t>
      </w:r>
      <w:r>
        <w:rPr>
          <w:rFonts w:ascii="宋体" w:hAnsi="宋体" w:cs="宋体"/>
          <w:color w:val="auto"/>
          <w:spacing w:val="8"/>
          <w:szCs w:val="21"/>
          <w:highlight w:val="none"/>
        </w:rPr>
        <w:t>承包人承担。</w:t>
      </w:r>
    </w:p>
    <w:p w14:paraId="0DBC7C19">
      <w:pPr>
        <w:widowControl/>
        <w:kinsoku w:val="0"/>
        <w:snapToGrid w:val="0"/>
        <w:spacing w:before="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材料有效损耗=按上述约定计算的数量×“</w:t>
      </w:r>
      <w:r>
        <w:rPr>
          <w:rFonts w:ascii="宋体" w:hAnsi="宋体" w:cs="宋体"/>
          <w:color w:val="auto"/>
          <w:spacing w:val="-73"/>
          <w:szCs w:val="21"/>
          <w:highlight w:val="none"/>
        </w:rPr>
        <w:t xml:space="preserve"> </w:t>
      </w:r>
      <w:r>
        <w:rPr>
          <w:rFonts w:ascii="宋体" w:hAnsi="宋体" w:cs="宋体"/>
          <w:color w:val="auto"/>
          <w:spacing w:val="9"/>
          <w:szCs w:val="21"/>
          <w:highlight w:val="none"/>
        </w:rPr>
        <w:t>附件</w:t>
      </w:r>
      <w:r>
        <w:rPr>
          <w:rFonts w:ascii="宋体" w:hAnsi="宋体" w:cs="宋体"/>
          <w:color w:val="auto"/>
          <w:spacing w:val="8"/>
          <w:szCs w:val="21"/>
          <w:highlight w:val="none"/>
        </w:rPr>
        <w:t>四：发包人提供的材料一览表</w:t>
      </w:r>
      <w:r>
        <w:rPr>
          <w:rFonts w:ascii="宋体" w:hAnsi="宋体" w:cs="宋体"/>
          <w:color w:val="auto"/>
          <w:spacing w:val="-73"/>
          <w:szCs w:val="21"/>
          <w:highlight w:val="none"/>
        </w:rPr>
        <w:t xml:space="preserve"> </w:t>
      </w:r>
      <w:r>
        <w:rPr>
          <w:rFonts w:ascii="宋体" w:hAnsi="宋体" w:cs="宋体"/>
          <w:color w:val="auto"/>
          <w:spacing w:val="8"/>
          <w:szCs w:val="21"/>
          <w:highlight w:val="none"/>
        </w:rPr>
        <w:t>”中对应</w:t>
      </w:r>
      <w:r>
        <w:rPr>
          <w:rFonts w:ascii="宋体" w:hAnsi="宋体" w:cs="宋体"/>
          <w:color w:val="auto"/>
          <w:spacing w:val="4"/>
          <w:szCs w:val="21"/>
          <w:highlight w:val="none"/>
        </w:rPr>
        <w:t>的有效损耗率。</w:t>
      </w:r>
    </w:p>
    <w:p w14:paraId="09ABD799">
      <w:pPr>
        <w:widowControl/>
        <w:kinsoku w:val="0"/>
        <w:snapToGrid w:val="0"/>
        <w:spacing w:before="290" w:line="360" w:lineRule="auto"/>
        <w:ind w:left="24"/>
        <w:textAlignment w:val="baseline"/>
        <w:outlineLvl w:val="1"/>
        <w:rPr>
          <w:rFonts w:hint="eastAsia" w:ascii="宋体" w:hAnsi="宋体" w:cs="宋体"/>
          <w:color w:val="auto"/>
          <w:szCs w:val="21"/>
          <w:highlight w:val="none"/>
        </w:rPr>
      </w:pPr>
      <w:bookmarkStart w:id="747" w:name="bookmark119"/>
      <w:bookmarkEnd w:id="747"/>
      <w:bookmarkStart w:id="748" w:name="bookmark120"/>
      <w:bookmarkEnd w:id="748"/>
      <w:r>
        <w:rPr>
          <w:rFonts w:ascii="宋体" w:hAnsi="宋体" w:cs="宋体"/>
          <w:color w:val="auto"/>
          <w:spacing w:val="-2"/>
          <w:szCs w:val="21"/>
          <w:highlight w:val="none"/>
        </w:rPr>
        <w:t>6.施工设备和临时设施</w:t>
      </w:r>
    </w:p>
    <w:p w14:paraId="35DF2BD8">
      <w:pPr>
        <w:pStyle w:val="21"/>
        <w:widowControl/>
        <w:kinsoku w:val="0"/>
        <w:snapToGrid w:val="0"/>
        <w:spacing w:line="360" w:lineRule="auto"/>
        <w:textAlignment w:val="baseline"/>
        <w:rPr>
          <w:rFonts w:hint="eastAsia"/>
          <w:color w:val="auto"/>
          <w:sz w:val="21"/>
          <w:szCs w:val="21"/>
          <w:highlight w:val="none"/>
        </w:rPr>
      </w:pPr>
    </w:p>
    <w:p w14:paraId="492B2D0F">
      <w:pPr>
        <w:widowControl/>
        <w:kinsoku w:val="0"/>
        <w:snapToGrid w:val="0"/>
        <w:spacing w:before="78"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6.1  承包人提供的施工设备和临时设施</w:t>
      </w:r>
    </w:p>
    <w:p w14:paraId="36C5B449">
      <w:pPr>
        <w:widowControl/>
        <w:kinsoku w:val="0"/>
        <w:snapToGrid w:val="0"/>
        <w:spacing w:before="298" w:line="360" w:lineRule="auto"/>
        <w:ind w:left="441"/>
        <w:textAlignment w:val="baseline"/>
        <w:rPr>
          <w:rFonts w:hint="eastAsia" w:ascii="宋体" w:hAnsi="宋体" w:cs="宋体"/>
          <w:color w:val="auto"/>
          <w:szCs w:val="21"/>
          <w:highlight w:val="none"/>
        </w:rPr>
      </w:pPr>
      <w:r>
        <w:rPr>
          <w:rFonts w:ascii="宋体" w:hAnsi="宋体" w:cs="宋体"/>
          <w:color w:val="auto"/>
          <w:spacing w:val="8"/>
          <w:szCs w:val="21"/>
          <w:highlight w:val="none"/>
        </w:rPr>
        <w:t>6.1.2  承包人承担自行修建临时设施费用的范围：</w:t>
      </w:r>
      <w:r>
        <w:rPr>
          <w:rFonts w:hint="eastAsia" w:ascii="宋体" w:hAnsi="宋体" w:cstheme="minorEastAsia"/>
          <w:color w:val="auto"/>
          <w:szCs w:val="21"/>
          <w:highlight w:val="none"/>
          <w:u w:val="single"/>
        </w:rPr>
        <w:t>全部</w:t>
      </w:r>
    </w:p>
    <w:p w14:paraId="678F317D">
      <w:pPr>
        <w:pStyle w:val="21"/>
        <w:widowControl/>
        <w:tabs>
          <w:tab w:val="left" w:pos="8305"/>
          <w:tab w:val="clear" w:pos="567"/>
        </w:tabs>
        <w:kinsoku w:val="0"/>
        <w:snapToGrid w:val="0"/>
        <w:spacing w:before="168" w:line="360" w:lineRule="auto"/>
        <w:ind w:firstLine="1356" w:firstLineChars="600"/>
        <w:textAlignment w:val="baseline"/>
        <w:rPr>
          <w:rFonts w:hint="eastAsia" w:ascii="宋体" w:hAnsi="宋体" w:eastAsia="宋体" w:cs="宋体"/>
          <w:color w:val="auto"/>
          <w:spacing w:val="8"/>
          <w:kern w:val="2"/>
          <w:sz w:val="21"/>
          <w:szCs w:val="21"/>
          <w:highlight w:val="none"/>
          <w:lang w:val="en-US" w:eastAsia="zh-CN" w:bidi="ar-SA"/>
        </w:rPr>
      </w:pPr>
      <w:r>
        <w:rPr>
          <w:rFonts w:ascii="宋体" w:hAnsi="宋体" w:eastAsia="宋体" w:cs="宋体"/>
          <w:color w:val="auto"/>
          <w:spacing w:val="8"/>
          <w:kern w:val="2"/>
          <w:sz w:val="21"/>
          <w:szCs w:val="21"/>
          <w:highlight w:val="none"/>
          <w:lang w:val="en-US" w:eastAsia="zh-CN" w:bidi="ar-SA"/>
        </w:rPr>
        <w:t>发包人办理申请手续并承担相关费用的临时占地：</w:t>
      </w:r>
      <w:r>
        <w:rPr>
          <w:rFonts w:hint="eastAsia" w:ascii="宋体" w:hAnsi="宋体" w:eastAsia="宋体" w:cs="宋体"/>
          <w:i w:val="0"/>
          <w:iCs w:val="0"/>
          <w:color w:val="auto"/>
          <w:spacing w:val="8"/>
          <w:kern w:val="2"/>
          <w:sz w:val="21"/>
          <w:szCs w:val="21"/>
          <w:highlight w:val="none"/>
          <w:u w:val="single"/>
          <w:lang w:val="en-US" w:eastAsia="zh-CN" w:bidi="ar-SA"/>
        </w:rPr>
        <w:t>全部</w:t>
      </w:r>
    </w:p>
    <w:p w14:paraId="7DC74659">
      <w:pPr>
        <w:widowControl/>
        <w:kinsoku w:val="0"/>
        <w:snapToGrid w:val="0"/>
        <w:spacing w:before="284" w:line="360" w:lineRule="auto"/>
        <w:ind w:left="22"/>
        <w:textAlignment w:val="baseline"/>
        <w:outlineLvl w:val="2"/>
        <w:rPr>
          <w:rFonts w:hint="eastAsia" w:ascii="宋体" w:hAnsi="宋体" w:cs="宋体"/>
          <w:color w:val="auto"/>
          <w:szCs w:val="21"/>
          <w:highlight w:val="none"/>
        </w:rPr>
      </w:pPr>
      <w:bookmarkStart w:id="749" w:name="bookmark121"/>
      <w:bookmarkEnd w:id="749"/>
      <w:r>
        <w:rPr>
          <w:rFonts w:ascii="宋体" w:hAnsi="宋体" w:cs="宋体"/>
          <w:color w:val="auto"/>
          <w:spacing w:val="-1"/>
          <w:szCs w:val="21"/>
          <w:highlight w:val="none"/>
        </w:rPr>
        <w:t>6.2  发包人提供的施工设备和临时设施</w:t>
      </w:r>
    </w:p>
    <w:p w14:paraId="409A81A0">
      <w:pPr>
        <w:widowControl/>
        <w:kinsoku w:val="0"/>
        <w:snapToGrid w:val="0"/>
        <w:spacing w:before="298" w:line="360" w:lineRule="auto"/>
        <w:ind w:left="443"/>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发包人提供的施工设备和临时设施：</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14:paraId="17D69CD7">
      <w:pPr>
        <w:widowControl/>
        <w:kinsoku w:val="0"/>
        <w:snapToGrid w:val="0"/>
        <w:spacing w:before="163" w:line="360" w:lineRule="auto"/>
        <w:ind w:left="443"/>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发包人提供的施工设备和临时设施的运行、维</w:t>
      </w:r>
      <w:r>
        <w:rPr>
          <w:rFonts w:ascii="宋体" w:hAnsi="宋体" w:cs="宋体"/>
          <w:color w:val="auto"/>
          <w:spacing w:val="9"/>
          <w:szCs w:val="21"/>
          <w:highlight w:val="none"/>
        </w:rPr>
        <w:t>护、拆除、清运费用的承担人：</w:t>
      </w:r>
      <w:r>
        <w:rPr>
          <w:rFonts w:hint="eastAsia" w:ascii="宋体" w:hAnsi="宋体" w:cstheme="minorEastAsia"/>
          <w:color w:val="auto"/>
          <w:szCs w:val="21"/>
          <w:highlight w:val="none"/>
          <w:u w:val="single"/>
        </w:rPr>
        <w:t>承包人</w:t>
      </w:r>
    </w:p>
    <w:p w14:paraId="227461AD">
      <w:pPr>
        <w:widowControl/>
        <w:kinsoku w:val="0"/>
        <w:snapToGrid w:val="0"/>
        <w:spacing w:before="291" w:line="360" w:lineRule="auto"/>
        <w:ind w:left="29"/>
        <w:textAlignment w:val="baseline"/>
        <w:outlineLvl w:val="1"/>
        <w:rPr>
          <w:rFonts w:hint="eastAsia" w:ascii="宋体" w:hAnsi="宋体" w:cs="宋体"/>
          <w:color w:val="auto"/>
          <w:szCs w:val="21"/>
          <w:highlight w:val="none"/>
        </w:rPr>
      </w:pPr>
      <w:bookmarkStart w:id="750" w:name="bookmark122"/>
      <w:bookmarkEnd w:id="750"/>
      <w:bookmarkStart w:id="751" w:name="bookmark123"/>
      <w:bookmarkEnd w:id="751"/>
      <w:r>
        <w:rPr>
          <w:rFonts w:ascii="宋体" w:hAnsi="宋体" w:cs="宋体"/>
          <w:color w:val="auto"/>
          <w:spacing w:val="-4"/>
          <w:szCs w:val="21"/>
          <w:highlight w:val="none"/>
        </w:rPr>
        <w:t>7.交通运输</w:t>
      </w:r>
    </w:p>
    <w:p w14:paraId="6F1E3C1A">
      <w:pPr>
        <w:pStyle w:val="21"/>
        <w:widowControl/>
        <w:kinsoku w:val="0"/>
        <w:snapToGrid w:val="0"/>
        <w:spacing w:line="360" w:lineRule="auto"/>
        <w:textAlignment w:val="baseline"/>
        <w:rPr>
          <w:rFonts w:hint="eastAsia"/>
          <w:color w:val="auto"/>
          <w:sz w:val="21"/>
          <w:szCs w:val="21"/>
          <w:highlight w:val="none"/>
        </w:rPr>
      </w:pPr>
    </w:p>
    <w:p w14:paraId="4817AB6F">
      <w:pPr>
        <w:widowControl/>
        <w:kinsoku w:val="0"/>
        <w:snapToGrid w:val="0"/>
        <w:spacing w:before="78" w:line="360" w:lineRule="auto"/>
        <w:ind w:left="26"/>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7.1  道路通行权和场外设施</w:t>
      </w:r>
    </w:p>
    <w:p w14:paraId="49D217CD">
      <w:pPr>
        <w:widowControl/>
        <w:kinsoku w:val="0"/>
        <w:snapToGrid w:val="0"/>
        <w:spacing w:before="295" w:line="360" w:lineRule="auto"/>
        <w:ind w:left="45" w:right="5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负责取得道路通行权、场外设施修建权的办理人</w:t>
      </w:r>
      <w:r>
        <w:rPr>
          <w:rFonts w:ascii="宋体" w:hAnsi="宋体" w:cs="宋体"/>
          <w:color w:val="auto"/>
          <w:spacing w:val="-4"/>
          <w:szCs w:val="21"/>
          <w:highlight w:val="none"/>
        </w:rPr>
        <w:t>：</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 xml:space="preserve"> </w:t>
      </w:r>
      <w:r>
        <w:rPr>
          <w:rFonts w:ascii="宋体" w:hAnsi="宋体" w:cs="宋体"/>
          <w:color w:val="auto"/>
          <w:spacing w:val="-4"/>
          <w:szCs w:val="21"/>
          <w:highlight w:val="none"/>
        </w:rPr>
        <w:t>，</w:t>
      </w:r>
      <w:r>
        <w:rPr>
          <w:rFonts w:ascii="宋体" w:hAnsi="宋体" w:cs="宋体"/>
          <w:color w:val="auto"/>
          <w:spacing w:val="7"/>
          <w:szCs w:val="21"/>
          <w:highlight w:val="none"/>
        </w:rPr>
        <w:t>其相关费用</w:t>
      </w:r>
      <w:r>
        <w:rPr>
          <w:rFonts w:ascii="宋体" w:hAnsi="宋体" w:cs="宋体"/>
          <w:color w:val="auto"/>
          <w:spacing w:val="3"/>
          <w:szCs w:val="21"/>
          <w:highlight w:val="none"/>
        </w:rPr>
        <w:t>由发包人承担。</w:t>
      </w:r>
    </w:p>
    <w:p w14:paraId="634E2739">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2" w:name="bookmark124"/>
      <w:bookmarkEnd w:id="752"/>
      <w:r>
        <w:rPr>
          <w:rFonts w:ascii="宋体" w:hAnsi="宋体" w:cs="宋体"/>
          <w:color w:val="auto"/>
          <w:spacing w:val="-2"/>
          <w:szCs w:val="21"/>
          <w:highlight w:val="none"/>
        </w:rPr>
        <w:t>7.2  场内施工道路</w:t>
      </w:r>
    </w:p>
    <w:p w14:paraId="67A75594">
      <w:pPr>
        <w:widowControl/>
        <w:kinsoku w:val="0"/>
        <w:snapToGrid w:val="0"/>
        <w:spacing w:before="295" w:line="360" w:lineRule="auto"/>
        <w:ind w:left="19" w:firstLine="425"/>
        <w:textAlignment w:val="baseline"/>
        <w:rPr>
          <w:rFonts w:hint="eastAsia" w:ascii="宋体" w:hAnsi="宋体" w:cs="宋体"/>
          <w:color w:val="auto"/>
          <w:szCs w:val="21"/>
          <w:highlight w:val="none"/>
        </w:rPr>
      </w:pPr>
      <w:r>
        <w:rPr>
          <w:rFonts w:ascii="宋体" w:hAnsi="宋体" w:cs="宋体"/>
          <w:color w:val="auto"/>
          <w:spacing w:val="5"/>
          <w:szCs w:val="21"/>
          <w:highlight w:val="none"/>
        </w:rPr>
        <w:t>7.2.1  施工所需的场内临时道路和交通设施的修建、维护、养护和管理人</w:t>
      </w:r>
      <w:r>
        <w:rPr>
          <w:rFonts w:ascii="宋体" w:hAnsi="宋体" w:cs="宋体"/>
          <w:color w:val="auto"/>
          <w:spacing w:val="-46"/>
          <w:szCs w:val="21"/>
          <w:highlight w:val="none"/>
        </w:rPr>
        <w:t>：</w:t>
      </w:r>
      <w:r>
        <w:rPr>
          <w:rFonts w:hint="eastAsia" w:ascii="宋体" w:hAnsi="宋体" w:cstheme="minorEastAsia"/>
          <w:color w:val="auto"/>
          <w:szCs w:val="21"/>
          <w:highlight w:val="none"/>
          <w:u w:val="single"/>
        </w:rPr>
        <w:t>承包人</w:t>
      </w:r>
      <w:r>
        <w:rPr>
          <w:rFonts w:ascii="宋体" w:hAnsi="宋体" w:cs="宋体"/>
          <w:color w:val="auto"/>
          <w:spacing w:val="-46"/>
          <w:szCs w:val="21"/>
          <w:highlight w:val="none"/>
        </w:rPr>
        <w:t>，</w:t>
      </w:r>
      <w:r>
        <w:rPr>
          <w:rFonts w:ascii="宋体" w:hAnsi="宋体" w:cs="宋体"/>
          <w:color w:val="auto"/>
          <w:spacing w:val="6"/>
          <w:szCs w:val="21"/>
          <w:highlight w:val="none"/>
        </w:rPr>
        <w:t>相关费用由</w:t>
      </w:r>
      <w:r>
        <w:rPr>
          <w:rFonts w:hint="eastAsia" w:ascii="宋体" w:hAnsi="宋体" w:cstheme="minorEastAsia"/>
          <w:color w:val="auto"/>
          <w:szCs w:val="21"/>
          <w:highlight w:val="none"/>
          <w:u w:val="single"/>
        </w:rPr>
        <w:t>承包人</w:t>
      </w:r>
      <w:r>
        <w:rPr>
          <w:rFonts w:ascii="宋体" w:hAnsi="宋体" w:cs="宋体"/>
          <w:color w:val="auto"/>
          <w:spacing w:val="6"/>
          <w:szCs w:val="21"/>
          <w:highlight w:val="none"/>
        </w:rPr>
        <w:t>承担。</w:t>
      </w:r>
    </w:p>
    <w:p w14:paraId="7F34FB0F">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3" w:name="bookmark125"/>
      <w:bookmarkEnd w:id="753"/>
      <w:r>
        <w:rPr>
          <w:rFonts w:ascii="宋体" w:hAnsi="宋体" w:cs="宋体"/>
          <w:color w:val="auto"/>
          <w:spacing w:val="-2"/>
          <w:szCs w:val="21"/>
          <w:highlight w:val="none"/>
        </w:rPr>
        <w:t>7.4  超大件和超重件的运输</w:t>
      </w:r>
    </w:p>
    <w:p w14:paraId="52633EBF">
      <w:pPr>
        <w:widowControl/>
        <w:kinsoku w:val="0"/>
        <w:snapToGrid w:val="0"/>
        <w:spacing w:before="296" w:line="360" w:lineRule="auto"/>
        <w:ind w:firstLine="460" w:firstLineChars="200"/>
        <w:textAlignment w:val="baseline"/>
        <w:rPr>
          <w:rFonts w:hint="eastAsia" w:ascii="宋体" w:hAnsi="宋体" w:cs="宋体"/>
          <w:color w:val="auto"/>
          <w:szCs w:val="21"/>
          <w:highlight w:val="none"/>
        </w:rPr>
      </w:pPr>
      <w:r>
        <w:rPr>
          <w:rFonts w:ascii="宋体" w:hAnsi="宋体" w:cs="宋体"/>
          <w:color w:val="auto"/>
          <w:spacing w:val="10"/>
          <w:szCs w:val="21"/>
          <w:highlight w:val="none"/>
        </w:rPr>
        <w:t>运输超大件或超重件所需的道路和桥梁临时加</w:t>
      </w:r>
      <w:r>
        <w:rPr>
          <w:rFonts w:ascii="宋体" w:hAnsi="宋体" w:cs="宋体"/>
          <w:color w:val="auto"/>
          <w:spacing w:val="9"/>
          <w:szCs w:val="21"/>
          <w:highlight w:val="none"/>
        </w:rPr>
        <w:t>固改造等费用的承担人：</w:t>
      </w:r>
      <w:r>
        <w:rPr>
          <w:rFonts w:hint="eastAsia" w:ascii="宋体" w:hAnsi="宋体" w:cstheme="minorEastAsia"/>
          <w:color w:val="auto"/>
          <w:szCs w:val="21"/>
          <w:highlight w:val="none"/>
          <w:u w:val="single"/>
        </w:rPr>
        <w:t>由承包人承担，承包人应综合考虑相关费用，并将这部分费用计入相关子目的综合单价中。</w:t>
      </w:r>
    </w:p>
    <w:p w14:paraId="40208D14">
      <w:pPr>
        <w:widowControl/>
        <w:kinsoku w:val="0"/>
        <w:snapToGrid w:val="0"/>
        <w:spacing w:before="291" w:line="360" w:lineRule="auto"/>
        <w:ind w:left="23"/>
        <w:textAlignment w:val="baseline"/>
        <w:outlineLvl w:val="1"/>
        <w:rPr>
          <w:rFonts w:hint="eastAsia" w:ascii="宋体" w:hAnsi="宋体" w:cs="宋体"/>
          <w:color w:val="auto"/>
          <w:szCs w:val="21"/>
          <w:highlight w:val="none"/>
        </w:rPr>
      </w:pPr>
      <w:bookmarkStart w:id="754" w:name="bookmark127"/>
      <w:bookmarkEnd w:id="754"/>
      <w:bookmarkStart w:id="755" w:name="bookmark126"/>
      <w:bookmarkEnd w:id="755"/>
      <w:r>
        <w:rPr>
          <w:rFonts w:ascii="宋体" w:hAnsi="宋体" w:cs="宋体"/>
          <w:color w:val="auto"/>
          <w:spacing w:val="-3"/>
          <w:szCs w:val="21"/>
          <w:highlight w:val="none"/>
        </w:rPr>
        <w:t>8.测量放线</w:t>
      </w:r>
    </w:p>
    <w:p w14:paraId="3925EEAA">
      <w:pPr>
        <w:pStyle w:val="21"/>
        <w:widowControl/>
        <w:kinsoku w:val="0"/>
        <w:snapToGrid w:val="0"/>
        <w:spacing w:line="360" w:lineRule="auto"/>
        <w:textAlignment w:val="baseline"/>
        <w:rPr>
          <w:rFonts w:hint="eastAsia"/>
          <w:color w:val="auto"/>
          <w:sz w:val="21"/>
          <w:szCs w:val="21"/>
          <w:highlight w:val="none"/>
        </w:rPr>
      </w:pPr>
    </w:p>
    <w:p w14:paraId="33C63EB5">
      <w:pPr>
        <w:widowControl/>
        <w:kinsoku w:val="0"/>
        <w:snapToGrid w:val="0"/>
        <w:spacing w:before="79"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8.1  施工控制网</w:t>
      </w:r>
    </w:p>
    <w:p w14:paraId="606D85C0">
      <w:pPr>
        <w:pStyle w:val="21"/>
        <w:widowControl/>
        <w:tabs>
          <w:tab w:val="left" w:pos="8305"/>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8.1.1  发包人通过监理人提供测量基准点、基准线和水准点及其</w:t>
      </w:r>
      <w:r>
        <w:rPr>
          <w:rFonts w:cs="宋体"/>
          <w:color w:val="auto"/>
          <w:spacing w:val="8"/>
          <w:sz w:val="21"/>
          <w:szCs w:val="21"/>
          <w:highlight w:val="none"/>
        </w:rPr>
        <w:t>书面资料的期限：</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r>
        <w:rPr>
          <w:rFonts w:cs="宋体"/>
          <w:color w:val="auto"/>
          <w:spacing w:val="5"/>
          <w:sz w:val="21"/>
          <w:szCs w:val="21"/>
          <w:highlight w:val="none"/>
          <w:u w:val="single"/>
        </w:rPr>
        <w:t xml:space="preserve"> </w:t>
      </w:r>
    </w:p>
    <w:p w14:paraId="7F13234A">
      <w:pPr>
        <w:pStyle w:val="21"/>
        <w:widowControl/>
        <w:tabs>
          <w:tab w:val="left" w:pos="8305"/>
          <w:tab w:val="clear" w:pos="567"/>
        </w:tabs>
        <w:kinsoku w:val="0"/>
        <w:snapToGrid w:val="0"/>
        <w:spacing w:before="168" w:line="360" w:lineRule="auto"/>
        <w:ind w:left="11" w:firstLine="452" w:firstLineChars="200"/>
        <w:textAlignment w:val="baseline"/>
        <w:rPr>
          <w:rFonts w:hint="eastAsia"/>
          <w:color w:val="auto"/>
          <w:sz w:val="21"/>
          <w:szCs w:val="21"/>
          <w:highlight w:val="none"/>
        </w:rPr>
      </w:pPr>
      <w:r>
        <w:rPr>
          <w:rFonts w:cs="宋体"/>
          <w:color w:val="auto"/>
          <w:spacing w:val="8"/>
          <w:sz w:val="21"/>
          <w:szCs w:val="21"/>
          <w:highlight w:val="none"/>
        </w:rPr>
        <w:t>8.1.2  承包人测设施工控制网的其他要求：</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p>
    <w:p w14:paraId="05994C9B">
      <w:pPr>
        <w:widowControl/>
        <w:kinsoku w:val="0"/>
        <w:snapToGrid w:val="0"/>
        <w:spacing w:before="162" w:line="360" w:lineRule="auto"/>
        <w:ind w:left="439"/>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承包人将施工控制网资料报送监理人审批的期限：</w:t>
      </w:r>
      <w:r>
        <w:rPr>
          <w:rFonts w:hint="eastAsia" w:ascii="宋体" w:hAnsi="宋体" w:cstheme="minorEastAsia"/>
          <w:color w:val="auto"/>
          <w:szCs w:val="21"/>
          <w:highlight w:val="none"/>
          <w:u w:val="single"/>
        </w:rPr>
        <w:t>定位放线完成后一天</w:t>
      </w:r>
      <w:r>
        <w:rPr>
          <w:rFonts w:hint="eastAsia" w:ascii="宋体" w:hAnsi="宋体" w:cstheme="minorEastAsia"/>
          <w:color w:val="auto"/>
          <w:szCs w:val="21"/>
          <w:highlight w:val="none"/>
        </w:rPr>
        <w:t>。</w:t>
      </w:r>
    </w:p>
    <w:p w14:paraId="7885BC0B">
      <w:pPr>
        <w:widowControl/>
        <w:kinsoku w:val="0"/>
        <w:snapToGrid w:val="0"/>
        <w:spacing w:before="323" w:line="360" w:lineRule="auto"/>
        <w:ind w:left="12"/>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9.施工安全、治安保卫和环境保护</w:t>
      </w:r>
    </w:p>
    <w:p w14:paraId="1EF9C003">
      <w:pPr>
        <w:pStyle w:val="667"/>
        <w:widowControl/>
        <w:kinsoku w:val="0"/>
        <w:snapToGrid w:val="0"/>
        <w:spacing w:line="360" w:lineRule="auto"/>
        <w:textAlignment w:val="baseline"/>
        <w:rPr>
          <w:rFonts w:hint="eastAsia" w:ascii="宋体" w:hAnsi="宋体" w:eastAsia="宋体"/>
          <w:color w:val="auto"/>
          <w:highlight w:val="none"/>
          <w:lang w:eastAsia="zh-CN"/>
        </w:rPr>
      </w:pPr>
    </w:p>
    <w:p w14:paraId="1839901F">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9.2  承包人的施工安全责任</w:t>
      </w:r>
    </w:p>
    <w:p w14:paraId="2050FFF9">
      <w:pPr>
        <w:widowControl/>
        <w:kinsoku w:val="0"/>
        <w:snapToGrid w:val="0"/>
        <w:spacing w:before="297"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9.2.1  承包人向监理人报送施工安全措施计划的期限：</w:t>
      </w:r>
      <w:r>
        <w:rPr>
          <w:rFonts w:hint="eastAsia" w:ascii="宋体" w:hAnsi="宋体" w:cstheme="minorEastAsia"/>
          <w:color w:val="auto"/>
          <w:szCs w:val="21"/>
          <w:highlight w:val="none"/>
          <w:u w:val="single"/>
        </w:rPr>
        <w:t>施工单位进场后</w:t>
      </w:r>
      <w:r>
        <w:rPr>
          <w:rFonts w:hint="eastAsia" w:ascii="宋体" w:hAnsi="宋体" w:cstheme="minorEastAsia"/>
          <w:color w:val="auto"/>
          <w:szCs w:val="21"/>
          <w:highlight w:val="none"/>
        </w:rPr>
        <w:t>。</w:t>
      </w:r>
    </w:p>
    <w:p w14:paraId="7FF64498">
      <w:pPr>
        <w:widowControl/>
        <w:kinsoku w:val="0"/>
        <w:snapToGrid w:val="0"/>
        <w:spacing w:before="16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监理人收到承包人报送的施工安全措施计划后应当在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8"/>
          <w:szCs w:val="21"/>
          <w:highlight w:val="none"/>
          <w:u w:val="single"/>
        </w:rPr>
        <w:t xml:space="preserve"> </w:t>
      </w:r>
      <w:r>
        <w:rPr>
          <w:rFonts w:ascii="宋体" w:hAnsi="宋体" w:cs="宋体"/>
          <w:color w:val="auto"/>
          <w:spacing w:val="-87"/>
          <w:szCs w:val="21"/>
          <w:highlight w:val="none"/>
        </w:rPr>
        <w:t xml:space="preserve"> </w:t>
      </w:r>
      <w:r>
        <w:rPr>
          <w:rFonts w:ascii="宋体" w:hAnsi="宋体" w:cs="宋体"/>
          <w:color w:val="auto"/>
          <w:spacing w:val="8"/>
          <w:szCs w:val="21"/>
          <w:highlight w:val="none"/>
        </w:rPr>
        <w:t>天</w:t>
      </w:r>
      <w:r>
        <w:rPr>
          <w:rFonts w:ascii="宋体" w:hAnsi="宋体" w:cs="宋体"/>
          <w:color w:val="auto"/>
          <w:spacing w:val="7"/>
          <w:szCs w:val="21"/>
          <w:highlight w:val="none"/>
        </w:rPr>
        <w:t>内给予批复。</w:t>
      </w:r>
    </w:p>
    <w:p w14:paraId="70DAC01B">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9.3</w:t>
      </w:r>
      <w:r>
        <w:rPr>
          <w:rFonts w:ascii="宋体" w:hAnsi="宋体" w:cs="宋体"/>
          <w:color w:val="auto"/>
          <w:spacing w:val="8"/>
          <w:szCs w:val="21"/>
          <w:highlight w:val="none"/>
        </w:rPr>
        <w:t xml:space="preserve">  </w:t>
      </w:r>
      <w:r>
        <w:rPr>
          <w:rFonts w:ascii="宋体" w:hAnsi="宋体" w:cs="宋体"/>
          <w:color w:val="auto"/>
          <w:spacing w:val="-4"/>
          <w:szCs w:val="21"/>
          <w:highlight w:val="none"/>
        </w:rPr>
        <w:t>治安保卫</w:t>
      </w:r>
    </w:p>
    <w:p w14:paraId="3382564E">
      <w:pPr>
        <w:widowControl/>
        <w:kinsoku w:val="0"/>
        <w:snapToGrid w:val="0"/>
        <w:spacing w:before="30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9.3.3  制定施工场地治安管理计划和突发治安事</w:t>
      </w:r>
      <w:r>
        <w:rPr>
          <w:rFonts w:ascii="宋体" w:hAnsi="宋体" w:cs="宋体"/>
          <w:color w:val="auto"/>
          <w:spacing w:val="7"/>
          <w:szCs w:val="21"/>
          <w:highlight w:val="none"/>
        </w:rPr>
        <w:t>件紧急预案的责任人：</w:t>
      </w:r>
      <w:r>
        <w:rPr>
          <w:rFonts w:hint="eastAsia" w:ascii="宋体" w:hAnsi="宋体" w:cstheme="minorEastAsia"/>
          <w:color w:val="auto"/>
          <w:szCs w:val="21"/>
          <w:highlight w:val="none"/>
          <w:u w:val="single"/>
        </w:rPr>
        <w:t xml:space="preserve"> 承包人 </w:t>
      </w:r>
    </w:p>
    <w:p w14:paraId="7D9FE6E5">
      <w:pPr>
        <w:widowControl/>
        <w:kinsoku w:val="0"/>
        <w:snapToGrid w:val="0"/>
        <w:spacing w:before="29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9.4  环境保护</w:t>
      </w:r>
    </w:p>
    <w:p w14:paraId="7D7DEB6A">
      <w:pPr>
        <w:widowControl/>
        <w:kinsoku w:val="0"/>
        <w:snapToGrid w:val="0"/>
        <w:spacing w:before="302"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9.4.3  施工环保措施计划报送监理人审批</w:t>
      </w:r>
      <w:r>
        <w:rPr>
          <w:rFonts w:ascii="宋体" w:hAnsi="宋体" w:cs="宋体"/>
          <w:color w:val="auto"/>
          <w:spacing w:val="7"/>
          <w:szCs w:val="21"/>
          <w:highlight w:val="none"/>
        </w:rPr>
        <w:t>的时间：</w:t>
      </w:r>
      <w:r>
        <w:rPr>
          <w:rFonts w:hint="eastAsia" w:ascii="宋体" w:hAnsi="宋体" w:cstheme="minorEastAsia"/>
          <w:color w:val="auto"/>
          <w:szCs w:val="21"/>
          <w:highlight w:val="none"/>
          <w:u w:val="single"/>
        </w:rPr>
        <w:t>施工单位进场后</w:t>
      </w:r>
      <w:r>
        <w:rPr>
          <w:rFonts w:ascii="宋体" w:hAnsi="宋体" w:cs="宋体"/>
          <w:color w:val="auto"/>
          <w:szCs w:val="21"/>
          <w:highlight w:val="none"/>
          <w:u w:val="single"/>
        </w:rPr>
        <w:t xml:space="preserve"> </w:t>
      </w:r>
    </w:p>
    <w:p w14:paraId="65CBB203">
      <w:pPr>
        <w:widowControl/>
        <w:kinsoku w:val="0"/>
        <w:snapToGrid w:val="0"/>
        <w:spacing w:before="17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监理人收到承包人报送的施工环保措施计划后应当在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76"/>
          <w:szCs w:val="21"/>
          <w:highlight w:val="none"/>
        </w:rPr>
        <w:t xml:space="preserve"> </w:t>
      </w:r>
      <w:r>
        <w:rPr>
          <w:rFonts w:ascii="宋体" w:hAnsi="宋体" w:cs="宋体"/>
          <w:color w:val="auto"/>
          <w:spacing w:val="8"/>
          <w:szCs w:val="21"/>
          <w:highlight w:val="none"/>
        </w:rPr>
        <w:t>天内给予批复。</w:t>
      </w:r>
    </w:p>
    <w:p w14:paraId="619FC4B8">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9.6  施工现场安全生产标准化管理目标</w:t>
      </w:r>
    </w:p>
    <w:p w14:paraId="2791DAC3">
      <w:pPr>
        <w:widowControl/>
        <w:kinsoku w:val="0"/>
        <w:snapToGrid w:val="0"/>
        <w:spacing w:line="360" w:lineRule="auto"/>
        <w:ind w:firstLine="456" w:firstLineChars="200"/>
        <w:textAlignment w:val="baseline"/>
        <w:rPr>
          <w:rFonts w:hint="eastAsia" w:ascii="宋体" w:hAnsi="宋体" w:cs="宋体"/>
          <w:color w:val="auto"/>
          <w:spacing w:val="8"/>
          <w:szCs w:val="21"/>
          <w:highlight w:val="none"/>
        </w:rPr>
      </w:pPr>
      <w:r>
        <w:rPr>
          <w:rFonts w:ascii="宋体" w:hAnsi="宋体" w:cs="宋体"/>
          <w:color w:val="auto"/>
          <w:spacing w:val="9"/>
          <w:szCs w:val="21"/>
          <w:highlight w:val="none"/>
        </w:rPr>
        <w:t>9.6.1  未达到合同协议书中约定的安全生产标准化管理目标等级的违约金或损失赔偿</w:t>
      </w:r>
      <w:r>
        <w:rPr>
          <w:rFonts w:ascii="宋体" w:hAnsi="宋体" w:cs="宋体"/>
          <w:color w:val="auto"/>
          <w:spacing w:val="8"/>
          <w:szCs w:val="21"/>
          <w:highlight w:val="none"/>
        </w:rPr>
        <w:t>金的金额或者计算方法：</w:t>
      </w:r>
      <w:r>
        <w:rPr>
          <w:rFonts w:hint="eastAsia" w:ascii="宋体" w:hAnsi="宋体" w:cstheme="minorEastAsia"/>
          <w:color w:val="auto"/>
          <w:szCs w:val="21"/>
          <w:highlight w:val="none"/>
          <w:u w:val="single"/>
        </w:rPr>
        <w:t>不宜低于实际考核评定、认定的目标等级和合同约定的目标等级之间实际投入费用的差额。</w:t>
      </w:r>
    </w:p>
    <w:p w14:paraId="0BB68707">
      <w:pPr>
        <w:widowControl/>
        <w:kinsoku w:val="0"/>
        <w:snapToGrid w:val="0"/>
        <w:spacing w:line="360" w:lineRule="auto"/>
        <w:ind w:firstLine="452" w:firstLineChars="200"/>
        <w:textAlignment w:val="baseline"/>
        <w:rPr>
          <w:rFonts w:hint="eastAsia" w:ascii="宋体" w:hAnsi="宋体" w:cs="宋体"/>
          <w:color w:val="auto"/>
          <w:spacing w:val="8"/>
          <w:szCs w:val="21"/>
          <w:highlight w:val="none"/>
        </w:rPr>
      </w:pPr>
    </w:p>
    <w:p w14:paraId="4B3D56AE">
      <w:pPr>
        <w:widowControl/>
        <w:kinsoku w:val="0"/>
        <w:snapToGrid w:val="0"/>
        <w:spacing w:line="360" w:lineRule="auto"/>
        <w:ind w:firstLine="444" w:firstLineChars="200"/>
        <w:textAlignment w:val="baseline"/>
        <w:rPr>
          <w:rFonts w:hint="eastAsia" w:ascii="宋体" w:hAnsi="宋体" w:cs="宋体"/>
          <w:color w:val="auto"/>
          <w:spacing w:val="9"/>
          <w:szCs w:val="21"/>
          <w:highlight w:val="none"/>
        </w:rPr>
      </w:pPr>
      <w:r>
        <w:rPr>
          <w:rFonts w:ascii="宋体" w:hAnsi="宋体" w:cs="宋体"/>
          <w:color w:val="auto"/>
          <w:spacing w:val="6"/>
          <w:szCs w:val="21"/>
          <w:highlight w:val="none"/>
        </w:rPr>
        <w:t>9.6.2  发包人</w:t>
      </w:r>
      <w:r>
        <w:rPr>
          <w:rFonts w:ascii="宋体" w:hAnsi="宋体" w:cs="宋体"/>
          <w:color w:val="auto"/>
          <w:spacing w:val="6"/>
          <w:szCs w:val="21"/>
          <w:highlight w:val="none"/>
          <w:u w:val="single"/>
        </w:rPr>
        <w:t xml:space="preserve"> </w:t>
      </w:r>
      <w:r>
        <w:rPr>
          <w:rFonts w:hint="eastAsia" w:ascii="宋体" w:hAnsi="宋体" w:cstheme="minorEastAsia"/>
          <w:color w:val="auto"/>
          <w:szCs w:val="21"/>
          <w:highlight w:val="none"/>
          <w:u w:val="single"/>
        </w:rPr>
        <w:t>不给予</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（给予/不给予）承包人创优奖励。发包人给予承包</w:t>
      </w:r>
      <w:r>
        <w:rPr>
          <w:rFonts w:ascii="宋体" w:hAnsi="宋体" w:cs="宋体"/>
          <w:color w:val="auto"/>
          <w:spacing w:val="9"/>
          <w:szCs w:val="21"/>
          <w:highlight w:val="none"/>
        </w:rPr>
        <w:t>人创优奖励的，创优奖励金额或者计算方法：</w:t>
      </w:r>
      <w:r>
        <w:rPr>
          <w:rFonts w:hint="eastAsia" w:ascii="宋体" w:hAnsi="宋体" w:cstheme="minorEastAsia"/>
          <w:color w:val="auto"/>
          <w:szCs w:val="21"/>
          <w:highlight w:val="none"/>
          <w:u w:val="single"/>
        </w:rPr>
        <w:t xml:space="preserve">  /  </w:t>
      </w:r>
    </w:p>
    <w:p w14:paraId="4BD813E4">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p>
    <w:p w14:paraId="09378314">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9.7  特殊安全生产标准化</w:t>
      </w:r>
    </w:p>
    <w:p w14:paraId="50AE6CFB">
      <w:pPr>
        <w:widowControl/>
        <w:kinsoku w:val="0"/>
        <w:snapToGrid w:val="0"/>
        <w:spacing w:line="360" w:lineRule="auto"/>
        <w:ind w:firstLine="456" w:firstLineChars="200"/>
        <w:textAlignment w:val="baseline"/>
        <w:rPr>
          <w:rFonts w:hint="eastAsia" w:ascii="宋体" w:hAnsi="宋体" w:cs="宋体"/>
          <w:color w:val="auto"/>
          <w:spacing w:val="4"/>
          <w:szCs w:val="21"/>
          <w:highlight w:val="none"/>
        </w:rPr>
      </w:pPr>
      <w:r>
        <w:rPr>
          <w:rFonts w:ascii="宋体" w:hAnsi="宋体" w:cs="宋体"/>
          <w:color w:val="auto"/>
          <w:spacing w:val="9"/>
          <w:szCs w:val="21"/>
          <w:highlight w:val="none"/>
        </w:rPr>
        <w:t>9.7.1  未达到合同约定的特殊安全生产标准化要求的违约金或损失赔偿金的金额或者</w:t>
      </w:r>
      <w:r>
        <w:rPr>
          <w:rFonts w:ascii="宋体" w:hAnsi="宋体" w:cs="宋体"/>
          <w:color w:val="auto"/>
          <w:spacing w:val="4"/>
          <w:szCs w:val="21"/>
          <w:highlight w:val="none"/>
        </w:rPr>
        <w:t>计算方法：</w:t>
      </w:r>
      <w:r>
        <w:rPr>
          <w:rFonts w:hint="eastAsia" w:ascii="宋体" w:hAnsi="宋体" w:cstheme="minorEastAsia"/>
          <w:color w:val="auto"/>
          <w:szCs w:val="21"/>
          <w:highlight w:val="none"/>
          <w:u w:val="single"/>
        </w:rPr>
        <w:t xml:space="preserve">  /  </w:t>
      </w:r>
    </w:p>
    <w:p w14:paraId="4CA5943A">
      <w:pPr>
        <w:widowControl/>
        <w:kinsoku w:val="0"/>
        <w:snapToGrid w:val="0"/>
        <w:spacing w:line="360" w:lineRule="auto"/>
        <w:ind w:firstLine="436" w:firstLineChars="200"/>
        <w:textAlignment w:val="baseline"/>
        <w:rPr>
          <w:rFonts w:hint="eastAsia" w:ascii="宋体" w:hAnsi="宋体" w:cs="宋体"/>
          <w:color w:val="auto"/>
          <w:spacing w:val="4"/>
          <w:szCs w:val="21"/>
          <w:highlight w:val="none"/>
        </w:rPr>
      </w:pPr>
    </w:p>
    <w:p w14:paraId="0526124A">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9.7.2  发包人</w:t>
      </w:r>
      <w:r>
        <w:rPr>
          <w:rFonts w:ascii="宋体" w:hAnsi="宋体" w:cs="宋体"/>
          <w:color w:val="auto"/>
          <w:spacing w:val="-84"/>
          <w:szCs w:val="21"/>
          <w:highlight w:val="none"/>
        </w:rPr>
        <w:t xml:space="preserve"> </w:t>
      </w:r>
      <w:r>
        <w:rPr>
          <w:rFonts w:hint="eastAsia" w:ascii="宋体" w:hAnsi="宋体" w:cstheme="minorEastAsia"/>
          <w:color w:val="auto"/>
          <w:szCs w:val="21"/>
          <w:highlight w:val="none"/>
          <w:u w:val="single"/>
        </w:rPr>
        <w:t xml:space="preserve"> 不给予</w:t>
      </w:r>
      <w:r>
        <w:rPr>
          <w:rFonts w:ascii="宋体" w:hAnsi="宋体" w:cs="宋体"/>
          <w:color w:val="auto"/>
          <w:spacing w:val="4"/>
          <w:szCs w:val="21"/>
          <w:highlight w:val="none"/>
          <w:u w:val="single"/>
        </w:rPr>
        <w:t xml:space="preserve"> </w:t>
      </w:r>
      <w:r>
        <w:rPr>
          <w:rFonts w:ascii="宋体" w:hAnsi="宋体" w:cs="宋体"/>
          <w:color w:val="auto"/>
          <w:spacing w:val="9"/>
          <w:szCs w:val="21"/>
          <w:highlight w:val="none"/>
        </w:rPr>
        <w:t>（给予/不给予）承包人创优奖励。发包人给予承包人创优奖励的，创优奖励金额或者计算方法：</w:t>
      </w:r>
      <w:r>
        <w:rPr>
          <w:rFonts w:hint="eastAsia" w:ascii="宋体" w:hAnsi="宋体" w:cstheme="minorEastAsia"/>
          <w:color w:val="auto"/>
          <w:szCs w:val="21"/>
          <w:highlight w:val="none"/>
          <w:u w:val="single"/>
        </w:rPr>
        <w:t xml:space="preserve">  /  </w:t>
      </w:r>
    </w:p>
    <w:p w14:paraId="5FCDDE62">
      <w:pPr>
        <w:widowControl/>
        <w:kinsoku w:val="0"/>
        <w:snapToGrid w:val="0"/>
        <w:spacing w:before="91" w:line="360" w:lineRule="auto"/>
        <w:ind w:left="32"/>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10.进度计划</w:t>
      </w:r>
    </w:p>
    <w:p w14:paraId="479AD80B">
      <w:pPr>
        <w:pStyle w:val="667"/>
        <w:widowControl/>
        <w:kinsoku w:val="0"/>
        <w:snapToGrid w:val="0"/>
        <w:spacing w:line="360" w:lineRule="auto"/>
        <w:textAlignment w:val="baseline"/>
        <w:rPr>
          <w:rFonts w:hint="eastAsia" w:ascii="宋体" w:hAnsi="宋体" w:eastAsia="宋体"/>
          <w:color w:val="auto"/>
          <w:highlight w:val="none"/>
          <w:lang w:eastAsia="zh-CN"/>
        </w:rPr>
      </w:pPr>
    </w:p>
    <w:p w14:paraId="413775F6">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3"/>
          <w:szCs w:val="21"/>
          <w:highlight w:val="none"/>
        </w:rPr>
        <w:t>10.1  合同进度计划</w:t>
      </w:r>
    </w:p>
    <w:p w14:paraId="29B0EA36">
      <w:pPr>
        <w:pStyle w:val="665"/>
        <w:widowControl/>
        <w:tabs>
          <w:tab w:val="left" w:pos="5956"/>
        </w:tabs>
        <w:kinsoku w:val="0"/>
        <w:snapToGrid w:val="0"/>
        <w:spacing w:line="360" w:lineRule="auto"/>
        <w:ind w:firstLine="428" w:firstLineChars="200"/>
        <w:textAlignment w:val="baseline"/>
        <w:rPr>
          <w:rFonts w:hint="eastAsia" w:cstheme="minorEastAsia"/>
          <w:color w:val="auto"/>
          <w:sz w:val="21"/>
          <w:szCs w:val="21"/>
          <w:highlight w:val="none"/>
          <w:u w:val="single"/>
          <w:lang w:val="en-US" w:eastAsia="zh-CN"/>
        </w:rPr>
      </w:pPr>
      <w:r>
        <w:rPr>
          <w:color w:val="auto"/>
          <w:spacing w:val="2"/>
          <w:sz w:val="21"/>
          <w:szCs w:val="21"/>
          <w:highlight w:val="none"/>
        </w:rPr>
        <w:t>10.1.1  承包人编制施工进度计划和施工方案说明的内容：</w:t>
      </w:r>
      <w:r>
        <w:rPr>
          <w:rFonts w:hint="eastAsia" w:cstheme="minorEastAsia"/>
          <w:color w:val="auto"/>
          <w:sz w:val="21"/>
          <w:szCs w:val="21"/>
          <w:highlight w:val="none"/>
          <w:u w:val="single"/>
        </w:rPr>
        <w:t>施工进度计划包括总进度计划、分阶段和分项目进度计划、设备材料人员进场计划、分包商进场计划；施工方案说明包括分部、分项工程或工程部位的名称及施工顺序和方法等。</w:t>
      </w:r>
    </w:p>
    <w:p w14:paraId="5BF9A221">
      <w:pPr>
        <w:widowControl/>
        <w:kinsoku w:val="0"/>
        <w:snapToGrid w:val="0"/>
        <w:spacing w:line="360" w:lineRule="auto"/>
        <w:ind w:firstLine="420" w:firstLineChars="200"/>
        <w:textAlignment w:val="baseline"/>
        <w:rPr>
          <w:rFonts w:hint="eastAsia" w:ascii="宋体" w:hAnsi="宋体" w:cs="宋体"/>
          <w:color w:val="auto"/>
          <w:spacing w:val="2"/>
          <w:szCs w:val="21"/>
          <w:highlight w:val="none"/>
        </w:rPr>
      </w:pPr>
      <w:r>
        <w:rPr>
          <w:rFonts w:hint="eastAsia" w:ascii="宋体" w:hAnsi="宋体" w:cstheme="minorEastAsia"/>
          <w:color w:val="auto"/>
          <w:kern w:val="0"/>
          <w:szCs w:val="21"/>
          <w:highlight w:val="none"/>
          <w:u w:val="single"/>
          <w:lang w:val="zh-TW" w:eastAsia="zh-TW" w:bidi="zh-TW"/>
        </w:rPr>
        <w:t>施工进度计划中还应载明要求发包人组织设计人进行阶段性工程设计交底的时间。</w:t>
      </w:r>
      <w:r>
        <w:rPr>
          <w:rFonts w:hint="eastAsia" w:ascii="宋体" w:hAnsi="宋体" w:cstheme="minorEastAsia"/>
          <w:color w:val="auto"/>
          <w:kern w:val="0"/>
          <w:szCs w:val="21"/>
          <w:highlight w:val="none"/>
          <w:u w:val="single"/>
          <w:lang w:val="zh-TW" w:eastAsia="zh-TW" w:bidi="zh-TW"/>
        </w:rPr>
        <w:br w:type="textWrapping"/>
      </w:r>
    </w:p>
    <w:p w14:paraId="119C6670">
      <w:pPr>
        <w:widowControl/>
        <w:kinsoku w:val="0"/>
        <w:snapToGrid w:val="0"/>
        <w:spacing w:line="360" w:lineRule="auto"/>
        <w:ind w:firstLine="448" w:firstLineChars="200"/>
        <w:textAlignment w:val="baseline"/>
        <w:rPr>
          <w:rFonts w:hint="eastAsia" w:ascii="宋体" w:hAnsi="宋体" w:cs="宋体"/>
          <w:color w:val="auto"/>
          <w:spacing w:val="7"/>
          <w:szCs w:val="21"/>
          <w:highlight w:val="none"/>
        </w:rPr>
      </w:pPr>
      <w:r>
        <w:rPr>
          <w:rFonts w:ascii="宋体" w:hAnsi="宋体" w:cs="宋体"/>
          <w:color w:val="auto"/>
          <w:spacing w:val="7"/>
          <w:szCs w:val="21"/>
          <w:highlight w:val="none"/>
        </w:rPr>
        <w:t>10.1.2  承包人编制分阶段或分项施工进度计划和施工方案说明的内容及时限要求：</w:t>
      </w:r>
      <w:r>
        <w:rPr>
          <w:rFonts w:hint="eastAsia" w:ascii="宋体" w:hAnsi="宋体" w:cstheme="minorEastAsia"/>
          <w:color w:val="auto"/>
          <w:kern w:val="0"/>
          <w:szCs w:val="21"/>
          <w:highlight w:val="none"/>
          <w:u w:val="single"/>
          <w:lang w:val="zh-TW" w:eastAsia="zh-TW" w:bidi="zh-TW"/>
        </w:rPr>
        <w:t>进场前上报施工方案和施工进度计划。</w:t>
      </w:r>
    </w:p>
    <w:p w14:paraId="0E70C6B1">
      <w:pPr>
        <w:widowControl/>
        <w:kinsoku w:val="0"/>
        <w:snapToGrid w:val="0"/>
        <w:spacing w:before="194" w:line="360" w:lineRule="auto"/>
        <w:ind w:left="444"/>
        <w:textAlignment w:val="baseline"/>
        <w:rPr>
          <w:rFonts w:hint="eastAsia" w:ascii="宋体" w:hAnsi="宋体" w:cs="宋体"/>
          <w:color w:val="auto"/>
          <w:szCs w:val="21"/>
          <w:highlight w:val="none"/>
        </w:rPr>
      </w:pPr>
      <w:r>
        <w:rPr>
          <w:rFonts w:ascii="宋体" w:hAnsi="宋体" w:cs="宋体"/>
          <w:color w:val="auto"/>
          <w:spacing w:val="6"/>
          <w:szCs w:val="21"/>
          <w:highlight w:val="none"/>
        </w:rPr>
        <w:t>10.1.3  群体工程中有关编制进度计划和施工方案说明的要求：</w:t>
      </w:r>
      <w:r>
        <w:rPr>
          <w:rFonts w:hint="eastAsia" w:ascii="宋体" w:hAnsi="宋体" w:cstheme="minorEastAsia"/>
          <w:color w:val="auto"/>
          <w:szCs w:val="21"/>
          <w:highlight w:val="none"/>
          <w:u w:val="single"/>
        </w:rPr>
        <w:t xml:space="preserve">  /  </w:t>
      </w:r>
    </w:p>
    <w:p w14:paraId="170F70F2">
      <w:pPr>
        <w:widowControl/>
        <w:kinsoku w:val="0"/>
        <w:snapToGrid w:val="0"/>
        <w:spacing w:before="297" w:line="360" w:lineRule="auto"/>
        <w:ind w:left="27"/>
        <w:textAlignment w:val="baseline"/>
        <w:outlineLvl w:val="2"/>
        <w:rPr>
          <w:rFonts w:hint="eastAsia" w:ascii="宋体" w:hAnsi="宋体" w:cs="宋体"/>
          <w:color w:val="auto"/>
          <w:szCs w:val="21"/>
          <w:highlight w:val="none"/>
        </w:rPr>
      </w:pPr>
      <w:bookmarkStart w:id="756" w:name="bookmark136"/>
      <w:bookmarkEnd w:id="756"/>
      <w:r>
        <w:rPr>
          <w:rFonts w:ascii="宋体" w:hAnsi="宋体" w:cs="宋体"/>
          <w:color w:val="auto"/>
          <w:spacing w:val="-2"/>
          <w:szCs w:val="21"/>
          <w:highlight w:val="none"/>
        </w:rPr>
        <w:t>10.2  合同进度计划的修订</w:t>
      </w:r>
    </w:p>
    <w:p w14:paraId="28565E1D">
      <w:pPr>
        <w:pStyle w:val="31"/>
        <w:widowControl/>
        <w:kinsoku w:val="0"/>
        <w:snapToGrid w:val="0"/>
        <w:spacing w:line="360" w:lineRule="auto"/>
        <w:ind w:firstLine="444"/>
        <w:textAlignment w:val="baseline"/>
        <w:rPr>
          <w:rFonts w:hint="eastAsia" w:ascii="宋体" w:hAnsi="宋体" w:cs="宋体"/>
          <w:color w:val="auto"/>
          <w:szCs w:val="21"/>
          <w:highlight w:val="none"/>
        </w:rPr>
      </w:pPr>
      <w:r>
        <w:rPr>
          <w:rFonts w:ascii="宋体" w:hAnsi="宋体" w:eastAsia="宋体" w:cs="宋体"/>
          <w:color w:val="auto"/>
          <w:spacing w:val="6"/>
          <w:sz w:val="21"/>
          <w:szCs w:val="21"/>
          <w:highlight w:val="none"/>
        </w:rPr>
        <w:t>10.2.1  承包人报送修订合同进度计划申请报告和相关资料</w:t>
      </w:r>
      <w:r>
        <w:rPr>
          <w:rFonts w:ascii="宋体" w:hAnsi="宋体" w:eastAsia="宋体" w:cs="宋体"/>
          <w:color w:val="auto"/>
          <w:spacing w:val="5"/>
          <w:sz w:val="21"/>
          <w:szCs w:val="21"/>
          <w:highlight w:val="none"/>
        </w:rPr>
        <w:t>的期限：</w:t>
      </w:r>
      <w:r>
        <w:rPr>
          <w:rFonts w:hint="eastAsia" w:ascii="宋体" w:hAnsi="宋体" w:eastAsia="宋体" w:cstheme="minorEastAsia"/>
          <w:color w:val="auto"/>
          <w:kern w:val="0"/>
          <w:sz w:val="21"/>
          <w:szCs w:val="21"/>
          <w:highlight w:val="none"/>
          <w:u w:val="single"/>
          <w:lang w:val="zh-TW" w:eastAsia="zh-TW" w:bidi="zh-TW"/>
        </w:rPr>
        <w:t>签订合同后7日内。</w:t>
      </w:r>
    </w:p>
    <w:p w14:paraId="195C461F">
      <w:pPr>
        <w:widowControl/>
        <w:kinsoku w:val="0"/>
        <w:snapToGrid w:val="0"/>
        <w:spacing w:before="179" w:line="360" w:lineRule="auto"/>
        <w:ind w:left="429"/>
        <w:textAlignment w:val="baseline"/>
        <w:rPr>
          <w:rFonts w:hint="eastAsia" w:ascii="宋体" w:hAnsi="宋体" w:cs="宋体"/>
          <w:color w:val="auto"/>
          <w:szCs w:val="21"/>
          <w:highlight w:val="none"/>
        </w:rPr>
      </w:pPr>
      <w:r>
        <w:rPr>
          <w:rFonts w:ascii="宋体" w:hAnsi="宋体" w:cs="宋体"/>
          <w:color w:val="auto"/>
          <w:spacing w:val="6"/>
          <w:szCs w:val="21"/>
          <w:highlight w:val="none"/>
        </w:rPr>
        <w:t>监理人批复修订合同进度计划申请报告的期限：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0804BFBE">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10.2.2  监理人批复修订合同进度计划的期限：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6B85DB9A">
      <w:pPr>
        <w:widowControl/>
        <w:kinsoku w:val="0"/>
        <w:snapToGrid w:val="0"/>
        <w:spacing w:before="296" w:line="360" w:lineRule="auto"/>
        <w:ind w:left="27"/>
        <w:textAlignment w:val="baseline"/>
        <w:outlineLvl w:val="2"/>
        <w:rPr>
          <w:rFonts w:hint="eastAsia" w:ascii="宋体" w:hAnsi="宋体" w:cs="宋体"/>
          <w:color w:val="auto"/>
          <w:szCs w:val="21"/>
          <w:highlight w:val="none"/>
        </w:rPr>
      </w:pPr>
      <w:bookmarkStart w:id="757" w:name="bookmark137"/>
      <w:bookmarkEnd w:id="757"/>
      <w:r>
        <w:rPr>
          <w:rFonts w:ascii="宋体" w:hAnsi="宋体" w:cs="宋体"/>
          <w:color w:val="auto"/>
          <w:spacing w:val="-2"/>
          <w:szCs w:val="21"/>
          <w:highlight w:val="none"/>
        </w:rPr>
        <w:t>10.3  合同进度计划的其他要求</w:t>
      </w:r>
    </w:p>
    <w:p w14:paraId="7DD39F27">
      <w:pPr>
        <w:widowControl/>
        <w:kinsoku w:val="0"/>
        <w:snapToGrid w:val="0"/>
        <w:spacing w:before="301" w:line="360" w:lineRule="auto"/>
        <w:ind w:left="444"/>
        <w:textAlignment w:val="baseline"/>
        <w:rPr>
          <w:rFonts w:hint="eastAsia" w:ascii="宋体" w:hAnsi="宋体" w:cs="宋体"/>
          <w:color w:val="auto"/>
          <w:szCs w:val="21"/>
          <w:highlight w:val="none"/>
        </w:rPr>
      </w:pPr>
      <w:r>
        <w:rPr>
          <w:rFonts w:ascii="宋体" w:hAnsi="宋体" w:cs="宋体"/>
          <w:color w:val="auto"/>
          <w:spacing w:val="4"/>
          <w:szCs w:val="21"/>
          <w:highlight w:val="none"/>
        </w:rPr>
        <w:t>10.3.2  施工进度计划管理的人员配置要求：</w:t>
      </w:r>
      <w:r>
        <w:rPr>
          <w:rFonts w:hint="eastAsia" w:ascii="宋体" w:hAnsi="宋体" w:cstheme="minorEastAsia"/>
          <w:color w:val="auto"/>
          <w:szCs w:val="21"/>
          <w:highlight w:val="none"/>
          <w:u w:val="single"/>
        </w:rPr>
        <w:t xml:space="preserve">  /  </w:t>
      </w:r>
    </w:p>
    <w:p w14:paraId="7E2EBEB5">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10.3.3  施工进度计划的计算机应用软件要求：</w:t>
      </w:r>
      <w:r>
        <w:rPr>
          <w:rFonts w:hint="eastAsia" w:ascii="宋体" w:hAnsi="宋体" w:cstheme="minorEastAsia"/>
          <w:color w:val="auto"/>
          <w:szCs w:val="21"/>
          <w:highlight w:val="none"/>
          <w:u w:val="single"/>
        </w:rPr>
        <w:t xml:space="preserve">  /  </w:t>
      </w:r>
      <w:r>
        <w:rPr>
          <w:rFonts w:ascii="宋体" w:hAnsi="宋体" w:cs="宋体"/>
          <w:color w:val="auto"/>
          <w:spacing w:val="5"/>
          <w:szCs w:val="21"/>
          <w:highlight w:val="none"/>
          <w:u w:val="single"/>
        </w:rPr>
        <w:t xml:space="preserve"> </w:t>
      </w:r>
    </w:p>
    <w:p w14:paraId="5DDA8438">
      <w:pPr>
        <w:widowControl/>
        <w:kinsoku w:val="0"/>
        <w:snapToGrid w:val="0"/>
        <w:spacing w:before="302" w:line="360" w:lineRule="auto"/>
        <w:ind w:left="32"/>
        <w:textAlignment w:val="baseline"/>
        <w:outlineLvl w:val="1"/>
        <w:rPr>
          <w:rFonts w:hint="eastAsia" w:ascii="宋体" w:hAnsi="宋体" w:cs="宋体"/>
          <w:color w:val="auto"/>
          <w:szCs w:val="21"/>
          <w:highlight w:val="none"/>
        </w:rPr>
      </w:pPr>
      <w:bookmarkStart w:id="758" w:name="bookmark139"/>
      <w:bookmarkEnd w:id="758"/>
      <w:bookmarkStart w:id="759" w:name="bookmark138"/>
      <w:bookmarkEnd w:id="759"/>
      <w:r>
        <w:rPr>
          <w:rFonts w:ascii="宋体" w:hAnsi="宋体" w:cs="宋体"/>
          <w:color w:val="auto"/>
          <w:spacing w:val="-4"/>
          <w:szCs w:val="21"/>
          <w:highlight w:val="none"/>
        </w:rPr>
        <w:t>11.开工和竣工</w:t>
      </w:r>
    </w:p>
    <w:p w14:paraId="71864099">
      <w:pPr>
        <w:pStyle w:val="667"/>
        <w:widowControl/>
        <w:kinsoku w:val="0"/>
        <w:snapToGrid w:val="0"/>
        <w:spacing w:line="360" w:lineRule="auto"/>
        <w:textAlignment w:val="baseline"/>
        <w:rPr>
          <w:rFonts w:hint="eastAsia" w:ascii="宋体" w:hAnsi="宋体" w:eastAsia="宋体"/>
          <w:color w:val="auto"/>
          <w:highlight w:val="none"/>
          <w:lang w:eastAsia="zh-CN"/>
        </w:rPr>
      </w:pPr>
    </w:p>
    <w:p w14:paraId="34C498BB">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11.3  发包人的工期延误</w:t>
      </w:r>
    </w:p>
    <w:p w14:paraId="63FF5B6E">
      <w:pPr>
        <w:widowControl/>
        <w:kinsoku w:val="0"/>
        <w:snapToGrid w:val="0"/>
        <w:spacing w:line="360" w:lineRule="auto"/>
        <w:ind w:firstLine="440" w:firstLineChars="200"/>
        <w:textAlignment w:val="baseline"/>
        <w:rPr>
          <w:rFonts w:hint="eastAsia" w:ascii="宋体" w:hAnsi="宋体" w:cs="宋体"/>
          <w:color w:val="auto"/>
          <w:spacing w:val="9"/>
          <w:szCs w:val="21"/>
          <w:highlight w:val="none"/>
        </w:rPr>
      </w:pPr>
      <w:r>
        <w:rPr>
          <w:rFonts w:ascii="宋体" w:hAnsi="宋体" w:cs="宋体"/>
          <w:color w:val="auto"/>
          <w:spacing w:val="5"/>
          <w:szCs w:val="21"/>
          <w:highlight w:val="none"/>
        </w:rPr>
        <w:t>（8）发包人造成工期延误的其他原因：</w:t>
      </w:r>
      <w:r>
        <w:rPr>
          <w:rFonts w:hint="eastAsia" w:ascii="宋体" w:hAnsi="宋体" w:cstheme="minorEastAsia"/>
          <w:color w:val="auto"/>
          <w:szCs w:val="21"/>
          <w:highlight w:val="none"/>
          <w:u w:val="single"/>
        </w:rPr>
        <w:t xml:space="preserve">   /    </w:t>
      </w:r>
    </w:p>
    <w:p w14:paraId="4E4FB854">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11.4  异常恶劣的气候条件</w:t>
      </w:r>
    </w:p>
    <w:p w14:paraId="009C38AA">
      <w:pPr>
        <w:pStyle w:val="31"/>
        <w:widowControl/>
        <w:kinsoku w:val="0"/>
        <w:wordWrap w:val="0"/>
        <w:snapToGrid w:val="0"/>
        <w:spacing w:line="360" w:lineRule="auto"/>
        <w:ind w:firstLine="436"/>
        <w:textAlignment w:val="baseline"/>
        <w:rPr>
          <w:rFonts w:hint="eastAsia" w:ascii="宋体" w:hAnsi="宋体" w:eastAsia="宋体"/>
          <w:color w:val="auto"/>
          <w:sz w:val="21"/>
          <w:szCs w:val="21"/>
          <w:highlight w:val="none"/>
        </w:rPr>
      </w:pPr>
      <w:r>
        <w:rPr>
          <w:rFonts w:ascii="宋体" w:hAnsi="宋体" w:eastAsia="宋体" w:cs="宋体"/>
          <w:color w:val="auto"/>
          <w:spacing w:val="4"/>
          <w:sz w:val="21"/>
          <w:szCs w:val="21"/>
          <w:highlight w:val="none"/>
        </w:rPr>
        <w:t>异常恶劣的气候条件的范围和标准：</w:t>
      </w:r>
      <w:bookmarkStart w:id="760" w:name="bookmark128"/>
      <w:bookmarkEnd w:id="760"/>
      <w:bookmarkStart w:id="761" w:name="bookmark129"/>
      <w:bookmarkEnd w:id="761"/>
      <w:r>
        <w:rPr>
          <w:rFonts w:hint="eastAsia" w:ascii="宋体" w:hAnsi="宋体" w:eastAsia="宋体" w:cstheme="minorEastAsia"/>
          <w:color w:val="auto"/>
          <w:sz w:val="21"/>
          <w:szCs w:val="21"/>
          <w:highlight w:val="none"/>
          <w:u w:val="single"/>
        </w:rPr>
        <w:t>20年一遇的最大降水（雪）量，最高（低）温度等，以当地气象部门发布的标准为准。异常恶劣的气候条件指以月计的某个时期的恶劣气候比当地气象部门多年的统计资料，比20年一遇频率计算的平均气候还要恶劣而引起的工程延误，由监理工程师根据承包人提交的证明予以认定。但在进行上述评定时，还将考虑按同等标准以同期或其它异常良好的气候予以抵补，异常气候在每个月对工程进度影响的评定，应在整个合同内予以累计。</w:t>
      </w:r>
    </w:p>
    <w:p w14:paraId="03578B72">
      <w:pPr>
        <w:widowControl/>
        <w:kinsoku w:val="0"/>
        <w:snapToGrid w:val="0"/>
        <w:spacing w:before="317" w:line="360" w:lineRule="auto"/>
        <w:ind w:left="38"/>
        <w:textAlignment w:val="baseline"/>
        <w:outlineLvl w:val="2"/>
        <w:rPr>
          <w:rFonts w:hint="eastAsia" w:ascii="宋体" w:hAnsi="宋体" w:cs="宋体"/>
          <w:color w:val="auto"/>
          <w:szCs w:val="21"/>
          <w:highlight w:val="none"/>
        </w:rPr>
      </w:pPr>
      <w:bookmarkStart w:id="762" w:name="bookmark141"/>
      <w:bookmarkEnd w:id="762"/>
      <w:r>
        <w:rPr>
          <w:rFonts w:ascii="宋体" w:hAnsi="宋体" w:cs="宋体"/>
          <w:color w:val="auto"/>
          <w:spacing w:val="-2"/>
          <w:szCs w:val="21"/>
          <w:highlight w:val="none"/>
        </w:rPr>
        <w:t>11.5  承包人的工期延误</w:t>
      </w:r>
    </w:p>
    <w:p w14:paraId="17F8A762">
      <w:pPr>
        <w:widowControl/>
        <w:kinsoku w:val="0"/>
        <w:snapToGrid w:val="0"/>
        <w:spacing w:before="299" w:line="360" w:lineRule="auto"/>
        <w:ind w:firstLine="424" w:firstLineChars="200"/>
        <w:textAlignment w:val="baseline"/>
        <w:rPr>
          <w:rFonts w:hint="eastAsia" w:ascii="宋体" w:hAnsi="宋体" w:cs="宋体"/>
          <w:color w:val="auto"/>
          <w:szCs w:val="21"/>
          <w:highlight w:val="none"/>
        </w:rPr>
      </w:pPr>
      <w:r>
        <w:rPr>
          <w:rFonts w:ascii="宋体" w:hAnsi="宋体" w:cs="宋体"/>
          <w:color w:val="auto"/>
          <w:spacing w:val="1"/>
          <w:szCs w:val="21"/>
          <w:highlight w:val="none"/>
        </w:rPr>
        <w:t>11.5.2  逾期竣工违约金的计算标准和计算方法：</w:t>
      </w:r>
      <w:r>
        <w:rPr>
          <w:rFonts w:hint="eastAsia" w:ascii="宋体" w:hAnsi="宋体" w:cstheme="minorEastAsia"/>
          <w:color w:val="auto"/>
          <w:szCs w:val="21"/>
          <w:highlight w:val="none"/>
          <w:u w:val="single"/>
        </w:rPr>
        <w:t>以实际竣工验收合格之日与签约合同约定竣工之日的差值计算，总工期每延误一天，承包人应当向发包人赔偿人民币结算价的千分之二，不足一天按一天计，即：逾期竣工违约金=工程结算总价x千分之二x工期延误天数。</w:t>
      </w:r>
    </w:p>
    <w:p w14:paraId="2A4AC41A">
      <w:pPr>
        <w:pStyle w:val="31"/>
        <w:widowControl/>
        <w:kinsoku w:val="0"/>
        <w:wordWrap w:val="0"/>
        <w:snapToGrid w:val="0"/>
        <w:spacing w:line="360" w:lineRule="auto"/>
        <w:ind w:firstLine="432"/>
        <w:textAlignment w:val="baseline"/>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逾期竣工违约金最高限额：</w:t>
      </w:r>
      <w:r>
        <w:rPr>
          <w:rFonts w:hint="eastAsia" w:ascii="宋体" w:hAnsi="宋体" w:eastAsia="宋体" w:cstheme="minorEastAsia"/>
          <w:color w:val="auto"/>
          <w:sz w:val="21"/>
          <w:szCs w:val="21"/>
          <w:highlight w:val="none"/>
          <w:u w:val="single"/>
        </w:rPr>
        <w:t>直接经济损失无最高限额。</w:t>
      </w:r>
    </w:p>
    <w:p w14:paraId="014C239D">
      <w:pPr>
        <w:widowControl/>
        <w:kinsoku w:val="0"/>
        <w:snapToGrid w:val="0"/>
        <w:spacing w:before="295" w:line="360" w:lineRule="auto"/>
        <w:ind w:left="38"/>
        <w:textAlignment w:val="baseline"/>
        <w:outlineLvl w:val="2"/>
        <w:rPr>
          <w:rFonts w:hint="eastAsia" w:ascii="宋体" w:hAnsi="宋体" w:cs="宋体"/>
          <w:color w:val="auto"/>
          <w:szCs w:val="21"/>
          <w:highlight w:val="none"/>
        </w:rPr>
      </w:pPr>
      <w:bookmarkStart w:id="763" w:name="bookmark142"/>
      <w:bookmarkEnd w:id="763"/>
      <w:r>
        <w:rPr>
          <w:rFonts w:ascii="宋体" w:hAnsi="宋体" w:cs="宋体"/>
          <w:color w:val="auto"/>
          <w:spacing w:val="-2"/>
          <w:szCs w:val="21"/>
          <w:highlight w:val="none"/>
        </w:rPr>
        <w:t>11.6  合同双方原因导致的工期延误</w:t>
      </w:r>
    </w:p>
    <w:p w14:paraId="2619E2C0">
      <w:pPr>
        <w:widowControl/>
        <w:kinsoku w:val="0"/>
        <w:snapToGrid w:val="0"/>
        <w:spacing w:before="296" w:line="360" w:lineRule="auto"/>
        <w:ind w:left="440"/>
        <w:textAlignment w:val="baseline"/>
        <w:rPr>
          <w:rFonts w:hint="eastAsia" w:ascii="宋体" w:hAnsi="宋体" w:cs="宋体"/>
          <w:color w:val="auto"/>
          <w:szCs w:val="21"/>
          <w:highlight w:val="none"/>
        </w:rPr>
      </w:pPr>
      <w:r>
        <w:rPr>
          <w:rFonts w:ascii="宋体" w:hAnsi="宋体" w:cs="宋体"/>
          <w:color w:val="auto"/>
          <w:spacing w:val="6"/>
          <w:szCs w:val="21"/>
          <w:highlight w:val="none"/>
        </w:rPr>
        <w:t>合同双方导致工期延误的原因：</w:t>
      </w:r>
      <w:r>
        <w:rPr>
          <w:rFonts w:hint="eastAsia" w:ascii="宋体" w:hAnsi="宋体" w:cstheme="minorEastAsia"/>
          <w:color w:val="auto"/>
          <w:szCs w:val="21"/>
          <w:highlight w:val="none"/>
          <w:u w:val="single"/>
        </w:rPr>
        <w:t xml:space="preserve">    /   </w:t>
      </w:r>
    </w:p>
    <w:p w14:paraId="7224885C">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4" w:name="bookmark143"/>
      <w:bookmarkEnd w:id="764"/>
      <w:r>
        <w:rPr>
          <w:rFonts w:ascii="宋体" w:hAnsi="宋体" w:cs="宋体"/>
          <w:color w:val="auto"/>
          <w:spacing w:val="-2"/>
          <w:szCs w:val="21"/>
          <w:highlight w:val="none"/>
        </w:rPr>
        <w:t>11.7  非合同双方原因导致的工期延误</w:t>
      </w:r>
    </w:p>
    <w:p w14:paraId="428C7E22">
      <w:pPr>
        <w:widowControl/>
        <w:kinsoku w:val="0"/>
        <w:snapToGrid w:val="0"/>
        <w:spacing w:before="297"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非合同双方导致工期延误的原因：</w:t>
      </w:r>
      <w:r>
        <w:rPr>
          <w:rFonts w:hint="eastAsia" w:ascii="宋体" w:hAnsi="宋体" w:cstheme="minorEastAsia"/>
          <w:color w:val="auto"/>
          <w:szCs w:val="21"/>
          <w:highlight w:val="none"/>
          <w:u w:val="single"/>
        </w:rPr>
        <w:t xml:space="preserve">   /   </w:t>
      </w:r>
    </w:p>
    <w:p w14:paraId="6AE7CC31">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5" w:name="bookmark144"/>
      <w:bookmarkEnd w:id="765"/>
      <w:r>
        <w:rPr>
          <w:rFonts w:ascii="宋体" w:hAnsi="宋体" w:cs="宋体"/>
          <w:color w:val="auto"/>
          <w:spacing w:val="-5"/>
          <w:szCs w:val="21"/>
          <w:highlight w:val="none"/>
        </w:rPr>
        <w:t>11.8</w:t>
      </w:r>
      <w:r>
        <w:rPr>
          <w:rFonts w:ascii="宋体" w:hAnsi="宋体" w:cs="宋体"/>
          <w:color w:val="auto"/>
          <w:spacing w:val="6"/>
          <w:szCs w:val="21"/>
          <w:highlight w:val="none"/>
        </w:rPr>
        <w:t xml:space="preserve">  </w:t>
      </w:r>
      <w:r>
        <w:rPr>
          <w:rFonts w:ascii="宋体" w:hAnsi="宋体" w:cs="宋体"/>
          <w:color w:val="auto"/>
          <w:spacing w:val="-5"/>
          <w:szCs w:val="21"/>
          <w:highlight w:val="none"/>
        </w:rPr>
        <w:t>工期提前</w:t>
      </w:r>
    </w:p>
    <w:p w14:paraId="2EF3E2CF">
      <w:pPr>
        <w:widowControl/>
        <w:kinsoku w:val="0"/>
        <w:snapToGrid w:val="0"/>
        <w:spacing w:before="298" w:line="360" w:lineRule="auto"/>
        <w:ind w:left="440"/>
        <w:textAlignment w:val="baseline"/>
        <w:rPr>
          <w:rFonts w:hint="eastAsia" w:ascii="宋体" w:hAnsi="宋体" w:cstheme="minorEastAsia"/>
          <w:color w:val="auto"/>
          <w:szCs w:val="21"/>
          <w:highlight w:val="none"/>
          <w:u w:val="single"/>
        </w:rPr>
      </w:pPr>
      <w:r>
        <w:rPr>
          <w:rFonts w:ascii="宋体" w:hAnsi="宋体" w:cs="宋体"/>
          <w:color w:val="auto"/>
          <w:spacing w:val="-2"/>
          <w:szCs w:val="21"/>
          <w:highlight w:val="none"/>
        </w:rPr>
        <w:t>提前竣工的奖励办法：</w:t>
      </w:r>
      <w:r>
        <w:rPr>
          <w:rFonts w:hint="eastAsia" w:ascii="宋体" w:hAnsi="宋体" w:cstheme="minorEastAsia"/>
          <w:color w:val="auto"/>
          <w:szCs w:val="21"/>
          <w:highlight w:val="none"/>
          <w:u w:val="single"/>
        </w:rPr>
        <w:t xml:space="preserve">    /    </w:t>
      </w:r>
    </w:p>
    <w:p w14:paraId="2BBF8180">
      <w:pPr>
        <w:widowControl/>
        <w:kinsoku w:val="0"/>
        <w:snapToGrid w:val="0"/>
        <w:spacing w:before="91" w:line="360" w:lineRule="auto"/>
        <w:ind w:left="43"/>
        <w:textAlignment w:val="baseline"/>
        <w:outlineLvl w:val="1"/>
        <w:rPr>
          <w:rFonts w:ascii="宋体" w:hAnsi="宋体" w:cs="宋体"/>
          <w:color w:val="auto"/>
          <w:spacing w:val="-5"/>
          <w:szCs w:val="21"/>
          <w:highlight w:val="none"/>
        </w:rPr>
      </w:pPr>
      <w:bookmarkStart w:id="766" w:name="bookmark145"/>
      <w:bookmarkEnd w:id="766"/>
      <w:bookmarkStart w:id="767" w:name="bookmark146"/>
      <w:bookmarkEnd w:id="767"/>
    </w:p>
    <w:p w14:paraId="095F5CD1">
      <w:pPr>
        <w:widowControl/>
        <w:kinsoku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12.暂停施工</w:t>
      </w:r>
    </w:p>
    <w:p w14:paraId="32BDE9D8">
      <w:pPr>
        <w:pStyle w:val="21"/>
        <w:widowControl/>
        <w:kinsoku w:val="0"/>
        <w:snapToGrid w:val="0"/>
        <w:spacing w:line="360" w:lineRule="auto"/>
        <w:textAlignment w:val="baseline"/>
        <w:rPr>
          <w:rFonts w:hint="eastAsia"/>
          <w:color w:val="auto"/>
          <w:sz w:val="21"/>
          <w:szCs w:val="21"/>
          <w:highlight w:val="none"/>
        </w:rPr>
      </w:pPr>
    </w:p>
    <w:p w14:paraId="17CAE44B">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12.1  承包人暂停施工的责任</w:t>
      </w:r>
    </w:p>
    <w:p w14:paraId="31A4E51D">
      <w:pPr>
        <w:pStyle w:val="21"/>
        <w:widowControl/>
        <w:tabs>
          <w:tab w:val="left" w:pos="8290"/>
          <w:tab w:val="clear" w:pos="567"/>
        </w:tabs>
        <w:kinsoku w:val="0"/>
        <w:snapToGrid w:val="0"/>
        <w:spacing w:before="181" w:line="360" w:lineRule="auto"/>
        <w:ind w:left="11" w:firstLine="436" w:firstLineChars="200"/>
        <w:textAlignment w:val="baseline"/>
        <w:rPr>
          <w:rFonts w:hint="eastAsia" w:cs="宋体"/>
          <w:color w:val="auto"/>
          <w:spacing w:val="4"/>
          <w:sz w:val="21"/>
          <w:szCs w:val="21"/>
          <w:highlight w:val="none"/>
        </w:rPr>
      </w:pPr>
      <w:r>
        <w:rPr>
          <w:rFonts w:cs="宋体"/>
          <w:color w:val="auto"/>
          <w:spacing w:val="4"/>
          <w:sz w:val="21"/>
          <w:szCs w:val="21"/>
          <w:highlight w:val="none"/>
        </w:rPr>
        <w:t>（4）承包人承担暂停施工责任的其他情形：</w:t>
      </w:r>
    </w:p>
    <w:p w14:paraId="5B180C48">
      <w:pPr>
        <w:pStyle w:val="665"/>
        <w:widowControl/>
        <w:tabs>
          <w:tab w:val="left" w:pos="814"/>
        </w:tabs>
        <w:kinsoku w:val="0"/>
        <w:snapToGrid w:val="0"/>
        <w:spacing w:line="360" w:lineRule="auto"/>
        <w:ind w:left="676" w:leftChars="300" w:hanging="46" w:hangingChars="22"/>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1）质量事故；</w:t>
      </w:r>
    </w:p>
    <w:p w14:paraId="5B4C186B">
      <w:pPr>
        <w:pStyle w:val="665"/>
        <w:widowControl/>
        <w:tabs>
          <w:tab w:val="left" w:pos="814"/>
        </w:tabs>
        <w:kinsoku w:val="0"/>
        <w:snapToGrid w:val="0"/>
        <w:spacing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2）安全生产事故；</w:t>
      </w:r>
    </w:p>
    <w:p w14:paraId="0DF07CB1">
      <w:pPr>
        <w:pStyle w:val="665"/>
        <w:widowControl/>
        <w:tabs>
          <w:tab w:val="left" w:pos="818"/>
        </w:tabs>
        <w:kinsoku w:val="0"/>
        <w:snapToGrid w:val="0"/>
        <w:spacing w:after="140"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3）拒绝监理人管理；</w:t>
      </w:r>
    </w:p>
    <w:p w14:paraId="3E9F9033">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zh-CN" w:eastAsia="zh-CN" w:bidi="zh-CN"/>
        </w:rPr>
        <w:t>4）</w:t>
      </w:r>
      <w:r>
        <w:rPr>
          <w:rFonts w:hint="eastAsia" w:cstheme="minorEastAsia"/>
          <w:color w:val="auto"/>
          <w:sz w:val="21"/>
          <w:szCs w:val="21"/>
          <w:highlight w:val="none"/>
          <w:u w:val="single"/>
        </w:rPr>
        <w:t>施工组织计划（方案）未获总监理工程师批准而进行施工；</w:t>
      </w:r>
    </w:p>
    <w:p w14:paraId="611F8C38">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5）未经监理人检验而进行下一道工序作业者</w:t>
      </w:r>
    </w:p>
    <w:p w14:paraId="55532DD6">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6）擅自釆用未经监理人及发包人认可获批准的材料，或者使用的原材料、构配件不</w:t>
      </w:r>
      <w:r>
        <w:rPr>
          <w:rFonts w:hint="eastAsia" w:cstheme="minorEastAsia"/>
          <w:color w:val="auto"/>
          <w:sz w:val="21"/>
          <w:szCs w:val="21"/>
          <w:highlight w:val="none"/>
          <w:u w:val="single"/>
          <w:lang w:eastAsia="zh-CN"/>
        </w:rPr>
        <w:t>合</w:t>
      </w:r>
      <w:r>
        <w:rPr>
          <w:rFonts w:hint="eastAsia" w:cstheme="minorEastAsia"/>
          <w:color w:val="auto"/>
          <w:sz w:val="21"/>
          <w:szCs w:val="21"/>
          <w:highlight w:val="none"/>
          <w:u w:val="single"/>
        </w:rPr>
        <w:t>格或未经检査确认，或者擅自釆用未经认可的代用材料的；</w:t>
      </w:r>
    </w:p>
    <w:p w14:paraId="5AB636A4">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7）擅自变更实际图纸的要求；</w:t>
      </w:r>
    </w:p>
    <w:p w14:paraId="12A8400B">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8）转包工程；</w:t>
      </w:r>
    </w:p>
    <w:p w14:paraId="33E00DFD">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9）擅自让未经总监理工程师的分包单位进场作业；</w:t>
      </w:r>
    </w:p>
    <w:p w14:paraId="6801C45C">
      <w:pPr>
        <w:pStyle w:val="665"/>
        <w:widowControl/>
        <w:tabs>
          <w:tab w:val="left" w:pos="909"/>
        </w:tabs>
        <w:kinsoku w:val="0"/>
        <w:snapToGrid w:val="0"/>
        <w:spacing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10）存在安全隐患，未按监理人要求及时进行整改；</w:t>
      </w:r>
    </w:p>
    <w:p w14:paraId="6BD1A8FC">
      <w:pPr>
        <w:pStyle w:val="665"/>
        <w:widowControl/>
        <w:tabs>
          <w:tab w:val="left" w:pos="909"/>
        </w:tabs>
        <w:kinsoku w:val="0"/>
        <w:snapToGrid w:val="0"/>
        <w:spacing w:line="360" w:lineRule="auto"/>
        <w:ind w:firstLine="588" w:firstLineChars="280"/>
        <w:textAlignment w:val="baseline"/>
        <w:rPr>
          <w:rFonts w:hint="eastAsia"/>
          <w:color w:val="auto"/>
          <w:spacing w:val="4"/>
          <w:sz w:val="21"/>
          <w:szCs w:val="21"/>
          <w:highlight w:val="none"/>
        </w:rPr>
      </w:pPr>
      <w:r>
        <w:rPr>
          <w:rFonts w:hint="eastAsia" w:cstheme="minorEastAsia"/>
          <w:color w:val="auto"/>
          <w:sz w:val="21"/>
          <w:szCs w:val="21"/>
          <w:highlight w:val="none"/>
          <w:u w:val="single"/>
        </w:rPr>
        <w:t>11）未按上方约定的资料上报要求分包所需资料。</w:t>
      </w:r>
    </w:p>
    <w:p w14:paraId="07F2E00B">
      <w:pPr>
        <w:widowControl/>
        <w:kinsoku w:val="0"/>
        <w:snapToGrid w:val="0"/>
        <w:spacing w:before="287" w:line="360" w:lineRule="auto"/>
        <w:ind w:left="43"/>
        <w:textAlignment w:val="baseline"/>
        <w:outlineLvl w:val="1"/>
        <w:rPr>
          <w:rFonts w:hint="eastAsia" w:ascii="宋体" w:hAnsi="宋体" w:cs="宋体"/>
          <w:color w:val="auto"/>
          <w:szCs w:val="21"/>
          <w:highlight w:val="none"/>
        </w:rPr>
      </w:pPr>
      <w:bookmarkStart w:id="768" w:name="bookmark148"/>
      <w:bookmarkEnd w:id="768"/>
      <w:bookmarkStart w:id="769" w:name="bookmark147"/>
      <w:bookmarkEnd w:id="769"/>
      <w:r>
        <w:rPr>
          <w:rFonts w:ascii="宋体" w:hAnsi="宋体" w:cs="宋体"/>
          <w:color w:val="auto"/>
          <w:spacing w:val="-5"/>
          <w:szCs w:val="21"/>
          <w:highlight w:val="none"/>
        </w:rPr>
        <w:t>13.工程质量</w:t>
      </w:r>
    </w:p>
    <w:p w14:paraId="7B9CB2CF">
      <w:pPr>
        <w:pStyle w:val="21"/>
        <w:widowControl/>
        <w:kinsoku w:val="0"/>
        <w:snapToGrid w:val="0"/>
        <w:spacing w:line="360" w:lineRule="auto"/>
        <w:textAlignment w:val="baseline"/>
        <w:rPr>
          <w:rFonts w:hint="eastAsia"/>
          <w:color w:val="auto"/>
          <w:sz w:val="21"/>
          <w:szCs w:val="21"/>
          <w:highlight w:val="none"/>
        </w:rPr>
      </w:pPr>
    </w:p>
    <w:p w14:paraId="7C222B9D">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13.2  承包人的质量管理</w:t>
      </w:r>
    </w:p>
    <w:p w14:paraId="3883D0BC">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13.2.1  承包人向监理人提交工程质量保证措施文</w:t>
      </w:r>
      <w:r>
        <w:rPr>
          <w:rFonts w:ascii="宋体" w:hAnsi="宋体" w:cs="宋体"/>
          <w:color w:val="auto"/>
          <w:spacing w:val="7"/>
          <w:szCs w:val="21"/>
          <w:highlight w:val="none"/>
        </w:rPr>
        <w:t>件的期限：</w:t>
      </w:r>
      <w:r>
        <w:rPr>
          <w:rFonts w:hint="eastAsia" w:ascii="宋体" w:hAnsi="宋体" w:cstheme="minorEastAsia"/>
          <w:color w:val="auto"/>
          <w:szCs w:val="21"/>
          <w:highlight w:val="none"/>
          <w:u w:val="single"/>
        </w:rPr>
        <w:t xml:space="preserve"> 施工进场前 </w:t>
      </w:r>
      <w:r>
        <w:rPr>
          <w:rFonts w:hint="eastAsia" w:ascii="宋体" w:hAnsi="宋体" w:cstheme="minorEastAsia"/>
          <w:color w:val="auto"/>
          <w:szCs w:val="21"/>
          <w:highlight w:val="none"/>
        </w:rPr>
        <w:t>。</w:t>
      </w:r>
    </w:p>
    <w:p w14:paraId="26560CBD">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监理人审批工程质量保证措施文件的期限：</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上报7天之内 </w:t>
      </w:r>
    </w:p>
    <w:p w14:paraId="5A109F10">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0" w:name="bookmark149"/>
      <w:bookmarkEnd w:id="770"/>
      <w:r>
        <w:rPr>
          <w:rFonts w:ascii="宋体" w:hAnsi="宋体" w:cs="宋体"/>
          <w:color w:val="auto"/>
          <w:spacing w:val="-2"/>
          <w:szCs w:val="21"/>
          <w:highlight w:val="none"/>
        </w:rPr>
        <w:t>13.3  承包人的质量检查</w:t>
      </w:r>
    </w:p>
    <w:p w14:paraId="76480B57">
      <w:pPr>
        <w:widowControl/>
        <w:kinsoku w:val="0"/>
        <w:snapToGrid w:val="0"/>
        <w:spacing w:before="297" w:line="360" w:lineRule="auto"/>
        <w:ind w:left="439"/>
        <w:textAlignment w:val="baseline"/>
        <w:rPr>
          <w:rFonts w:hint="eastAsia" w:ascii="宋体" w:hAnsi="宋体" w:cs="宋体"/>
          <w:color w:val="auto"/>
          <w:szCs w:val="21"/>
          <w:highlight w:val="none"/>
          <w:u w:val="single"/>
        </w:rPr>
      </w:pPr>
      <w:r>
        <w:rPr>
          <w:rFonts w:ascii="宋体" w:hAnsi="宋体" w:cs="宋体"/>
          <w:color w:val="auto"/>
          <w:spacing w:val="9"/>
          <w:szCs w:val="21"/>
          <w:highlight w:val="none"/>
        </w:rPr>
        <w:t>承包人向监理人报送工程质量报表的期限：</w:t>
      </w:r>
      <w:r>
        <w:rPr>
          <w:rFonts w:hint="eastAsia" w:ascii="宋体" w:hAnsi="宋体" w:cstheme="minorEastAsia"/>
          <w:snapToGrid w:val="0"/>
          <w:color w:val="auto"/>
          <w:kern w:val="0"/>
          <w:szCs w:val="21"/>
          <w:highlight w:val="none"/>
          <w:u w:val="single"/>
          <w:lang w:val="zh-TW" w:eastAsia="zh-TW" w:bidi="zh-TW"/>
        </w:rPr>
        <w:t>开工后每月的28日前。</w:t>
      </w:r>
    </w:p>
    <w:p w14:paraId="4B2CB643">
      <w:pPr>
        <w:widowControl/>
        <w:kinsoku w:val="0"/>
        <w:snapToGrid w:val="0"/>
        <w:spacing w:before="16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承包人向监理人报送工程质量报表的要求：</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同时提交施工方案及质量控制措施，材料设备应提交材料设备的质检报告（产品合格证）等资料</w:t>
      </w:r>
      <w:r>
        <w:rPr>
          <w:rFonts w:hint="eastAsia" w:ascii="宋体" w:hAnsi="宋体" w:cstheme="minorEastAsia"/>
          <w:snapToGrid w:val="0"/>
          <w:color w:val="auto"/>
          <w:kern w:val="0"/>
          <w:szCs w:val="21"/>
          <w:highlight w:val="none"/>
          <w:u w:val="single"/>
          <w:lang w:val="zh-TW" w:eastAsia="zh-TW" w:bidi="zh-TW"/>
        </w:rPr>
        <w:t xml:space="preserve">。  </w:t>
      </w:r>
    </w:p>
    <w:p w14:paraId="1B6887F2">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监理人审查工程质量报表的期限：</w:t>
      </w:r>
      <w:r>
        <w:rPr>
          <w:rFonts w:hint="eastAsia" w:ascii="宋体" w:hAnsi="宋体" w:cstheme="minorEastAsia"/>
          <w:color w:val="auto"/>
          <w:szCs w:val="21"/>
          <w:highlight w:val="none"/>
          <w:u w:val="single"/>
        </w:rPr>
        <w:t>收到报表资料后7日内。</w:t>
      </w:r>
    </w:p>
    <w:p w14:paraId="603F7548">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1" w:name="bookmark150"/>
      <w:bookmarkEnd w:id="771"/>
      <w:r>
        <w:rPr>
          <w:rFonts w:ascii="宋体" w:hAnsi="宋体" w:cs="宋体"/>
          <w:color w:val="auto"/>
          <w:spacing w:val="-2"/>
          <w:szCs w:val="21"/>
          <w:highlight w:val="none"/>
        </w:rPr>
        <w:t>13.4  监理人的质量检查</w:t>
      </w:r>
    </w:p>
    <w:p w14:paraId="19CB0DF9">
      <w:pPr>
        <w:widowControl/>
        <w:kinsoku w:val="0"/>
        <w:snapToGrid w:val="0"/>
        <w:spacing w:before="298" w:line="360" w:lineRule="auto"/>
        <w:ind w:left="36" w:right="1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承包人应当为监理人的检查和检验提供方便，监理人可以进行察看和查阅施工原始记录</w:t>
      </w:r>
      <w:r>
        <w:rPr>
          <w:rFonts w:ascii="宋体" w:hAnsi="宋体" w:cs="宋体"/>
          <w:color w:val="auto"/>
          <w:spacing w:val="4"/>
          <w:szCs w:val="21"/>
          <w:highlight w:val="none"/>
        </w:rPr>
        <w:t>的其他地方包括：</w:t>
      </w:r>
      <w:r>
        <w:rPr>
          <w:rFonts w:hint="eastAsia" w:ascii="宋体" w:hAnsi="宋体" w:cstheme="minorEastAsia"/>
          <w:color w:val="auto"/>
          <w:szCs w:val="21"/>
          <w:highlight w:val="none"/>
          <w:u w:val="single"/>
        </w:rPr>
        <w:t xml:space="preserve"> / </w:t>
      </w:r>
    </w:p>
    <w:p w14:paraId="37EC5FBF">
      <w:pPr>
        <w:widowControl/>
        <w:kinsoku w:val="0"/>
        <w:snapToGrid w:val="0"/>
        <w:spacing w:before="121" w:line="360" w:lineRule="auto"/>
        <w:ind w:left="38"/>
        <w:textAlignment w:val="baseline"/>
        <w:outlineLvl w:val="2"/>
        <w:rPr>
          <w:rFonts w:hint="eastAsia" w:ascii="宋体" w:hAnsi="宋体" w:cs="宋体"/>
          <w:color w:val="auto"/>
          <w:szCs w:val="21"/>
          <w:highlight w:val="none"/>
        </w:rPr>
      </w:pPr>
      <w:bookmarkStart w:id="772" w:name="bookmark151"/>
      <w:bookmarkEnd w:id="772"/>
      <w:r>
        <w:rPr>
          <w:rFonts w:ascii="宋体" w:hAnsi="宋体" w:cs="宋体"/>
          <w:color w:val="auto"/>
          <w:spacing w:val="-2"/>
          <w:szCs w:val="21"/>
          <w:highlight w:val="none"/>
        </w:rPr>
        <w:t>13.5  工程隐蔽部位覆盖前的检查</w:t>
      </w:r>
    </w:p>
    <w:p w14:paraId="535FE36B">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13.5.1  监理人对工程隐蔽部位进行检查的期限：</w:t>
      </w:r>
      <w:r>
        <w:rPr>
          <w:rFonts w:hint="eastAsia" w:ascii="宋体" w:hAnsi="宋体" w:cstheme="minorEastAsia"/>
          <w:color w:val="auto"/>
          <w:szCs w:val="21"/>
          <w:highlight w:val="none"/>
          <w:u w:val="single"/>
        </w:rPr>
        <w:t>收到承包人自检确认的工程隐蔽部位具备覆盖条件后24小时内进行检査并签字确认。</w:t>
      </w:r>
    </w:p>
    <w:p w14:paraId="1026BA8E">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73" w:name="bookmark152"/>
      <w:bookmarkEnd w:id="773"/>
      <w:bookmarkStart w:id="774" w:name="bookmark153"/>
      <w:bookmarkEnd w:id="774"/>
      <w:r>
        <w:rPr>
          <w:rFonts w:ascii="宋体" w:hAnsi="宋体" w:cs="宋体"/>
          <w:color w:val="auto"/>
          <w:spacing w:val="-6"/>
          <w:szCs w:val="21"/>
          <w:highlight w:val="none"/>
        </w:rPr>
        <w:t>15.变更</w:t>
      </w:r>
    </w:p>
    <w:p w14:paraId="0F3CED19">
      <w:pPr>
        <w:pStyle w:val="21"/>
        <w:widowControl/>
        <w:kinsoku w:val="0"/>
        <w:snapToGrid w:val="0"/>
        <w:spacing w:line="360" w:lineRule="auto"/>
        <w:textAlignment w:val="baseline"/>
        <w:rPr>
          <w:rFonts w:hint="eastAsia"/>
          <w:color w:val="auto"/>
          <w:sz w:val="21"/>
          <w:szCs w:val="21"/>
          <w:highlight w:val="none"/>
        </w:rPr>
      </w:pPr>
    </w:p>
    <w:p w14:paraId="6BD7ED21">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15.1  变更的范围和内容</w:t>
      </w:r>
    </w:p>
    <w:p w14:paraId="37AD9B34">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15.1.1  在履行合同中发生以下情形之一，应按照本</w:t>
      </w:r>
      <w:r>
        <w:rPr>
          <w:rFonts w:ascii="宋体" w:hAnsi="宋体" w:cs="宋体"/>
          <w:color w:val="auto"/>
          <w:spacing w:val="7"/>
          <w:szCs w:val="21"/>
          <w:highlight w:val="none"/>
        </w:rPr>
        <w:t>条规定进行变更。</w:t>
      </w:r>
    </w:p>
    <w:p w14:paraId="2CFB6C5F">
      <w:pPr>
        <w:pStyle w:val="21"/>
        <w:widowControl/>
        <w:tabs>
          <w:tab w:val="left" w:pos="8305"/>
          <w:tab w:val="clear" w:pos="567"/>
        </w:tabs>
        <w:kinsoku w:val="0"/>
        <w:snapToGrid w:val="0"/>
        <w:spacing w:before="164"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（6）变更的其他情形：</w:t>
      </w:r>
      <w:r>
        <w:rPr>
          <w:rFonts w:hint="eastAsia" w:cstheme="minorEastAsia"/>
          <w:color w:val="auto"/>
          <w:sz w:val="21"/>
          <w:szCs w:val="21"/>
          <w:highlight w:val="none"/>
          <w:u w:val="single"/>
        </w:rPr>
        <w:t xml:space="preserve">    /    </w:t>
      </w:r>
    </w:p>
    <w:p w14:paraId="6F4C7FED">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5" w:name="bookmark154"/>
      <w:bookmarkEnd w:id="775"/>
      <w:r>
        <w:rPr>
          <w:rFonts w:ascii="宋体" w:hAnsi="宋体" w:cs="宋体"/>
          <w:color w:val="auto"/>
          <w:spacing w:val="-5"/>
          <w:szCs w:val="21"/>
          <w:highlight w:val="none"/>
        </w:rPr>
        <w:t>15.3</w:t>
      </w:r>
      <w:r>
        <w:rPr>
          <w:rFonts w:ascii="宋体" w:hAnsi="宋体" w:cs="宋体"/>
          <w:color w:val="auto"/>
          <w:spacing w:val="5"/>
          <w:szCs w:val="21"/>
          <w:highlight w:val="none"/>
        </w:rPr>
        <w:t xml:space="preserve">  </w:t>
      </w:r>
      <w:r>
        <w:rPr>
          <w:rFonts w:ascii="宋体" w:hAnsi="宋体" w:cs="宋体"/>
          <w:color w:val="auto"/>
          <w:spacing w:val="-5"/>
          <w:szCs w:val="21"/>
          <w:highlight w:val="none"/>
        </w:rPr>
        <w:t>变更程序</w:t>
      </w:r>
    </w:p>
    <w:p w14:paraId="18F3C34A">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15.3.2  变更估价</w:t>
      </w:r>
    </w:p>
    <w:p w14:paraId="17975F37">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（1）承包人提交变更报价书的期限：</w:t>
      </w:r>
      <w:r>
        <w:rPr>
          <w:rFonts w:hint="eastAsia" w:ascii="宋体" w:hAnsi="宋体" w:cstheme="minorEastAsia"/>
          <w:color w:val="auto"/>
          <w:szCs w:val="21"/>
          <w:highlight w:val="none"/>
          <w:u w:val="single"/>
        </w:rPr>
        <w:t xml:space="preserve">    /    </w:t>
      </w:r>
    </w:p>
    <w:p w14:paraId="03CC5F78">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8"/>
          <w:szCs w:val="21"/>
          <w:highlight w:val="none"/>
        </w:rPr>
        <w:t>（3）监理人商定或确定变更价格的期限：</w:t>
      </w:r>
      <w:r>
        <w:rPr>
          <w:rFonts w:hint="eastAsia" w:ascii="宋体" w:hAnsi="宋体" w:cstheme="minorEastAsia"/>
          <w:color w:val="auto"/>
          <w:szCs w:val="21"/>
          <w:highlight w:val="none"/>
          <w:u w:val="single"/>
        </w:rPr>
        <w:t xml:space="preserve">    /    </w:t>
      </w:r>
    </w:p>
    <w:p w14:paraId="3BA33743">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76" w:name="bookmark155"/>
      <w:bookmarkEnd w:id="776"/>
      <w:r>
        <w:rPr>
          <w:rFonts w:ascii="宋体" w:hAnsi="宋体" w:cs="宋体"/>
          <w:color w:val="auto"/>
          <w:spacing w:val="-3"/>
          <w:szCs w:val="21"/>
          <w:highlight w:val="none"/>
        </w:rPr>
        <w:t>15.4  变更的估价原则</w:t>
      </w:r>
    </w:p>
    <w:p w14:paraId="5BD8EB2C">
      <w:pPr>
        <w:widowControl/>
        <w:kinsoku w:val="0"/>
        <w:snapToGrid w:val="0"/>
        <w:spacing w:before="299" w:line="360" w:lineRule="auto"/>
        <w:ind w:left="456"/>
        <w:textAlignment w:val="baseline"/>
        <w:rPr>
          <w:rFonts w:hint="eastAsia" w:ascii="宋体" w:hAnsi="宋体" w:cs="宋体"/>
          <w:color w:val="auto"/>
          <w:szCs w:val="21"/>
          <w:highlight w:val="none"/>
        </w:rPr>
      </w:pPr>
      <w:r>
        <w:rPr>
          <w:rFonts w:ascii="宋体" w:hAnsi="宋体" w:cs="宋体"/>
          <w:color w:val="auto"/>
          <w:spacing w:val="4"/>
          <w:szCs w:val="21"/>
          <w:highlight w:val="none"/>
        </w:rPr>
        <w:t>因变更引起的价格调整方法：</w:t>
      </w:r>
      <w:r>
        <w:rPr>
          <w:rFonts w:hint="eastAsia" w:ascii="宋体" w:hAnsi="宋体" w:cstheme="minorEastAsia"/>
          <w:color w:val="auto"/>
          <w:szCs w:val="21"/>
          <w:highlight w:val="none"/>
          <w:u w:val="single"/>
        </w:rPr>
        <w:t xml:space="preserve">    /    </w:t>
      </w:r>
    </w:p>
    <w:p w14:paraId="263340C2">
      <w:pPr>
        <w:pStyle w:val="21"/>
        <w:widowControl/>
        <w:tabs>
          <w:tab w:val="left" w:pos="8322"/>
          <w:tab w:val="clear" w:pos="567"/>
        </w:tabs>
        <w:kinsoku w:val="0"/>
        <w:snapToGrid w:val="0"/>
        <w:spacing w:before="164" w:line="360" w:lineRule="auto"/>
        <w:ind w:left="11" w:firstLine="440" w:firstLineChars="200"/>
        <w:textAlignment w:val="baseline"/>
        <w:rPr>
          <w:rFonts w:hint="default" w:eastAsia="宋体"/>
          <w:color w:val="auto"/>
          <w:sz w:val="21"/>
          <w:szCs w:val="21"/>
          <w:highlight w:val="none"/>
          <w:lang w:val="en-US" w:eastAsia="zh-CN"/>
        </w:rPr>
      </w:pPr>
      <w:r>
        <w:rPr>
          <w:rFonts w:cs="宋体"/>
          <w:color w:val="auto"/>
          <w:spacing w:val="5"/>
          <w:sz w:val="21"/>
          <w:szCs w:val="21"/>
          <w:highlight w:val="none"/>
        </w:rPr>
        <w:t>15.4.4  因变更引起措施项目发生变化的，措施项目费调整方法：</w:t>
      </w:r>
      <w:r>
        <w:rPr>
          <w:rFonts w:hint="eastAsia" w:cstheme="minorEastAsia"/>
          <w:color w:val="auto"/>
          <w:sz w:val="21"/>
          <w:szCs w:val="21"/>
          <w:highlight w:val="none"/>
          <w:u w:val="single"/>
          <w:lang w:val="en-US" w:eastAsia="zh-CN"/>
        </w:rPr>
        <w:t>合同双方另行约定；</w:t>
      </w:r>
    </w:p>
    <w:p w14:paraId="273A734F">
      <w:pPr>
        <w:widowControl/>
        <w:kinsoku w:val="0"/>
        <w:snapToGrid w:val="0"/>
        <w:spacing w:before="162" w:line="360" w:lineRule="auto"/>
        <w:ind w:left="22" w:right="11" w:firstLine="432"/>
        <w:textAlignment w:val="baseline"/>
        <w:rPr>
          <w:rFonts w:hint="eastAsia" w:ascii="宋体" w:hAnsi="宋体" w:cs="宋体"/>
          <w:color w:val="auto"/>
          <w:szCs w:val="21"/>
          <w:highlight w:val="none"/>
        </w:rPr>
      </w:pPr>
      <w:r>
        <w:rPr>
          <w:rFonts w:ascii="宋体" w:hAnsi="宋体" w:cs="宋体"/>
          <w:color w:val="auto"/>
          <w:spacing w:val="6"/>
          <w:szCs w:val="21"/>
          <w:highlight w:val="none"/>
        </w:rPr>
        <w:t>15.4.5  合同协议书约定采用单价合同形式时，因非承包人原因引起合同清单中列明的</w:t>
      </w:r>
      <w:r>
        <w:rPr>
          <w:rFonts w:ascii="宋体" w:hAnsi="宋体" w:cs="宋体"/>
          <w:color w:val="auto"/>
          <w:spacing w:val="14"/>
          <w:szCs w:val="21"/>
          <w:highlight w:val="none"/>
        </w:rPr>
        <w:t xml:space="preserve"> </w:t>
      </w:r>
      <w:r>
        <w:rPr>
          <w:rFonts w:ascii="宋体" w:hAnsi="宋体" w:cs="宋体"/>
          <w:color w:val="auto"/>
          <w:spacing w:val="10"/>
          <w:szCs w:val="21"/>
          <w:highlight w:val="none"/>
        </w:rPr>
        <w:t>工程量发生增减，且单个项目工程量变化幅度在</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10"/>
          <w:szCs w:val="21"/>
          <w:highlight w:val="none"/>
        </w:rPr>
        <w:t>%以内（含）时</w:t>
      </w:r>
      <w:r>
        <w:rPr>
          <w:rFonts w:ascii="宋体" w:hAnsi="宋体" w:cs="宋体"/>
          <w:color w:val="auto"/>
          <w:spacing w:val="9"/>
          <w:szCs w:val="21"/>
          <w:highlight w:val="none"/>
        </w:rPr>
        <w:t>，应执行合同清单中列明的该项目的单价；单个项目工程量变化幅度在</w:t>
      </w:r>
      <w:r>
        <w:rPr>
          <w:rFonts w:ascii="宋体" w:hAnsi="宋体" w:cs="宋体"/>
          <w:color w:val="auto"/>
          <w:spacing w:val="-100"/>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9"/>
          <w:szCs w:val="21"/>
          <w:highlight w:val="none"/>
        </w:rPr>
        <w:t>%以外（不含</w:t>
      </w:r>
      <w:r>
        <w:rPr>
          <w:rFonts w:ascii="宋体" w:hAnsi="宋体" w:cs="宋体"/>
          <w:color w:val="auto"/>
          <w:spacing w:val="23"/>
          <w:szCs w:val="21"/>
          <w:highlight w:val="none"/>
        </w:rPr>
        <w:t>），</w:t>
      </w:r>
      <w:r>
        <w:rPr>
          <w:rFonts w:ascii="宋体" w:hAnsi="宋体" w:cs="宋体"/>
          <w:color w:val="auto"/>
          <w:spacing w:val="9"/>
          <w:szCs w:val="21"/>
          <w:highlight w:val="none"/>
        </w:rPr>
        <w:t>且导致分部</w:t>
      </w:r>
      <w:r>
        <w:rPr>
          <w:rFonts w:ascii="宋体" w:hAnsi="宋体" w:cs="宋体"/>
          <w:color w:val="auto"/>
          <w:spacing w:val="8"/>
          <w:szCs w:val="21"/>
          <w:highlight w:val="none"/>
        </w:rPr>
        <w:t>分项工程费总额变化幅度超过</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1</w:t>
      </w:r>
      <w:r>
        <w:rPr>
          <w:rFonts w:ascii="宋体" w:hAnsi="宋体" w:cs="宋体"/>
          <w:color w:val="auto"/>
          <w:spacing w:val="8"/>
          <w:szCs w:val="21"/>
          <w:highlight w:val="none"/>
          <w:u w:val="single"/>
        </w:rPr>
        <w:t xml:space="preserve">    </w:t>
      </w:r>
      <w:r>
        <w:rPr>
          <w:rFonts w:ascii="宋体" w:hAnsi="宋体" w:cs="宋体"/>
          <w:color w:val="auto"/>
          <w:spacing w:val="-91"/>
          <w:szCs w:val="21"/>
          <w:highlight w:val="none"/>
        </w:rPr>
        <w:t xml:space="preserve"> </w:t>
      </w:r>
      <w:r>
        <w:rPr>
          <w:rFonts w:ascii="宋体" w:hAnsi="宋体" w:cs="宋体"/>
          <w:color w:val="auto"/>
          <w:spacing w:val="8"/>
          <w:szCs w:val="21"/>
          <w:highlight w:val="none"/>
        </w:rPr>
        <w:t>%时，由承包人提出并由监理人按第</w:t>
      </w:r>
      <w:r>
        <w:rPr>
          <w:rFonts w:ascii="宋体" w:hAnsi="宋体" w:cs="宋体"/>
          <w:color w:val="auto"/>
          <w:spacing w:val="-33"/>
          <w:szCs w:val="21"/>
          <w:highlight w:val="none"/>
        </w:rPr>
        <w:t xml:space="preserve"> </w:t>
      </w:r>
      <w:r>
        <w:rPr>
          <w:rFonts w:ascii="宋体" w:hAnsi="宋体" w:cs="宋体"/>
          <w:color w:val="auto"/>
          <w:spacing w:val="8"/>
          <w:szCs w:val="21"/>
          <w:highlight w:val="none"/>
        </w:rPr>
        <w:t>3.5</w:t>
      </w:r>
      <w:r>
        <w:rPr>
          <w:rFonts w:ascii="宋体" w:hAnsi="宋体" w:cs="宋体"/>
          <w:color w:val="auto"/>
          <w:spacing w:val="-37"/>
          <w:szCs w:val="21"/>
          <w:highlight w:val="none"/>
        </w:rPr>
        <w:t xml:space="preserve"> </w:t>
      </w:r>
      <w:r>
        <w:rPr>
          <w:rFonts w:ascii="宋体" w:hAnsi="宋体" w:cs="宋体"/>
          <w:color w:val="auto"/>
          <w:spacing w:val="8"/>
          <w:szCs w:val="21"/>
          <w:highlight w:val="none"/>
        </w:rPr>
        <w:t>款商定或确定新的单价，该项目按修正后的新的单价计价。</w:t>
      </w:r>
    </w:p>
    <w:p w14:paraId="76E8BD48">
      <w:pPr>
        <w:pStyle w:val="21"/>
        <w:widowControl/>
        <w:tabs>
          <w:tab w:val="left" w:pos="8322"/>
          <w:tab w:val="clear" w:pos="567"/>
        </w:tabs>
        <w:kinsoku w:val="0"/>
        <w:snapToGrid w:val="0"/>
        <w:spacing w:before="167" w:line="360" w:lineRule="auto"/>
        <w:ind w:left="11" w:firstLine="440" w:firstLineChars="200"/>
        <w:textAlignment w:val="baseline"/>
        <w:rPr>
          <w:rFonts w:hint="eastAsia" w:cstheme="minorEastAsia"/>
          <w:color w:val="auto"/>
          <w:sz w:val="21"/>
          <w:szCs w:val="21"/>
          <w:highlight w:val="none"/>
          <w:u w:val="single"/>
        </w:rPr>
      </w:pPr>
      <w:r>
        <w:rPr>
          <w:rFonts w:cs="宋体"/>
          <w:color w:val="auto"/>
          <w:spacing w:val="5"/>
          <w:sz w:val="21"/>
          <w:szCs w:val="21"/>
          <w:highlight w:val="none"/>
        </w:rPr>
        <w:t>15.4.7  因变更引起价格调整的其他处理方式：</w:t>
      </w:r>
      <w:r>
        <w:rPr>
          <w:rFonts w:hint="eastAsia" w:cstheme="minorEastAsia"/>
          <w:color w:val="auto"/>
          <w:sz w:val="21"/>
          <w:szCs w:val="21"/>
          <w:highlight w:val="none"/>
          <w:u w:val="single"/>
        </w:rPr>
        <w:t>合同中没有适用或类似于变更工作的价格 ：</w:t>
      </w:r>
    </w:p>
    <w:p w14:paraId="1F565AFC">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消耗量依据《房屋修缮工程工程量计算标准》（DB11/T 638-2023）。</w:t>
      </w:r>
    </w:p>
    <w:p w14:paraId="312433A1">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变更工作的取费费率按照合同文件中的《费率报价表》中的费率执行；</w:t>
      </w:r>
    </w:p>
    <w:p w14:paraId="12C8AD93">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人工工日单价按照合同文件中的人工单价执行；</w:t>
      </w:r>
    </w:p>
    <w:p w14:paraId="3DD4BFD5">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材料为合同文件中已有的材料，价格按照合同执行；合同中没有适用或类似的材料，价格按照采购期《北京市工程造价信息》中的价格，《北京市工程造价信息》没有的材料按发包人确认价格执行（签字为准）；</w:t>
      </w:r>
    </w:p>
    <w:p w14:paraId="6E9FB849">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如机械为合同《人材机汇总表》中已有的机械，价格按照合同执行；合同中没有适</w:t>
      </w:r>
    </w:p>
    <w:p w14:paraId="7743810A">
      <w:pPr>
        <w:widowControl/>
        <w:kinsoku w:val="0"/>
        <w:snapToGrid w:val="0"/>
        <w:spacing w:line="360" w:lineRule="auto"/>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用或类似的机械，单价按照《北京市工程造价信息》中的价格执行；</w:t>
      </w:r>
    </w:p>
    <w:p w14:paraId="5E7D1042">
      <w:pPr>
        <w:widowControl/>
        <w:numPr>
          <w:ilvl w:val="0"/>
          <w:numId w:val="17"/>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以上所有价格参照《北京市工程造价信息》低限执行。</w:t>
      </w:r>
    </w:p>
    <w:p w14:paraId="5429C44F">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7" w:name="bookmark156"/>
      <w:bookmarkEnd w:id="777"/>
      <w:r>
        <w:rPr>
          <w:rFonts w:ascii="宋体" w:hAnsi="宋体" w:cs="宋体"/>
          <w:color w:val="auto"/>
          <w:spacing w:val="-2"/>
          <w:szCs w:val="21"/>
          <w:highlight w:val="none"/>
        </w:rPr>
        <w:t>15.5  承包人的合理化建议</w:t>
      </w:r>
    </w:p>
    <w:p w14:paraId="353F2F9F">
      <w:pPr>
        <w:pStyle w:val="21"/>
        <w:widowControl/>
        <w:tabs>
          <w:tab w:val="left" w:pos="8322"/>
          <w:tab w:val="clear" w:pos="567"/>
        </w:tabs>
        <w:kinsoku w:val="0"/>
        <w:snapToGrid w:val="0"/>
        <w:spacing w:before="167"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15.5.2  对承包人提出合理化建议的奖励方法：</w:t>
      </w:r>
      <w:r>
        <w:rPr>
          <w:rFonts w:hint="eastAsia" w:cstheme="minorEastAsia"/>
          <w:color w:val="auto"/>
          <w:sz w:val="21"/>
          <w:szCs w:val="21"/>
          <w:highlight w:val="none"/>
          <w:u w:val="single"/>
        </w:rPr>
        <w:t xml:space="preserve">     /    </w:t>
      </w:r>
    </w:p>
    <w:p w14:paraId="0C7D461B">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8" w:name="bookmark157"/>
      <w:bookmarkEnd w:id="778"/>
      <w:r>
        <w:rPr>
          <w:rFonts w:ascii="宋体" w:hAnsi="宋体" w:cs="宋体"/>
          <w:color w:val="auto"/>
          <w:spacing w:val="-6"/>
          <w:szCs w:val="21"/>
          <w:highlight w:val="none"/>
        </w:rPr>
        <w:t>15.7</w:t>
      </w:r>
      <w:r>
        <w:rPr>
          <w:rFonts w:ascii="宋体" w:hAnsi="宋体" w:cs="宋体"/>
          <w:color w:val="auto"/>
          <w:spacing w:val="6"/>
          <w:szCs w:val="21"/>
          <w:highlight w:val="none"/>
        </w:rPr>
        <w:t xml:space="preserve">  </w:t>
      </w:r>
      <w:r>
        <w:rPr>
          <w:rFonts w:ascii="宋体" w:hAnsi="宋体" w:cs="宋体"/>
          <w:color w:val="auto"/>
          <w:spacing w:val="-6"/>
          <w:szCs w:val="21"/>
          <w:highlight w:val="none"/>
        </w:rPr>
        <w:t>计日工</w:t>
      </w:r>
    </w:p>
    <w:p w14:paraId="4A8EAD08">
      <w:pPr>
        <w:widowControl/>
        <w:kinsoku w:val="0"/>
        <w:snapToGrid w:val="0"/>
        <w:spacing w:before="293" w:line="360" w:lineRule="auto"/>
        <w:ind w:firstLine="436" w:firstLineChars="200"/>
        <w:textAlignment w:val="baseline"/>
        <w:rPr>
          <w:rFonts w:hint="eastAsia" w:ascii="宋体" w:hAnsi="宋体" w:cs="宋体"/>
          <w:color w:val="auto"/>
          <w:spacing w:val="4"/>
          <w:szCs w:val="21"/>
          <w:highlight w:val="none"/>
          <w:u w:val="single"/>
        </w:rPr>
      </w:pPr>
      <w:r>
        <w:rPr>
          <w:rFonts w:ascii="宋体" w:hAnsi="宋体" w:cs="宋体"/>
          <w:color w:val="auto"/>
          <w:spacing w:val="4"/>
          <w:szCs w:val="21"/>
          <w:highlight w:val="none"/>
        </w:rPr>
        <w:t>15.7.1  计日工合同单价指：</w:t>
      </w:r>
      <w:r>
        <w:rPr>
          <w:rFonts w:ascii="宋体" w:hAnsi="宋体" w:cs="宋体"/>
          <w:color w:val="auto"/>
          <w:spacing w:val="4"/>
          <w:szCs w:val="21"/>
          <w:highlight w:val="none"/>
          <w:u w:val="single"/>
        </w:rPr>
        <w:t>承包人在执行计日工工作时，按合同约定的“人、材、机”等不同类别，为完成单位数量的计日工任务所收取的固定综合单价，该单价通常包含人工工资、材料成本、机械使用费、管理费、利润及一定风险费用，不单独计取其他额外费用。</w:t>
      </w:r>
    </w:p>
    <w:p w14:paraId="557399F0">
      <w:pPr>
        <w:widowControl/>
        <w:kinsoku w:val="0"/>
        <w:snapToGrid w:val="0"/>
        <w:spacing w:before="293" w:line="360" w:lineRule="auto"/>
        <w:ind w:left="455"/>
        <w:textAlignment w:val="baseline"/>
        <w:rPr>
          <w:rFonts w:hint="eastAsia" w:ascii="宋体" w:hAnsi="宋体" w:cs="宋体"/>
          <w:color w:val="auto"/>
          <w:spacing w:val="4"/>
          <w:szCs w:val="21"/>
          <w:highlight w:val="none"/>
        </w:rPr>
      </w:pPr>
      <w:bookmarkStart w:id="779" w:name="bookmark158"/>
      <w:bookmarkEnd w:id="779"/>
      <w:r>
        <w:rPr>
          <w:rFonts w:ascii="宋体" w:hAnsi="宋体" w:cs="宋体"/>
          <w:color w:val="auto"/>
          <w:spacing w:val="4"/>
          <w:szCs w:val="21"/>
          <w:highlight w:val="none"/>
        </w:rPr>
        <w:t>15.8  暂估价</w:t>
      </w:r>
    </w:p>
    <w:p w14:paraId="1E2E667F">
      <w:pPr>
        <w:widowControl/>
        <w:kinsoku w:val="0"/>
        <w:snapToGrid w:val="0"/>
        <w:spacing w:before="296" w:line="360" w:lineRule="auto"/>
        <w:ind w:left="21" w:right="11" w:firstLine="433"/>
        <w:textAlignment w:val="baseline"/>
        <w:rPr>
          <w:rFonts w:hint="eastAsia" w:ascii="宋体" w:hAnsi="宋体" w:cs="宋体"/>
          <w:color w:val="auto"/>
          <w:szCs w:val="21"/>
          <w:highlight w:val="none"/>
        </w:rPr>
      </w:pPr>
      <w:r>
        <w:rPr>
          <w:rFonts w:ascii="宋体" w:hAnsi="宋体" w:cs="宋体"/>
          <w:color w:val="auto"/>
          <w:spacing w:val="11"/>
          <w:szCs w:val="21"/>
          <w:highlight w:val="none"/>
        </w:rPr>
        <w:t>15.8.1  按合同约定应当由发包人和承包人采用招标方式选择专项供应商或专业分包</w:t>
      </w:r>
      <w:r>
        <w:rPr>
          <w:rFonts w:ascii="宋体" w:hAnsi="宋体" w:cs="宋体"/>
          <w:color w:val="auto"/>
          <w:spacing w:val="2"/>
          <w:szCs w:val="21"/>
          <w:highlight w:val="none"/>
        </w:rPr>
        <w:t>人的：</w:t>
      </w:r>
    </w:p>
    <w:p w14:paraId="765A7C70">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（4）承包人报送招标计划期限：</w:t>
      </w:r>
      <w:r>
        <w:rPr>
          <w:rFonts w:hint="eastAsia" w:ascii="宋体" w:hAnsi="宋体" w:cstheme="minorEastAsia"/>
          <w:color w:val="auto"/>
          <w:szCs w:val="21"/>
          <w:highlight w:val="none"/>
          <w:u w:val="single"/>
        </w:rPr>
        <w:t>7日</w:t>
      </w:r>
    </w:p>
    <w:p w14:paraId="3B685F2A">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发包人审批招标工作计划时限：</w:t>
      </w:r>
      <w:r>
        <w:rPr>
          <w:rFonts w:hint="eastAsia" w:ascii="宋体" w:hAnsi="宋体" w:cstheme="minorEastAsia"/>
          <w:color w:val="auto"/>
          <w:szCs w:val="21"/>
          <w:highlight w:val="none"/>
          <w:u w:val="single"/>
        </w:rPr>
        <w:t>7日</w:t>
      </w:r>
    </w:p>
    <w:p w14:paraId="2EEE8C1E">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（5）承包人报送相关文件时限：</w:t>
      </w:r>
      <w:r>
        <w:rPr>
          <w:rFonts w:hint="eastAsia" w:ascii="宋体" w:hAnsi="宋体" w:cstheme="minorEastAsia"/>
          <w:color w:val="auto"/>
          <w:szCs w:val="21"/>
          <w:highlight w:val="none"/>
          <w:u w:val="single"/>
        </w:rPr>
        <w:t>7日</w:t>
      </w:r>
    </w:p>
    <w:p w14:paraId="0ECA0E57">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发包人审批相关文件时限：</w:t>
      </w:r>
      <w:r>
        <w:rPr>
          <w:rFonts w:hint="eastAsia" w:ascii="宋体" w:hAnsi="宋体" w:cstheme="minorEastAsia"/>
          <w:color w:val="auto"/>
          <w:szCs w:val="21"/>
          <w:highlight w:val="none"/>
          <w:u w:val="single"/>
        </w:rPr>
        <w:t>7日</w:t>
      </w:r>
    </w:p>
    <w:p w14:paraId="5AE6DC2D">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（10）承包人申报合同文件时限：</w:t>
      </w:r>
      <w:r>
        <w:rPr>
          <w:rFonts w:hint="eastAsia" w:ascii="宋体" w:hAnsi="宋体" w:cstheme="minorEastAsia"/>
          <w:color w:val="auto"/>
          <w:szCs w:val="21"/>
          <w:highlight w:val="none"/>
          <w:u w:val="single"/>
        </w:rPr>
        <w:t>7日</w:t>
      </w:r>
    </w:p>
    <w:p w14:paraId="791632ED">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发包人审批合同文件时限：</w:t>
      </w:r>
      <w:r>
        <w:rPr>
          <w:rFonts w:hint="eastAsia" w:ascii="宋体" w:hAnsi="宋体" w:cstheme="minorEastAsia"/>
          <w:color w:val="auto"/>
          <w:szCs w:val="21"/>
          <w:highlight w:val="none"/>
          <w:u w:val="single"/>
        </w:rPr>
        <w:t>7日</w:t>
      </w:r>
    </w:p>
    <w:p w14:paraId="080E4487">
      <w:pPr>
        <w:widowControl/>
        <w:kinsoku w:val="0"/>
        <w:snapToGrid w:val="0"/>
        <w:spacing w:before="160"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承包人报送正式签订合同副本时限：</w:t>
      </w:r>
      <w:r>
        <w:rPr>
          <w:rFonts w:hint="eastAsia" w:ascii="宋体" w:hAnsi="宋体" w:cstheme="minorEastAsia"/>
          <w:color w:val="auto"/>
          <w:szCs w:val="21"/>
          <w:highlight w:val="none"/>
          <w:u w:val="single"/>
        </w:rPr>
        <w:t>7日</w:t>
      </w:r>
      <w:r>
        <w:rPr>
          <w:rFonts w:ascii="宋体" w:hAnsi="宋体" w:cs="宋体"/>
          <w:color w:val="auto"/>
          <w:szCs w:val="21"/>
          <w:highlight w:val="none"/>
          <w:u w:val="single"/>
        </w:rPr>
        <w:t xml:space="preserve"> </w:t>
      </w:r>
    </w:p>
    <w:p w14:paraId="19607A22">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r>
        <w:rPr>
          <w:rFonts w:ascii="宋体" w:hAnsi="宋体" w:cs="宋体"/>
          <w:color w:val="auto"/>
          <w:spacing w:val="11"/>
          <w:szCs w:val="21"/>
          <w:highlight w:val="none"/>
        </w:rPr>
        <w:t>15.8.3  发包人在工程量清单中给定暂估价的专业工程不属于依法必须招标的范围或</w:t>
      </w:r>
      <w:r>
        <w:rPr>
          <w:rFonts w:ascii="宋体" w:hAnsi="宋体" w:cs="宋体"/>
          <w:color w:val="auto"/>
          <w:spacing w:val="2"/>
          <w:szCs w:val="21"/>
          <w:highlight w:val="none"/>
        </w:rPr>
        <w:t>者未达到依法必须招标的规模标准的，其最终价格的估价人为：</w:t>
      </w:r>
      <w:r>
        <w:rPr>
          <w:rFonts w:hint="eastAsia" w:ascii="宋体" w:hAnsi="宋体" w:cstheme="minorEastAsia"/>
          <w:color w:val="auto"/>
          <w:szCs w:val="21"/>
          <w:highlight w:val="none"/>
          <w:u w:val="single"/>
        </w:rPr>
        <w:t>发包人</w:t>
      </w:r>
      <w:r>
        <w:rPr>
          <w:rFonts w:ascii="宋体" w:hAnsi="宋体" w:cs="宋体"/>
          <w:color w:val="auto"/>
          <w:spacing w:val="-82"/>
          <w:szCs w:val="21"/>
          <w:highlight w:val="none"/>
        </w:rPr>
        <w:t xml:space="preserve"> </w:t>
      </w:r>
      <w:r>
        <w:rPr>
          <w:rFonts w:ascii="宋体" w:hAnsi="宋体" w:cs="宋体"/>
          <w:color w:val="auto"/>
          <w:spacing w:val="2"/>
          <w:szCs w:val="21"/>
          <w:highlight w:val="none"/>
        </w:rPr>
        <w:t>或</w:t>
      </w:r>
      <w:r>
        <w:rPr>
          <w:rFonts w:ascii="宋体" w:hAnsi="宋体" w:cs="宋体"/>
          <w:color w:val="auto"/>
          <w:spacing w:val="4"/>
          <w:szCs w:val="21"/>
          <w:highlight w:val="none"/>
        </w:rPr>
        <w:t>者按照下列约定：</w:t>
      </w:r>
      <w:r>
        <w:rPr>
          <w:rFonts w:hint="eastAsia" w:ascii="宋体" w:hAnsi="宋体" w:cstheme="minorEastAsia"/>
          <w:color w:val="auto"/>
          <w:szCs w:val="21"/>
          <w:highlight w:val="none"/>
          <w:u w:val="single"/>
        </w:rPr>
        <w:t>采用共同比选方式，但不得超过原给定暂估价。</w:t>
      </w:r>
    </w:p>
    <w:p w14:paraId="7E02E10A">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p>
    <w:p w14:paraId="118E2F13">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0" w:name="bookmark160"/>
      <w:bookmarkEnd w:id="780"/>
      <w:bookmarkStart w:id="781" w:name="bookmark159"/>
      <w:bookmarkEnd w:id="781"/>
      <w:r>
        <w:rPr>
          <w:rFonts w:ascii="宋体" w:hAnsi="宋体" w:cs="宋体"/>
          <w:color w:val="auto"/>
          <w:spacing w:val="-5"/>
          <w:szCs w:val="21"/>
          <w:highlight w:val="none"/>
        </w:rPr>
        <w:t>16.价格调整</w:t>
      </w:r>
    </w:p>
    <w:p w14:paraId="7F991867">
      <w:pPr>
        <w:pStyle w:val="21"/>
        <w:widowControl/>
        <w:kinsoku w:val="0"/>
        <w:snapToGrid w:val="0"/>
        <w:spacing w:line="360" w:lineRule="auto"/>
        <w:textAlignment w:val="baseline"/>
        <w:rPr>
          <w:rFonts w:hint="eastAsia"/>
          <w:color w:val="auto"/>
          <w:sz w:val="21"/>
          <w:szCs w:val="21"/>
          <w:highlight w:val="none"/>
        </w:rPr>
      </w:pPr>
    </w:p>
    <w:p w14:paraId="6F27331E">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16.1  物价波动引起的价格调整</w:t>
      </w:r>
    </w:p>
    <w:p w14:paraId="73009941">
      <w:pPr>
        <w:widowControl/>
        <w:kinsoku w:val="0"/>
        <w:snapToGrid w:val="0"/>
        <w:spacing w:before="299"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物价波动引起价格调整方法：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 不调整   </w:t>
      </w:r>
      <w:r>
        <w:rPr>
          <w:rFonts w:ascii="宋体" w:hAnsi="宋体" w:cs="宋体"/>
          <w:color w:val="auto"/>
          <w:szCs w:val="21"/>
          <w:highlight w:val="none"/>
          <w:u w:val="single"/>
        </w:rPr>
        <w:t xml:space="preserve"> </w:t>
      </w:r>
    </w:p>
    <w:p w14:paraId="32E64D8B">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16.1.2  采用造价信息调整价格差额</w:t>
      </w:r>
    </w:p>
    <w:p w14:paraId="29271C18">
      <w:pPr>
        <w:widowControl/>
        <w:kinsoku w:val="0"/>
        <w:snapToGrid w:val="0"/>
        <w:spacing w:before="161" w:line="360" w:lineRule="auto"/>
        <w:ind w:left="664" w:right="2938"/>
        <w:textAlignment w:val="baseline"/>
        <w:rPr>
          <w:rFonts w:hint="eastAsia" w:ascii="宋体" w:hAnsi="宋体" w:cs="宋体"/>
          <w:color w:val="auto"/>
          <w:szCs w:val="21"/>
          <w:highlight w:val="none"/>
        </w:rPr>
      </w:pPr>
      <w:r>
        <w:rPr>
          <w:rFonts w:ascii="宋体" w:hAnsi="宋体" w:cs="宋体"/>
          <w:color w:val="auto"/>
          <w:spacing w:val="7"/>
          <w:szCs w:val="21"/>
          <w:highlight w:val="none"/>
        </w:rPr>
        <w:t>16.1.2.1  引起价格调整的物价波动风险范围及幅度引起价格调整的物价波动风险范围：</w:t>
      </w:r>
      <w:r>
        <w:rPr>
          <w:rFonts w:hint="eastAsia" w:ascii="宋体" w:hAnsi="宋体" w:cstheme="minorEastAsia"/>
          <w:color w:val="auto"/>
          <w:szCs w:val="21"/>
          <w:highlight w:val="none"/>
          <w:u w:val="single"/>
        </w:rPr>
        <w:t xml:space="preserve"> 无    </w:t>
      </w:r>
    </w:p>
    <w:p w14:paraId="08FFECF2">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引起价格调整的物价波动风险幅度：</w:t>
      </w:r>
      <w:r>
        <w:rPr>
          <w:rFonts w:hint="eastAsia" w:ascii="宋体" w:hAnsi="宋体" w:cstheme="minorEastAsia"/>
          <w:color w:val="auto"/>
          <w:szCs w:val="21"/>
          <w:highlight w:val="none"/>
          <w:u w:val="single"/>
        </w:rPr>
        <w:t xml:space="preserve">    无    </w:t>
      </w:r>
    </w:p>
    <w:p w14:paraId="73914B19">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16.1.2.2   物价波动引起价格调整的风险幅度的计算方法</w:t>
      </w:r>
    </w:p>
    <w:p w14:paraId="7EB5D90E">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5"/>
          <w:szCs w:val="21"/>
          <w:highlight w:val="none"/>
        </w:rPr>
        <w:t>（1）投标报价基准期：</w:t>
      </w:r>
      <w:r>
        <w:rPr>
          <w:rFonts w:hint="eastAsia" w:ascii="宋体" w:hAnsi="宋体" w:cs="宋体"/>
          <w:color w:val="auto"/>
          <w:spacing w:val="5"/>
          <w:szCs w:val="21"/>
          <w:highlight w:val="none"/>
          <w:u w:val="single"/>
        </w:rPr>
        <w:t>2025</w:t>
      </w:r>
      <w:r>
        <w:rPr>
          <w:rFonts w:ascii="宋体" w:hAnsi="宋体" w:cs="宋体"/>
          <w:color w:val="auto"/>
          <w:spacing w:val="-80"/>
          <w:szCs w:val="21"/>
          <w:highlight w:val="none"/>
        </w:rPr>
        <w:t xml:space="preserve"> </w:t>
      </w:r>
      <w:r>
        <w:rPr>
          <w:rFonts w:ascii="宋体" w:hAnsi="宋体" w:cs="宋体"/>
          <w:color w:val="auto"/>
          <w:spacing w:val="5"/>
          <w:szCs w:val="21"/>
          <w:highlight w:val="none"/>
        </w:rPr>
        <w:t>年</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lang w:val="en-US" w:eastAsia="zh-CN"/>
        </w:rPr>
        <w:t>9</w:t>
      </w:r>
      <w:r>
        <w:rPr>
          <w:rFonts w:ascii="宋体" w:hAnsi="宋体" w:cs="宋体"/>
          <w:color w:val="auto"/>
          <w:spacing w:val="-87"/>
          <w:szCs w:val="21"/>
          <w:highlight w:val="none"/>
        </w:rPr>
        <w:t xml:space="preserve"> </w:t>
      </w:r>
      <w:r>
        <w:rPr>
          <w:rFonts w:ascii="宋体" w:hAnsi="宋体" w:cs="宋体"/>
          <w:color w:val="auto"/>
          <w:spacing w:val="5"/>
          <w:szCs w:val="21"/>
          <w:highlight w:val="none"/>
        </w:rPr>
        <w:t>月。</w:t>
      </w:r>
    </w:p>
    <w:p w14:paraId="3A477B1A">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9"/>
          <w:szCs w:val="21"/>
          <w:highlight w:val="none"/>
        </w:rPr>
        <w:t>（2）《北京工程造价信息》中工程造价信息价没有的，基准价的确定方法：</w:t>
      </w:r>
      <w:r>
        <w:rPr>
          <w:rFonts w:hint="eastAsia" w:ascii="宋体" w:hAnsi="宋体" w:cstheme="minorEastAsia"/>
          <w:color w:val="auto"/>
          <w:szCs w:val="21"/>
          <w:highlight w:val="none"/>
          <w:u w:val="single"/>
        </w:rPr>
        <w:t xml:space="preserve">    /    </w:t>
      </w:r>
    </w:p>
    <w:p w14:paraId="5DD6033F">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8"/>
          <w:szCs w:val="21"/>
          <w:highlight w:val="none"/>
        </w:rPr>
        <w:t>（3）合同履行期间价格的确定方法：</w:t>
      </w:r>
      <w:r>
        <w:rPr>
          <w:rFonts w:hint="eastAsia" w:ascii="宋体" w:hAnsi="宋体" w:cstheme="minorEastAsia"/>
          <w:color w:val="auto"/>
          <w:szCs w:val="21"/>
          <w:highlight w:val="none"/>
          <w:u w:val="single"/>
        </w:rPr>
        <w:t xml:space="preserve">     /    </w:t>
      </w:r>
    </w:p>
    <w:p w14:paraId="4781D3EC">
      <w:pPr>
        <w:widowControl/>
        <w:kinsoku w:val="0"/>
        <w:snapToGrid w:val="0"/>
        <w:spacing w:before="165" w:line="360" w:lineRule="auto"/>
        <w:ind w:left="658"/>
        <w:textAlignment w:val="baseline"/>
        <w:rPr>
          <w:rFonts w:hint="eastAsia" w:ascii="宋体" w:hAnsi="宋体" w:cs="宋体"/>
          <w:color w:val="auto"/>
          <w:szCs w:val="21"/>
          <w:highlight w:val="none"/>
        </w:rPr>
      </w:pPr>
      <w:r>
        <w:rPr>
          <w:rFonts w:ascii="宋体" w:hAnsi="宋体" w:cs="宋体"/>
          <w:color w:val="auto"/>
          <w:spacing w:val="4"/>
          <w:szCs w:val="21"/>
          <w:highlight w:val="none"/>
        </w:rPr>
        <w:t>（4）风险幅度的计算方法：</w:t>
      </w:r>
      <w:r>
        <w:rPr>
          <w:rFonts w:hint="eastAsia" w:ascii="宋体" w:hAnsi="宋体" w:cstheme="minorEastAsia"/>
          <w:color w:val="auto"/>
          <w:szCs w:val="21"/>
          <w:highlight w:val="none"/>
          <w:u w:val="single"/>
        </w:rPr>
        <w:t xml:space="preserve">     /    </w:t>
      </w:r>
    </w:p>
    <w:p w14:paraId="6D60C13A">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6"/>
          <w:szCs w:val="21"/>
          <w:highlight w:val="none"/>
        </w:rPr>
        <w:t>16.1.2.3  物价波动引起价格调整的方法</w:t>
      </w:r>
    </w:p>
    <w:p w14:paraId="7E177449">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6"/>
          <w:szCs w:val="21"/>
          <w:highlight w:val="none"/>
        </w:rPr>
        <w:t>（1）价格调整方法：</w:t>
      </w:r>
    </w:p>
    <w:p w14:paraId="73A97335">
      <w:pPr>
        <w:pStyle w:val="21"/>
        <w:widowControl/>
        <w:tabs>
          <w:tab w:val="left" w:pos="8322"/>
          <w:tab w:val="clear" w:pos="567"/>
        </w:tabs>
        <w:kinsoku w:val="0"/>
        <w:snapToGrid w:val="0"/>
        <w:spacing w:before="169" w:line="360" w:lineRule="auto"/>
        <w:ind w:left="640"/>
        <w:textAlignment w:val="baseline"/>
        <w:rPr>
          <w:rFonts w:hint="eastAsia"/>
          <w:color w:val="auto"/>
          <w:sz w:val="21"/>
          <w:szCs w:val="21"/>
          <w:highlight w:val="none"/>
        </w:rPr>
      </w:pPr>
      <w:r>
        <w:rPr>
          <w:rFonts w:hint="eastAsia" w:cstheme="minorEastAsia"/>
          <w:color w:val="auto"/>
          <w:sz w:val="21"/>
          <w:szCs w:val="21"/>
          <w:highlight w:val="none"/>
          <w:u w:val="single"/>
        </w:rPr>
        <w:t xml:space="preserve">     /    </w:t>
      </w:r>
    </w:p>
    <w:p w14:paraId="127404EF">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16.1.2.4  其他约定：</w:t>
      </w:r>
      <w:r>
        <w:rPr>
          <w:rFonts w:hint="eastAsia" w:ascii="宋体" w:hAnsi="宋体" w:cstheme="minorEastAsia"/>
          <w:color w:val="auto"/>
          <w:szCs w:val="21"/>
          <w:highlight w:val="none"/>
          <w:u w:val="single"/>
        </w:rPr>
        <w:t xml:space="preserve">     /    </w:t>
      </w:r>
    </w:p>
    <w:p w14:paraId="2F1633AA">
      <w:pPr>
        <w:widowControl/>
        <w:kinsoku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16.1.3  其他价格调整方法：</w:t>
      </w:r>
      <w:r>
        <w:rPr>
          <w:rFonts w:hint="eastAsia" w:ascii="宋体" w:hAnsi="宋体" w:cstheme="minorEastAsia"/>
          <w:color w:val="auto"/>
          <w:szCs w:val="21"/>
          <w:highlight w:val="none"/>
          <w:u w:val="single"/>
        </w:rPr>
        <w:t xml:space="preserve">     /    </w:t>
      </w:r>
    </w:p>
    <w:p w14:paraId="34B05263">
      <w:pPr>
        <w:pStyle w:val="21"/>
        <w:widowControl/>
        <w:kinsoku w:val="0"/>
        <w:snapToGrid w:val="0"/>
        <w:spacing w:line="360" w:lineRule="auto"/>
        <w:textAlignment w:val="baseline"/>
        <w:rPr>
          <w:rFonts w:hint="eastAsia"/>
          <w:color w:val="auto"/>
          <w:sz w:val="21"/>
          <w:szCs w:val="21"/>
          <w:highlight w:val="none"/>
        </w:rPr>
      </w:pPr>
    </w:p>
    <w:p w14:paraId="6A04A322">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2" w:name="bookmark161"/>
      <w:bookmarkEnd w:id="782"/>
      <w:bookmarkStart w:id="783" w:name="bookmark162"/>
      <w:bookmarkEnd w:id="783"/>
      <w:r>
        <w:rPr>
          <w:rFonts w:ascii="宋体" w:hAnsi="宋体" w:cs="宋体"/>
          <w:color w:val="auto"/>
          <w:spacing w:val="-4"/>
          <w:szCs w:val="21"/>
          <w:highlight w:val="none"/>
        </w:rPr>
        <w:t>17.计量与支付</w:t>
      </w:r>
    </w:p>
    <w:p w14:paraId="7CCAFFEB">
      <w:pPr>
        <w:pStyle w:val="21"/>
        <w:widowControl/>
        <w:kinsoku w:val="0"/>
        <w:snapToGrid w:val="0"/>
        <w:spacing w:line="360" w:lineRule="auto"/>
        <w:textAlignment w:val="baseline"/>
        <w:rPr>
          <w:rFonts w:hint="eastAsia"/>
          <w:color w:val="auto"/>
          <w:sz w:val="21"/>
          <w:szCs w:val="21"/>
          <w:highlight w:val="none"/>
        </w:rPr>
      </w:pPr>
    </w:p>
    <w:p w14:paraId="55588C4D">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7"/>
          <w:szCs w:val="21"/>
          <w:highlight w:val="none"/>
        </w:rPr>
        <w:t>17.1</w:t>
      </w:r>
      <w:r>
        <w:rPr>
          <w:rFonts w:ascii="宋体" w:hAnsi="宋体" w:cs="宋体"/>
          <w:color w:val="auto"/>
          <w:spacing w:val="6"/>
          <w:szCs w:val="21"/>
          <w:highlight w:val="none"/>
        </w:rPr>
        <w:t xml:space="preserve">  </w:t>
      </w:r>
      <w:r>
        <w:rPr>
          <w:rFonts w:ascii="宋体" w:hAnsi="宋体" w:cs="宋体"/>
          <w:color w:val="auto"/>
          <w:spacing w:val="-7"/>
          <w:szCs w:val="21"/>
          <w:highlight w:val="none"/>
        </w:rPr>
        <w:t>计量</w:t>
      </w:r>
    </w:p>
    <w:p w14:paraId="15A80756">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17.1.3  计量周期</w:t>
      </w:r>
    </w:p>
    <w:p w14:paraId="4541D8A3">
      <w:pPr>
        <w:widowControl/>
        <w:kinsoku w:val="0"/>
        <w:snapToGrid w:val="0"/>
        <w:spacing w:before="159"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本工程的计量周期：</w:t>
      </w:r>
      <w:r>
        <w:rPr>
          <w:rFonts w:ascii="宋体" w:hAnsi="宋体" w:cs="宋体"/>
          <w:color w:val="auto"/>
          <w:spacing w:val="4"/>
          <w:szCs w:val="21"/>
          <w:highlight w:val="none"/>
          <w:u w:val="single"/>
        </w:rPr>
        <w:t>按合同约定付款节点结算</w:t>
      </w:r>
    </w:p>
    <w:p w14:paraId="3A87CC5D">
      <w:pPr>
        <w:widowControl/>
        <w:kinsoku w:val="0"/>
        <w:snapToGrid w:val="0"/>
        <w:spacing w:before="162" w:line="360" w:lineRule="auto"/>
        <w:jc w:val="left"/>
        <w:textAlignment w:val="baseline"/>
        <w:rPr>
          <w:rFonts w:hint="eastAsia" w:ascii="宋体" w:hAnsi="宋体" w:cs="宋体"/>
          <w:color w:val="auto"/>
          <w:szCs w:val="21"/>
          <w:highlight w:val="none"/>
        </w:rPr>
      </w:pPr>
      <w:r>
        <w:rPr>
          <w:rFonts w:hint="eastAsia" w:ascii="宋体" w:hAnsi="宋体" w:cs="宋体"/>
          <w:color w:val="auto"/>
          <w:spacing w:val="5"/>
          <w:szCs w:val="21"/>
          <w:highlight w:val="none"/>
        </w:rPr>
        <w:t xml:space="preserve">    </w:t>
      </w:r>
      <w:r>
        <w:rPr>
          <w:rFonts w:ascii="宋体" w:hAnsi="宋体" w:cs="宋体"/>
          <w:color w:val="auto"/>
          <w:spacing w:val="5"/>
          <w:szCs w:val="21"/>
          <w:highlight w:val="none"/>
        </w:rPr>
        <w:t>（1）每月</w:t>
      </w:r>
      <w:r>
        <w:rPr>
          <w:rFonts w:ascii="宋体" w:hAnsi="宋体" w:cs="宋体"/>
          <w:color w:val="auto"/>
          <w:spacing w:val="-98"/>
          <w:szCs w:val="21"/>
          <w:highlight w:val="none"/>
        </w:rPr>
        <w:t xml:space="preserve"> </w:t>
      </w:r>
      <w:r>
        <w:rPr>
          <w:rFonts w:hint="eastAsia" w:ascii="宋体" w:hAnsi="宋体" w:cstheme="minorEastAsia"/>
          <w:color w:val="auto"/>
          <w:szCs w:val="21"/>
          <w:highlight w:val="none"/>
          <w:u w:val="single"/>
        </w:rPr>
        <w:t>【25】</w:t>
      </w:r>
      <w:r>
        <w:rPr>
          <w:rFonts w:ascii="宋体" w:hAnsi="宋体" w:cs="宋体"/>
          <w:color w:val="auto"/>
          <w:spacing w:val="4"/>
          <w:szCs w:val="21"/>
          <w:highlight w:val="none"/>
          <w:u w:val="single"/>
        </w:rPr>
        <w:t xml:space="preserve"> </w:t>
      </w:r>
      <w:r>
        <w:rPr>
          <w:rFonts w:ascii="宋体" w:hAnsi="宋体" w:cs="宋体"/>
          <w:color w:val="auto"/>
          <w:spacing w:val="-51"/>
          <w:szCs w:val="21"/>
          <w:highlight w:val="none"/>
        </w:rPr>
        <w:t xml:space="preserve"> </w:t>
      </w:r>
      <w:r>
        <w:rPr>
          <w:rFonts w:ascii="宋体" w:hAnsi="宋体" w:cs="宋体"/>
          <w:color w:val="auto"/>
          <w:spacing w:val="5"/>
          <w:szCs w:val="21"/>
          <w:highlight w:val="none"/>
        </w:rPr>
        <w:t>日为当月计量截止日期（不含当日）和</w:t>
      </w:r>
      <w:r>
        <w:rPr>
          <w:rFonts w:ascii="宋体" w:hAnsi="宋体" w:cs="宋体"/>
          <w:color w:val="auto"/>
          <w:spacing w:val="4"/>
          <w:szCs w:val="21"/>
          <w:highlight w:val="none"/>
        </w:rPr>
        <w:t>下月计量起始日期（含当日）</w:t>
      </w:r>
      <w:r>
        <w:rPr>
          <w:rFonts w:hint="eastAsia" w:ascii="宋体" w:hAnsi="宋体" w:cs="宋体"/>
          <w:color w:val="auto"/>
          <w:spacing w:val="4"/>
          <w:szCs w:val="21"/>
          <w:highlight w:val="none"/>
        </w:rPr>
        <w:t>。</w:t>
      </w:r>
    </w:p>
    <w:p w14:paraId="55AF5F50">
      <w:pPr>
        <w:widowControl/>
        <w:kinsoku w:val="0"/>
        <w:snapToGrid w:val="0"/>
        <w:spacing w:before="160" w:line="360" w:lineRule="auto"/>
        <w:ind w:left="124"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（2）本合同</w:t>
      </w:r>
      <w:r>
        <w:rPr>
          <w:rFonts w:ascii="宋体" w:hAnsi="宋体" w:cs="宋体"/>
          <w:color w:val="auto"/>
          <w:spacing w:val="-98"/>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执行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（执行（采用单价合</w:t>
      </w:r>
      <w:r>
        <w:rPr>
          <w:rFonts w:ascii="宋体" w:hAnsi="宋体" w:cs="宋体"/>
          <w:color w:val="auto"/>
          <w:spacing w:val="6"/>
          <w:szCs w:val="21"/>
          <w:highlight w:val="none"/>
        </w:rPr>
        <w:t>同形式时）/不执行（采用总价合同形式时</w:t>
      </w:r>
      <w:r>
        <w:rPr>
          <w:rFonts w:ascii="宋体" w:hAnsi="宋体" w:cs="宋体"/>
          <w:color w:val="auto"/>
          <w:spacing w:val="-7"/>
          <w:szCs w:val="21"/>
          <w:highlight w:val="none"/>
        </w:rPr>
        <w:t>））</w:t>
      </w:r>
      <w:r>
        <w:rPr>
          <w:rFonts w:ascii="宋体" w:hAnsi="宋体" w:cs="宋体"/>
          <w:color w:val="auto"/>
          <w:spacing w:val="8"/>
          <w:szCs w:val="21"/>
          <w:highlight w:val="none"/>
        </w:rPr>
        <w:t>单价项目已完成工程量按月计量。</w:t>
      </w:r>
    </w:p>
    <w:p w14:paraId="15FBB5D4">
      <w:pPr>
        <w:widowControl/>
        <w:kinsoku w:val="0"/>
        <w:snapToGrid w:val="0"/>
        <w:spacing w:before="161" w:line="360" w:lineRule="auto"/>
        <w:ind w:left="124" w:right="87"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（3）总价项目计量方式采用</w:t>
      </w:r>
      <w:r>
        <w:rPr>
          <w:rFonts w:ascii="宋体" w:hAnsi="宋体" w:cs="宋体"/>
          <w:color w:val="auto"/>
          <w:spacing w:val="-99"/>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 xml:space="preserve">按实际完成工程量计量 </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（支付分解报告/</w:t>
      </w:r>
      <w:r>
        <w:rPr>
          <w:rFonts w:ascii="宋体" w:hAnsi="宋体" w:cs="宋体"/>
          <w:color w:val="auto"/>
          <w:spacing w:val="6"/>
          <w:szCs w:val="21"/>
          <w:highlight w:val="none"/>
        </w:rPr>
        <w:t>按实际完成工程量计量）。</w:t>
      </w:r>
    </w:p>
    <w:p w14:paraId="577634DE">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17.1.5  总价项目的计量（适用于采</w:t>
      </w:r>
      <w:r>
        <w:rPr>
          <w:rFonts w:ascii="宋体" w:hAnsi="宋体" w:cs="宋体"/>
          <w:color w:val="auto"/>
          <w:spacing w:val="7"/>
          <w:szCs w:val="21"/>
          <w:highlight w:val="none"/>
        </w:rPr>
        <w:t>用按实际完成工程量计量）</w:t>
      </w:r>
    </w:p>
    <w:p w14:paraId="0BD11357">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9"/>
          <w:szCs w:val="21"/>
          <w:highlight w:val="none"/>
        </w:rPr>
        <w:t>（1）采用按实际完成工程量计量方式的,总价项目的价格调整方法：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DE57173">
      <w:pPr>
        <w:pStyle w:val="21"/>
        <w:widowControl/>
        <w:kinsoku w:val="0"/>
        <w:snapToGrid w:val="0"/>
        <w:spacing w:line="360" w:lineRule="auto"/>
        <w:textAlignment w:val="baseline"/>
        <w:rPr>
          <w:rFonts w:hint="eastAsia"/>
          <w:color w:val="auto"/>
          <w:sz w:val="21"/>
          <w:szCs w:val="21"/>
          <w:highlight w:val="none"/>
        </w:rPr>
      </w:pPr>
    </w:p>
    <w:p w14:paraId="1D196648">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84" w:name="bookmark163"/>
      <w:bookmarkEnd w:id="784"/>
      <w:r>
        <w:rPr>
          <w:rFonts w:ascii="宋体" w:hAnsi="宋体" w:cs="宋体"/>
          <w:color w:val="auto"/>
          <w:spacing w:val="-6"/>
          <w:szCs w:val="21"/>
          <w:highlight w:val="none"/>
        </w:rPr>
        <w:t>17.2</w:t>
      </w:r>
      <w:r>
        <w:rPr>
          <w:rFonts w:ascii="宋体" w:hAnsi="宋体" w:cs="宋体"/>
          <w:color w:val="auto"/>
          <w:spacing w:val="6"/>
          <w:szCs w:val="21"/>
          <w:highlight w:val="none"/>
        </w:rPr>
        <w:t xml:space="preserve">  </w:t>
      </w:r>
      <w:r>
        <w:rPr>
          <w:rFonts w:ascii="宋体" w:hAnsi="宋体" w:cs="宋体"/>
          <w:color w:val="auto"/>
          <w:spacing w:val="-6"/>
          <w:szCs w:val="21"/>
          <w:highlight w:val="none"/>
        </w:rPr>
        <w:t>预付款</w:t>
      </w:r>
    </w:p>
    <w:p w14:paraId="0DBC9512">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17.2.1</w:t>
      </w:r>
      <w:r>
        <w:rPr>
          <w:rFonts w:ascii="宋体" w:hAnsi="宋体" w:cs="宋体"/>
          <w:color w:val="auto"/>
          <w:spacing w:val="13"/>
          <w:szCs w:val="21"/>
          <w:highlight w:val="none"/>
        </w:rPr>
        <w:t xml:space="preserve">  </w:t>
      </w:r>
      <w:r>
        <w:rPr>
          <w:rFonts w:ascii="宋体" w:hAnsi="宋体" w:cs="宋体"/>
          <w:color w:val="auto"/>
          <w:spacing w:val="2"/>
          <w:szCs w:val="21"/>
          <w:highlight w:val="none"/>
        </w:rPr>
        <w:t>预付款</w:t>
      </w:r>
    </w:p>
    <w:p w14:paraId="6F71B25A">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（1）预付款额度</w:t>
      </w:r>
    </w:p>
    <w:p w14:paraId="3C79CE31">
      <w:pPr>
        <w:widowControl/>
        <w:kinsoku w:val="0"/>
        <w:snapToGrid w:val="0"/>
        <w:spacing w:before="160"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预付款额度：</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69E34EDB">
      <w:pPr>
        <w:widowControl/>
        <w:kinsoku w:val="0"/>
        <w:snapToGrid w:val="0"/>
        <w:spacing w:before="161" w:line="360" w:lineRule="auto"/>
        <w:ind w:left="649"/>
        <w:textAlignment w:val="baseline"/>
        <w:rPr>
          <w:rFonts w:hint="eastAsia" w:ascii="宋体" w:hAnsi="宋体" w:cs="宋体"/>
          <w:color w:val="auto"/>
          <w:szCs w:val="21"/>
          <w:highlight w:val="none"/>
        </w:rPr>
      </w:pPr>
      <w:r>
        <w:rPr>
          <w:rFonts w:ascii="宋体" w:hAnsi="宋体" w:cs="宋体"/>
          <w:color w:val="auto"/>
          <w:spacing w:val="7"/>
          <w:szCs w:val="21"/>
          <w:highlight w:val="none"/>
        </w:rPr>
        <w:t>其中：</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3CCAB193">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（2）预付办法</w:t>
      </w:r>
    </w:p>
    <w:p w14:paraId="41E8AC68">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预付款预付办法：</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r>
        <w:rPr>
          <w:rFonts w:ascii="宋体" w:hAnsi="宋体" w:cs="宋体"/>
          <w:color w:val="auto"/>
          <w:spacing w:val="4"/>
          <w:szCs w:val="21"/>
          <w:highlight w:val="none"/>
          <w:u w:val="single"/>
        </w:rPr>
        <w:t xml:space="preserve"> </w:t>
      </w:r>
    </w:p>
    <w:p w14:paraId="046A0CE4">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预付款的支付时间：</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045B977B">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（3）安全生产标准化措施费用预付额度及方式</w:t>
      </w:r>
    </w:p>
    <w:p w14:paraId="6561367C">
      <w:pPr>
        <w:widowControl/>
        <w:kinsoku w:val="0"/>
        <w:snapToGrid w:val="0"/>
        <w:spacing w:before="160" w:line="360" w:lineRule="auto"/>
        <w:ind w:left="20" w:right="13"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安全生产标准化措施费用的预付不受上述预付办法和支付时间约定的制约。安全生产</w:t>
      </w:r>
      <w:r>
        <w:rPr>
          <w:rFonts w:ascii="宋体" w:hAnsi="宋体" w:cs="宋体"/>
          <w:color w:val="auto"/>
          <w:spacing w:val="9"/>
          <w:szCs w:val="21"/>
          <w:highlight w:val="none"/>
        </w:rPr>
        <w:t>标准化措施费用按以下时间节点和金额进行预付：</w:t>
      </w:r>
    </w:p>
    <w:p w14:paraId="126833B6">
      <w:pPr>
        <w:widowControl/>
        <w:kinsoku w:val="0"/>
        <w:snapToGrid w:val="0"/>
        <w:spacing w:before="1" w:line="360" w:lineRule="auto"/>
        <w:ind w:left="36" w:right="11" w:firstLine="615"/>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发包人应当在不迟于第11.1.1</w:t>
      </w:r>
      <w:r>
        <w:rPr>
          <w:rFonts w:ascii="宋体" w:hAnsi="宋体" w:cs="宋体"/>
          <w:color w:val="auto"/>
          <w:spacing w:val="-35"/>
          <w:szCs w:val="21"/>
          <w:highlight w:val="none"/>
        </w:rPr>
        <w:t xml:space="preserve"> </w:t>
      </w:r>
      <w:r>
        <w:rPr>
          <w:rFonts w:ascii="宋体" w:hAnsi="宋体" w:cs="宋体"/>
          <w:color w:val="auto"/>
          <w:spacing w:val="7"/>
          <w:szCs w:val="21"/>
          <w:highlight w:val="none"/>
        </w:rPr>
        <w:t>项约定的开工日期前的7天内，将签约合同价中载明的安全生产标准化措施费用总额的50%一次性预付给承包人。</w:t>
      </w:r>
    </w:p>
    <w:p w14:paraId="4C614423">
      <w:pPr>
        <w:widowControl/>
        <w:kinsoku w:val="0"/>
        <w:snapToGrid w:val="0"/>
        <w:spacing w:before="2" w:line="360" w:lineRule="auto"/>
        <w:ind w:left="19" w:right="13" w:firstLine="632"/>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发包人应当在±0.00以下主体结构施工完成或签约合同价中分部分项工程项目的完</w:t>
      </w:r>
      <w:r>
        <w:rPr>
          <w:rFonts w:ascii="宋体" w:hAnsi="宋体" w:cs="宋体"/>
          <w:color w:val="auto"/>
          <w:spacing w:val="9"/>
          <w:szCs w:val="21"/>
          <w:highlight w:val="none"/>
        </w:rPr>
        <w:t>成价款比例达到</w:t>
      </w:r>
      <w:r>
        <w:rPr>
          <w:rFonts w:ascii="宋体" w:hAnsi="宋体" w:cs="宋体"/>
          <w:color w:val="auto"/>
          <w:spacing w:val="-36"/>
          <w:szCs w:val="21"/>
          <w:highlight w:val="none"/>
        </w:rPr>
        <w:t xml:space="preserve"> </w:t>
      </w:r>
      <w:r>
        <w:rPr>
          <w:rFonts w:ascii="宋体" w:hAnsi="宋体" w:cs="宋体"/>
          <w:color w:val="auto"/>
          <w:spacing w:val="9"/>
          <w:szCs w:val="21"/>
          <w:highlight w:val="none"/>
        </w:rPr>
        <w:t>30%（两者中以条件先满足的为准）7</w:t>
      </w:r>
      <w:r>
        <w:rPr>
          <w:rFonts w:ascii="宋体" w:hAnsi="宋体" w:cs="宋体"/>
          <w:color w:val="auto"/>
          <w:spacing w:val="-34"/>
          <w:szCs w:val="21"/>
          <w:highlight w:val="none"/>
        </w:rPr>
        <w:t xml:space="preserve"> </w:t>
      </w:r>
      <w:r>
        <w:rPr>
          <w:rFonts w:ascii="宋体" w:hAnsi="宋体" w:cs="宋体"/>
          <w:color w:val="auto"/>
          <w:spacing w:val="9"/>
          <w:szCs w:val="21"/>
          <w:highlight w:val="none"/>
        </w:rPr>
        <w:t>天内，预付至签约合同价中载明的安</w:t>
      </w:r>
      <w:r>
        <w:rPr>
          <w:rFonts w:ascii="宋体" w:hAnsi="宋体" w:cs="宋体"/>
          <w:color w:val="auto"/>
          <w:spacing w:val="7"/>
          <w:szCs w:val="21"/>
          <w:highlight w:val="none"/>
        </w:rPr>
        <w:t>全生产标准化措施费用总额的70%。</w:t>
      </w:r>
    </w:p>
    <w:p w14:paraId="5D71200E">
      <w:pPr>
        <w:widowControl/>
        <w:kinsoku w:val="0"/>
        <w:snapToGrid w:val="0"/>
        <w:spacing w:before="1" w:line="360" w:lineRule="auto"/>
        <w:ind w:left="19" w:right="11"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发包人应当在安全生产标准化考评、评定达到（含整改后达到）或超过合同约定的安全生产标准化管理目标之日起7天内，预付至签约合同价中载明的</w:t>
      </w:r>
      <w:r>
        <w:rPr>
          <w:rFonts w:ascii="宋体" w:hAnsi="宋体" w:cs="宋体"/>
          <w:color w:val="auto"/>
          <w:spacing w:val="6"/>
          <w:szCs w:val="21"/>
          <w:highlight w:val="none"/>
        </w:rPr>
        <w:t>安全生产标准化措施费用</w:t>
      </w:r>
      <w:r>
        <w:rPr>
          <w:rFonts w:ascii="宋体" w:hAnsi="宋体" w:cs="宋体"/>
          <w:color w:val="auto"/>
          <w:spacing w:val="3"/>
          <w:szCs w:val="21"/>
          <w:highlight w:val="none"/>
        </w:rPr>
        <w:t>总额的90%。</w:t>
      </w:r>
    </w:p>
    <w:p w14:paraId="0919A719">
      <w:pPr>
        <w:widowControl/>
        <w:kinsoku w:val="0"/>
        <w:snapToGrid w:val="0"/>
        <w:spacing w:before="1" w:line="360" w:lineRule="auto"/>
        <w:ind w:left="20" w:right="11" w:firstLine="631"/>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发包人应当在工程竣工后，安全生产标准化考评、认定达到或超过合同约定安全生产标准化管理目标并颁发考评证书之日起的7天内，预付至签</w:t>
      </w:r>
      <w:r>
        <w:rPr>
          <w:rFonts w:ascii="宋体" w:hAnsi="宋体" w:cs="宋体"/>
          <w:color w:val="auto"/>
          <w:spacing w:val="6"/>
          <w:szCs w:val="21"/>
          <w:highlight w:val="none"/>
        </w:rPr>
        <w:t>约合同价中载明的安全生产标准</w:t>
      </w:r>
      <w:r>
        <w:rPr>
          <w:rFonts w:ascii="宋体" w:hAnsi="宋体" w:cs="宋体"/>
          <w:color w:val="auto"/>
          <w:spacing w:val="5"/>
          <w:szCs w:val="21"/>
          <w:highlight w:val="none"/>
        </w:rPr>
        <w:t>化措施费用总额的100%。</w:t>
      </w:r>
    </w:p>
    <w:p w14:paraId="5F0FBFE9">
      <w:pPr>
        <w:widowControl/>
        <w:kinsoku w:val="0"/>
        <w:snapToGrid w:val="0"/>
        <w:spacing w:before="1" w:line="360" w:lineRule="auto"/>
        <w:ind w:left="652"/>
        <w:textAlignment w:val="baseline"/>
        <w:rPr>
          <w:rFonts w:hint="eastAsia" w:ascii="宋体" w:hAnsi="宋体" w:cs="宋体"/>
          <w:color w:val="auto"/>
          <w:szCs w:val="21"/>
          <w:highlight w:val="none"/>
        </w:rPr>
      </w:pPr>
      <w:r>
        <w:rPr>
          <w:rFonts w:ascii="宋体" w:hAnsi="宋体" w:cs="宋体"/>
          <w:color w:val="auto"/>
          <w:spacing w:val="8"/>
          <w:szCs w:val="21"/>
          <w:highlight w:val="none"/>
        </w:rPr>
        <w:t>安全生产标准化措施费用的预付不抵扣。</w:t>
      </w:r>
    </w:p>
    <w:p w14:paraId="67793DDD">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17.2.2  预付款的扣回与还清</w:t>
      </w:r>
    </w:p>
    <w:p w14:paraId="692EC1FD">
      <w:pPr>
        <w:widowControl/>
        <w:kinsoku w:val="0"/>
        <w:snapToGrid w:val="0"/>
        <w:spacing w:before="269" w:line="360" w:lineRule="auto"/>
        <w:ind w:left="441"/>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预付款的扣回办法：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7A2627E">
      <w:pPr>
        <w:widowControl/>
        <w:kinsoku w:val="0"/>
        <w:snapToGrid w:val="0"/>
        <w:spacing w:before="170" w:line="360" w:lineRule="auto"/>
        <w:ind w:left="38"/>
        <w:textAlignment w:val="baseline"/>
        <w:outlineLvl w:val="2"/>
        <w:rPr>
          <w:rFonts w:hint="eastAsia" w:ascii="宋体" w:hAnsi="宋体" w:cs="宋体"/>
          <w:color w:val="auto"/>
          <w:szCs w:val="21"/>
          <w:highlight w:val="none"/>
        </w:rPr>
      </w:pPr>
      <w:bookmarkStart w:id="785" w:name="bookmark164"/>
      <w:bookmarkEnd w:id="785"/>
      <w:r>
        <w:rPr>
          <w:rFonts w:ascii="宋体" w:hAnsi="宋体" w:cs="宋体"/>
          <w:color w:val="auto"/>
          <w:spacing w:val="-3"/>
          <w:szCs w:val="21"/>
          <w:highlight w:val="none"/>
        </w:rPr>
        <w:t>17.3  工程进度付款</w:t>
      </w:r>
    </w:p>
    <w:p w14:paraId="1673F346">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17.3.2  进度付款申请单</w:t>
      </w:r>
    </w:p>
    <w:p w14:paraId="08EE5C61">
      <w:pPr>
        <w:widowControl/>
        <w:kinsoku w:val="0"/>
        <w:snapToGrid w:val="0"/>
        <w:spacing w:before="161"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进度付款申请单的份数：</w:t>
      </w:r>
      <w:r>
        <w:rPr>
          <w:rFonts w:hint="eastAsia" w:ascii="宋体" w:hAnsi="宋体" w:cstheme="minorEastAsia"/>
          <w:color w:val="auto"/>
          <w:szCs w:val="21"/>
          <w:highlight w:val="none"/>
          <w:u w:val="single"/>
        </w:rPr>
        <w:t>4份</w:t>
      </w:r>
      <w:r>
        <w:rPr>
          <w:rFonts w:ascii="宋体" w:hAnsi="宋体" w:cs="宋体"/>
          <w:color w:val="auto"/>
          <w:spacing w:val="4"/>
          <w:szCs w:val="21"/>
          <w:highlight w:val="none"/>
          <w:u w:val="single"/>
        </w:rPr>
        <w:t xml:space="preserve"> </w:t>
      </w:r>
    </w:p>
    <w:p w14:paraId="584D07E6">
      <w:pPr>
        <w:widowControl/>
        <w:kinsoku w:val="0"/>
        <w:snapToGrid w:val="0"/>
        <w:spacing w:before="164"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承包人报送监理人的进度付款申请单应包括下列内容：</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A6EEE30">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（7）根据合同应增加和（或）扣减的其他内容金额：</w:t>
      </w:r>
      <w:r>
        <w:rPr>
          <w:rFonts w:hint="eastAsia" w:ascii="宋体" w:hAnsi="宋体" w:cstheme="minorEastAsia"/>
          <w:color w:val="auto"/>
          <w:szCs w:val="21"/>
          <w:highlight w:val="none"/>
          <w:u w:val="single"/>
        </w:rPr>
        <w:t>付款次数或编号；截止本次付款周期末已实施工程的价款；本次应支付的预付款和（或）应扣减的返还预付款；本次扣减的质量保证金</w:t>
      </w:r>
      <w:r>
        <w:rPr>
          <w:rFonts w:hint="eastAsia" w:ascii="宋体" w:hAnsi="宋体" w:cstheme="minorEastAsia"/>
          <w:color w:val="auto"/>
          <w:szCs w:val="21"/>
          <w:highlight w:val="none"/>
        </w:rPr>
        <w:t>。</w:t>
      </w:r>
    </w:p>
    <w:p w14:paraId="732F910F">
      <w:pPr>
        <w:widowControl/>
        <w:kinsoku w:val="0"/>
        <w:snapToGrid w:val="0"/>
        <w:spacing w:before="161" w:line="360" w:lineRule="auto"/>
        <w:ind w:left="452"/>
        <w:textAlignment w:val="baseline"/>
        <w:rPr>
          <w:rFonts w:hint="eastAsia" w:ascii="宋体" w:hAnsi="宋体"/>
          <w:color w:val="auto"/>
          <w:szCs w:val="21"/>
          <w:highlight w:val="none"/>
        </w:rPr>
      </w:pPr>
      <w:r>
        <w:rPr>
          <w:rFonts w:ascii="宋体" w:hAnsi="宋体" w:cs="宋体"/>
          <w:color w:val="auto"/>
          <w:spacing w:val="4"/>
          <w:szCs w:val="21"/>
          <w:highlight w:val="none"/>
        </w:rPr>
        <w:t>（8）本期应付进度款：</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08BBC0DF">
      <w:pPr>
        <w:widowControl/>
        <w:kinsoku w:val="0"/>
        <w:snapToGrid w:val="0"/>
        <w:spacing w:before="65"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17.3.3  进度付款证书和支付时间</w:t>
      </w:r>
    </w:p>
    <w:p w14:paraId="5BCA5946">
      <w:pPr>
        <w:pStyle w:val="21"/>
        <w:widowControl/>
        <w:tabs>
          <w:tab w:val="left" w:pos="8322"/>
          <w:tab w:val="clear" w:pos="567"/>
        </w:tabs>
        <w:kinsoku w:val="0"/>
        <w:snapToGrid w:val="0"/>
        <w:spacing w:before="165" w:line="360" w:lineRule="auto"/>
        <w:ind w:left="399" w:leftChars="190"/>
        <w:textAlignment w:val="baseline"/>
        <w:rPr>
          <w:rFonts w:hint="eastAsia" w:cs="宋体"/>
          <w:color w:val="auto"/>
          <w:sz w:val="21"/>
          <w:szCs w:val="21"/>
          <w:highlight w:val="none"/>
          <w:u w:val="single"/>
        </w:rPr>
      </w:pPr>
      <w:r>
        <w:rPr>
          <w:rFonts w:cs="宋体"/>
          <w:color w:val="auto"/>
          <w:spacing w:val="6"/>
          <w:sz w:val="21"/>
          <w:szCs w:val="21"/>
          <w:highlight w:val="none"/>
        </w:rPr>
        <w:t>（2）逾期付款违约金的计算标准：</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3E2ED2DB">
      <w:pPr>
        <w:pStyle w:val="21"/>
        <w:widowControl/>
        <w:tabs>
          <w:tab w:val="left" w:pos="8322"/>
          <w:tab w:val="clear" w:pos="567"/>
        </w:tabs>
        <w:kinsoku w:val="0"/>
        <w:snapToGrid w:val="0"/>
        <w:spacing w:before="165" w:line="360" w:lineRule="auto"/>
        <w:ind w:left="399" w:leftChars="190"/>
        <w:textAlignment w:val="baseline"/>
        <w:rPr>
          <w:rFonts w:hint="eastAsia"/>
          <w:color w:val="auto"/>
          <w:sz w:val="21"/>
          <w:szCs w:val="21"/>
          <w:highlight w:val="none"/>
        </w:rPr>
      </w:pPr>
      <w:r>
        <w:rPr>
          <w:rFonts w:cs="宋体"/>
          <w:color w:val="auto"/>
          <w:sz w:val="21"/>
          <w:szCs w:val="21"/>
          <w:highlight w:val="none"/>
        </w:rPr>
        <w:t xml:space="preserve"> </w:t>
      </w:r>
      <w:r>
        <w:rPr>
          <w:rFonts w:hint="eastAsia" w:cs="宋体"/>
          <w:color w:val="auto"/>
          <w:sz w:val="21"/>
          <w:szCs w:val="21"/>
          <w:highlight w:val="none"/>
        </w:rPr>
        <w:t xml:space="preserve">    </w:t>
      </w:r>
      <w:r>
        <w:rPr>
          <w:rFonts w:cs="宋体"/>
          <w:color w:val="auto"/>
          <w:spacing w:val="6"/>
          <w:sz w:val="21"/>
          <w:szCs w:val="21"/>
          <w:highlight w:val="none"/>
        </w:rPr>
        <w:t>逾期付款违约金的计算方法：</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30755438">
      <w:pPr>
        <w:widowControl/>
        <w:kinsoku w:val="0"/>
        <w:snapToGrid w:val="0"/>
        <w:spacing w:line="360" w:lineRule="auto"/>
        <w:ind w:firstLine="452" w:firstLineChars="200"/>
        <w:textAlignment w:val="baseline"/>
        <w:rPr>
          <w:rFonts w:hint="eastAsia" w:ascii="宋体" w:hAnsi="宋体" w:cstheme="minorEastAsia"/>
          <w:color w:val="auto"/>
          <w:szCs w:val="21"/>
          <w:highlight w:val="none"/>
          <w:u w:val="single"/>
        </w:rPr>
      </w:pPr>
      <w:r>
        <w:rPr>
          <w:rFonts w:ascii="宋体" w:hAnsi="宋体" w:cs="宋体"/>
          <w:color w:val="auto"/>
          <w:spacing w:val="8"/>
          <w:szCs w:val="21"/>
          <w:highlight w:val="none"/>
        </w:rPr>
        <w:t>（4）进度付款涉及政府性资金的支付方法：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承包人施工进场后支付至合同价款的30%,竣工验收合格后最高支付至合同价款的85%,最终支付以财政结算评审为准。财政结算评审报告出具后，承包人缴纳财政结算评审金额的3%作为质量保证金，（质量保证金将在验收合格后二年期满无息返还），发包人向承包人支付至财政结算评审金额的100%。鉴于发包人付款依托于财政拨款，如遇财政拨款计划有变动，以款项实际到账金额、时间为准。因财政拨款变动导致发包人实际付款时间迟于合同约定的，不构成发包人违约，发包人无需承担任何责任，承包人不得以工程款不到位，停工及工人闹事，每发生一次罚款五万元整。发包人付款前，承包人应向发包人提供足额合法增值税普通发票。</w:t>
      </w:r>
    </w:p>
    <w:p w14:paraId="20FA2483">
      <w:pPr>
        <w:pStyle w:val="33"/>
        <w:widowControl/>
        <w:kinsoku w:val="0"/>
        <w:spacing w:line="360" w:lineRule="auto"/>
        <w:ind w:firstLine="420" w:firstLineChars="200"/>
        <w:textAlignment w:val="baseline"/>
        <w:rPr>
          <w:rFonts w:hint="eastAsia" w:hAnsi="宋体" w:cs="宋体"/>
          <w:color w:val="auto"/>
          <w:sz w:val="21"/>
          <w:szCs w:val="21"/>
          <w:highlight w:val="none"/>
        </w:rPr>
      </w:pPr>
      <w:r>
        <w:rPr>
          <w:rFonts w:hint="eastAsia" w:hAnsi="宋体" w:cstheme="minorEastAsia"/>
          <w:color w:val="auto"/>
          <w:sz w:val="21"/>
          <w:szCs w:val="21"/>
          <w:highlight w:val="none"/>
          <w:u w:val="single"/>
        </w:rPr>
        <w:t>如出现通用合同条款22.1.1 承包人违约的情形，例如未能按合同进度计划及时完成合同约定的工作，已造成或预期造成工期延误的，发包人或监理人可向承包人发出整改通知，要求其在指定的期限内改正。承包人应承担其违约所引起的费用增加和（或）工期延误，发包人有权在结算时扣除5％违约金。</w:t>
      </w:r>
    </w:p>
    <w:p w14:paraId="2C0E1163">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86" w:name="bookmark165"/>
      <w:bookmarkEnd w:id="786"/>
      <w:r>
        <w:rPr>
          <w:rFonts w:ascii="宋体" w:hAnsi="宋体" w:cs="宋体"/>
          <w:color w:val="auto"/>
          <w:spacing w:val="-3"/>
          <w:szCs w:val="21"/>
          <w:highlight w:val="none"/>
        </w:rPr>
        <w:t>17.4  质量保证金</w:t>
      </w:r>
    </w:p>
    <w:p w14:paraId="586495E6">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17.4.1  质量保证金处理</w:t>
      </w:r>
    </w:p>
    <w:p w14:paraId="1309DCC1">
      <w:pPr>
        <w:widowControl/>
        <w:kinsoku w:val="0"/>
        <w:snapToGrid w:val="0"/>
        <w:spacing w:before="160" w:line="360" w:lineRule="auto"/>
        <w:ind w:left="20" w:right="13" w:firstLine="429"/>
        <w:textAlignment w:val="baseline"/>
        <w:rPr>
          <w:rFonts w:hint="eastAsia" w:ascii="宋体" w:hAnsi="宋体" w:cs="宋体"/>
          <w:color w:val="auto"/>
          <w:szCs w:val="21"/>
          <w:highlight w:val="none"/>
        </w:rPr>
      </w:pPr>
      <w:r>
        <w:rPr>
          <w:rFonts w:ascii="宋体" w:hAnsi="宋体" w:cs="宋体"/>
          <w:color w:val="auto"/>
          <w:spacing w:val="10"/>
          <w:szCs w:val="21"/>
          <w:highlight w:val="none"/>
        </w:rPr>
        <w:t>（3）质量保证金形式</w:t>
      </w:r>
      <w:r>
        <w:rPr>
          <w:rFonts w:ascii="宋体" w:hAnsi="宋体" w:cs="宋体"/>
          <w:color w:val="auto"/>
          <w:spacing w:val="3"/>
          <w:szCs w:val="21"/>
          <w:highlight w:val="none"/>
        </w:rPr>
        <w:t>：</w:t>
      </w:r>
      <w:r>
        <w:rPr>
          <w:rFonts w:hint="eastAsia" w:ascii="宋体" w:hAnsi="宋体" w:cstheme="minorEastAsia"/>
          <w:color w:val="auto"/>
          <w:szCs w:val="21"/>
          <w:highlight w:val="none"/>
          <w:u w:val="single"/>
        </w:rPr>
        <w:t>扣留质量保证金</w:t>
      </w:r>
      <w:r>
        <w:rPr>
          <w:rFonts w:ascii="宋体" w:hAnsi="宋体" w:cs="宋体"/>
          <w:color w:val="auto"/>
          <w:spacing w:val="3"/>
          <w:szCs w:val="21"/>
          <w:highlight w:val="none"/>
        </w:rPr>
        <w:t>（</w:t>
      </w:r>
      <w:r>
        <w:rPr>
          <w:rFonts w:ascii="宋体" w:hAnsi="宋体" w:cs="宋体"/>
          <w:color w:val="auto"/>
          <w:spacing w:val="10"/>
          <w:szCs w:val="21"/>
          <w:highlight w:val="none"/>
        </w:rPr>
        <w:t>采用银行保函担保或其他保函担保形式╱采用扣留</w:t>
      </w:r>
      <w:r>
        <w:rPr>
          <w:rFonts w:ascii="宋体" w:hAnsi="宋体" w:cs="宋体"/>
          <w:color w:val="auto"/>
          <w:spacing w:val="5"/>
          <w:szCs w:val="21"/>
          <w:highlight w:val="none"/>
        </w:rPr>
        <w:t>质量保证金）。</w:t>
      </w:r>
    </w:p>
    <w:p w14:paraId="1F69ACEC">
      <w:pPr>
        <w:widowControl/>
        <w:kinsoku w:val="0"/>
        <w:snapToGrid w:val="0"/>
        <w:spacing w:line="360" w:lineRule="auto"/>
        <w:ind w:left="963"/>
        <w:textAlignment w:val="baseline"/>
        <w:rPr>
          <w:rFonts w:hint="eastAsia" w:ascii="宋体" w:hAnsi="宋体" w:cs="宋体"/>
          <w:color w:val="auto"/>
          <w:szCs w:val="21"/>
          <w:highlight w:val="none"/>
        </w:rPr>
      </w:pPr>
      <w:r>
        <w:rPr>
          <w:rFonts w:ascii="宋体" w:hAnsi="宋体" w:cs="宋体"/>
          <w:color w:val="auto"/>
          <w:spacing w:val="7"/>
          <w:szCs w:val="21"/>
          <w:highlight w:val="none"/>
        </w:rPr>
        <w:t>质量保证金约定比例：</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rPr>
        <w:t>结算金额的3</w:t>
      </w:r>
      <w:r>
        <w:rPr>
          <w:rFonts w:ascii="宋体" w:hAnsi="宋体" w:cs="宋体"/>
          <w:color w:val="auto"/>
          <w:spacing w:val="6"/>
          <w:szCs w:val="21"/>
          <w:highlight w:val="none"/>
        </w:rPr>
        <w:t xml:space="preserve"> %</w:t>
      </w:r>
    </w:p>
    <w:p w14:paraId="17D227AA">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87" w:name="bookmark166"/>
      <w:bookmarkEnd w:id="787"/>
      <w:r>
        <w:rPr>
          <w:rFonts w:ascii="宋体" w:hAnsi="宋体" w:cs="宋体"/>
          <w:color w:val="auto"/>
          <w:spacing w:val="-5"/>
          <w:szCs w:val="21"/>
          <w:highlight w:val="none"/>
        </w:rPr>
        <w:t>17.5</w:t>
      </w:r>
      <w:r>
        <w:rPr>
          <w:rFonts w:ascii="宋体" w:hAnsi="宋体" w:cs="宋体"/>
          <w:color w:val="auto"/>
          <w:spacing w:val="5"/>
          <w:szCs w:val="21"/>
          <w:highlight w:val="none"/>
        </w:rPr>
        <w:t xml:space="preserve">  </w:t>
      </w:r>
      <w:r>
        <w:rPr>
          <w:rFonts w:ascii="宋体" w:hAnsi="宋体" w:cs="宋体"/>
          <w:color w:val="auto"/>
          <w:spacing w:val="-5"/>
          <w:szCs w:val="21"/>
          <w:highlight w:val="none"/>
        </w:rPr>
        <w:t>竣工结算</w:t>
      </w:r>
    </w:p>
    <w:p w14:paraId="6ED257A8">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17.5.1  过程结算</w:t>
      </w:r>
    </w:p>
    <w:p w14:paraId="535153BB">
      <w:pPr>
        <w:widowControl/>
        <w:kinsoku w:val="0"/>
        <w:snapToGrid w:val="0"/>
        <w:spacing w:before="160" w:line="360" w:lineRule="auto"/>
        <w:ind w:left="440"/>
        <w:textAlignment w:val="baseline"/>
        <w:rPr>
          <w:rFonts w:hint="eastAsia" w:ascii="宋体" w:hAnsi="宋体" w:cs="宋体"/>
          <w:color w:val="auto"/>
          <w:szCs w:val="21"/>
          <w:highlight w:val="none"/>
        </w:rPr>
      </w:pPr>
      <w:r>
        <w:rPr>
          <w:rFonts w:ascii="宋体" w:hAnsi="宋体" w:cs="宋体"/>
          <w:color w:val="auto"/>
          <w:spacing w:val="7"/>
          <w:szCs w:val="21"/>
          <w:highlight w:val="none"/>
        </w:rPr>
        <w:t>本工程</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不进行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（进行/不进行）过程结算。</w:t>
      </w:r>
    </w:p>
    <w:p w14:paraId="238EC3C5">
      <w:pPr>
        <w:widowControl/>
        <w:kinsoku w:val="0"/>
        <w:snapToGrid w:val="0"/>
        <w:spacing w:before="164"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过程结算的相关要求：</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p>
    <w:p w14:paraId="70363B59">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17.5.2  竣工付款申请单</w:t>
      </w:r>
    </w:p>
    <w:p w14:paraId="3ED3CD55">
      <w:pPr>
        <w:widowControl/>
        <w:kinsoku w:val="0"/>
        <w:snapToGrid w:val="0"/>
        <w:spacing w:line="360" w:lineRule="auto"/>
        <w:ind w:firstLine="448" w:firstLineChars="200"/>
        <w:textAlignment w:val="baseline"/>
        <w:rPr>
          <w:rFonts w:hint="eastAsia" w:ascii="宋体" w:hAnsi="宋体" w:cstheme="minorEastAsia"/>
          <w:color w:val="auto"/>
          <w:szCs w:val="21"/>
          <w:highlight w:val="none"/>
        </w:rPr>
      </w:pPr>
      <w:r>
        <w:rPr>
          <w:rFonts w:ascii="宋体" w:hAnsi="宋体" w:cs="宋体"/>
          <w:color w:val="auto"/>
          <w:spacing w:val="7"/>
          <w:szCs w:val="21"/>
          <w:highlight w:val="none"/>
        </w:rPr>
        <w:t>（1）承包人提交竣工付款申请单的份数：</w:t>
      </w:r>
      <w:r>
        <w:rPr>
          <w:rFonts w:hint="eastAsia" w:ascii="宋体" w:hAnsi="宋体" w:cstheme="minorEastAsia"/>
          <w:color w:val="auto"/>
          <w:szCs w:val="21"/>
          <w:highlight w:val="none"/>
          <w:u w:val="single"/>
        </w:rPr>
        <w:t xml:space="preserve"> 4 份</w:t>
      </w:r>
    </w:p>
    <w:p w14:paraId="3B401668">
      <w:pPr>
        <w:widowControl/>
        <w:kinsoku w:val="0"/>
        <w:snapToGrid w:val="0"/>
        <w:spacing w:before="159" w:line="360" w:lineRule="auto"/>
        <w:ind w:left="858" w:right="12" w:hanging="409"/>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pacing w:val="9"/>
          <w:szCs w:val="21"/>
          <w:highlight w:val="none"/>
        </w:rPr>
        <w:t>承包人提交竣工付款申请单的期限：</w:t>
      </w:r>
      <w:r>
        <w:rPr>
          <w:rFonts w:hint="eastAsia" w:ascii="宋体" w:hAnsi="宋体" w:cstheme="minorEastAsia"/>
          <w:color w:val="auto"/>
          <w:szCs w:val="21"/>
          <w:highlight w:val="none"/>
          <w:u w:val="single"/>
        </w:rPr>
        <w:t>在工程接收证书颁发后14天内</w:t>
      </w:r>
      <w:r>
        <w:rPr>
          <w:rFonts w:ascii="宋体" w:hAnsi="宋体" w:cs="宋体"/>
          <w:color w:val="auto"/>
          <w:szCs w:val="21"/>
          <w:highlight w:val="none"/>
          <w:u w:val="single"/>
        </w:rPr>
        <w:t xml:space="preserve"> </w:t>
      </w:r>
    </w:p>
    <w:p w14:paraId="4F371F5F">
      <w:pPr>
        <w:widowControl/>
        <w:kinsoku w:val="0"/>
        <w:snapToGrid w:val="0"/>
        <w:spacing w:before="164" w:line="360" w:lineRule="auto"/>
        <w:ind w:firstLine="440" w:firstLineChars="200"/>
        <w:textAlignment w:val="baseline"/>
        <w:rPr>
          <w:rFonts w:hint="eastAsia" w:ascii="宋体" w:hAnsi="宋体" w:cs="宋体"/>
          <w:color w:val="auto"/>
          <w:szCs w:val="21"/>
          <w:highlight w:val="none"/>
        </w:rPr>
      </w:pPr>
      <w:r>
        <w:rPr>
          <w:rFonts w:ascii="宋体" w:hAnsi="宋体" w:cs="宋体"/>
          <w:color w:val="auto"/>
          <w:spacing w:val="5"/>
          <w:szCs w:val="21"/>
          <w:highlight w:val="none"/>
        </w:rPr>
        <w:t>（2）竣工付款申请单的其他内容：</w:t>
      </w:r>
      <w:r>
        <w:rPr>
          <w:rFonts w:hint="eastAsia" w:ascii="宋体" w:hAnsi="宋体" w:cstheme="minorEastAsia"/>
          <w:color w:val="auto"/>
          <w:szCs w:val="21"/>
          <w:highlight w:val="none"/>
          <w:u w:val="single"/>
        </w:rPr>
        <w:t>竣工结算合同总价、已支付的工程价款、应扣回的预付款、应扣留的质量保证金、应支付的竣工付款金额。</w:t>
      </w:r>
    </w:p>
    <w:p w14:paraId="30E7D7E9">
      <w:pPr>
        <w:widowControl/>
        <w:kinsoku w:val="0"/>
        <w:snapToGrid w:val="0"/>
        <w:spacing w:before="285" w:line="360" w:lineRule="auto"/>
        <w:ind w:left="38"/>
        <w:textAlignment w:val="baseline"/>
        <w:outlineLvl w:val="2"/>
        <w:rPr>
          <w:rFonts w:hint="eastAsia" w:ascii="宋体" w:hAnsi="宋体" w:cs="宋体"/>
          <w:color w:val="auto"/>
          <w:szCs w:val="21"/>
          <w:highlight w:val="none"/>
        </w:rPr>
      </w:pPr>
      <w:bookmarkStart w:id="788" w:name="bookmark167"/>
      <w:bookmarkEnd w:id="788"/>
      <w:r>
        <w:rPr>
          <w:rFonts w:ascii="宋体" w:hAnsi="宋体" w:cs="宋体"/>
          <w:color w:val="auto"/>
          <w:spacing w:val="-5"/>
          <w:szCs w:val="21"/>
          <w:highlight w:val="none"/>
        </w:rPr>
        <w:t>17.6</w:t>
      </w:r>
      <w:r>
        <w:rPr>
          <w:rFonts w:ascii="宋体" w:hAnsi="宋体" w:cs="宋体"/>
          <w:color w:val="auto"/>
          <w:spacing w:val="6"/>
          <w:szCs w:val="21"/>
          <w:highlight w:val="none"/>
        </w:rPr>
        <w:t xml:space="preserve">  </w:t>
      </w:r>
      <w:r>
        <w:rPr>
          <w:rFonts w:ascii="宋体" w:hAnsi="宋体" w:cs="宋体"/>
          <w:color w:val="auto"/>
          <w:spacing w:val="-5"/>
          <w:szCs w:val="21"/>
          <w:highlight w:val="none"/>
        </w:rPr>
        <w:t>最终结清</w:t>
      </w:r>
    </w:p>
    <w:p w14:paraId="24174F99">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17.6.1  最终结清申请单</w:t>
      </w:r>
    </w:p>
    <w:p w14:paraId="0C975F40">
      <w:pPr>
        <w:widowControl/>
        <w:kinsoku w:val="0"/>
        <w:snapToGrid w:val="0"/>
        <w:spacing w:before="164" w:line="360" w:lineRule="auto"/>
        <w:ind w:left="962" w:right="12" w:hanging="513"/>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（1）承包人提交最终结清申请单的份数：</w:t>
      </w:r>
      <w:r>
        <w:rPr>
          <w:rFonts w:hint="eastAsia" w:ascii="宋体" w:hAnsi="宋体" w:cstheme="minorEastAsia"/>
          <w:color w:val="auto"/>
          <w:szCs w:val="21"/>
          <w:highlight w:val="none"/>
          <w:u w:val="single"/>
        </w:rPr>
        <w:t xml:space="preserve">4 份 </w:t>
      </w:r>
    </w:p>
    <w:p w14:paraId="21B24E82">
      <w:pPr>
        <w:widowControl/>
        <w:kinsoku w:val="0"/>
        <w:snapToGrid w:val="0"/>
        <w:spacing w:before="164" w:line="360" w:lineRule="auto"/>
        <w:ind w:left="987" w:leftChars="426" w:right="12" w:hanging="92" w:hangingChars="44"/>
        <w:textAlignment w:val="baseline"/>
        <w:rPr>
          <w:rFonts w:hint="eastAsia" w:ascii="宋体" w:hAnsi="宋体" w:cstheme="minorEastAsia"/>
          <w:color w:val="auto"/>
          <w:szCs w:val="21"/>
          <w:highlight w:val="none"/>
          <w:u w:val="single"/>
        </w:rPr>
      </w:pPr>
      <w:r>
        <w:rPr>
          <w:rFonts w:ascii="宋体" w:hAnsi="宋体" w:cs="宋体"/>
          <w:color w:val="auto"/>
          <w:szCs w:val="21"/>
          <w:highlight w:val="none"/>
        </w:rPr>
        <w:t xml:space="preserve"> </w:t>
      </w:r>
      <w:r>
        <w:rPr>
          <w:rFonts w:ascii="宋体" w:hAnsi="宋体" w:cs="宋体"/>
          <w:color w:val="auto"/>
          <w:spacing w:val="7"/>
          <w:szCs w:val="21"/>
          <w:highlight w:val="none"/>
        </w:rPr>
        <w:t>承包人提交最终结清申请单的期限：</w:t>
      </w:r>
      <w:r>
        <w:rPr>
          <w:rFonts w:hint="eastAsia" w:ascii="宋体" w:hAnsi="宋体" w:cstheme="minorEastAsia"/>
          <w:color w:val="auto"/>
          <w:szCs w:val="21"/>
          <w:highlight w:val="none"/>
          <w:u w:val="single"/>
        </w:rPr>
        <w:t>在缺陷责任期终止证书颁发后28天内。</w:t>
      </w:r>
    </w:p>
    <w:p w14:paraId="4CA3A204">
      <w:pPr>
        <w:widowControl/>
        <w:kinsoku w:val="0"/>
        <w:snapToGrid w:val="0"/>
        <w:spacing w:before="164" w:line="360" w:lineRule="auto"/>
        <w:ind w:left="987" w:leftChars="426" w:right="12" w:hanging="92" w:hangingChars="44"/>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pacing w:val="8"/>
          <w:szCs w:val="21"/>
          <w:highlight w:val="none"/>
        </w:rPr>
        <w:t>发包人向承包人</w:t>
      </w:r>
      <w:r>
        <w:rPr>
          <w:rFonts w:ascii="宋体" w:hAnsi="宋体" w:cs="宋体"/>
          <w:color w:val="auto"/>
          <w:spacing w:val="-99"/>
          <w:szCs w:val="21"/>
          <w:highlight w:val="none"/>
        </w:rPr>
        <w:t xml:space="preserve"> </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不支付</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（支付 / 不支付</w:t>
      </w:r>
      <w:r>
        <w:rPr>
          <w:rFonts w:ascii="宋体" w:hAnsi="宋体" w:cs="宋体"/>
          <w:color w:val="auto"/>
          <w:spacing w:val="7"/>
          <w:szCs w:val="21"/>
          <w:highlight w:val="none"/>
        </w:rPr>
        <w:t>）质量保证金利息。</w:t>
      </w:r>
    </w:p>
    <w:p w14:paraId="45A77115">
      <w:pPr>
        <w:widowControl/>
        <w:kinsoku w:val="0"/>
        <w:snapToGrid w:val="0"/>
        <w:spacing w:before="161" w:line="360" w:lineRule="auto"/>
        <w:ind w:left="971"/>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发包人向承包人支付质量保证金利息的，利息计算方法：</w:t>
      </w:r>
      <w:r>
        <w:rPr>
          <w:rFonts w:hint="eastAsia" w:ascii="宋体" w:hAnsi="宋体" w:cstheme="minorEastAsia"/>
          <w:color w:val="auto"/>
          <w:szCs w:val="21"/>
          <w:highlight w:val="none"/>
          <w:u w:val="single"/>
        </w:rPr>
        <w:t xml:space="preserve">   /   </w:t>
      </w:r>
    </w:p>
    <w:p w14:paraId="517391CE">
      <w:pPr>
        <w:widowControl/>
        <w:kinsoku w:val="0"/>
        <w:snapToGrid w:val="0"/>
        <w:spacing w:before="290" w:line="360" w:lineRule="auto"/>
        <w:ind w:left="43"/>
        <w:textAlignment w:val="baseline"/>
        <w:outlineLvl w:val="1"/>
        <w:rPr>
          <w:rFonts w:hint="eastAsia" w:ascii="宋体" w:hAnsi="宋体" w:cs="宋体"/>
          <w:color w:val="auto"/>
          <w:szCs w:val="21"/>
          <w:highlight w:val="none"/>
        </w:rPr>
      </w:pPr>
      <w:bookmarkStart w:id="789" w:name="bookmark168"/>
      <w:bookmarkEnd w:id="789"/>
      <w:bookmarkStart w:id="790" w:name="bookmark169"/>
      <w:bookmarkEnd w:id="790"/>
      <w:r>
        <w:rPr>
          <w:rFonts w:ascii="宋体" w:hAnsi="宋体" w:cs="宋体"/>
          <w:color w:val="auto"/>
          <w:spacing w:val="-5"/>
          <w:szCs w:val="21"/>
          <w:highlight w:val="none"/>
        </w:rPr>
        <w:t>18.竣工验收</w:t>
      </w:r>
    </w:p>
    <w:p w14:paraId="3CCD0196">
      <w:pPr>
        <w:pStyle w:val="21"/>
        <w:widowControl/>
        <w:kinsoku w:val="0"/>
        <w:snapToGrid w:val="0"/>
        <w:spacing w:line="360" w:lineRule="auto"/>
        <w:textAlignment w:val="baseline"/>
        <w:rPr>
          <w:rFonts w:hint="eastAsia"/>
          <w:color w:val="auto"/>
          <w:sz w:val="21"/>
          <w:szCs w:val="21"/>
          <w:highlight w:val="none"/>
        </w:rPr>
      </w:pPr>
    </w:p>
    <w:p w14:paraId="0E900AC1">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18.2  竣工验收申请报告</w:t>
      </w:r>
    </w:p>
    <w:p w14:paraId="6C172547">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（2）承包人负责整理和提交的竣工验收资料具体内</w:t>
      </w:r>
      <w:r>
        <w:rPr>
          <w:rFonts w:ascii="宋体" w:hAnsi="宋体" w:cs="宋体"/>
          <w:color w:val="auto"/>
          <w:spacing w:val="8"/>
          <w:szCs w:val="21"/>
          <w:highlight w:val="none"/>
        </w:rPr>
        <w:t>容：</w:t>
      </w:r>
      <w:r>
        <w:rPr>
          <w:rFonts w:hint="eastAsia" w:ascii="宋体" w:hAnsi="宋体" w:cstheme="minorEastAsia"/>
          <w:color w:val="auto"/>
          <w:szCs w:val="21"/>
          <w:highlight w:val="none"/>
          <w:u w:val="single"/>
        </w:rPr>
        <w:t>承包人负责整理和提交的竣工验收资料和竣工图应当符合工程所在地建设行政主管部门和(或)城市建设档案管理机构有关施工资料的要求。</w:t>
      </w:r>
    </w:p>
    <w:p w14:paraId="3196E3AE">
      <w:pPr>
        <w:widowControl/>
        <w:kinsoku w:val="0"/>
        <w:snapToGrid w:val="0"/>
        <w:spacing w:before="162" w:line="360" w:lineRule="auto"/>
        <w:ind w:left="963"/>
        <w:textAlignment w:val="baseline"/>
        <w:rPr>
          <w:rFonts w:hint="eastAsia" w:ascii="宋体" w:hAnsi="宋体" w:cs="宋体"/>
          <w:color w:val="auto"/>
          <w:szCs w:val="21"/>
          <w:highlight w:val="none"/>
        </w:rPr>
      </w:pPr>
      <w:r>
        <w:rPr>
          <w:rFonts w:ascii="宋体" w:hAnsi="宋体" w:cs="宋体"/>
          <w:color w:val="auto"/>
          <w:spacing w:val="4"/>
          <w:szCs w:val="21"/>
          <w:highlight w:val="none"/>
        </w:rPr>
        <w:t>竣工验收资料的份数：</w:t>
      </w:r>
      <w:r>
        <w:rPr>
          <w:rFonts w:hint="eastAsia" w:ascii="宋体" w:hAnsi="宋体" w:cstheme="minorEastAsia"/>
          <w:color w:val="auto"/>
          <w:szCs w:val="21"/>
          <w:highlight w:val="none"/>
          <w:u w:val="single"/>
        </w:rPr>
        <w:t>4份</w:t>
      </w:r>
    </w:p>
    <w:p w14:paraId="47F16601">
      <w:pPr>
        <w:widowControl/>
        <w:kinsoku w:val="0"/>
        <w:snapToGrid w:val="0"/>
        <w:spacing w:before="161" w:line="360" w:lineRule="auto"/>
        <w:ind w:left="963"/>
        <w:textAlignment w:val="baseline"/>
        <w:rPr>
          <w:rFonts w:hint="eastAsia" w:ascii="宋体" w:hAnsi="宋体"/>
          <w:color w:val="auto"/>
          <w:szCs w:val="21"/>
          <w:highlight w:val="none"/>
        </w:rPr>
      </w:pPr>
      <w:r>
        <w:rPr>
          <w:rFonts w:ascii="宋体" w:hAnsi="宋体" w:cs="宋体"/>
          <w:color w:val="auto"/>
          <w:spacing w:val="9"/>
          <w:szCs w:val="21"/>
          <w:highlight w:val="none"/>
        </w:rPr>
        <w:t>竣工验收资料的费用支付方式：</w:t>
      </w:r>
      <w:r>
        <w:rPr>
          <w:rFonts w:hint="eastAsia" w:ascii="宋体" w:hAnsi="宋体" w:cstheme="minorEastAsia"/>
          <w:color w:val="auto"/>
          <w:szCs w:val="21"/>
          <w:highlight w:val="none"/>
          <w:u w:val="single"/>
        </w:rPr>
        <w:t>由承包人自行承担。</w:t>
      </w:r>
    </w:p>
    <w:p w14:paraId="0939CE40">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1" w:name="bookmark170"/>
      <w:bookmarkEnd w:id="791"/>
      <w:r>
        <w:rPr>
          <w:rFonts w:ascii="宋体" w:hAnsi="宋体" w:cs="宋体"/>
          <w:color w:val="auto"/>
          <w:spacing w:val="-3"/>
          <w:szCs w:val="21"/>
          <w:highlight w:val="none"/>
        </w:rPr>
        <w:t>18.5  施工期运行</w:t>
      </w:r>
    </w:p>
    <w:p w14:paraId="4CE57569">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18.5.1  需要施工期运行的单位工程或设备安装</w:t>
      </w:r>
      <w:r>
        <w:rPr>
          <w:rFonts w:ascii="宋体" w:hAnsi="宋体" w:cs="宋体"/>
          <w:color w:val="auto"/>
          <w:spacing w:val="4"/>
          <w:szCs w:val="21"/>
          <w:highlight w:val="none"/>
        </w:rPr>
        <w:t>工程：</w:t>
      </w:r>
      <w:r>
        <w:rPr>
          <w:rFonts w:hint="eastAsia" w:ascii="宋体" w:hAnsi="宋体" w:cstheme="minorEastAsia"/>
          <w:color w:val="auto"/>
          <w:szCs w:val="21"/>
          <w:highlight w:val="none"/>
          <w:u w:val="single"/>
        </w:rPr>
        <w:t xml:space="preserve">   /   </w:t>
      </w:r>
    </w:p>
    <w:p w14:paraId="4B9BE1C8">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92" w:name="bookmark171"/>
      <w:bookmarkEnd w:id="792"/>
      <w:r>
        <w:rPr>
          <w:rFonts w:ascii="宋体" w:hAnsi="宋体" w:cs="宋体"/>
          <w:color w:val="auto"/>
          <w:spacing w:val="-3"/>
          <w:szCs w:val="21"/>
          <w:highlight w:val="none"/>
        </w:rPr>
        <w:t>18.8  施工队伍的撤离</w:t>
      </w:r>
    </w:p>
    <w:p w14:paraId="1BE00952">
      <w:pPr>
        <w:widowControl/>
        <w:kinsoku w:val="0"/>
        <w:snapToGrid w:val="0"/>
        <w:spacing w:before="296" w:line="360" w:lineRule="auto"/>
        <w:jc w:val="right"/>
        <w:textAlignment w:val="baseline"/>
        <w:rPr>
          <w:rFonts w:hint="eastAsia" w:ascii="宋体" w:hAnsi="宋体" w:cs="宋体"/>
          <w:color w:val="auto"/>
          <w:szCs w:val="21"/>
          <w:highlight w:val="none"/>
        </w:rPr>
      </w:pPr>
      <w:r>
        <w:rPr>
          <w:rFonts w:ascii="宋体" w:hAnsi="宋体" w:cs="宋体"/>
          <w:color w:val="auto"/>
          <w:spacing w:val="7"/>
          <w:szCs w:val="21"/>
          <w:highlight w:val="none"/>
        </w:rPr>
        <w:t>18.8.3  缺陷责任期满时，承包人在施工场地保留的人员和施工设备最终撤离的期限：</w:t>
      </w:r>
    </w:p>
    <w:p w14:paraId="321BD8FA">
      <w:pPr>
        <w:pStyle w:val="21"/>
        <w:widowControl/>
        <w:kinsoku w:val="0"/>
        <w:snapToGrid w:val="0"/>
        <w:spacing w:line="360" w:lineRule="auto"/>
        <w:textAlignment w:val="baseline"/>
        <w:rPr>
          <w:rFonts w:hint="eastAsia"/>
          <w:color w:val="auto"/>
          <w:sz w:val="21"/>
          <w:szCs w:val="21"/>
          <w:highlight w:val="none"/>
        </w:rPr>
      </w:pPr>
      <w:r>
        <w:rPr>
          <w:rFonts w:hint="eastAsia" w:cstheme="minorEastAsia"/>
          <w:color w:val="auto"/>
          <w:sz w:val="21"/>
          <w:szCs w:val="21"/>
          <w:highlight w:val="none"/>
          <w:u w:val="single"/>
        </w:rPr>
        <w:t>以发包人通知为准。</w:t>
      </w:r>
    </w:p>
    <w:p w14:paraId="24698B1F">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3" w:name="bookmark172"/>
      <w:bookmarkEnd w:id="793"/>
      <w:r>
        <w:rPr>
          <w:rFonts w:ascii="宋体" w:hAnsi="宋体" w:cs="宋体"/>
          <w:color w:val="auto"/>
          <w:spacing w:val="-8"/>
          <w:szCs w:val="21"/>
          <w:highlight w:val="none"/>
        </w:rPr>
        <w:t>18.9</w:t>
      </w:r>
      <w:r>
        <w:rPr>
          <w:rFonts w:ascii="宋体" w:hAnsi="宋体" w:cs="宋体"/>
          <w:color w:val="auto"/>
          <w:spacing w:val="17"/>
          <w:szCs w:val="21"/>
          <w:highlight w:val="none"/>
        </w:rPr>
        <w:t xml:space="preserve">  </w:t>
      </w:r>
      <w:r>
        <w:rPr>
          <w:rFonts w:ascii="宋体" w:hAnsi="宋体" w:cs="宋体"/>
          <w:color w:val="auto"/>
          <w:spacing w:val="-8"/>
          <w:szCs w:val="21"/>
          <w:highlight w:val="none"/>
        </w:rPr>
        <w:t>中间验收</w:t>
      </w:r>
    </w:p>
    <w:p w14:paraId="2FCB7B37">
      <w:pPr>
        <w:pStyle w:val="21"/>
        <w:widowControl/>
        <w:tabs>
          <w:tab w:val="left" w:pos="8322"/>
          <w:tab w:val="clear" w:pos="567"/>
        </w:tabs>
        <w:kinsoku w:val="0"/>
        <w:snapToGrid w:val="0"/>
        <w:spacing w:before="166"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18.9.1  本工程需要进行中间验收的部</w:t>
      </w:r>
      <w:r>
        <w:rPr>
          <w:rFonts w:cs="宋体"/>
          <w:color w:val="auto"/>
          <w:spacing w:val="4"/>
          <w:sz w:val="21"/>
          <w:szCs w:val="21"/>
          <w:highlight w:val="none"/>
        </w:rPr>
        <w:t>位：</w:t>
      </w:r>
      <w:r>
        <w:rPr>
          <w:rFonts w:hint="eastAsia" w:cstheme="minorEastAsia"/>
          <w:color w:val="auto"/>
          <w:sz w:val="21"/>
          <w:szCs w:val="21"/>
          <w:highlight w:val="none"/>
          <w:u w:val="single"/>
        </w:rPr>
        <w:t xml:space="preserve">   /   </w:t>
      </w:r>
    </w:p>
    <w:p w14:paraId="35C08079">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7"/>
          <w:szCs w:val="21"/>
          <w:highlight w:val="none"/>
        </w:rPr>
        <w:t>18.9.2  验收不合格的，承包人在</w:t>
      </w:r>
      <w:r>
        <w:rPr>
          <w:rFonts w:hint="eastAsia" w:ascii="宋体" w:hAnsi="宋体" w:cstheme="minorEastAsia"/>
          <w:color w:val="auto"/>
          <w:szCs w:val="21"/>
          <w:highlight w:val="none"/>
          <w:u w:val="single"/>
        </w:rPr>
        <w:t>7 天</w:t>
      </w:r>
      <w:r>
        <w:rPr>
          <w:rFonts w:ascii="宋体" w:hAnsi="宋体" w:cs="宋体"/>
          <w:color w:val="auto"/>
          <w:spacing w:val="-88"/>
          <w:szCs w:val="21"/>
          <w:highlight w:val="none"/>
        </w:rPr>
        <w:t xml:space="preserve"> </w:t>
      </w:r>
      <w:r>
        <w:rPr>
          <w:rFonts w:ascii="宋体" w:hAnsi="宋体" w:cs="宋体"/>
          <w:color w:val="auto"/>
          <w:spacing w:val="6"/>
          <w:szCs w:val="21"/>
          <w:highlight w:val="none"/>
        </w:rPr>
        <w:t>期限内进行修改后重新验收。</w:t>
      </w:r>
    </w:p>
    <w:p w14:paraId="63D08646">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94" w:name="bookmark174"/>
      <w:bookmarkEnd w:id="794"/>
      <w:bookmarkStart w:id="795" w:name="bookmark173"/>
      <w:bookmarkEnd w:id="795"/>
      <w:r>
        <w:rPr>
          <w:rFonts w:ascii="宋体" w:hAnsi="宋体" w:cs="宋体"/>
          <w:color w:val="auto"/>
          <w:spacing w:val="-3"/>
          <w:szCs w:val="21"/>
          <w:highlight w:val="none"/>
        </w:rPr>
        <w:t>19.缺陷责任与保修责任</w:t>
      </w:r>
    </w:p>
    <w:p w14:paraId="59DC2736">
      <w:pPr>
        <w:pStyle w:val="21"/>
        <w:widowControl/>
        <w:kinsoku w:val="0"/>
        <w:snapToGrid w:val="0"/>
        <w:spacing w:line="360" w:lineRule="auto"/>
        <w:textAlignment w:val="baseline"/>
        <w:rPr>
          <w:rFonts w:hint="eastAsia"/>
          <w:color w:val="auto"/>
          <w:sz w:val="21"/>
          <w:szCs w:val="21"/>
          <w:highlight w:val="none"/>
        </w:rPr>
      </w:pPr>
    </w:p>
    <w:p w14:paraId="5CA31F27">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5"/>
          <w:szCs w:val="21"/>
          <w:highlight w:val="none"/>
        </w:rPr>
        <w:t>19.7</w:t>
      </w:r>
      <w:r>
        <w:rPr>
          <w:rFonts w:ascii="宋体" w:hAnsi="宋体" w:cs="宋体"/>
          <w:color w:val="auto"/>
          <w:spacing w:val="5"/>
          <w:szCs w:val="21"/>
          <w:highlight w:val="none"/>
        </w:rPr>
        <w:t xml:space="preserve">  </w:t>
      </w:r>
      <w:r>
        <w:rPr>
          <w:rFonts w:ascii="宋体" w:hAnsi="宋体" w:cs="宋体"/>
          <w:color w:val="auto"/>
          <w:spacing w:val="-5"/>
          <w:szCs w:val="21"/>
          <w:highlight w:val="none"/>
        </w:rPr>
        <w:t>保修责任</w:t>
      </w:r>
    </w:p>
    <w:p w14:paraId="03A48B0D">
      <w:pPr>
        <w:widowControl/>
        <w:kinsoku w:val="0"/>
        <w:snapToGrid w:val="0"/>
        <w:spacing w:before="298"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19.7.1  工程质量保修范围：</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执行《建设工程质量管理条例》。</w:t>
      </w:r>
    </w:p>
    <w:p w14:paraId="3CBCDEC4">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工程质量保修期限：</w:t>
      </w:r>
      <w:r>
        <w:rPr>
          <w:rFonts w:hint="eastAsia" w:ascii="宋体" w:hAnsi="宋体" w:cstheme="minorEastAsia"/>
          <w:color w:val="auto"/>
          <w:szCs w:val="21"/>
          <w:highlight w:val="none"/>
          <w:u w:val="single"/>
        </w:rPr>
        <w:t>本工程质量保修期限为5年。</w:t>
      </w:r>
    </w:p>
    <w:p w14:paraId="6A04728D">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工程质量保修责任：</w:t>
      </w:r>
      <w:r>
        <w:rPr>
          <w:rFonts w:hint="eastAsia" w:ascii="宋体" w:hAnsi="宋体" w:cstheme="minorEastAsia"/>
          <w:color w:val="auto"/>
          <w:szCs w:val="21"/>
          <w:highlight w:val="none"/>
          <w:u w:val="single"/>
          <w:lang w:val="zh-TW" w:eastAsia="zh-TW" w:bidi="zh-TW"/>
        </w:rPr>
        <w:t>在工程保修期内，承包人应当依据有关法律法规规定以及合同约定承担保修责任</w:t>
      </w:r>
      <w:r>
        <w:rPr>
          <w:rFonts w:hint="eastAsia" w:ascii="宋体" w:hAnsi="宋体" w:cstheme="minorEastAsia"/>
          <w:color w:val="auto"/>
          <w:szCs w:val="21"/>
          <w:highlight w:val="none"/>
          <w:u w:val="single"/>
        </w:rPr>
        <w:t>。</w:t>
      </w:r>
    </w:p>
    <w:p w14:paraId="1E0B599F">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796" w:name="bookmark176"/>
      <w:bookmarkEnd w:id="796"/>
      <w:bookmarkStart w:id="797" w:name="bookmark175"/>
      <w:bookmarkEnd w:id="797"/>
      <w:r>
        <w:rPr>
          <w:rFonts w:ascii="宋体" w:hAnsi="宋体" w:cs="宋体"/>
          <w:color w:val="auto"/>
          <w:spacing w:val="-3"/>
          <w:szCs w:val="21"/>
          <w:highlight w:val="none"/>
        </w:rPr>
        <w:t>20.保险</w:t>
      </w:r>
    </w:p>
    <w:p w14:paraId="5A83BD4E">
      <w:pPr>
        <w:pStyle w:val="21"/>
        <w:widowControl/>
        <w:kinsoku w:val="0"/>
        <w:snapToGrid w:val="0"/>
        <w:spacing w:line="360" w:lineRule="auto"/>
        <w:textAlignment w:val="baseline"/>
        <w:rPr>
          <w:rFonts w:hint="eastAsia"/>
          <w:color w:val="auto"/>
          <w:sz w:val="21"/>
          <w:szCs w:val="21"/>
          <w:highlight w:val="none"/>
        </w:rPr>
      </w:pPr>
    </w:p>
    <w:p w14:paraId="43F308A7">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20.1</w:t>
      </w:r>
      <w:r>
        <w:rPr>
          <w:rFonts w:ascii="宋体" w:hAnsi="宋体" w:cs="宋体"/>
          <w:color w:val="auto"/>
          <w:spacing w:val="9"/>
          <w:szCs w:val="21"/>
          <w:highlight w:val="none"/>
        </w:rPr>
        <w:t xml:space="preserve">  </w:t>
      </w:r>
      <w:r>
        <w:rPr>
          <w:rFonts w:ascii="宋体" w:hAnsi="宋体" w:cs="宋体"/>
          <w:color w:val="auto"/>
          <w:spacing w:val="-4"/>
          <w:szCs w:val="21"/>
          <w:highlight w:val="none"/>
        </w:rPr>
        <w:t>工程保险</w:t>
      </w:r>
    </w:p>
    <w:p w14:paraId="26629004">
      <w:pPr>
        <w:widowControl/>
        <w:kinsoku w:val="0"/>
        <w:snapToGrid w:val="0"/>
        <w:spacing w:before="296" w:line="360" w:lineRule="auto"/>
        <w:ind w:left="21" w:right="33" w:firstLine="419"/>
        <w:textAlignment w:val="baseline"/>
        <w:rPr>
          <w:rFonts w:hint="eastAsia" w:ascii="宋体" w:hAnsi="宋体" w:cs="宋体"/>
          <w:color w:val="auto"/>
          <w:szCs w:val="21"/>
          <w:highlight w:val="none"/>
        </w:rPr>
      </w:pPr>
      <w:r>
        <w:rPr>
          <w:rFonts w:ascii="宋体" w:hAnsi="宋体" w:cs="宋体"/>
          <w:color w:val="auto"/>
          <w:spacing w:val="5"/>
          <w:szCs w:val="21"/>
          <w:highlight w:val="none"/>
        </w:rPr>
        <w:t>本工程</w:t>
      </w:r>
      <w:r>
        <w:rPr>
          <w:rFonts w:hint="eastAsia" w:ascii="宋体" w:hAnsi="宋体" w:cstheme="minorEastAsia"/>
          <w:color w:val="auto"/>
          <w:szCs w:val="21"/>
          <w:highlight w:val="none"/>
          <w:u w:val="single"/>
        </w:rPr>
        <w:t>不投保</w:t>
      </w:r>
      <w:r>
        <w:rPr>
          <w:rFonts w:ascii="宋体" w:hAnsi="宋体" w:cs="宋体"/>
          <w:color w:val="auto"/>
          <w:spacing w:val="-53"/>
          <w:szCs w:val="21"/>
          <w:highlight w:val="none"/>
        </w:rPr>
        <w:t xml:space="preserve"> </w:t>
      </w:r>
      <w:r>
        <w:rPr>
          <w:rFonts w:ascii="宋体" w:hAnsi="宋体" w:cs="宋体"/>
          <w:color w:val="auto"/>
          <w:spacing w:val="5"/>
          <w:szCs w:val="21"/>
          <w:highlight w:val="none"/>
        </w:rPr>
        <w:t>(投保/不投保)工程保险。投保工程保险时，险种为</w:t>
      </w:r>
      <w:r>
        <w:rPr>
          <w:rFonts w:ascii="宋体" w:hAnsi="宋体" w:cs="宋体"/>
          <w:color w:val="auto"/>
          <w:spacing w:val="-12"/>
          <w:szCs w:val="21"/>
          <w:highlight w:val="none"/>
        </w:rPr>
        <w:t>：</w:t>
      </w:r>
      <w:r>
        <w:rPr>
          <w:rFonts w:hint="eastAsia" w:ascii="宋体" w:hAnsi="宋体" w:cstheme="minorEastAsia"/>
          <w:color w:val="auto"/>
          <w:szCs w:val="21"/>
          <w:highlight w:val="none"/>
          <w:u w:val="single"/>
        </w:rPr>
        <w:t>建筑工程一切险</w:t>
      </w:r>
      <w:r>
        <w:rPr>
          <w:rFonts w:ascii="宋体" w:hAnsi="宋体" w:cs="宋体"/>
          <w:color w:val="auto"/>
          <w:spacing w:val="-77"/>
          <w:szCs w:val="21"/>
          <w:highlight w:val="none"/>
        </w:rPr>
        <w:t xml:space="preserve"> </w:t>
      </w:r>
      <w:r>
        <w:rPr>
          <w:rFonts w:ascii="宋体" w:hAnsi="宋体" w:cs="宋体"/>
          <w:color w:val="auto"/>
          <w:spacing w:val="-12"/>
          <w:szCs w:val="21"/>
          <w:highlight w:val="none"/>
        </w:rPr>
        <w:t>，</w:t>
      </w:r>
      <w:r>
        <w:rPr>
          <w:rFonts w:ascii="宋体" w:hAnsi="宋体" w:cs="宋体"/>
          <w:color w:val="auto"/>
          <w:spacing w:val="5"/>
          <w:szCs w:val="21"/>
          <w:highlight w:val="none"/>
        </w:rPr>
        <w:t>并</w:t>
      </w:r>
      <w:r>
        <w:rPr>
          <w:rFonts w:ascii="宋体" w:hAnsi="宋体" w:cs="宋体"/>
          <w:color w:val="auto"/>
          <w:spacing w:val="6"/>
          <w:szCs w:val="21"/>
          <w:highlight w:val="none"/>
        </w:rPr>
        <w:t>符合以下约定：</w:t>
      </w:r>
    </w:p>
    <w:p w14:paraId="029FB737">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（1）投保人：</w:t>
      </w:r>
      <w:r>
        <w:rPr>
          <w:rFonts w:hint="eastAsia" w:ascii="宋体" w:hAnsi="宋体" w:cstheme="minorEastAsia"/>
          <w:color w:val="auto"/>
          <w:szCs w:val="21"/>
          <w:highlight w:val="none"/>
          <w:u w:val="single"/>
        </w:rPr>
        <w:t xml:space="preserve"> 承包人 </w:t>
      </w:r>
      <w:r>
        <w:rPr>
          <w:rFonts w:ascii="宋体" w:hAnsi="宋体" w:cs="宋体"/>
          <w:color w:val="auto"/>
          <w:szCs w:val="21"/>
          <w:highlight w:val="none"/>
          <w:u w:val="single"/>
        </w:rPr>
        <w:t xml:space="preserve"> </w:t>
      </w:r>
    </w:p>
    <w:p w14:paraId="6C2AAAFC">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（2）投保内容：</w:t>
      </w:r>
      <w:r>
        <w:rPr>
          <w:rFonts w:hint="eastAsia" w:ascii="宋体" w:hAnsi="宋体" w:cstheme="minorEastAsia"/>
          <w:color w:val="auto"/>
          <w:szCs w:val="21"/>
          <w:highlight w:val="none"/>
          <w:u w:val="single"/>
        </w:rPr>
        <w:t xml:space="preserve"> 本工程</w:t>
      </w:r>
    </w:p>
    <w:p w14:paraId="70BA5DB0">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7"/>
          <w:szCs w:val="21"/>
          <w:highlight w:val="none"/>
        </w:rPr>
        <w:t>（3）保险费率：</w:t>
      </w:r>
      <w:r>
        <w:rPr>
          <w:rFonts w:ascii="宋体" w:hAnsi="宋体" w:cs="宋体"/>
          <w:color w:val="auto"/>
          <w:spacing w:val="-56"/>
          <w:szCs w:val="21"/>
          <w:highlight w:val="none"/>
        </w:rPr>
        <w:t xml:space="preserve"> </w:t>
      </w:r>
      <w:r>
        <w:rPr>
          <w:rFonts w:ascii="宋体" w:hAnsi="宋体" w:cs="宋体"/>
          <w:color w:val="auto"/>
          <w:spacing w:val="7"/>
          <w:szCs w:val="21"/>
          <w:highlight w:val="none"/>
        </w:rPr>
        <w:t>由投保人与合同双方同意的保险人</w:t>
      </w:r>
      <w:r>
        <w:rPr>
          <w:rFonts w:ascii="宋体" w:hAnsi="宋体" w:cs="宋体"/>
          <w:color w:val="auto"/>
          <w:spacing w:val="6"/>
          <w:szCs w:val="21"/>
          <w:highlight w:val="none"/>
        </w:rPr>
        <w:t>商定。</w:t>
      </w:r>
    </w:p>
    <w:p w14:paraId="56E30065">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（4）保险金额：</w:t>
      </w:r>
      <w:r>
        <w:rPr>
          <w:rFonts w:hint="eastAsia" w:ascii="宋体" w:hAnsi="宋体" w:cstheme="minorEastAsia"/>
          <w:color w:val="auto"/>
          <w:szCs w:val="21"/>
          <w:highlight w:val="none"/>
          <w:u w:val="single"/>
        </w:rPr>
        <w:t xml:space="preserve"> 由投保人与合同双方同意的保险人商定 </w:t>
      </w:r>
    </w:p>
    <w:p w14:paraId="1696D734">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（5）保险期限：</w:t>
      </w:r>
      <w:r>
        <w:rPr>
          <w:rFonts w:hint="eastAsia" w:ascii="宋体" w:hAnsi="宋体" w:cs="宋体"/>
          <w:color w:val="auto"/>
          <w:spacing w:val="4"/>
          <w:szCs w:val="21"/>
          <w:highlight w:val="none"/>
          <w:u w:val="single"/>
        </w:rPr>
        <w:t>自开工之日起至竣工验收合格之日止</w:t>
      </w:r>
    </w:p>
    <w:p w14:paraId="781D508C">
      <w:pPr>
        <w:widowControl/>
        <w:kinsoku w:val="0"/>
        <w:snapToGrid w:val="0"/>
        <w:spacing w:before="284" w:line="360" w:lineRule="auto"/>
        <w:ind w:left="23"/>
        <w:textAlignment w:val="baseline"/>
        <w:outlineLvl w:val="2"/>
        <w:rPr>
          <w:rFonts w:hint="eastAsia" w:ascii="宋体" w:hAnsi="宋体" w:cs="宋体"/>
          <w:color w:val="auto"/>
          <w:szCs w:val="21"/>
          <w:highlight w:val="none"/>
        </w:rPr>
      </w:pPr>
      <w:bookmarkStart w:id="798" w:name="bookmark177"/>
      <w:bookmarkEnd w:id="798"/>
      <w:r>
        <w:rPr>
          <w:rFonts w:ascii="宋体" w:hAnsi="宋体" w:cs="宋体"/>
          <w:color w:val="auto"/>
          <w:spacing w:val="-2"/>
          <w:szCs w:val="21"/>
          <w:highlight w:val="none"/>
        </w:rPr>
        <w:t>20.4  第三者责任险</w:t>
      </w:r>
    </w:p>
    <w:p w14:paraId="14BF4427">
      <w:pPr>
        <w:widowControl/>
        <w:kinsoku w:val="0"/>
        <w:snapToGrid w:val="0"/>
        <w:spacing w:before="297" w:line="360" w:lineRule="auto"/>
        <w:ind w:left="21" w:right="33" w:firstLine="420"/>
        <w:textAlignment w:val="baseline"/>
        <w:rPr>
          <w:rFonts w:hint="eastAsia" w:ascii="宋体" w:hAnsi="宋体" w:cs="宋体"/>
          <w:color w:val="auto"/>
          <w:szCs w:val="21"/>
          <w:highlight w:val="none"/>
        </w:rPr>
      </w:pPr>
      <w:r>
        <w:rPr>
          <w:rFonts w:ascii="宋体" w:hAnsi="宋体" w:cs="宋体"/>
          <w:color w:val="auto"/>
          <w:spacing w:val="8"/>
          <w:szCs w:val="21"/>
          <w:highlight w:val="none"/>
        </w:rPr>
        <w:t>20.4.2  保险金额</w:t>
      </w:r>
      <w:r>
        <w:rPr>
          <w:rFonts w:ascii="宋体" w:hAnsi="宋体" w:cs="宋体"/>
          <w:color w:val="auto"/>
          <w:spacing w:val="-28"/>
          <w:szCs w:val="21"/>
          <w:highlight w:val="none"/>
        </w:rPr>
        <w:t>：</w:t>
      </w:r>
      <w:r>
        <w:rPr>
          <w:rFonts w:hint="eastAsia" w:ascii="宋体" w:hAnsi="宋体" w:cstheme="minorEastAsia"/>
          <w:color w:val="auto"/>
          <w:szCs w:val="21"/>
          <w:highlight w:val="none"/>
          <w:u w:val="single"/>
        </w:rPr>
        <w:t>由承包人与发包人同意的保险人商定</w:t>
      </w:r>
      <w:r>
        <w:rPr>
          <w:rFonts w:ascii="宋体" w:hAnsi="宋体" w:cs="宋体"/>
          <w:color w:val="auto"/>
          <w:spacing w:val="-28"/>
          <w:szCs w:val="21"/>
          <w:highlight w:val="none"/>
        </w:rPr>
        <w:t>，</w:t>
      </w:r>
      <w:r>
        <w:rPr>
          <w:rFonts w:ascii="宋体" w:hAnsi="宋体" w:cs="宋体"/>
          <w:color w:val="auto"/>
          <w:spacing w:val="8"/>
          <w:szCs w:val="21"/>
          <w:highlight w:val="none"/>
        </w:rPr>
        <w:t>保险费率由承包人与发包</w:t>
      </w:r>
      <w:r>
        <w:rPr>
          <w:rFonts w:ascii="宋体" w:hAnsi="宋体" w:cs="宋体"/>
          <w:color w:val="auto"/>
          <w:spacing w:val="7"/>
          <w:szCs w:val="21"/>
          <w:highlight w:val="none"/>
        </w:rPr>
        <w:t>人同意的保险人商定，相关保险费由</w:t>
      </w:r>
      <w:r>
        <w:rPr>
          <w:rFonts w:hint="eastAsia" w:ascii="宋体" w:hAnsi="宋体" w:cstheme="minorEastAsia"/>
          <w:color w:val="auto"/>
          <w:szCs w:val="21"/>
          <w:highlight w:val="none"/>
          <w:u w:val="single"/>
        </w:rPr>
        <w:t xml:space="preserve"> 承包人 </w:t>
      </w:r>
      <w:r>
        <w:rPr>
          <w:rFonts w:ascii="宋体" w:hAnsi="宋体" w:cs="宋体"/>
          <w:color w:val="auto"/>
          <w:spacing w:val="7"/>
          <w:szCs w:val="21"/>
          <w:highlight w:val="none"/>
        </w:rPr>
        <w:t>承担。</w:t>
      </w:r>
    </w:p>
    <w:p w14:paraId="1B5433C4">
      <w:pPr>
        <w:widowControl/>
        <w:kinsoku w:val="0"/>
        <w:snapToGrid w:val="0"/>
        <w:spacing w:before="122" w:line="360" w:lineRule="auto"/>
        <w:ind w:left="23"/>
        <w:textAlignment w:val="baseline"/>
        <w:outlineLvl w:val="2"/>
        <w:rPr>
          <w:rFonts w:hint="eastAsia" w:ascii="宋体" w:hAnsi="宋体" w:cs="宋体"/>
          <w:color w:val="auto"/>
          <w:szCs w:val="21"/>
          <w:highlight w:val="none"/>
        </w:rPr>
      </w:pPr>
      <w:bookmarkStart w:id="799" w:name="bookmark178"/>
      <w:bookmarkEnd w:id="799"/>
      <w:r>
        <w:rPr>
          <w:rFonts w:ascii="宋体" w:hAnsi="宋体" w:cs="宋体"/>
          <w:color w:val="auto"/>
          <w:spacing w:val="-2"/>
          <w:szCs w:val="21"/>
          <w:highlight w:val="none"/>
        </w:rPr>
        <w:t>20.5  其他保险</w:t>
      </w:r>
    </w:p>
    <w:p w14:paraId="406BD360">
      <w:pPr>
        <w:widowControl/>
        <w:kinsoku w:val="0"/>
        <w:snapToGrid w:val="0"/>
        <w:spacing w:before="296" w:line="360" w:lineRule="auto"/>
        <w:ind w:left="439"/>
        <w:textAlignment w:val="baseline"/>
        <w:rPr>
          <w:rFonts w:hint="eastAsia" w:ascii="宋体" w:hAnsi="宋体"/>
          <w:color w:val="auto"/>
          <w:szCs w:val="21"/>
          <w:highlight w:val="none"/>
        </w:rPr>
      </w:pPr>
      <w:r>
        <w:rPr>
          <w:rFonts w:ascii="宋体" w:hAnsi="宋体" w:cs="宋体"/>
          <w:color w:val="auto"/>
          <w:spacing w:val="9"/>
          <w:szCs w:val="21"/>
          <w:highlight w:val="none"/>
        </w:rPr>
        <w:t>承包人应为其施工设备、进场材料等办理的保险：</w:t>
      </w:r>
      <w:r>
        <w:rPr>
          <w:rFonts w:hint="eastAsia" w:ascii="宋体" w:hAnsi="宋体" w:cstheme="minorEastAsia"/>
          <w:color w:val="auto"/>
          <w:szCs w:val="21"/>
          <w:highlight w:val="none"/>
          <w:u w:val="single"/>
        </w:rPr>
        <w:t xml:space="preserve">    /     </w:t>
      </w:r>
    </w:p>
    <w:p w14:paraId="402520D0">
      <w:pPr>
        <w:pStyle w:val="21"/>
        <w:widowControl/>
        <w:kinsoku w:val="0"/>
        <w:snapToGrid w:val="0"/>
        <w:spacing w:line="360" w:lineRule="auto"/>
        <w:textAlignment w:val="baseline"/>
        <w:rPr>
          <w:rFonts w:hint="eastAsia"/>
          <w:color w:val="auto"/>
          <w:sz w:val="21"/>
          <w:szCs w:val="21"/>
          <w:highlight w:val="none"/>
        </w:rPr>
      </w:pPr>
    </w:p>
    <w:p w14:paraId="6C983EF5">
      <w:pPr>
        <w:widowControl/>
        <w:kinsoku w:val="0"/>
        <w:snapToGrid w:val="0"/>
        <w:spacing w:before="78" w:line="360" w:lineRule="auto"/>
        <w:ind w:left="23"/>
        <w:textAlignment w:val="baseline"/>
        <w:outlineLvl w:val="2"/>
        <w:rPr>
          <w:rFonts w:hint="eastAsia" w:ascii="宋体" w:hAnsi="宋体" w:cs="宋体"/>
          <w:color w:val="auto"/>
          <w:szCs w:val="21"/>
          <w:highlight w:val="none"/>
        </w:rPr>
      </w:pPr>
      <w:bookmarkStart w:id="800" w:name="bookmark179"/>
      <w:bookmarkEnd w:id="800"/>
      <w:r>
        <w:rPr>
          <w:rFonts w:ascii="宋体" w:hAnsi="宋体" w:cs="宋体"/>
          <w:color w:val="auto"/>
          <w:spacing w:val="-1"/>
          <w:szCs w:val="21"/>
          <w:highlight w:val="none"/>
        </w:rPr>
        <w:t>20.6  对各项保险的一般要求</w:t>
      </w:r>
    </w:p>
    <w:p w14:paraId="2BA40841">
      <w:pPr>
        <w:widowControl/>
        <w:kinsoku w:val="0"/>
        <w:snapToGrid w:val="0"/>
        <w:spacing w:before="296" w:line="360" w:lineRule="auto"/>
        <w:ind w:left="442"/>
        <w:textAlignment w:val="baseline"/>
        <w:rPr>
          <w:rFonts w:hint="eastAsia" w:ascii="宋体" w:hAnsi="宋体" w:cs="宋体"/>
          <w:color w:val="auto"/>
          <w:szCs w:val="21"/>
          <w:highlight w:val="none"/>
        </w:rPr>
      </w:pPr>
      <w:r>
        <w:rPr>
          <w:rFonts w:ascii="宋体" w:hAnsi="宋体" w:cs="宋体"/>
          <w:color w:val="auto"/>
          <w:spacing w:val="5"/>
          <w:szCs w:val="21"/>
          <w:highlight w:val="none"/>
        </w:rPr>
        <w:t>20.6.1  保险凭证</w:t>
      </w:r>
    </w:p>
    <w:p w14:paraId="559A331D">
      <w:pPr>
        <w:pStyle w:val="21"/>
        <w:widowControl/>
        <w:tabs>
          <w:tab w:val="left" w:pos="8322"/>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承包人向发包人提交各项保险生效的证据和保险单副本的期限：</w:t>
      </w:r>
      <w:r>
        <w:rPr>
          <w:rFonts w:hint="eastAsia" w:cstheme="minorEastAsia"/>
          <w:color w:val="auto"/>
          <w:sz w:val="21"/>
          <w:szCs w:val="21"/>
          <w:highlight w:val="none"/>
          <w:u w:val="single"/>
        </w:rPr>
        <w:t xml:space="preserve">    /     </w:t>
      </w:r>
    </w:p>
    <w:p w14:paraId="7DA46F27">
      <w:pPr>
        <w:widowControl/>
        <w:kinsoku w:val="0"/>
        <w:snapToGrid w:val="0"/>
        <w:spacing w:before="158" w:line="360" w:lineRule="auto"/>
        <w:ind w:left="442"/>
        <w:textAlignment w:val="baseline"/>
        <w:rPr>
          <w:rFonts w:hint="eastAsia" w:ascii="宋体" w:hAnsi="宋体" w:cs="宋体"/>
          <w:color w:val="auto"/>
          <w:szCs w:val="21"/>
          <w:highlight w:val="none"/>
        </w:rPr>
      </w:pPr>
      <w:r>
        <w:rPr>
          <w:rFonts w:ascii="宋体" w:hAnsi="宋体" w:cs="宋体"/>
          <w:color w:val="auto"/>
          <w:spacing w:val="6"/>
          <w:szCs w:val="21"/>
          <w:highlight w:val="none"/>
        </w:rPr>
        <w:t>20.6.4  保险金不足的补偿</w:t>
      </w:r>
    </w:p>
    <w:p w14:paraId="7A082E99">
      <w:pPr>
        <w:pStyle w:val="21"/>
        <w:widowControl/>
        <w:tabs>
          <w:tab w:val="left" w:pos="8322"/>
          <w:tab w:val="clear" w:pos="567"/>
        </w:tabs>
        <w:kinsoku w:val="0"/>
        <w:snapToGrid w:val="0"/>
        <w:spacing w:before="166"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保险金不足以补偿损失时，承包人和发包人负责补偿的责任分摊：</w:t>
      </w:r>
      <w:r>
        <w:rPr>
          <w:rFonts w:hint="eastAsia" w:cstheme="minorEastAsia"/>
          <w:color w:val="auto"/>
          <w:sz w:val="21"/>
          <w:szCs w:val="21"/>
          <w:highlight w:val="none"/>
          <w:u w:val="single"/>
        </w:rPr>
        <w:t xml:space="preserve">    /     </w:t>
      </w:r>
    </w:p>
    <w:p w14:paraId="1407CF06">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1" w:name="bookmark181"/>
      <w:bookmarkEnd w:id="801"/>
      <w:bookmarkStart w:id="802" w:name="bookmark180"/>
      <w:bookmarkEnd w:id="802"/>
      <w:r>
        <w:rPr>
          <w:rFonts w:ascii="宋体" w:hAnsi="宋体" w:cs="宋体"/>
          <w:color w:val="auto"/>
          <w:spacing w:val="-2"/>
          <w:szCs w:val="21"/>
          <w:highlight w:val="none"/>
        </w:rPr>
        <w:t>21.不可抗力</w:t>
      </w:r>
    </w:p>
    <w:p w14:paraId="6E7991EC">
      <w:pPr>
        <w:pStyle w:val="21"/>
        <w:widowControl/>
        <w:kinsoku w:val="0"/>
        <w:snapToGrid w:val="0"/>
        <w:spacing w:line="360" w:lineRule="auto"/>
        <w:textAlignment w:val="baseline"/>
        <w:rPr>
          <w:rFonts w:hint="eastAsia"/>
          <w:color w:val="auto"/>
          <w:sz w:val="21"/>
          <w:szCs w:val="21"/>
          <w:highlight w:val="none"/>
        </w:rPr>
      </w:pPr>
    </w:p>
    <w:p w14:paraId="23015856">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21.1  不可抗力的确认</w:t>
      </w:r>
    </w:p>
    <w:p w14:paraId="7EC1AF64">
      <w:pPr>
        <w:pStyle w:val="21"/>
        <w:widowControl/>
        <w:tabs>
          <w:tab w:val="left" w:pos="8322"/>
          <w:tab w:val="clear" w:pos="567"/>
        </w:tabs>
        <w:kinsoku w:val="0"/>
        <w:snapToGrid w:val="0"/>
        <w:spacing w:before="166" w:line="360" w:lineRule="auto"/>
        <w:ind w:left="11" w:firstLine="448" w:firstLineChars="200"/>
        <w:textAlignment w:val="baseline"/>
        <w:rPr>
          <w:rFonts w:hint="eastAsia"/>
          <w:color w:val="auto"/>
          <w:sz w:val="21"/>
          <w:szCs w:val="21"/>
          <w:highlight w:val="none"/>
        </w:rPr>
      </w:pPr>
      <w:r>
        <w:rPr>
          <w:rFonts w:cs="宋体"/>
          <w:color w:val="auto"/>
          <w:spacing w:val="7"/>
          <w:sz w:val="21"/>
          <w:szCs w:val="21"/>
          <w:highlight w:val="none"/>
        </w:rPr>
        <w:t>21.1.1  合同条款通用部分第</w:t>
      </w:r>
      <w:r>
        <w:rPr>
          <w:rFonts w:cs="宋体"/>
          <w:color w:val="auto"/>
          <w:spacing w:val="-26"/>
          <w:sz w:val="21"/>
          <w:szCs w:val="21"/>
          <w:highlight w:val="none"/>
        </w:rPr>
        <w:t xml:space="preserve"> </w:t>
      </w:r>
      <w:r>
        <w:rPr>
          <w:rFonts w:cs="宋体"/>
          <w:color w:val="auto"/>
          <w:spacing w:val="7"/>
          <w:sz w:val="21"/>
          <w:szCs w:val="21"/>
          <w:highlight w:val="none"/>
        </w:rPr>
        <w:t>21.1.1</w:t>
      </w:r>
      <w:r>
        <w:rPr>
          <w:rFonts w:cs="宋体"/>
          <w:color w:val="auto"/>
          <w:spacing w:val="-37"/>
          <w:sz w:val="21"/>
          <w:szCs w:val="21"/>
          <w:highlight w:val="none"/>
        </w:rPr>
        <w:t xml:space="preserve"> </w:t>
      </w:r>
      <w:r>
        <w:rPr>
          <w:rFonts w:cs="宋体"/>
          <w:color w:val="auto"/>
          <w:spacing w:val="7"/>
          <w:sz w:val="21"/>
          <w:szCs w:val="21"/>
          <w:highlight w:val="none"/>
        </w:rPr>
        <w:t>项约定的不可抗力以外的其他情形：</w:t>
      </w:r>
      <w:r>
        <w:rPr>
          <w:rFonts w:hint="eastAsia" w:cstheme="minorEastAsia"/>
          <w:color w:val="auto"/>
          <w:sz w:val="21"/>
          <w:szCs w:val="21"/>
          <w:highlight w:val="none"/>
          <w:u w:val="single"/>
        </w:rPr>
        <w:t xml:space="preserve">    /     </w:t>
      </w:r>
    </w:p>
    <w:p w14:paraId="6885DCD2">
      <w:pPr>
        <w:pStyle w:val="21"/>
        <w:widowControl/>
        <w:tabs>
          <w:tab w:val="left" w:pos="8322"/>
          <w:tab w:val="clear" w:pos="567"/>
        </w:tabs>
        <w:kinsoku w:val="0"/>
        <w:snapToGrid w:val="0"/>
        <w:spacing w:before="168" w:line="360" w:lineRule="auto"/>
        <w:ind w:firstLine="440" w:firstLineChars="200"/>
        <w:textAlignment w:val="baseline"/>
        <w:rPr>
          <w:rFonts w:hint="eastAsia"/>
          <w:color w:val="auto"/>
          <w:sz w:val="21"/>
          <w:szCs w:val="21"/>
          <w:highlight w:val="none"/>
        </w:rPr>
      </w:pPr>
      <w:r>
        <w:rPr>
          <w:rFonts w:cs="宋体"/>
          <w:color w:val="auto"/>
          <w:spacing w:val="5"/>
          <w:sz w:val="21"/>
          <w:szCs w:val="21"/>
          <w:highlight w:val="none"/>
        </w:rPr>
        <w:t>不可抗力的等级范围约定：</w:t>
      </w:r>
      <w:r>
        <w:rPr>
          <w:rFonts w:hint="eastAsia" w:cstheme="minorEastAsia"/>
          <w:color w:val="auto"/>
          <w:sz w:val="21"/>
          <w:szCs w:val="21"/>
          <w:highlight w:val="none"/>
          <w:u w:val="single"/>
        </w:rPr>
        <w:t xml:space="preserve">    /     </w:t>
      </w:r>
    </w:p>
    <w:p w14:paraId="5380F219">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3" w:name="bookmark182"/>
      <w:bookmarkEnd w:id="803"/>
      <w:bookmarkStart w:id="804" w:name="bookmark183"/>
      <w:bookmarkEnd w:id="804"/>
      <w:r>
        <w:rPr>
          <w:rFonts w:ascii="宋体" w:hAnsi="宋体" w:cs="宋体"/>
          <w:color w:val="auto"/>
          <w:spacing w:val="-2"/>
          <w:szCs w:val="21"/>
          <w:highlight w:val="none"/>
        </w:rPr>
        <w:t>24.争议的解决</w:t>
      </w:r>
    </w:p>
    <w:p w14:paraId="31BE5B21">
      <w:pPr>
        <w:pStyle w:val="21"/>
        <w:widowControl/>
        <w:kinsoku w:val="0"/>
        <w:snapToGrid w:val="0"/>
        <w:spacing w:line="360" w:lineRule="auto"/>
        <w:textAlignment w:val="baseline"/>
        <w:rPr>
          <w:rFonts w:hint="eastAsia"/>
          <w:color w:val="auto"/>
          <w:sz w:val="21"/>
          <w:szCs w:val="21"/>
          <w:highlight w:val="none"/>
        </w:rPr>
      </w:pPr>
    </w:p>
    <w:p w14:paraId="5079FFE1">
      <w:pPr>
        <w:widowControl/>
        <w:kinsoku w:val="0"/>
        <w:snapToGrid w:val="0"/>
        <w:spacing w:before="79"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24.1  争议的解决方式</w:t>
      </w:r>
    </w:p>
    <w:p w14:paraId="10D45F26">
      <w:pPr>
        <w:widowControl/>
        <w:kinsoku w:val="0"/>
        <w:snapToGrid w:val="0"/>
        <w:spacing w:before="297" w:line="360" w:lineRule="auto"/>
        <w:ind w:left="19" w:right="11" w:firstLine="437"/>
        <w:textAlignment w:val="baseline"/>
        <w:rPr>
          <w:rFonts w:hint="eastAsia" w:ascii="宋体" w:hAnsi="宋体" w:cs="宋体"/>
          <w:color w:val="auto"/>
          <w:szCs w:val="21"/>
          <w:highlight w:val="none"/>
        </w:rPr>
      </w:pPr>
      <w:r>
        <w:rPr>
          <w:rFonts w:ascii="宋体" w:hAnsi="宋体" w:cs="宋体"/>
          <w:color w:val="auto"/>
          <w:spacing w:val="7"/>
          <w:szCs w:val="21"/>
          <w:highlight w:val="none"/>
        </w:rPr>
        <w:t>因本合同引起的或与本合同有关的任何争议，合同双方友好协商不成、不愿提请争议组</w:t>
      </w:r>
      <w:r>
        <w:rPr>
          <w:rFonts w:ascii="宋体" w:hAnsi="宋体" w:cs="宋体"/>
          <w:color w:val="auto"/>
          <w:spacing w:val="9"/>
          <w:szCs w:val="21"/>
          <w:highlight w:val="none"/>
        </w:rPr>
        <w:t>评审或者不愿接受争议评审组意见的，选择下列第</w:t>
      </w:r>
      <w:r>
        <w:rPr>
          <w:rFonts w:ascii="宋体" w:hAnsi="宋体" w:cs="宋体"/>
          <w:color w:val="auto"/>
          <w:spacing w:val="-99"/>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（贰）</w:t>
      </w:r>
      <w:r>
        <w:rPr>
          <w:rFonts w:ascii="宋体" w:hAnsi="宋体" w:cs="宋体"/>
          <w:color w:val="auto"/>
          <w:spacing w:val="4"/>
          <w:szCs w:val="21"/>
          <w:highlight w:val="none"/>
          <w:u w:val="single"/>
        </w:rPr>
        <w:t xml:space="preserve"> </w:t>
      </w:r>
      <w:r>
        <w:rPr>
          <w:rFonts w:ascii="宋体" w:hAnsi="宋体" w:cs="宋体"/>
          <w:color w:val="auto"/>
          <w:spacing w:val="-86"/>
          <w:szCs w:val="21"/>
          <w:highlight w:val="none"/>
        </w:rPr>
        <w:t xml:space="preserve"> </w:t>
      </w:r>
      <w:r>
        <w:rPr>
          <w:rFonts w:ascii="宋体" w:hAnsi="宋体" w:cs="宋体"/>
          <w:color w:val="auto"/>
          <w:spacing w:val="9"/>
          <w:szCs w:val="21"/>
          <w:highlight w:val="none"/>
        </w:rPr>
        <w:t>种方式解</w:t>
      </w:r>
      <w:r>
        <w:rPr>
          <w:rFonts w:ascii="宋体" w:hAnsi="宋体" w:cs="宋体"/>
          <w:color w:val="auto"/>
          <w:spacing w:val="8"/>
          <w:szCs w:val="21"/>
          <w:highlight w:val="none"/>
        </w:rPr>
        <w:t>决：</w:t>
      </w:r>
    </w:p>
    <w:p w14:paraId="6CAD3E4B">
      <w:pPr>
        <w:widowControl/>
        <w:tabs>
          <w:tab w:val="left" w:pos="549"/>
        </w:tabs>
        <w:kinsoku w:val="0"/>
        <w:snapToGrid w:val="0"/>
        <w:spacing w:before="1" w:line="360" w:lineRule="auto"/>
        <w:ind w:left="20" w:right="11" w:firstLine="410"/>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3"/>
          <w:szCs w:val="21"/>
          <w:highlight w:val="none"/>
          <w:u w:val="single"/>
        </w:rPr>
        <w:t>（壹）</w:t>
      </w:r>
      <w:r>
        <w:rPr>
          <w:rFonts w:ascii="宋体" w:hAnsi="宋体" w:cs="宋体"/>
          <w:color w:val="auto"/>
          <w:spacing w:val="3"/>
          <w:szCs w:val="21"/>
          <w:highlight w:val="none"/>
        </w:rPr>
        <w:t>提请</w:t>
      </w:r>
      <w:r>
        <w:rPr>
          <w:rFonts w:ascii="宋体" w:hAnsi="宋体" w:cs="宋体"/>
          <w:color w:val="auto"/>
          <w:spacing w:val="-83"/>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rPr>
        <w:t>北京市顺义区</w:t>
      </w:r>
      <w:r>
        <w:rPr>
          <w:rFonts w:ascii="宋体" w:hAnsi="宋体" w:cs="宋体"/>
          <w:color w:val="auto"/>
          <w:spacing w:val="4"/>
          <w:szCs w:val="21"/>
          <w:highlight w:val="none"/>
          <w:u w:val="single"/>
        </w:rPr>
        <w:t xml:space="preserve">  </w:t>
      </w:r>
      <w:r>
        <w:rPr>
          <w:rFonts w:ascii="宋体" w:hAnsi="宋体" w:cs="宋体"/>
          <w:color w:val="auto"/>
          <w:spacing w:val="-83"/>
          <w:szCs w:val="21"/>
          <w:highlight w:val="none"/>
        </w:rPr>
        <w:t xml:space="preserve"> </w:t>
      </w:r>
      <w:r>
        <w:rPr>
          <w:rFonts w:ascii="宋体" w:hAnsi="宋体" w:cs="宋体"/>
          <w:color w:val="auto"/>
          <w:spacing w:val="3"/>
          <w:szCs w:val="21"/>
          <w:highlight w:val="none"/>
        </w:rPr>
        <w:t>仲裁委员会按照该会仲裁规则进行仲裁，仲裁裁决是终局的，对</w:t>
      </w:r>
      <w:r>
        <w:rPr>
          <w:rFonts w:ascii="宋体" w:hAnsi="宋体" w:cs="宋体"/>
          <w:color w:val="auto"/>
          <w:szCs w:val="21"/>
          <w:highlight w:val="none"/>
        </w:rPr>
        <w:t xml:space="preserve"> </w:t>
      </w:r>
      <w:r>
        <w:rPr>
          <w:rFonts w:ascii="宋体" w:hAnsi="宋体" w:cs="宋体"/>
          <w:color w:val="auto"/>
          <w:spacing w:val="7"/>
          <w:szCs w:val="21"/>
          <w:highlight w:val="none"/>
        </w:rPr>
        <w:t>合同双方均有约束力。</w:t>
      </w:r>
    </w:p>
    <w:p w14:paraId="14A31B1B">
      <w:pPr>
        <w:widowControl/>
        <w:tabs>
          <w:tab w:val="left" w:pos="549"/>
        </w:tabs>
        <w:kinsoku w:val="0"/>
        <w:snapToGrid w:val="0"/>
        <w:spacing w:before="160" w:line="360" w:lineRule="auto"/>
        <w:ind w:left="431"/>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u w:val="single"/>
        </w:rPr>
        <w:t>（贰）</w:t>
      </w:r>
      <w:r>
        <w:rPr>
          <w:rFonts w:ascii="宋体" w:hAnsi="宋体" w:cs="宋体"/>
          <w:color w:val="auto"/>
          <w:spacing w:val="-52"/>
          <w:szCs w:val="21"/>
          <w:highlight w:val="none"/>
          <w:u w:val="single"/>
        </w:rPr>
        <w:t xml:space="preserve"> </w:t>
      </w:r>
      <w:r>
        <w:rPr>
          <w:rFonts w:ascii="宋体" w:hAnsi="宋体" w:cs="宋体"/>
          <w:color w:val="auto"/>
          <w:szCs w:val="21"/>
          <w:highlight w:val="none"/>
        </w:rPr>
        <w:t>向有管辖权的人民法院提起诉讼。</w:t>
      </w:r>
    </w:p>
    <w:p w14:paraId="759BDD87">
      <w:pPr>
        <w:rPr>
          <w:rFonts w:hint="eastAsia" w:ascii="宋体" w:hAnsi="宋体" w:cs="宋体"/>
          <w:color w:val="auto"/>
          <w:szCs w:val="21"/>
          <w:highlight w:val="none"/>
        </w:rPr>
      </w:pPr>
    </w:p>
    <w:p w14:paraId="4F59DA3F">
      <w:pPr>
        <w:widowControl/>
        <w:kinsoku w:val="0"/>
        <w:snapToGrid w:val="0"/>
        <w:spacing w:before="291" w:line="360" w:lineRule="auto"/>
        <w:ind w:left="26"/>
        <w:textAlignment w:val="baseline"/>
        <w:outlineLvl w:val="1"/>
        <w:rPr>
          <w:rFonts w:hint="eastAsia" w:ascii="宋体" w:hAnsi="宋体" w:cs="宋体"/>
          <w:color w:val="auto"/>
          <w:spacing w:val="-2"/>
          <w:szCs w:val="21"/>
          <w:highlight w:val="none"/>
        </w:rPr>
      </w:pPr>
      <w:r>
        <w:rPr>
          <w:rFonts w:hint="eastAsia" w:ascii="宋体" w:hAnsi="宋体" w:cs="宋体"/>
          <w:color w:val="auto"/>
          <w:spacing w:val="-2"/>
          <w:szCs w:val="21"/>
          <w:highlight w:val="none"/>
        </w:rPr>
        <w:t>25.其他约定</w:t>
      </w:r>
    </w:p>
    <w:p w14:paraId="4D3A69A3">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25.1因工程质量造成损失的，承包人按工程损失的50%支付违约金，工程按设计、规范要求重新施工，工程质量达到合格标准。工程实施过程中不得拖欠农民工工资，因拖欠农民工工资造成严重后果的，在足额支付农民工工资后，按所拖欠的农民工工资总额的50%支付违约金。</w:t>
      </w:r>
    </w:p>
    <w:p w14:paraId="49667E35">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25.2本工程范围是以图纸及工程量清单范围内的全部内容，不得完全依据工程量清单进行施工，实际施工应以施工图纸为准，施工单位必须严格按照设计图纸和施工技术标准进行施工，任何偏离图纸的行为都将视为违约行为，并承担相应的法律责任。</w:t>
      </w:r>
    </w:p>
    <w:p w14:paraId="4D5C8FE1">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22.3质检费用争议引起的价格调整</w:t>
      </w:r>
    </w:p>
    <w:p w14:paraId="2A73DB58">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本项目对建筑材料检测、构件和建筑物进行一般的鉴定、检查等所发生的费用均包含在签约合同价中，后期项目实施过程中不因承包人的报价错误而新增质检费用。</w:t>
      </w:r>
    </w:p>
    <w:p w14:paraId="5ADFC485">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25.4措施项目变化引起的价格调整</w:t>
      </w:r>
    </w:p>
    <w:p w14:paraId="34FE5FBA">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承包人在其已标价工程量清单中的所列措施项目费用项，为承包人承诺于本项目中所预见可发生的所有措施项目项，后期项目实施过程中不因招标工程量清单中的措施项目清单漏项或不准确等而新增措施项目项。</w:t>
      </w:r>
    </w:p>
    <w:p w14:paraId="004DDB5F">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25.5 其他可引起的价格调整</w:t>
      </w:r>
      <w:r>
        <w:rPr>
          <w:rFonts w:hint="eastAsia" w:ascii="宋体" w:hAnsi="宋体" w:cs="宋体"/>
          <w:color w:val="auto"/>
          <w:spacing w:val="7"/>
          <w:szCs w:val="21"/>
          <w:highlight w:val="none"/>
          <w:u w:val="single"/>
        </w:rPr>
        <w:t xml:space="preserve">    /      </w:t>
      </w:r>
      <w:r>
        <w:rPr>
          <w:rFonts w:hint="eastAsia" w:ascii="宋体" w:hAnsi="宋体" w:cs="宋体"/>
          <w:color w:val="auto"/>
          <w:spacing w:val="7"/>
          <w:szCs w:val="21"/>
          <w:highlight w:val="none"/>
        </w:rPr>
        <w:t>。</w:t>
      </w:r>
    </w:p>
    <w:p w14:paraId="4C18CCEB">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25.6最终解释权归采购人所有。</w:t>
      </w:r>
    </w:p>
    <w:p w14:paraId="70ED4F83">
      <w:pPr>
        <w:widowControl/>
        <w:kinsoku w:val="0"/>
        <w:snapToGrid w:val="0"/>
        <w:spacing w:line="360" w:lineRule="auto"/>
        <w:textAlignment w:val="baseline"/>
        <w:rPr>
          <w:rFonts w:hint="eastAsia" w:ascii="宋体" w:hAnsi="宋体" w:cs="宋体"/>
          <w:color w:val="auto"/>
          <w:sz w:val="20"/>
          <w:szCs w:val="21"/>
          <w:highlight w:val="none"/>
        </w:rPr>
        <w:sectPr>
          <w:headerReference r:id="rId17" w:type="default"/>
          <w:footerReference r:id="rId18" w:type="default"/>
          <w:pgSz w:w="11906" w:h="16839"/>
          <w:pgMar w:top="1132" w:right="1785" w:bottom="1214" w:left="1785" w:header="831" w:footer="977" w:gutter="0"/>
          <w:pgNumType w:fmt="decimal"/>
          <w:cols w:space="720" w:num="1"/>
        </w:sectPr>
      </w:pPr>
    </w:p>
    <w:p w14:paraId="00D7A24A">
      <w:pPr>
        <w:pStyle w:val="21"/>
        <w:widowControl/>
        <w:kinsoku w:val="0"/>
        <w:snapToGrid w:val="0"/>
        <w:spacing w:line="360" w:lineRule="auto"/>
        <w:textAlignment w:val="baseline"/>
        <w:rPr>
          <w:rFonts w:hint="eastAsia"/>
          <w:color w:val="auto"/>
          <w:highlight w:val="none"/>
        </w:rPr>
      </w:pPr>
    </w:p>
    <w:p w14:paraId="4E0F0FCE">
      <w:pPr>
        <w:widowControl/>
        <w:kinsoku w:val="0"/>
        <w:snapToGrid w:val="0"/>
        <w:spacing w:before="78" w:line="360" w:lineRule="auto"/>
        <w:ind w:left="39"/>
        <w:textAlignment w:val="baseline"/>
        <w:outlineLvl w:val="1"/>
        <w:rPr>
          <w:rFonts w:hint="eastAsia" w:ascii="宋体" w:hAnsi="宋体" w:cs="宋体"/>
          <w:color w:val="auto"/>
          <w:sz w:val="24"/>
          <w:highlight w:val="none"/>
        </w:rPr>
      </w:pPr>
      <w:r>
        <w:rPr>
          <w:rFonts w:ascii="宋体" w:hAnsi="宋体" w:cs="宋体"/>
          <w:color w:val="auto"/>
          <w:spacing w:val="-4"/>
          <w:sz w:val="24"/>
          <w:highlight w:val="none"/>
        </w:rPr>
        <w:t>附件一：合同协议书</w:t>
      </w:r>
    </w:p>
    <w:p w14:paraId="55A93AC7">
      <w:pPr>
        <w:widowControl/>
        <w:kinsoku w:val="0"/>
        <w:snapToGrid w:val="0"/>
        <w:spacing w:before="308" w:line="360" w:lineRule="auto"/>
        <w:ind w:left="3474"/>
        <w:textAlignment w:val="baseline"/>
        <w:rPr>
          <w:rFonts w:hint="eastAsia" w:ascii="宋体" w:hAnsi="宋体" w:cs="宋体"/>
          <w:color w:val="auto"/>
          <w:sz w:val="28"/>
          <w:szCs w:val="28"/>
          <w:highlight w:val="none"/>
        </w:rPr>
      </w:pPr>
      <w:bookmarkStart w:id="805" w:name="bookmark184"/>
      <w:bookmarkEnd w:id="805"/>
      <w:r>
        <w:rPr>
          <w:rFonts w:ascii="宋体" w:hAnsi="宋体" w:cs="宋体"/>
          <w:b/>
          <w:bCs/>
          <w:color w:val="auto"/>
          <w:spacing w:val="-5"/>
          <w:sz w:val="28"/>
          <w:szCs w:val="28"/>
          <w:highlight w:val="none"/>
        </w:rPr>
        <w:t>合同协议书</w:t>
      </w:r>
    </w:p>
    <w:p w14:paraId="44BFEFC8">
      <w:pPr>
        <w:widowControl/>
        <w:kinsoku w:val="0"/>
        <w:snapToGrid w:val="0"/>
        <w:spacing w:before="201" w:line="360" w:lineRule="auto"/>
        <w:ind w:left="5481"/>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编号：</w:t>
      </w:r>
      <w:r>
        <w:rPr>
          <w:rFonts w:ascii="宋体" w:hAnsi="宋体" w:cs="宋体"/>
          <w:color w:val="auto"/>
          <w:sz w:val="20"/>
          <w:szCs w:val="20"/>
          <w:highlight w:val="none"/>
          <w:u w:val="single"/>
        </w:rPr>
        <w:t xml:space="preserve">                    </w:t>
      </w:r>
    </w:p>
    <w:p w14:paraId="437B7453">
      <w:pPr>
        <w:widowControl/>
        <w:kinsoku w:val="0"/>
        <w:snapToGrid w:val="0"/>
        <w:spacing w:before="160" w:line="360" w:lineRule="auto"/>
        <w:ind w:left="2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发包人（全称</w:t>
      </w:r>
      <w:r>
        <w:rPr>
          <w:rFonts w:ascii="宋体" w:hAnsi="宋体" w:cs="宋体"/>
          <w:color w:val="auto"/>
          <w:spacing w:val="12"/>
          <w:sz w:val="20"/>
          <w:szCs w:val="20"/>
          <w:highlight w:val="none"/>
        </w:rPr>
        <w:t>）：</w:t>
      </w:r>
      <w:r>
        <w:rPr>
          <w:rFonts w:hint="eastAsia" w:asciiTheme="minorEastAsia" w:hAnsiTheme="minorEastAsia" w:eastAsiaTheme="minorEastAsia" w:cstheme="minorEastAsia"/>
          <w:color w:val="auto"/>
          <w:szCs w:val="21"/>
          <w:highlight w:val="none"/>
          <w:u w:val="single"/>
        </w:rPr>
        <w:t>北京市顺义区仁和中学</w:t>
      </w:r>
    </w:p>
    <w:p w14:paraId="2692BAC3">
      <w:pPr>
        <w:widowControl/>
        <w:kinsoku w:val="0"/>
        <w:snapToGrid w:val="0"/>
        <w:spacing w:before="160"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229B1B1E">
      <w:pPr>
        <w:widowControl/>
        <w:kinsoku w:val="0"/>
        <w:snapToGrid w:val="0"/>
        <w:spacing w:before="163"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0688CE70">
      <w:pPr>
        <w:widowControl/>
        <w:kinsoku w:val="0"/>
        <w:snapToGrid w:val="0"/>
        <w:spacing w:before="160" w:line="360" w:lineRule="auto"/>
        <w:ind w:left="1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承包人（全称</w:t>
      </w:r>
      <w:r>
        <w:rPr>
          <w:rFonts w:ascii="宋体" w:hAnsi="宋体" w:cs="宋体"/>
          <w:color w:val="auto"/>
          <w:spacing w:val="11"/>
          <w:sz w:val="20"/>
          <w:szCs w:val="20"/>
          <w:highlight w:val="none"/>
        </w:rPr>
        <w:t>）：</w:t>
      </w:r>
      <w:r>
        <w:rPr>
          <w:rFonts w:ascii="宋体" w:hAnsi="宋体" w:cs="宋体"/>
          <w:color w:val="auto"/>
          <w:sz w:val="20"/>
          <w:szCs w:val="20"/>
          <w:highlight w:val="none"/>
          <w:u w:val="single"/>
        </w:rPr>
        <w:t xml:space="preserve">                                                                  </w:t>
      </w:r>
    </w:p>
    <w:p w14:paraId="5D0425E1">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4170C73F">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b/>
          <w:bCs/>
          <w:color w:val="auto"/>
          <w:spacing w:val="4"/>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04C6BA63">
      <w:pPr>
        <w:pStyle w:val="21"/>
        <w:widowControl/>
        <w:kinsoku w:val="0"/>
        <w:snapToGrid w:val="0"/>
        <w:spacing w:line="360" w:lineRule="auto"/>
        <w:textAlignment w:val="baseline"/>
        <w:rPr>
          <w:rFonts w:hint="eastAsia"/>
          <w:color w:val="auto"/>
          <w:highlight w:val="none"/>
        </w:rPr>
      </w:pPr>
    </w:p>
    <w:p w14:paraId="6855D9E8">
      <w:pPr>
        <w:pStyle w:val="21"/>
        <w:widowControl/>
        <w:kinsoku w:val="0"/>
        <w:snapToGrid w:val="0"/>
        <w:spacing w:line="360" w:lineRule="auto"/>
        <w:textAlignment w:val="baseline"/>
        <w:rPr>
          <w:rFonts w:hint="eastAsia"/>
          <w:color w:val="auto"/>
          <w:highlight w:val="none"/>
        </w:rPr>
      </w:pPr>
    </w:p>
    <w:p w14:paraId="2F7DDAD8">
      <w:pPr>
        <w:widowControl/>
        <w:kinsoku w:val="0"/>
        <w:snapToGrid w:val="0"/>
        <w:spacing w:before="65" w:line="360" w:lineRule="auto"/>
        <w:ind w:left="19" w:firstLine="42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发包人为建设</w:t>
      </w:r>
      <w:r>
        <w:rPr>
          <w:rFonts w:ascii="宋体" w:hAnsi="宋体" w:cs="宋体"/>
          <w:color w:val="auto"/>
          <w:spacing w:val="7"/>
          <w:sz w:val="20"/>
          <w:szCs w:val="20"/>
          <w:highlight w:val="none"/>
          <w:u w:val="singl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6"/>
          <w:sz w:val="20"/>
          <w:szCs w:val="20"/>
          <w:highlight w:val="none"/>
        </w:rPr>
        <w:t>（以下简称“本工程</w:t>
      </w:r>
      <w:r>
        <w:rPr>
          <w:rFonts w:ascii="宋体" w:hAnsi="宋体" w:cs="宋体"/>
          <w:color w:val="auto"/>
          <w:spacing w:val="-69"/>
          <w:sz w:val="20"/>
          <w:szCs w:val="20"/>
          <w:highlight w:val="none"/>
        </w:rPr>
        <w:t xml:space="preserve"> </w:t>
      </w:r>
      <w:r>
        <w:rPr>
          <w:rFonts w:ascii="宋体" w:hAnsi="宋体" w:cs="宋体"/>
          <w:color w:val="auto"/>
          <w:spacing w:val="6"/>
          <w:sz w:val="20"/>
          <w:szCs w:val="20"/>
          <w:highlight w:val="none"/>
        </w:rPr>
        <w:t>”</w:t>
      </w:r>
      <w:r>
        <w:rPr>
          <w:rFonts w:ascii="宋体" w:hAnsi="宋体" w:cs="宋体"/>
          <w:color w:val="auto"/>
          <w:spacing w:val="10"/>
          <w:sz w:val="20"/>
          <w:szCs w:val="20"/>
          <w:highlight w:val="none"/>
        </w:rPr>
        <w:t>），</w:t>
      </w:r>
      <w:r>
        <w:rPr>
          <w:rFonts w:ascii="宋体" w:hAnsi="宋体" w:cs="宋体"/>
          <w:color w:val="auto"/>
          <w:spacing w:val="6"/>
          <w:sz w:val="20"/>
          <w:szCs w:val="20"/>
          <w:highlight w:val="none"/>
        </w:rPr>
        <w:t>已接受承</w:t>
      </w:r>
      <w:r>
        <w:rPr>
          <w:rFonts w:ascii="宋体" w:hAnsi="宋体" w:cs="宋体"/>
          <w:color w:val="auto"/>
          <w:sz w:val="20"/>
          <w:szCs w:val="20"/>
          <w:highlight w:val="none"/>
        </w:rPr>
        <w:t xml:space="preserve"> </w:t>
      </w:r>
      <w:r>
        <w:rPr>
          <w:rFonts w:ascii="宋体" w:hAnsi="宋体" w:cs="宋体"/>
          <w:color w:val="auto"/>
          <w:spacing w:val="8"/>
          <w:sz w:val="20"/>
          <w:szCs w:val="20"/>
          <w:highlight w:val="none"/>
        </w:rPr>
        <w:t>包人提出的承担本工程的施工、竣工、交付</w:t>
      </w:r>
      <w:r>
        <w:rPr>
          <w:rFonts w:ascii="宋体" w:hAnsi="宋体" w:cs="宋体"/>
          <w:color w:val="auto"/>
          <w:spacing w:val="7"/>
          <w:sz w:val="20"/>
          <w:szCs w:val="20"/>
          <w:highlight w:val="none"/>
        </w:rPr>
        <w:t>并维修其任何缺陷的投标。依照《中华人民共和</w:t>
      </w:r>
      <w:r>
        <w:rPr>
          <w:rFonts w:ascii="宋体" w:hAnsi="宋体" w:cs="宋体"/>
          <w:color w:val="auto"/>
          <w:spacing w:val="8"/>
          <w:sz w:val="20"/>
          <w:szCs w:val="20"/>
          <w:highlight w:val="none"/>
        </w:rPr>
        <w:t>国招标投标法》、《中华人民共和国民法典</w:t>
      </w:r>
      <w:r>
        <w:rPr>
          <w:rFonts w:ascii="宋体" w:hAnsi="宋体" w:cs="宋体"/>
          <w:color w:val="auto"/>
          <w:spacing w:val="7"/>
          <w:sz w:val="20"/>
          <w:szCs w:val="20"/>
          <w:highlight w:val="none"/>
        </w:rPr>
        <w:t>》、《中华人民共和国建筑法》、及其他有关法</w:t>
      </w:r>
      <w:r>
        <w:rPr>
          <w:rFonts w:ascii="宋体" w:hAnsi="宋体" w:cs="宋体"/>
          <w:color w:val="auto"/>
          <w:spacing w:val="8"/>
          <w:sz w:val="20"/>
          <w:szCs w:val="20"/>
          <w:highlight w:val="none"/>
        </w:rPr>
        <w:t>律、行政法规，遵循平等、</w:t>
      </w:r>
      <w:r>
        <w:rPr>
          <w:rFonts w:ascii="宋体" w:hAnsi="宋体" w:cs="宋体"/>
          <w:color w:val="auto"/>
          <w:spacing w:val="-50"/>
          <w:sz w:val="20"/>
          <w:szCs w:val="20"/>
          <w:highlight w:val="none"/>
        </w:rPr>
        <w:t xml:space="preserve"> </w:t>
      </w:r>
      <w:r>
        <w:rPr>
          <w:rFonts w:ascii="宋体" w:hAnsi="宋体" w:cs="宋体"/>
          <w:color w:val="auto"/>
          <w:spacing w:val="8"/>
          <w:sz w:val="20"/>
          <w:szCs w:val="20"/>
          <w:highlight w:val="none"/>
        </w:rPr>
        <w:t>自愿、公平和诚实信用的原</w:t>
      </w:r>
      <w:r>
        <w:rPr>
          <w:rFonts w:ascii="宋体" w:hAnsi="宋体" w:cs="宋体"/>
          <w:color w:val="auto"/>
          <w:spacing w:val="7"/>
          <w:sz w:val="20"/>
          <w:szCs w:val="20"/>
          <w:highlight w:val="none"/>
        </w:rPr>
        <w:t>则，双方共同达成并订立如下协议。</w:t>
      </w:r>
    </w:p>
    <w:p w14:paraId="44184061">
      <w:pPr>
        <w:widowControl/>
        <w:kinsoku w:val="0"/>
        <w:snapToGrid w:val="0"/>
        <w:spacing w:before="1"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一、工程概况</w:t>
      </w:r>
    </w:p>
    <w:p w14:paraId="72C1D89F">
      <w:pPr>
        <w:widowControl/>
        <w:kinsoku w:val="0"/>
        <w:snapToGrid w:val="0"/>
        <w:spacing w:before="163" w:line="360" w:lineRule="auto"/>
        <w:ind w:left="442"/>
        <w:textAlignment w:val="baseline"/>
        <w:rPr>
          <w:rFonts w:hint="eastAsia" w:ascii="宋体" w:hAnsi="宋体" w:cs="宋体"/>
          <w:color w:val="auto"/>
          <w:spacing w:val="5"/>
          <w:sz w:val="20"/>
          <w:szCs w:val="20"/>
          <w:highlight w:val="none"/>
          <w:u w:val="single"/>
        </w:rPr>
      </w:pPr>
      <w:r>
        <w:rPr>
          <w:rFonts w:ascii="宋体" w:hAnsi="宋体" w:cs="宋体"/>
          <w:color w:val="auto"/>
          <w:spacing w:val="5"/>
          <w:sz w:val="20"/>
          <w:szCs w:val="20"/>
          <w:highlight w:val="none"/>
        </w:rPr>
        <w:t>工程名称：</w:t>
      </w:r>
      <w:r>
        <w:rPr>
          <w:rFonts w:hint="eastAsia" w:ascii="宋体" w:hAnsi="宋体" w:cs="宋体"/>
          <w:color w:val="auto"/>
          <w:spacing w:val="5"/>
          <w:sz w:val="20"/>
          <w:szCs w:val="20"/>
          <w:highlight w:val="none"/>
          <w:u w:val="single"/>
        </w:rPr>
        <w:t>基建-教育系统消防改造-顺义区仁和中学(教学楼)</w:t>
      </w:r>
    </w:p>
    <w:p w14:paraId="7B3238DA">
      <w:pPr>
        <w:widowControl/>
        <w:kinsoku w:val="0"/>
        <w:snapToGrid w:val="0"/>
        <w:spacing w:before="163" w:line="360" w:lineRule="auto"/>
        <w:ind w:left="442"/>
        <w:textAlignment w:val="baseline"/>
        <w:rPr>
          <w:rFonts w:hint="eastAsia" w:ascii="宋体" w:hAnsi="宋体" w:cs="宋体"/>
          <w:color w:val="auto"/>
          <w:spacing w:val="5"/>
          <w:sz w:val="20"/>
          <w:szCs w:val="20"/>
          <w:highlight w:val="none"/>
        </w:rPr>
      </w:pPr>
      <w:r>
        <w:rPr>
          <w:rFonts w:ascii="宋体" w:hAnsi="宋体" w:cs="宋体"/>
          <w:color w:val="auto"/>
          <w:spacing w:val="5"/>
          <w:sz w:val="20"/>
          <w:szCs w:val="20"/>
          <w:highlight w:val="none"/>
        </w:rPr>
        <w:t>工程地点：</w:t>
      </w:r>
      <w:r>
        <w:rPr>
          <w:rFonts w:hint="eastAsia" w:ascii="宋体" w:hAnsi="宋体" w:cs="宋体"/>
          <w:color w:val="auto"/>
          <w:spacing w:val="5"/>
          <w:sz w:val="20"/>
          <w:szCs w:val="20"/>
          <w:highlight w:val="none"/>
          <w:u w:val="single"/>
        </w:rPr>
        <w:t>北京市顺义区站前东街6号</w:t>
      </w:r>
    </w:p>
    <w:p w14:paraId="77C359E5">
      <w:pPr>
        <w:widowControl/>
        <w:kinsoku w:val="0"/>
        <w:snapToGrid w:val="0"/>
        <w:spacing w:before="163" w:line="360" w:lineRule="auto"/>
        <w:ind w:left="442"/>
        <w:textAlignment w:val="baseline"/>
        <w:rPr>
          <w:rFonts w:hint="eastAsia" w:ascii="宋体" w:hAnsi="宋体" w:cs="宋体"/>
          <w:color w:val="auto"/>
          <w:spacing w:val="5"/>
          <w:sz w:val="20"/>
          <w:szCs w:val="20"/>
          <w:highlight w:val="none"/>
        </w:rPr>
      </w:pPr>
      <w:r>
        <w:rPr>
          <w:rFonts w:ascii="宋体" w:hAnsi="宋体" w:cs="宋体"/>
          <w:color w:val="auto"/>
          <w:spacing w:val="5"/>
          <w:sz w:val="20"/>
          <w:szCs w:val="20"/>
          <w:highlight w:val="none"/>
        </w:rPr>
        <w:t>工程内容：</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7F4A1186">
      <w:pPr>
        <w:widowControl/>
        <w:kinsoku w:val="0"/>
        <w:snapToGrid w:val="0"/>
        <w:spacing w:before="160"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群体工程应附“承包人承揽工程项目一览表</w:t>
      </w:r>
      <w:r>
        <w:rPr>
          <w:rFonts w:ascii="宋体" w:hAnsi="宋体" w:cs="宋体"/>
          <w:color w:val="auto"/>
          <w:spacing w:val="-70"/>
          <w:sz w:val="20"/>
          <w:szCs w:val="20"/>
          <w:highlight w:val="none"/>
        </w:rPr>
        <w:t xml:space="preserve"> </w:t>
      </w:r>
      <w:r>
        <w:rPr>
          <w:rFonts w:ascii="宋体" w:hAnsi="宋体" w:cs="宋体"/>
          <w:color w:val="auto"/>
          <w:spacing w:val="8"/>
          <w:sz w:val="20"/>
          <w:szCs w:val="20"/>
          <w:highlight w:val="none"/>
        </w:rPr>
        <w:t>”（附件</w:t>
      </w:r>
      <w:r>
        <w:rPr>
          <w:rFonts w:ascii="宋体" w:hAnsi="宋体" w:cs="宋体"/>
          <w:color w:val="auto"/>
          <w:spacing w:val="7"/>
          <w:sz w:val="20"/>
          <w:szCs w:val="20"/>
          <w:highlight w:val="none"/>
        </w:rPr>
        <w:t>二）</w:t>
      </w:r>
    </w:p>
    <w:p w14:paraId="023E93D5">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工程立项批准文号：</w:t>
      </w:r>
      <w:r>
        <w:rPr>
          <w:rFonts w:hint="eastAsia" w:asciiTheme="minorEastAsia" w:hAnsiTheme="minorEastAsia" w:eastAsiaTheme="minorEastAsia" w:cstheme="minorEastAsia"/>
          <w:color w:val="auto"/>
          <w:spacing w:val="-1"/>
          <w:highlight w:val="none"/>
          <w:u w:val="single"/>
        </w:rPr>
        <w:t xml:space="preserve">  /  </w:t>
      </w:r>
    </w:p>
    <w:p w14:paraId="45D0D47D">
      <w:pPr>
        <w:widowControl/>
        <w:kinsoku w:val="0"/>
        <w:snapToGrid w:val="0"/>
        <w:spacing w:before="161" w:line="360" w:lineRule="auto"/>
        <w:ind w:left="448"/>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资金来源</w:t>
      </w:r>
      <w:r>
        <w:rPr>
          <w:rFonts w:hint="eastAsia" w:ascii="宋体" w:hAnsi="宋体" w:cs="宋体"/>
          <w:color w:val="auto"/>
          <w:spacing w:val="5"/>
          <w:sz w:val="20"/>
          <w:szCs w:val="20"/>
          <w:highlight w:val="none"/>
          <w:u w:val="single"/>
        </w:rPr>
        <w:t>：财政性资金</w:t>
      </w:r>
    </w:p>
    <w:p w14:paraId="0FDAB039">
      <w:pPr>
        <w:widowControl/>
        <w:kinsoku w:val="0"/>
        <w:snapToGrid w:val="0"/>
        <w:spacing w:before="163"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二、工程承包范围</w:t>
      </w:r>
    </w:p>
    <w:p w14:paraId="552261F5">
      <w:pPr>
        <w:widowControl/>
        <w:kinsoku w:val="0"/>
        <w:snapToGrid w:val="0"/>
        <w:spacing w:before="160" w:line="360" w:lineRule="auto"/>
        <w:ind w:left="442"/>
        <w:textAlignment w:val="baseline"/>
        <w:rPr>
          <w:rFonts w:hint="eastAsia" w:ascii="宋体" w:hAnsi="宋体" w:cs="宋体" w:eastAsiaTheme="minorEastAsia"/>
          <w:color w:val="auto"/>
          <w:sz w:val="20"/>
          <w:szCs w:val="20"/>
          <w:highlight w:val="none"/>
          <w:u w:val="single"/>
        </w:rPr>
      </w:pPr>
      <w:r>
        <w:rPr>
          <w:rFonts w:ascii="宋体" w:hAnsi="宋体" w:cs="宋体"/>
          <w:color w:val="auto"/>
          <w:spacing w:val="8"/>
          <w:sz w:val="20"/>
          <w:szCs w:val="20"/>
          <w:highlight w:val="none"/>
        </w:rPr>
        <w:t>承包范围：</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5FE19265">
      <w:pPr>
        <w:widowControl/>
        <w:kinsoku w:val="0"/>
        <w:snapToGrid w:val="0"/>
        <w:spacing w:before="160" w:line="360" w:lineRule="auto"/>
        <w:ind w:left="441" w:right="53" w:hanging="2"/>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详细承包范围见第五章“技术标准和要求</w:t>
      </w:r>
      <w:r>
        <w:rPr>
          <w:rFonts w:ascii="宋体" w:hAnsi="宋体" w:cs="宋体"/>
          <w:color w:val="auto"/>
          <w:spacing w:val="-55"/>
          <w:sz w:val="20"/>
          <w:szCs w:val="20"/>
          <w:highlight w:val="none"/>
        </w:rPr>
        <w:t xml:space="preserve"> </w:t>
      </w:r>
      <w:r>
        <w:rPr>
          <w:rFonts w:ascii="宋体" w:hAnsi="宋体" w:cs="宋体"/>
          <w:color w:val="auto"/>
          <w:spacing w:val="8"/>
          <w:sz w:val="20"/>
          <w:szCs w:val="20"/>
          <w:highlight w:val="none"/>
        </w:rPr>
        <w:t>”。</w:t>
      </w:r>
    </w:p>
    <w:p w14:paraId="4EB6DC6D">
      <w:pPr>
        <w:widowControl/>
        <w:kinsoku w:val="0"/>
        <w:snapToGrid w:val="0"/>
        <w:spacing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三、合同工期</w:t>
      </w:r>
    </w:p>
    <w:p w14:paraId="7C33D8DD">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计划开工日期：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2DFAEA77">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计划竣工日期：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02AD7416">
      <w:pPr>
        <w:widowControl/>
        <w:kinsoku w:val="0"/>
        <w:snapToGrid w:val="0"/>
        <w:spacing w:before="160" w:line="360" w:lineRule="auto"/>
        <w:ind w:left="55" w:right="52" w:firstLine="386"/>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工期总日历天数</w:t>
      </w:r>
      <w:r>
        <w:rPr>
          <w:rFonts w:ascii="宋体" w:hAnsi="宋体" w:cs="宋体"/>
          <w:color w:val="auto"/>
          <w:spacing w:val="5"/>
          <w:sz w:val="20"/>
          <w:szCs w:val="20"/>
          <w:highlight w:val="none"/>
          <w:u w:val="single"/>
        </w:rPr>
        <w:t xml:space="preserve">                        </w:t>
      </w:r>
      <w:r>
        <w:rPr>
          <w:rFonts w:ascii="宋体" w:hAnsi="宋体" w:cs="宋体"/>
          <w:color w:val="auto"/>
          <w:spacing w:val="-71"/>
          <w:sz w:val="20"/>
          <w:szCs w:val="20"/>
          <w:highlight w:val="none"/>
        </w:rPr>
        <w:t xml:space="preserve"> </w:t>
      </w:r>
      <w:r>
        <w:rPr>
          <w:rFonts w:ascii="宋体" w:hAnsi="宋体" w:cs="宋体"/>
          <w:color w:val="auto"/>
          <w:spacing w:val="5"/>
          <w:sz w:val="20"/>
          <w:szCs w:val="20"/>
          <w:highlight w:val="none"/>
        </w:rPr>
        <w:t>天，自监理人发出的开工通知中载明的开工</w:t>
      </w:r>
      <w:r>
        <w:rPr>
          <w:rFonts w:ascii="宋体" w:hAnsi="宋体" w:cs="宋体"/>
          <w:color w:val="auto"/>
          <w:spacing w:val="-2"/>
          <w:sz w:val="20"/>
          <w:szCs w:val="20"/>
          <w:highlight w:val="none"/>
        </w:rPr>
        <w:t>日期起算。</w:t>
      </w:r>
    </w:p>
    <w:p w14:paraId="37456B22">
      <w:pPr>
        <w:widowControl/>
        <w:kinsoku w:val="0"/>
        <w:snapToGrid w:val="0"/>
        <w:spacing w:line="360" w:lineRule="auto"/>
        <w:ind w:left="459"/>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四、质量标准</w:t>
      </w:r>
    </w:p>
    <w:p w14:paraId="3D6CBACB">
      <w:pPr>
        <w:widowControl/>
        <w:kinsoku w:val="0"/>
        <w:snapToGrid w:val="0"/>
        <w:spacing w:before="160"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工程质量标准：</w:t>
      </w:r>
      <w:r>
        <w:rPr>
          <w:rFonts w:hint="eastAsia" w:ascii="宋体" w:hAnsi="宋体" w:cs="宋体"/>
          <w:color w:val="auto"/>
          <w:spacing w:val="5"/>
          <w:sz w:val="20"/>
          <w:szCs w:val="20"/>
          <w:highlight w:val="none"/>
          <w:u w:val="single"/>
        </w:rPr>
        <w:t>合格</w:t>
      </w:r>
    </w:p>
    <w:p w14:paraId="445C5898">
      <w:pPr>
        <w:widowControl/>
        <w:kinsoku w:val="0"/>
        <w:snapToGrid w:val="0"/>
        <w:spacing w:before="160"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五、施工现场安全生产标准化管理目标等级要求</w:t>
      </w:r>
    </w:p>
    <w:p w14:paraId="1D8EA524">
      <w:pPr>
        <w:widowControl/>
        <w:kinsoku w:val="0"/>
        <w:snapToGrid w:val="0"/>
        <w:spacing w:before="161" w:line="360" w:lineRule="auto"/>
        <w:ind w:left="439"/>
        <w:textAlignment w:val="baseline"/>
        <w:rPr>
          <w:color w:val="auto"/>
          <w:highlight w:val="none"/>
        </w:rPr>
      </w:pPr>
      <w:r>
        <w:rPr>
          <w:rFonts w:ascii="宋体" w:hAnsi="宋体" w:cs="宋体"/>
          <w:color w:val="auto"/>
          <w:spacing w:val="9"/>
          <w:sz w:val="20"/>
          <w:szCs w:val="20"/>
          <w:highlight w:val="none"/>
        </w:rPr>
        <w:t>施工现场安全生产标准化管理目标等级：</w:t>
      </w:r>
      <w:r>
        <w:rPr>
          <w:rFonts w:ascii="宋体" w:hAnsi="宋体" w:cs="宋体"/>
          <w:color w:val="auto"/>
          <w:sz w:val="20"/>
          <w:szCs w:val="20"/>
          <w:highlight w:val="none"/>
          <w:u w:val="single"/>
        </w:rPr>
        <w:t xml:space="preserve"> </w:t>
      </w:r>
      <w:r>
        <w:rPr>
          <w:rFonts w:hint="eastAsia" w:ascii="宋体" w:hAnsi="宋体" w:cs="宋体"/>
          <w:color w:val="auto"/>
          <w:spacing w:val="5"/>
          <w:sz w:val="20"/>
          <w:szCs w:val="20"/>
          <w:highlight w:val="none"/>
          <w:u w:val="single"/>
        </w:rPr>
        <w:t>达标</w:t>
      </w:r>
    </w:p>
    <w:p w14:paraId="49FF4F71">
      <w:pPr>
        <w:widowControl/>
        <w:kinsoku w:val="0"/>
        <w:snapToGrid w:val="0"/>
        <w:spacing w:before="65"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六、合同形式</w:t>
      </w:r>
    </w:p>
    <w:p w14:paraId="40B622A2">
      <w:pPr>
        <w:widowControl/>
        <w:kinsoku w:val="0"/>
        <w:snapToGrid w:val="0"/>
        <w:spacing w:before="158" w:line="360" w:lineRule="auto"/>
        <w:ind w:firstLine="416" w:firstLineChars="200"/>
        <w:jc w:val="lef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 xml:space="preserve">本合同采用 </w:t>
      </w:r>
      <w:r>
        <w:rPr>
          <w:rFonts w:ascii="宋体" w:hAnsi="宋体" w:cs="宋体"/>
          <w:color w:val="auto"/>
          <w:spacing w:val="4"/>
          <w:sz w:val="20"/>
          <w:szCs w:val="20"/>
          <w:highlight w:val="none"/>
          <w:u w:val="single"/>
        </w:rPr>
        <w:t xml:space="preserve">  </w:t>
      </w:r>
      <w:r>
        <w:rPr>
          <w:rFonts w:hint="eastAsia" w:ascii="宋体" w:hAnsi="宋体" w:cs="宋体"/>
          <w:color w:val="auto"/>
          <w:spacing w:val="4"/>
          <w:sz w:val="20"/>
          <w:szCs w:val="20"/>
          <w:highlight w:val="none"/>
          <w:u w:val="single"/>
        </w:rPr>
        <w:t>单价</w:t>
      </w:r>
      <w:r>
        <w:rPr>
          <w:rFonts w:ascii="宋体" w:hAnsi="宋体" w:cs="宋体"/>
          <w:color w:val="auto"/>
          <w:spacing w:val="3"/>
          <w:sz w:val="20"/>
          <w:szCs w:val="20"/>
          <w:highlight w:val="none"/>
          <w:u w:val="single"/>
        </w:rPr>
        <w:t xml:space="preserve">  </w:t>
      </w:r>
      <w:r>
        <w:rPr>
          <w:rFonts w:ascii="宋体" w:hAnsi="宋体" w:cs="宋体"/>
          <w:color w:val="auto"/>
          <w:spacing w:val="-91"/>
          <w:sz w:val="20"/>
          <w:szCs w:val="20"/>
          <w:highlight w:val="none"/>
        </w:rPr>
        <w:t xml:space="preserve"> </w:t>
      </w:r>
      <w:r>
        <w:rPr>
          <w:rFonts w:ascii="宋体" w:hAnsi="宋体" w:cs="宋体"/>
          <w:color w:val="auto"/>
          <w:spacing w:val="3"/>
          <w:sz w:val="20"/>
          <w:szCs w:val="20"/>
          <w:highlight w:val="none"/>
        </w:rPr>
        <w:t>合同形式。</w:t>
      </w:r>
    </w:p>
    <w:p w14:paraId="1BCBA99B">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七、签约合同价</w:t>
      </w:r>
    </w:p>
    <w:p w14:paraId="14CA5ECB">
      <w:pPr>
        <w:widowControl/>
        <w:kinsoku w:val="0"/>
        <w:snapToGrid w:val="0"/>
        <w:spacing w:before="161" w:line="360" w:lineRule="auto"/>
        <w:ind w:left="42" w:right="71" w:firstLine="398"/>
        <w:textAlignment w:val="baseline"/>
        <w:rPr>
          <w:rFonts w:hint="eastAsia" w:ascii="宋体" w:hAnsi="宋体" w:cs="宋体"/>
          <w:color w:val="auto"/>
          <w:sz w:val="20"/>
          <w:szCs w:val="20"/>
          <w:highlight w:val="none"/>
        </w:rPr>
      </w:pPr>
      <w:r>
        <w:rPr>
          <w:rFonts w:ascii="宋体" w:hAnsi="宋体" w:cs="宋体"/>
          <w:color w:val="auto"/>
          <w:spacing w:val="13"/>
          <w:sz w:val="20"/>
          <w:szCs w:val="20"/>
          <w:highlight w:val="none"/>
        </w:rPr>
        <w:t>金额（含税</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大写</w:t>
      </w:r>
      <w:r>
        <w:rPr>
          <w:rFonts w:ascii="宋体" w:hAnsi="宋体" w:cs="宋体"/>
          <w:color w:val="auto"/>
          <w:spacing w:val="-16"/>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人民</w:t>
      </w:r>
      <w:r>
        <w:rPr>
          <w:rFonts w:ascii="宋体" w:hAnsi="宋体" w:cs="宋体"/>
          <w:color w:val="auto"/>
          <w:spacing w:val="1"/>
          <w:sz w:val="20"/>
          <w:szCs w:val="20"/>
          <w:highlight w:val="none"/>
        </w:rPr>
        <w:t xml:space="preserve"> </w:t>
      </w:r>
      <w:r>
        <w:rPr>
          <w:rFonts w:ascii="宋体" w:hAnsi="宋体" w:cs="宋体"/>
          <w:color w:val="auto"/>
          <w:spacing w:val="-11"/>
          <w:sz w:val="20"/>
          <w:szCs w:val="20"/>
          <w:highlight w:val="none"/>
        </w:rPr>
        <w:t>币）</w:t>
      </w:r>
    </w:p>
    <w:p w14:paraId="4B28BDBD">
      <w:pPr>
        <w:widowControl/>
        <w:kinsoku w:val="0"/>
        <w:snapToGrid w:val="0"/>
        <w:spacing w:before="1" w:line="360" w:lineRule="auto"/>
        <w:ind w:right="70" w:firstLine="208" w:firstLineChars="10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（小写）¥：</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r>
        <w:rPr>
          <w:rFonts w:ascii="宋体" w:hAnsi="宋体" w:cs="宋体"/>
          <w:color w:val="auto"/>
          <w:spacing w:val="-90"/>
          <w:sz w:val="20"/>
          <w:szCs w:val="20"/>
          <w:highlight w:val="none"/>
        </w:rPr>
        <w:t xml:space="preserve"> </w:t>
      </w:r>
      <w:r>
        <w:rPr>
          <w:rFonts w:ascii="宋体" w:hAnsi="宋体" w:cs="宋体"/>
          <w:color w:val="auto"/>
          <w:spacing w:val="3"/>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11"/>
          <w:sz w:val="20"/>
          <w:szCs w:val="20"/>
          <w:highlight w:val="none"/>
        </w:rPr>
        <w:t>其中：安全生产标准化措施费（含税</w:t>
      </w:r>
      <w:r>
        <w:rPr>
          <w:rFonts w:ascii="宋体" w:hAnsi="宋体" w:cs="宋体"/>
          <w:color w:val="auto"/>
          <w:spacing w:val="-4"/>
          <w:sz w:val="20"/>
          <w:szCs w:val="20"/>
          <w:highlight w:val="none"/>
        </w:rPr>
        <w:t>）</w:t>
      </w:r>
      <w:r>
        <w:rPr>
          <w:rFonts w:ascii="宋体" w:hAnsi="宋体" w:cs="宋体"/>
          <w:color w:val="auto"/>
          <w:spacing w:val="-58"/>
          <w:sz w:val="20"/>
          <w:szCs w:val="20"/>
          <w:highlight w:val="none"/>
        </w:rPr>
        <w:t xml:space="preserve"> </w:t>
      </w:r>
      <w:r>
        <w:rPr>
          <w:rFonts w:ascii="宋体" w:hAnsi="宋体" w:cs="宋体"/>
          <w:color w:val="auto"/>
          <w:spacing w:val="-4"/>
          <w:sz w:val="20"/>
          <w:szCs w:val="20"/>
          <w:highlight w:val="none"/>
        </w:rPr>
        <w:t>：</w:t>
      </w:r>
      <w:r>
        <w:rPr>
          <w:rFonts w:ascii="宋体" w:hAnsi="宋体" w:cs="宋体"/>
          <w:color w:val="auto"/>
          <w:sz w:val="20"/>
          <w:szCs w:val="20"/>
          <w:highlight w:val="none"/>
          <w:u w:val="single"/>
        </w:rPr>
        <w:t xml:space="preserve">                                       </w:t>
      </w:r>
    </w:p>
    <w:p w14:paraId="0D07E9D8">
      <w:pPr>
        <w:widowControl/>
        <w:kinsoku w:val="0"/>
        <w:snapToGrid w:val="0"/>
        <w:spacing w:line="360" w:lineRule="auto"/>
        <w:ind w:left="1281"/>
        <w:textAlignment w:val="baseline"/>
        <w:rPr>
          <w:rFonts w:hint="eastAsia" w:ascii="宋体" w:hAnsi="宋体" w:cs="宋体"/>
          <w:color w:val="auto"/>
          <w:sz w:val="20"/>
          <w:szCs w:val="20"/>
          <w:highlight w:val="none"/>
        </w:rPr>
      </w:pPr>
      <w:r>
        <w:rPr>
          <w:rFonts w:ascii="宋体" w:hAnsi="宋体" w:cs="宋体"/>
          <w:color w:val="auto"/>
          <w:sz w:val="20"/>
          <w:szCs w:val="20"/>
          <w:highlight w:val="none"/>
        </w:rPr>
        <w:t>元</w:t>
      </w:r>
    </w:p>
    <w:p w14:paraId="566FE7C8">
      <w:pPr>
        <w:widowControl/>
        <w:kinsoku w:val="0"/>
        <w:snapToGrid w:val="0"/>
        <w:spacing w:before="161" w:line="360" w:lineRule="auto"/>
        <w:ind w:left="1282"/>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建筑垃圾运输处置费（含税</w:t>
      </w:r>
      <w:r>
        <w:rPr>
          <w:rFonts w:ascii="宋体" w:hAnsi="宋体" w:cs="宋体"/>
          <w:color w:val="auto"/>
          <w:spacing w:val="-14"/>
          <w:sz w:val="20"/>
          <w:szCs w:val="20"/>
          <w:highlight w:val="none"/>
        </w:rPr>
        <w:t>）：</w:t>
      </w:r>
      <w:r>
        <w:rPr>
          <w:rFonts w:ascii="宋体" w:hAnsi="宋体" w:cs="宋体"/>
          <w:color w:val="auto"/>
          <w:spacing w:val="2"/>
          <w:sz w:val="20"/>
          <w:szCs w:val="20"/>
          <w:highlight w:val="none"/>
          <w:u w:val="single"/>
        </w:rPr>
        <w:t xml:space="preserve">                                       </w:t>
      </w:r>
      <w:r>
        <w:rPr>
          <w:rFonts w:ascii="宋体" w:hAnsi="宋体" w:cs="宋体"/>
          <w:color w:val="auto"/>
          <w:spacing w:val="-75"/>
          <w:sz w:val="20"/>
          <w:szCs w:val="20"/>
          <w:highlight w:val="none"/>
        </w:rPr>
        <w:t xml:space="preserve"> </w:t>
      </w:r>
      <w:r>
        <w:rPr>
          <w:rFonts w:ascii="宋体" w:hAnsi="宋体" w:cs="宋体"/>
          <w:color w:val="auto"/>
          <w:spacing w:val="5"/>
          <w:sz w:val="20"/>
          <w:szCs w:val="20"/>
          <w:highlight w:val="none"/>
        </w:rPr>
        <w:t>元</w:t>
      </w:r>
    </w:p>
    <w:p w14:paraId="0F9CD2E9">
      <w:pPr>
        <w:widowControl/>
        <w:kinsoku w:val="0"/>
        <w:snapToGrid w:val="0"/>
        <w:spacing w:before="161" w:line="360" w:lineRule="auto"/>
        <w:ind w:left="1286"/>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暂列金额（含税</w:t>
      </w:r>
      <w:r>
        <w:rPr>
          <w:rFonts w:ascii="宋体" w:hAnsi="宋体" w:cs="宋体"/>
          <w:color w:val="auto"/>
          <w:spacing w:val="-15"/>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2"/>
          <w:sz w:val="20"/>
          <w:szCs w:val="20"/>
          <w:highlight w:val="none"/>
        </w:rPr>
        <w:t>元</w:t>
      </w:r>
    </w:p>
    <w:p w14:paraId="3EB4614C">
      <w:pPr>
        <w:widowControl/>
        <w:kinsoku w:val="0"/>
        <w:snapToGrid w:val="0"/>
        <w:spacing w:before="162" w:line="360" w:lineRule="auto"/>
        <w:ind w:left="1306" w:right="69" w:hanging="26"/>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专业工程暂估价（含税</w:t>
      </w:r>
      <w:r>
        <w:rPr>
          <w:rFonts w:ascii="宋体" w:hAnsi="宋体" w:cs="宋体"/>
          <w:color w:val="auto"/>
          <w:spacing w:val="-21"/>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4"/>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2"/>
          <w:sz w:val="20"/>
          <w:szCs w:val="20"/>
          <w:highlight w:val="none"/>
        </w:rPr>
        <w:t>……</w:t>
      </w:r>
    </w:p>
    <w:p w14:paraId="2F5741EE">
      <w:pPr>
        <w:widowControl/>
        <w:kinsoku w:val="0"/>
        <w:snapToGrid w:val="0"/>
        <w:spacing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八、承包人项目经理：</w:t>
      </w:r>
    </w:p>
    <w:p w14:paraId="2A6FE837">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姓名</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35"/>
          <w:sz w:val="20"/>
          <w:szCs w:val="20"/>
          <w:highlight w:val="none"/>
        </w:rPr>
        <w:t xml:space="preserve"> </w:t>
      </w:r>
      <w:r>
        <w:rPr>
          <w:rFonts w:ascii="宋体" w:hAnsi="宋体" w:cs="宋体"/>
          <w:color w:val="auto"/>
          <w:spacing w:val="-43"/>
          <w:sz w:val="20"/>
          <w:szCs w:val="20"/>
          <w:highlight w:val="none"/>
        </w:rPr>
        <w:t>；</w:t>
      </w:r>
      <w:r>
        <w:rPr>
          <w:rFonts w:ascii="宋体" w:hAnsi="宋体" w:cs="宋体"/>
          <w:color w:val="auto"/>
          <w:spacing w:val="16"/>
          <w:sz w:val="20"/>
          <w:szCs w:val="20"/>
          <w:highlight w:val="none"/>
        </w:rPr>
        <w:t xml:space="preserve">     </w:t>
      </w:r>
      <w:r>
        <w:rPr>
          <w:rFonts w:ascii="宋体" w:hAnsi="宋体" w:cs="宋体"/>
          <w:color w:val="auto"/>
          <w:spacing w:val="4"/>
          <w:sz w:val="20"/>
          <w:szCs w:val="20"/>
          <w:highlight w:val="none"/>
        </w:rPr>
        <w:t>职称</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43"/>
          <w:sz w:val="20"/>
          <w:szCs w:val="20"/>
          <w:highlight w:val="none"/>
        </w:rPr>
        <w:t>；</w:t>
      </w:r>
    </w:p>
    <w:p w14:paraId="6A643B08">
      <w:pPr>
        <w:widowControl/>
        <w:kinsoku w:val="0"/>
        <w:snapToGrid w:val="0"/>
        <w:spacing w:before="160"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身份证号</w:t>
      </w:r>
      <w:r>
        <w:rPr>
          <w:rFonts w:ascii="宋体" w:hAnsi="宋体" w:cs="宋体"/>
          <w:color w:val="auto"/>
          <w:spacing w:val="-40"/>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9"/>
          <w:sz w:val="20"/>
          <w:szCs w:val="20"/>
          <w:highlight w:val="none"/>
        </w:rPr>
        <w:t xml:space="preserve"> </w:t>
      </w:r>
      <w:r>
        <w:rPr>
          <w:rFonts w:ascii="宋体" w:hAnsi="宋体" w:cs="宋体"/>
          <w:color w:val="auto"/>
          <w:spacing w:val="-40"/>
          <w:sz w:val="20"/>
          <w:szCs w:val="20"/>
          <w:highlight w:val="none"/>
        </w:rPr>
        <w:t>；</w:t>
      </w:r>
      <w:r>
        <w:rPr>
          <w:rFonts w:ascii="宋体" w:hAnsi="宋体" w:cs="宋体"/>
          <w:color w:val="auto"/>
          <w:spacing w:val="17"/>
          <w:sz w:val="20"/>
          <w:szCs w:val="20"/>
          <w:highlight w:val="none"/>
        </w:rPr>
        <w:t xml:space="preserve">     </w:t>
      </w:r>
      <w:r>
        <w:rPr>
          <w:rFonts w:ascii="宋体" w:hAnsi="宋体" w:cs="宋体"/>
          <w:color w:val="auto"/>
          <w:spacing w:val="7"/>
          <w:sz w:val="20"/>
          <w:szCs w:val="20"/>
          <w:highlight w:val="none"/>
        </w:rPr>
        <w:t>建造师执业资格证书号</w:t>
      </w:r>
      <w:r>
        <w:rPr>
          <w:rFonts w:ascii="宋体" w:hAnsi="宋体" w:cs="宋体"/>
          <w:color w:val="auto"/>
          <w:spacing w:val="-40"/>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40"/>
          <w:sz w:val="20"/>
          <w:szCs w:val="20"/>
          <w:highlight w:val="none"/>
        </w:rPr>
        <w:t>；</w:t>
      </w:r>
    </w:p>
    <w:p w14:paraId="6ADBF339">
      <w:pPr>
        <w:widowControl/>
        <w:kinsoku w:val="0"/>
        <w:snapToGrid w:val="0"/>
        <w:spacing w:before="163"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建造师注册证书号：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w:t>
      </w:r>
      <w:r>
        <w:rPr>
          <w:rFonts w:ascii="宋体" w:hAnsi="宋体" w:cs="宋体"/>
          <w:color w:val="auto"/>
          <w:spacing w:val="-4"/>
          <w:sz w:val="20"/>
          <w:szCs w:val="20"/>
          <w:highlight w:val="none"/>
        </w:rPr>
        <w:t>建造师执业印章号：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安全生产考核合格证书号：</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z w:val="20"/>
          <w:szCs w:val="20"/>
          <w:highlight w:val="none"/>
        </w:rPr>
        <w:t>。</w:t>
      </w:r>
    </w:p>
    <w:p w14:paraId="7F7BA907">
      <w:pPr>
        <w:widowControl/>
        <w:kinsoku w:val="0"/>
        <w:snapToGrid w:val="0"/>
        <w:spacing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九、合同文件的组成</w:t>
      </w:r>
    </w:p>
    <w:p w14:paraId="5BA883BD">
      <w:pPr>
        <w:widowControl/>
        <w:kinsoku w:val="0"/>
        <w:snapToGrid w:val="0"/>
        <w:spacing w:before="161" w:line="360" w:lineRule="auto"/>
        <w:ind w:left="446"/>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下列文件共同构成合同文件：</w:t>
      </w:r>
    </w:p>
    <w:p w14:paraId="1A0599C0">
      <w:pPr>
        <w:widowControl/>
        <w:kinsoku w:val="0"/>
        <w:snapToGrid w:val="0"/>
        <w:spacing w:before="163" w:line="360" w:lineRule="auto"/>
        <w:ind w:left="455"/>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1、本协议书；</w:t>
      </w:r>
    </w:p>
    <w:p w14:paraId="7D4A94B6">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2、中标通知书；</w:t>
      </w:r>
    </w:p>
    <w:p w14:paraId="6B215E87">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3、投标函及投标函附录；</w:t>
      </w:r>
    </w:p>
    <w:p w14:paraId="07995A91">
      <w:pPr>
        <w:widowControl/>
        <w:kinsoku w:val="0"/>
        <w:snapToGrid w:val="0"/>
        <w:spacing w:before="162"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4、合同条款专用部分；</w:t>
      </w:r>
    </w:p>
    <w:p w14:paraId="4F41EDBC">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5、合同条款通用部分；</w:t>
      </w:r>
    </w:p>
    <w:p w14:paraId="1C10E38D">
      <w:pPr>
        <w:widowControl/>
        <w:kinsoku w:val="0"/>
        <w:snapToGrid w:val="0"/>
        <w:spacing w:before="16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6、技术标准和要求；</w:t>
      </w:r>
    </w:p>
    <w:p w14:paraId="0B2652DC">
      <w:pPr>
        <w:widowControl/>
        <w:kinsoku w:val="0"/>
        <w:snapToGrid w:val="0"/>
        <w:spacing w:before="163"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7、图纸；</w:t>
      </w:r>
    </w:p>
    <w:p w14:paraId="7391193F">
      <w:pPr>
        <w:widowControl/>
        <w:kinsoku w:val="0"/>
        <w:snapToGrid w:val="0"/>
        <w:spacing w:before="159"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8、合同清单；</w:t>
      </w:r>
    </w:p>
    <w:p w14:paraId="1BF1FCCA">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9、其他合同文件。</w:t>
      </w:r>
    </w:p>
    <w:p w14:paraId="3141B5DF">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在合同订立及履行过程中形成的与合同有关的文件均构成合同文件组成部分。</w:t>
      </w:r>
    </w:p>
    <w:p w14:paraId="0C34E310">
      <w:pPr>
        <w:widowControl/>
        <w:kinsoku w:val="0"/>
        <w:snapToGrid w:val="0"/>
        <w:spacing w:before="162" w:line="360" w:lineRule="auto"/>
        <w:ind w:left="36" w:right="69" w:firstLine="40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上述各项合同文件包括合同双方就该项合同文件所作出的补充和修改，属于同一类内容的文件，应以最新签署的为准。</w:t>
      </w:r>
    </w:p>
    <w:p w14:paraId="2AB3FB81">
      <w:pPr>
        <w:widowControl/>
        <w:kinsoku w:val="0"/>
        <w:snapToGrid w:val="0"/>
        <w:spacing w:before="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上述文件互相补充和解释，如有不明确或不一致之处，以合同约定次序在先者为准。</w:t>
      </w:r>
    </w:p>
    <w:p w14:paraId="53ACD527">
      <w:pPr>
        <w:widowControl/>
        <w:kinsoku w:val="0"/>
        <w:snapToGrid w:val="0"/>
        <w:spacing w:before="162" w:line="360" w:lineRule="auto"/>
        <w:ind w:left="440"/>
        <w:textAlignment w:val="baseline"/>
        <w:rPr>
          <w:color w:val="auto"/>
          <w:highlight w:val="none"/>
        </w:rPr>
      </w:pPr>
      <w:r>
        <w:rPr>
          <w:rFonts w:ascii="宋体" w:hAnsi="宋体" w:cs="宋体"/>
          <w:color w:val="auto"/>
          <w:spacing w:val="9"/>
          <w:sz w:val="20"/>
          <w:szCs w:val="20"/>
          <w:highlight w:val="none"/>
        </w:rPr>
        <w:t>十、本协议书中有关词语定义与合同条款中的定义相同。</w:t>
      </w:r>
    </w:p>
    <w:p w14:paraId="5B7AE8D6">
      <w:pPr>
        <w:widowControl/>
        <w:kinsoku w:val="0"/>
        <w:snapToGrid w:val="0"/>
        <w:spacing w:before="65"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十一、承包人承诺按照合同约定进行施工、竣工、交付并承担质量缺陷保修责任。</w:t>
      </w:r>
    </w:p>
    <w:p w14:paraId="76D1F6A4">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十二、发包人承诺按照合同约定的条件、期限和方式向承包人支付合同价款。</w:t>
      </w:r>
    </w:p>
    <w:p w14:paraId="17C558C6">
      <w:pPr>
        <w:widowControl/>
        <w:kinsoku w:val="0"/>
        <w:snapToGrid w:val="0"/>
        <w:spacing w:before="163" w:line="360" w:lineRule="auto"/>
        <w:ind w:left="19" w:right="191" w:firstLine="42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十三、本协议书连同其他合同文件正本一式两份，合同双方各执一份；副本一式</w:t>
      </w:r>
      <w:r>
        <w:rPr>
          <w:rFonts w:ascii="宋体" w:hAnsi="宋体" w:cs="宋体"/>
          <w:color w:val="auto"/>
          <w:spacing w:val="9"/>
          <w:sz w:val="20"/>
          <w:szCs w:val="20"/>
          <w:highlight w:val="none"/>
          <w:u w:val="single"/>
        </w:rPr>
        <w:t xml:space="preserve">    </w:t>
      </w:r>
      <w:r>
        <w:rPr>
          <w:rFonts w:ascii="宋体" w:hAnsi="宋体" w:cs="宋体"/>
          <w:color w:val="auto"/>
          <w:spacing w:val="7"/>
          <w:sz w:val="20"/>
          <w:szCs w:val="20"/>
          <w:highlight w:val="none"/>
        </w:rPr>
        <w:t xml:space="preserve"> </w:t>
      </w:r>
      <w:r>
        <w:rPr>
          <w:rFonts w:ascii="宋体" w:hAnsi="宋体" w:cs="宋体"/>
          <w:color w:val="auto"/>
          <w:sz w:val="20"/>
          <w:szCs w:val="20"/>
          <w:highlight w:val="none"/>
        </w:rPr>
        <w:t>份。</w:t>
      </w:r>
    </w:p>
    <w:p w14:paraId="30E8BB01">
      <w:pPr>
        <w:widowControl/>
        <w:kinsoku w:val="0"/>
        <w:snapToGrid w:val="0"/>
        <w:spacing w:before="159" w:line="360" w:lineRule="auto"/>
        <w:ind w:left="21" w:right="68" w:firstLine="41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十四、合同未尽事宜，双方另行签订补充协议，但不得背离本协议第九条所约定的合同</w:t>
      </w:r>
      <w:r>
        <w:rPr>
          <w:rFonts w:ascii="宋体" w:hAnsi="宋体" w:cs="宋体"/>
          <w:color w:val="auto"/>
          <w:spacing w:val="15"/>
          <w:sz w:val="20"/>
          <w:szCs w:val="20"/>
          <w:highlight w:val="none"/>
        </w:rPr>
        <w:t xml:space="preserve"> </w:t>
      </w:r>
      <w:r>
        <w:rPr>
          <w:rFonts w:ascii="宋体" w:hAnsi="宋体" w:cs="宋体"/>
          <w:color w:val="auto"/>
          <w:spacing w:val="9"/>
          <w:sz w:val="20"/>
          <w:szCs w:val="20"/>
          <w:highlight w:val="none"/>
        </w:rPr>
        <w:t>文件的实质性内容。补充协议是合同文件的组成部分。</w:t>
      </w:r>
    </w:p>
    <w:p w14:paraId="4B139EF4">
      <w:pPr>
        <w:pStyle w:val="21"/>
        <w:widowControl/>
        <w:kinsoku w:val="0"/>
        <w:snapToGrid w:val="0"/>
        <w:spacing w:line="360" w:lineRule="auto"/>
        <w:textAlignment w:val="baseline"/>
        <w:rPr>
          <w:rFonts w:hint="eastAsia"/>
          <w:color w:val="auto"/>
          <w:highlight w:val="none"/>
        </w:rPr>
      </w:pPr>
    </w:p>
    <w:p w14:paraId="4EF39CA9">
      <w:pPr>
        <w:pStyle w:val="21"/>
        <w:widowControl/>
        <w:kinsoku w:val="0"/>
        <w:snapToGrid w:val="0"/>
        <w:spacing w:line="360" w:lineRule="auto"/>
        <w:textAlignment w:val="baseline"/>
        <w:rPr>
          <w:rFonts w:hint="eastAsia"/>
          <w:color w:val="auto"/>
          <w:highlight w:val="none"/>
        </w:rPr>
      </w:pPr>
    </w:p>
    <w:p w14:paraId="0C0DCA3F">
      <w:pPr>
        <w:pStyle w:val="21"/>
        <w:widowControl/>
        <w:kinsoku w:val="0"/>
        <w:snapToGrid w:val="0"/>
        <w:spacing w:line="360" w:lineRule="auto"/>
        <w:textAlignment w:val="baseline"/>
        <w:rPr>
          <w:rFonts w:hint="eastAsia"/>
          <w:color w:val="auto"/>
          <w:highlight w:val="none"/>
        </w:rPr>
      </w:pPr>
    </w:p>
    <w:p w14:paraId="33F55386">
      <w:pPr>
        <w:widowControl/>
        <w:kinsoku w:val="0"/>
        <w:snapToGrid w:val="0"/>
        <w:spacing w:before="65"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发包人</w:t>
      </w:r>
      <w:r>
        <w:rPr>
          <w:rFonts w:ascii="宋体" w:hAnsi="宋体" w:cs="宋体"/>
          <w:color w:val="auto"/>
          <w:spacing w:val="-5"/>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盖单位章）承包人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w:t>
      </w:r>
    </w:p>
    <w:p w14:paraId="7D79C354">
      <w:pPr>
        <w:pStyle w:val="21"/>
        <w:widowControl/>
        <w:kinsoku w:val="0"/>
        <w:snapToGrid w:val="0"/>
        <w:spacing w:line="360" w:lineRule="auto"/>
        <w:textAlignment w:val="baseline"/>
        <w:rPr>
          <w:rFonts w:hint="eastAsia"/>
          <w:color w:val="auto"/>
          <w:highlight w:val="none"/>
        </w:rPr>
      </w:pPr>
    </w:p>
    <w:p w14:paraId="7965770B">
      <w:pPr>
        <w:pStyle w:val="21"/>
        <w:widowControl/>
        <w:kinsoku w:val="0"/>
        <w:snapToGrid w:val="0"/>
        <w:spacing w:line="360" w:lineRule="auto"/>
        <w:textAlignment w:val="baseline"/>
        <w:rPr>
          <w:rFonts w:hint="eastAsia"/>
          <w:color w:val="auto"/>
          <w:highlight w:val="none"/>
        </w:rPr>
      </w:pPr>
    </w:p>
    <w:p w14:paraId="5BC2774E">
      <w:pPr>
        <w:widowControl/>
        <w:kinsoku w:val="0"/>
        <w:snapToGrid w:val="0"/>
        <w:spacing w:before="65" w:line="360" w:lineRule="auto"/>
        <w:ind w:left="2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法定代表人或其                         法定代表人或其</w:t>
      </w:r>
    </w:p>
    <w:p w14:paraId="7178FD17">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 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w:t>
      </w:r>
    </w:p>
    <w:p w14:paraId="0BACE38C">
      <w:pPr>
        <w:pStyle w:val="21"/>
        <w:widowControl/>
        <w:kinsoku w:val="0"/>
        <w:snapToGrid w:val="0"/>
        <w:spacing w:line="360" w:lineRule="auto"/>
        <w:textAlignment w:val="baseline"/>
        <w:rPr>
          <w:rFonts w:hint="eastAsia"/>
          <w:color w:val="auto"/>
          <w:highlight w:val="none"/>
        </w:rPr>
      </w:pPr>
    </w:p>
    <w:p w14:paraId="77DFF5FF">
      <w:pPr>
        <w:widowControl/>
        <w:tabs>
          <w:tab w:val="left" w:pos="1060"/>
        </w:tabs>
        <w:kinsoku w:val="0"/>
        <w:snapToGrid w:val="0"/>
        <w:spacing w:before="66" w:line="360" w:lineRule="auto"/>
        <w:textAlignment w:val="baseline"/>
        <w:rPr>
          <w:rFonts w:hint="eastAsia" w:ascii="宋体" w:hAnsi="宋体" w:cs="宋体"/>
          <w:color w:val="auto"/>
          <w:sz w:val="20"/>
          <w:szCs w:val="20"/>
          <w:highlight w:val="none"/>
        </w:rPr>
      </w:pPr>
      <w:r>
        <w:rPr>
          <w:rFonts w:ascii="宋体" w:hAnsi="宋体" w:cs="宋体"/>
          <w:color w:val="auto"/>
          <w:sz w:val="20"/>
          <w:szCs w:val="20"/>
          <w:highlight w:val="none"/>
          <w:u w:val="single"/>
        </w:rPr>
        <w:tab/>
      </w:r>
      <w:r>
        <w:rPr>
          <w:rFonts w:ascii="宋体" w:hAnsi="宋体" w:cs="宋体"/>
          <w:color w:val="auto"/>
          <w:spacing w:val="-88"/>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6"/>
          <w:sz w:val="20"/>
          <w:szCs w:val="20"/>
          <w:highlight w:val="none"/>
        </w:rPr>
        <w:t xml:space="preserve">月 </w:t>
      </w:r>
      <w:r>
        <w:rPr>
          <w:rFonts w:ascii="宋体" w:hAnsi="宋体" w:cs="宋体"/>
          <w:color w:val="auto"/>
          <w:spacing w:val="5"/>
          <w:sz w:val="20"/>
          <w:szCs w:val="20"/>
          <w:highlight w:val="none"/>
          <w:u w:val="single"/>
        </w:rPr>
        <w:t xml:space="preserve">    </w:t>
      </w:r>
      <w:r>
        <w:rPr>
          <w:rFonts w:ascii="宋体" w:hAnsi="宋体" w:cs="宋体"/>
          <w:color w:val="auto"/>
          <w:spacing w:val="50"/>
          <w:sz w:val="20"/>
          <w:szCs w:val="20"/>
          <w:highlight w:val="none"/>
        </w:rPr>
        <w:t xml:space="preserve"> </w:t>
      </w:r>
      <w:r>
        <w:rPr>
          <w:rFonts w:ascii="宋体" w:hAnsi="宋体" w:cs="宋体"/>
          <w:color w:val="auto"/>
          <w:spacing w:val="-6"/>
          <w:sz w:val="20"/>
          <w:szCs w:val="20"/>
          <w:highlight w:val="none"/>
        </w:rPr>
        <w:t>日</w:t>
      </w:r>
      <w:r>
        <w:rPr>
          <w:rFonts w:ascii="宋体" w:hAnsi="宋体" w:cs="宋体"/>
          <w:color w:val="auto"/>
          <w:spacing w:val="1"/>
          <w:sz w:val="20"/>
          <w:szCs w:val="20"/>
          <w:highlight w:val="non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4"/>
          <w:sz w:val="20"/>
          <w:szCs w:val="20"/>
          <w:highlight w:val="none"/>
          <w:u w:val="single"/>
        </w:rPr>
        <w:t xml:space="preserve">    </w:t>
      </w:r>
      <w:r>
        <w:rPr>
          <w:rFonts w:ascii="宋体" w:hAnsi="宋体" w:cs="宋体"/>
          <w:color w:val="auto"/>
          <w:spacing w:val="-83"/>
          <w:sz w:val="20"/>
          <w:szCs w:val="20"/>
          <w:highlight w:val="none"/>
        </w:rPr>
        <w:t xml:space="preserve"> </w:t>
      </w:r>
      <w:r>
        <w:rPr>
          <w:rFonts w:ascii="宋体" w:hAnsi="宋体" w:cs="宋体"/>
          <w:color w:val="auto"/>
          <w:spacing w:val="-6"/>
          <w:sz w:val="20"/>
          <w:szCs w:val="20"/>
          <w:highlight w:val="none"/>
        </w:rPr>
        <w:t>月</w:t>
      </w:r>
      <w:r>
        <w:rPr>
          <w:rFonts w:ascii="宋体" w:hAnsi="宋体" w:cs="宋体"/>
          <w:color w:val="auto"/>
          <w:spacing w:val="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6"/>
          <w:sz w:val="20"/>
          <w:szCs w:val="20"/>
          <w:highlight w:val="none"/>
        </w:rPr>
        <w:t>日</w:t>
      </w:r>
    </w:p>
    <w:p w14:paraId="24E25F2A">
      <w:pPr>
        <w:pStyle w:val="21"/>
        <w:widowControl/>
        <w:kinsoku w:val="0"/>
        <w:snapToGrid w:val="0"/>
        <w:spacing w:line="360" w:lineRule="auto"/>
        <w:textAlignment w:val="baseline"/>
        <w:rPr>
          <w:rFonts w:hint="eastAsia"/>
          <w:color w:val="auto"/>
          <w:highlight w:val="none"/>
        </w:rPr>
      </w:pPr>
    </w:p>
    <w:p w14:paraId="752F1F33">
      <w:pPr>
        <w:pStyle w:val="21"/>
        <w:widowControl/>
        <w:kinsoku w:val="0"/>
        <w:snapToGrid w:val="0"/>
        <w:spacing w:line="360" w:lineRule="auto"/>
        <w:textAlignment w:val="baseline"/>
        <w:rPr>
          <w:rFonts w:hint="eastAsia"/>
          <w:color w:val="auto"/>
          <w:highlight w:val="none"/>
        </w:rPr>
      </w:pPr>
    </w:p>
    <w:p w14:paraId="54CF9781">
      <w:pPr>
        <w:pStyle w:val="21"/>
        <w:widowControl/>
        <w:kinsoku w:val="0"/>
        <w:snapToGrid w:val="0"/>
        <w:spacing w:line="360" w:lineRule="auto"/>
        <w:textAlignment w:val="baseline"/>
        <w:rPr>
          <w:rFonts w:hint="eastAsia"/>
          <w:color w:val="auto"/>
          <w:highlight w:val="none"/>
        </w:rPr>
      </w:pPr>
      <w:bookmarkStart w:id="806" w:name="bookmark192"/>
      <w:bookmarkEnd w:id="806"/>
      <w:bookmarkStart w:id="807" w:name="bookmark280"/>
      <w:bookmarkEnd w:id="807"/>
      <w:bookmarkStart w:id="808" w:name="bookmark277"/>
      <w:bookmarkEnd w:id="808"/>
      <w:bookmarkStart w:id="809" w:name="bookmark1"/>
      <w:bookmarkEnd w:id="809"/>
      <w:bookmarkStart w:id="810" w:name="bookmark250"/>
      <w:bookmarkEnd w:id="810"/>
      <w:bookmarkStart w:id="811" w:name="bookmark237"/>
      <w:bookmarkEnd w:id="811"/>
      <w:bookmarkStart w:id="812" w:name="bookmark235"/>
      <w:bookmarkEnd w:id="812"/>
    </w:p>
    <w:p w14:paraId="31643E8C">
      <w:pPr>
        <w:spacing w:before="161" w:line="360" w:lineRule="auto"/>
        <w:ind w:left="442"/>
        <w:rPr>
          <w:rFonts w:hint="eastAsia" w:ascii="宋体" w:hAnsi="宋体" w:cs="宋体"/>
          <w:color w:val="auto"/>
          <w:spacing w:val="8"/>
          <w:sz w:val="20"/>
          <w:szCs w:val="20"/>
          <w:highlight w:val="none"/>
        </w:rPr>
      </w:pPr>
    </w:p>
    <w:p w14:paraId="4301934E">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2BE8396">
      <w:pPr>
        <w:pStyle w:val="4"/>
        <w:spacing w:line="360" w:lineRule="auto"/>
        <w:rPr>
          <w:rFonts w:hint="eastAsia" w:hAnsi="宋体" w:cstheme="minorEastAsia"/>
          <w:color w:val="auto"/>
          <w:sz w:val="43"/>
          <w:highlight w:val="none"/>
          <w:u w:val="none"/>
        </w:rPr>
      </w:pPr>
      <w:r>
        <w:rPr>
          <w:rFonts w:hint="eastAsia" w:hAnsi="宋体" w:cstheme="minorEastAsia"/>
          <w:color w:val="auto"/>
          <w:highlight w:val="none"/>
          <w:u w:val="none"/>
        </w:rPr>
        <w:t>附件：质量保修书格式</w:t>
      </w:r>
    </w:p>
    <w:p w14:paraId="69E09762">
      <w:pPr>
        <w:pStyle w:val="6"/>
        <w:spacing w:before="1" w:line="360" w:lineRule="auto"/>
        <w:jc w:val="center"/>
        <w:rPr>
          <w:rFonts w:hint="eastAsia" w:ascii="宋体" w:hAnsi="宋体" w:cstheme="minorEastAsia"/>
          <w:color w:val="auto"/>
          <w:highlight w:val="none"/>
        </w:rPr>
      </w:pPr>
      <w:r>
        <w:rPr>
          <w:rFonts w:hint="eastAsia" w:ascii="宋体" w:hAnsi="宋体" w:cstheme="minorEastAsia"/>
          <w:color w:val="auto"/>
          <w:highlight w:val="none"/>
        </w:rPr>
        <w:t>工程质量保修书</w:t>
      </w:r>
    </w:p>
    <w:p w14:paraId="3FF52A8D">
      <w:pPr>
        <w:snapToGrid w:val="0"/>
        <w:spacing w:line="360" w:lineRule="auto"/>
        <w:rPr>
          <w:rFonts w:hint="eastAsia" w:ascii="宋体" w:hAnsi="宋体" w:cstheme="minorEastAsia"/>
          <w:color w:val="auto"/>
          <w:highlight w:val="none"/>
          <w:u w:val="single"/>
        </w:rPr>
      </w:pPr>
      <w:r>
        <w:rPr>
          <w:rFonts w:hint="eastAsia" w:ascii="宋体" w:hAnsi="宋体" w:cstheme="minorEastAsia"/>
          <w:color w:val="auto"/>
          <w:highlight w:val="none"/>
        </w:rPr>
        <w:t>发包人：</w:t>
      </w:r>
      <w:r>
        <w:rPr>
          <w:rFonts w:hint="eastAsia" w:ascii="宋体" w:hAnsi="宋体" w:cstheme="minorEastAsia"/>
          <w:color w:val="auto"/>
          <w:szCs w:val="21"/>
          <w:highlight w:val="none"/>
          <w:u w:val="single"/>
        </w:rPr>
        <w:t xml:space="preserve">   北京</w:t>
      </w:r>
      <w:r>
        <w:rPr>
          <w:rFonts w:hint="eastAsia" w:ascii="宋体" w:hAnsi="宋体" w:cstheme="minorEastAsia"/>
          <w:color w:val="auto"/>
          <w:highlight w:val="none"/>
          <w:u w:val="single"/>
        </w:rPr>
        <w:t>顺义区南彩第二小学</w:t>
      </w:r>
      <w:r>
        <w:rPr>
          <w:rFonts w:hint="eastAsia" w:ascii="宋体" w:hAnsi="宋体" w:cstheme="minorEastAsia"/>
          <w:color w:val="auto"/>
          <w:szCs w:val="21"/>
          <w:highlight w:val="none"/>
          <w:u w:val="single"/>
        </w:rPr>
        <w:t xml:space="preserve">         </w:t>
      </w:r>
      <w:r>
        <w:rPr>
          <w:rFonts w:hint="eastAsia" w:ascii="宋体" w:hAnsi="宋体" w:cstheme="minorEastAsia"/>
          <w:color w:val="auto"/>
          <w:highlight w:val="none"/>
          <w:u w:val="single"/>
        </w:rPr>
        <w:t xml:space="preserve"> </w:t>
      </w:r>
    </w:p>
    <w:p w14:paraId="19E6E3DD">
      <w:pPr>
        <w:snapToGrid w:val="0"/>
        <w:spacing w:line="360" w:lineRule="auto"/>
        <w:rPr>
          <w:rFonts w:hint="eastAsia" w:ascii="宋体" w:hAnsi="宋体" w:cstheme="minorEastAsia"/>
          <w:color w:val="auto"/>
          <w:highlight w:val="none"/>
          <w:u w:val="single"/>
        </w:rPr>
      </w:pPr>
      <w:r>
        <w:rPr>
          <w:rFonts w:hint="eastAsia" w:ascii="宋体" w:hAnsi="宋体" w:cstheme="minorEastAsia"/>
          <w:color w:val="auto"/>
          <w:highlight w:val="none"/>
        </w:rPr>
        <w:t>承包人：</w:t>
      </w:r>
      <w:r>
        <w:rPr>
          <w:rFonts w:hint="eastAsia" w:ascii="宋体" w:hAnsi="宋体" w:cstheme="minorEastAsia"/>
          <w:color w:val="auto"/>
          <w:sz w:val="16"/>
          <w:highlight w:val="none"/>
          <w:u w:val="single"/>
        </w:rPr>
        <w:t xml:space="preserve"> </w:t>
      </w:r>
      <w:r>
        <w:rPr>
          <w:rFonts w:hint="eastAsia" w:ascii="宋体" w:hAnsi="宋体" w:cstheme="minorEastAsia"/>
          <w:color w:val="auto"/>
          <w:highlight w:val="none"/>
          <w:u w:val="single"/>
        </w:rPr>
        <w:t xml:space="preserve">                  </w:t>
      </w:r>
    </w:p>
    <w:p w14:paraId="6BDE0378">
      <w:pPr>
        <w:snapToGrid w:val="0"/>
        <w:spacing w:line="360" w:lineRule="auto"/>
        <w:ind w:firstLine="488"/>
        <w:rPr>
          <w:rFonts w:hint="eastAsia" w:ascii="宋体" w:hAnsi="宋体" w:cstheme="minorEastAsia"/>
          <w:color w:val="auto"/>
          <w:highlight w:val="none"/>
          <w:u w:val="single"/>
        </w:rPr>
      </w:pPr>
    </w:p>
    <w:p w14:paraId="064A6843">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发包人、承包人根据《中华人民共和国建筑法》、《建设工程质量管理条例》和《房屋建筑工程质量保修办法》，经协商一致，对</w:t>
      </w:r>
      <w:r>
        <w:rPr>
          <w:rFonts w:hint="eastAsia" w:ascii="宋体" w:hAnsi="宋体" w:cstheme="minorEastAsia"/>
          <w:color w:val="auto"/>
          <w:highlight w:val="none"/>
          <w:u w:val="single"/>
        </w:rPr>
        <w:t xml:space="preserve">基建-教育系统消防改造-顺义区仁和中学(教学楼) </w:t>
      </w:r>
      <w:r>
        <w:rPr>
          <w:rFonts w:hint="eastAsia" w:ascii="宋体" w:hAnsi="宋体" w:cstheme="minorEastAsia"/>
          <w:color w:val="auto"/>
          <w:highlight w:val="none"/>
        </w:rPr>
        <w:t>（</w:t>
      </w:r>
      <w:r>
        <w:rPr>
          <w:rFonts w:hint="eastAsia" w:ascii="宋体" w:hAnsi="宋体" w:cstheme="minorEastAsia"/>
          <w:color w:val="auto"/>
          <w:szCs w:val="21"/>
          <w:highlight w:val="none"/>
        </w:rPr>
        <w:t>工程</w:t>
      </w:r>
      <w:r>
        <w:rPr>
          <w:rFonts w:hint="eastAsia" w:ascii="宋体" w:hAnsi="宋体" w:cstheme="minorEastAsia"/>
          <w:color w:val="auto"/>
          <w:highlight w:val="none"/>
        </w:rPr>
        <w:t>名称）签订保修书。</w:t>
      </w:r>
    </w:p>
    <w:p w14:paraId="402CE3AD">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一、工程保修范围和内容</w:t>
      </w:r>
    </w:p>
    <w:p w14:paraId="520A4494">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承包人在保修期内，按照有关法律、法规、规章的管理规定和双方约定，承担本工程保修责任。</w:t>
      </w:r>
    </w:p>
    <w:p w14:paraId="1D92FE02">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保修责任范围包括本项目涉及所有内容。</w:t>
      </w:r>
    </w:p>
    <w:p w14:paraId="04C26010">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二、保修期</w:t>
      </w:r>
    </w:p>
    <w:p w14:paraId="7E0E8E10">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双方根据《建设工程质量管理条例》及有关规定，约定本工程的保修期如下：</w:t>
      </w:r>
      <w:r>
        <w:rPr>
          <w:rFonts w:hint="eastAsia" w:ascii="宋体" w:hAnsi="宋体" w:cstheme="minorEastAsia"/>
          <w:color w:val="auto"/>
          <w:highlight w:val="none"/>
          <w:u w:val="single"/>
        </w:rPr>
        <w:t>本工程保修期为5年。</w:t>
      </w:r>
    </w:p>
    <w:p w14:paraId="49CEBF5D">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三、保修责任</w:t>
      </w:r>
    </w:p>
    <w:p w14:paraId="67B736C8">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1、属于责任范围、内容的项目，承包人应当在接到保修通知之日起7天内派人保修。承包人不在约定期限内派人保修的，发包人可以委托他人修理。</w:t>
      </w:r>
    </w:p>
    <w:p w14:paraId="00AE1788">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2、发生紧急抢修事故的，承包人在接到事故通知后，应当立即到达事故现场抢修。</w:t>
      </w:r>
    </w:p>
    <w:p w14:paraId="1E63C599">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65A0B685">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4、质量保修完成后，由发包人组织验收。</w:t>
      </w:r>
    </w:p>
    <w:p w14:paraId="187E4507">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四、保修费用</w:t>
      </w:r>
    </w:p>
    <w:p w14:paraId="55013DC9">
      <w:pPr>
        <w:snapToGrid w:val="0"/>
        <w:spacing w:line="360" w:lineRule="auto"/>
        <w:ind w:firstLine="420" w:firstLineChars="200"/>
        <w:rPr>
          <w:rFonts w:hint="eastAsia" w:ascii="宋体" w:hAnsi="宋体" w:cstheme="minorEastAsia"/>
          <w:color w:val="auto"/>
          <w:highlight w:val="none"/>
          <w:u w:val="single"/>
        </w:rPr>
      </w:pPr>
      <w:r>
        <w:rPr>
          <w:rFonts w:hint="eastAsia" w:ascii="宋体" w:hAnsi="宋体" w:cstheme="minorEastAsia"/>
          <w:color w:val="auto"/>
          <w:highlight w:val="none"/>
        </w:rPr>
        <w:t>保修费用由造成质量缺陷的责任方承担。</w:t>
      </w:r>
    </w:p>
    <w:p w14:paraId="38FE2A72">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五、其 他</w:t>
      </w:r>
    </w:p>
    <w:p w14:paraId="3E04D05C">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双方约定的其他工程保修责任事项：</w:t>
      </w:r>
      <w:r>
        <w:rPr>
          <w:rFonts w:hint="eastAsia" w:ascii="宋体" w:hAnsi="宋体" w:cstheme="minorEastAsia"/>
          <w:color w:val="auto"/>
          <w:highlight w:val="none"/>
          <w:u w:val="single"/>
        </w:rPr>
        <w:t xml:space="preserve">               无              </w:t>
      </w:r>
      <w:r>
        <w:rPr>
          <w:rFonts w:hint="eastAsia" w:ascii="宋体" w:hAnsi="宋体" w:cstheme="minorEastAsia"/>
          <w:color w:val="auto"/>
          <w:highlight w:val="none"/>
        </w:rPr>
        <w:t>。</w:t>
      </w:r>
    </w:p>
    <w:p w14:paraId="510583E5">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本工程保修书，由施工合同发包人、承包人双方在竣工验收前共同签署，作为施工合同附件，其有效期限至保修期满。</w:t>
      </w:r>
    </w:p>
    <w:p w14:paraId="4BEE40C9">
      <w:pPr>
        <w:pStyle w:val="25"/>
        <w:spacing w:line="360" w:lineRule="auto"/>
        <w:ind w:left="1260"/>
        <w:rPr>
          <w:rFonts w:hint="eastAsia" w:ascii="宋体" w:hAnsi="宋体" w:cstheme="minorEastAsia"/>
          <w:color w:val="auto"/>
          <w:highlight w:val="none"/>
        </w:rPr>
      </w:pPr>
    </w:p>
    <w:p w14:paraId="20811DFD">
      <w:pPr>
        <w:spacing w:line="360" w:lineRule="auto"/>
        <w:rPr>
          <w:rFonts w:hint="eastAsia" w:ascii="宋体" w:hAnsi="宋体" w:cstheme="minorEastAsia"/>
          <w:color w:val="auto"/>
          <w:highlight w:val="none"/>
        </w:rPr>
      </w:pPr>
    </w:p>
    <w:p w14:paraId="3B79E33D">
      <w:pPr>
        <w:pStyle w:val="25"/>
        <w:spacing w:line="360" w:lineRule="auto"/>
        <w:ind w:left="1260"/>
        <w:rPr>
          <w:rFonts w:hint="eastAsia" w:ascii="宋体" w:hAnsi="宋体" w:cstheme="minorEastAsia"/>
          <w:color w:val="auto"/>
          <w:highlight w:val="none"/>
        </w:rPr>
      </w:pPr>
    </w:p>
    <w:p w14:paraId="2D74DC14">
      <w:pPr>
        <w:snapToGrid w:val="0"/>
        <w:spacing w:line="360" w:lineRule="auto"/>
        <w:ind w:left="27" w:leftChars="13"/>
        <w:rPr>
          <w:rFonts w:hint="eastAsia" w:ascii="宋体" w:hAnsi="宋体" w:cstheme="minorEastAsia"/>
          <w:color w:val="auto"/>
          <w:highlight w:val="none"/>
        </w:rPr>
      </w:pPr>
    </w:p>
    <w:p w14:paraId="3ABA416C">
      <w:pPr>
        <w:snapToGrid w:val="0"/>
        <w:spacing w:line="360" w:lineRule="auto"/>
        <w:ind w:left="27" w:leftChars="13"/>
        <w:rPr>
          <w:rFonts w:hint="eastAsia" w:ascii="宋体" w:hAnsi="宋体" w:cstheme="minorEastAsia"/>
          <w:color w:val="auto"/>
          <w:highlight w:val="none"/>
        </w:rPr>
      </w:pPr>
    </w:p>
    <w:p w14:paraId="7F6D7261">
      <w:pPr>
        <w:snapToGrid w:val="0"/>
        <w:spacing w:line="360" w:lineRule="auto"/>
        <w:ind w:left="27" w:leftChars="13"/>
        <w:rPr>
          <w:rFonts w:hint="eastAsia" w:ascii="宋体" w:hAnsi="宋体" w:cstheme="minorEastAsia"/>
          <w:color w:val="auto"/>
          <w:highlight w:val="none"/>
        </w:rPr>
      </w:pPr>
    </w:p>
    <w:p w14:paraId="626B1283">
      <w:pPr>
        <w:snapToGrid w:val="0"/>
        <w:spacing w:line="360" w:lineRule="auto"/>
        <w:ind w:left="27" w:leftChars="13"/>
        <w:rPr>
          <w:rFonts w:hint="eastAsia" w:ascii="宋体" w:hAnsi="宋体" w:cstheme="minorEastAsia"/>
          <w:color w:val="auto"/>
          <w:szCs w:val="21"/>
          <w:highlight w:val="none"/>
          <w:u w:val="single"/>
        </w:rPr>
      </w:pPr>
      <w:r>
        <w:rPr>
          <w:rFonts w:hint="eastAsia" w:ascii="宋体" w:hAnsi="宋体" w:cstheme="minorEastAsia"/>
          <w:color w:val="auto"/>
          <w:highlight w:val="none"/>
        </w:rPr>
        <w:t>发包人：</w:t>
      </w:r>
      <w:r>
        <w:rPr>
          <w:rFonts w:hint="eastAsia" w:ascii="宋体" w:hAnsi="宋体" w:cstheme="minorEastAsia"/>
          <w:color w:val="auto"/>
          <w:highlight w:val="none"/>
          <w:u w:val="single"/>
        </w:rPr>
        <w:t xml:space="preserve"> 北京顺义区南彩第二小学</w:t>
      </w:r>
      <w:r>
        <w:rPr>
          <w:rFonts w:hint="eastAsia" w:ascii="宋体" w:hAnsi="宋体" w:cstheme="minorEastAsia"/>
          <w:color w:val="auto"/>
          <w:highlight w:val="none"/>
        </w:rPr>
        <w:t xml:space="preserve">           承包人：</w:t>
      </w:r>
      <w:r>
        <w:rPr>
          <w:rFonts w:hint="eastAsia" w:ascii="宋体" w:hAnsi="宋体" w:cstheme="minorEastAsia"/>
          <w:color w:val="auto"/>
          <w:highlight w:val="none"/>
          <w:u w:val="single"/>
        </w:rPr>
        <w:t xml:space="preserve">                         </w:t>
      </w:r>
    </w:p>
    <w:p w14:paraId="6DE0CC60">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（公章）                                 （公章）</w:t>
      </w:r>
    </w:p>
    <w:p w14:paraId="58FFDF3B">
      <w:pPr>
        <w:widowControl/>
        <w:spacing w:line="360" w:lineRule="auto"/>
        <w:ind w:left="6090" w:hanging="6090" w:hangingChars="2900"/>
        <w:jc w:val="left"/>
        <w:rPr>
          <w:rFonts w:hint="eastAsia" w:ascii="宋体" w:hAnsi="宋体" w:cstheme="minorEastAsia"/>
          <w:color w:val="auto"/>
          <w:szCs w:val="21"/>
          <w:highlight w:val="none"/>
          <w:u w:val="single"/>
        </w:rPr>
      </w:pPr>
      <w:r>
        <w:rPr>
          <w:rFonts w:hint="eastAsia" w:ascii="宋体" w:hAnsi="宋体" w:cstheme="minorEastAsia"/>
          <w:color w:val="auto"/>
          <w:highlight w:val="none"/>
        </w:rPr>
        <w:t>法定地址：</w:t>
      </w:r>
      <w:r>
        <w:rPr>
          <w:rFonts w:hint="eastAsia" w:ascii="宋体" w:hAnsi="宋体" w:cstheme="minorEastAsia"/>
          <w:bCs/>
          <w:color w:val="auto"/>
          <w:highlight w:val="none"/>
          <w:u w:val="single"/>
        </w:rPr>
        <w:t xml:space="preserve">                   </w:t>
      </w:r>
      <w:r>
        <w:rPr>
          <w:rFonts w:hint="eastAsia" w:ascii="宋体" w:hAnsi="宋体" w:cstheme="minorEastAsia"/>
          <w:bCs/>
          <w:color w:val="auto"/>
          <w:highlight w:val="none"/>
        </w:rPr>
        <w:t xml:space="preserve">            </w:t>
      </w:r>
      <w:r>
        <w:rPr>
          <w:rFonts w:hint="eastAsia" w:ascii="宋体" w:hAnsi="宋体" w:cstheme="minorEastAsia"/>
          <w:color w:val="auto"/>
          <w:highlight w:val="none"/>
        </w:rPr>
        <w:t>法定地址：</w:t>
      </w:r>
      <w:r>
        <w:rPr>
          <w:rFonts w:hint="eastAsia" w:ascii="宋体" w:hAnsi="宋体" w:cstheme="minorEastAsia"/>
          <w:bCs/>
          <w:color w:val="auto"/>
          <w:highlight w:val="none"/>
          <w:u w:val="single"/>
        </w:rPr>
        <w:t xml:space="preserve">                       </w:t>
      </w:r>
      <w:r>
        <w:rPr>
          <w:rFonts w:hint="eastAsia" w:ascii="宋体" w:hAnsi="宋体" w:cstheme="minorEastAsia"/>
          <w:color w:val="auto"/>
          <w:sz w:val="18"/>
          <w:highlight w:val="none"/>
        </w:rPr>
        <w:t xml:space="preserve"> </w:t>
      </w:r>
      <w:r>
        <w:rPr>
          <w:rFonts w:hint="eastAsia" w:ascii="宋体" w:hAnsi="宋体" w:cstheme="minorEastAsia"/>
          <w:color w:val="auto"/>
          <w:highlight w:val="none"/>
        </w:rPr>
        <w:t xml:space="preserve"> </w:t>
      </w:r>
    </w:p>
    <w:p w14:paraId="23098CDE">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法定代表人或其                           法定代表人或其</w:t>
      </w:r>
    </w:p>
    <w:p w14:paraId="7572BAC2">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委托代理人：</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（签字或盖章）   委托代理人：</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（签字或盖章）</w:t>
      </w:r>
    </w:p>
    <w:p w14:paraId="3B2582B1">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电话：</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电话：</w:t>
      </w:r>
      <w:r>
        <w:rPr>
          <w:rFonts w:hint="eastAsia" w:ascii="宋体" w:hAnsi="宋体" w:cstheme="minorEastAsia"/>
          <w:color w:val="auto"/>
          <w:highlight w:val="none"/>
          <w:u w:val="single"/>
        </w:rPr>
        <w:t xml:space="preserve">                          </w:t>
      </w:r>
    </w:p>
    <w:p w14:paraId="6A66D75E">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传真：</w:t>
      </w:r>
      <w:r>
        <w:rPr>
          <w:rFonts w:hint="eastAsia" w:ascii="宋体" w:hAnsi="宋体" w:cstheme="minorEastAsia"/>
          <w:color w:val="auto"/>
          <w:highlight w:val="none"/>
          <w:u w:val="single"/>
        </w:rPr>
        <w:t xml:space="preserve">        /                   </w:t>
      </w:r>
      <w:r>
        <w:rPr>
          <w:rFonts w:hint="eastAsia" w:ascii="宋体" w:hAnsi="宋体" w:cstheme="minorEastAsia"/>
          <w:color w:val="auto"/>
          <w:highlight w:val="none"/>
        </w:rPr>
        <w:t xml:space="preserve">       传真：</w:t>
      </w:r>
      <w:r>
        <w:rPr>
          <w:rFonts w:hint="eastAsia" w:ascii="宋体" w:hAnsi="宋体" w:cstheme="minorEastAsia"/>
          <w:color w:val="auto"/>
          <w:highlight w:val="none"/>
          <w:u w:val="single"/>
        </w:rPr>
        <w:t xml:space="preserve">                          </w:t>
      </w:r>
    </w:p>
    <w:p w14:paraId="79C9E1ED">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电子邮箱：</w:t>
      </w:r>
      <w:r>
        <w:rPr>
          <w:rFonts w:hint="eastAsia" w:ascii="宋体" w:hAnsi="宋体" w:cstheme="minorEastAsia"/>
          <w:color w:val="auto"/>
          <w:highlight w:val="none"/>
          <w:u w:val="single"/>
        </w:rPr>
        <w:t xml:space="preserve">     /                  </w:t>
      </w:r>
      <w:r>
        <w:rPr>
          <w:rFonts w:hint="eastAsia" w:ascii="宋体" w:hAnsi="宋体" w:cstheme="minorEastAsia"/>
          <w:color w:val="auto"/>
          <w:highlight w:val="none"/>
        </w:rPr>
        <w:t xml:space="preserve">       电子邮箱：</w:t>
      </w:r>
      <w:r>
        <w:rPr>
          <w:rFonts w:hint="eastAsia" w:ascii="宋体" w:hAnsi="宋体" w:cstheme="minorEastAsia"/>
          <w:color w:val="auto"/>
          <w:highlight w:val="none"/>
          <w:u w:val="single"/>
        </w:rPr>
        <w:t xml:space="preserve">                      </w:t>
      </w:r>
    </w:p>
    <w:p w14:paraId="2DF621D7">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开户银行：</w:t>
      </w:r>
      <w:r>
        <w:rPr>
          <w:rFonts w:hint="eastAsia" w:ascii="宋体" w:hAnsi="宋体" w:cstheme="minorEastAsia"/>
          <w:color w:val="auto"/>
          <w:szCs w:val="21"/>
          <w:highlight w:val="none"/>
          <w:u w:val="single"/>
        </w:rPr>
        <w:t xml:space="preserve">      /                </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开户银行：</w:t>
      </w:r>
      <w:r>
        <w:rPr>
          <w:rFonts w:hint="eastAsia" w:ascii="宋体" w:hAnsi="宋体" w:cstheme="minorEastAsia"/>
          <w:color w:val="auto"/>
          <w:highlight w:val="none"/>
          <w:u w:val="single"/>
        </w:rPr>
        <w:t xml:space="preserve">                      </w:t>
      </w:r>
    </w:p>
    <w:p w14:paraId="6B0BECE8">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账号：</w:t>
      </w:r>
      <w:r>
        <w:rPr>
          <w:rFonts w:hint="eastAsia" w:ascii="宋体" w:hAnsi="宋体" w:cstheme="minorEastAsia"/>
          <w:color w:val="auto"/>
          <w:szCs w:val="21"/>
          <w:highlight w:val="none"/>
          <w:u w:val="single"/>
        </w:rPr>
        <w:t xml:space="preserve">          /         </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账号：</w:t>
      </w:r>
      <w:r>
        <w:rPr>
          <w:rFonts w:hint="eastAsia" w:ascii="宋体" w:hAnsi="宋体" w:cstheme="minorEastAsia"/>
          <w:color w:val="auto"/>
          <w:highlight w:val="none"/>
          <w:u w:val="single"/>
        </w:rPr>
        <w:t xml:space="preserve">                          </w:t>
      </w:r>
    </w:p>
    <w:p w14:paraId="48E200C7">
      <w:pPr>
        <w:widowControl/>
        <w:spacing w:line="360" w:lineRule="auto"/>
        <w:jc w:val="left"/>
        <w:rPr>
          <w:rFonts w:hint="eastAsia" w:ascii="宋体" w:hAnsi="宋体" w:cstheme="minorEastAsia"/>
          <w:b/>
          <w:color w:val="auto"/>
          <w:sz w:val="36"/>
          <w:szCs w:val="36"/>
          <w:highlight w:val="none"/>
        </w:rPr>
      </w:pPr>
      <w:r>
        <w:rPr>
          <w:rFonts w:hint="eastAsia" w:ascii="宋体" w:hAnsi="宋体" w:cstheme="minorEastAsia"/>
          <w:color w:val="auto"/>
          <w:highlight w:val="none"/>
        </w:rPr>
        <w:t>邮政编码：</w:t>
      </w:r>
      <w:r>
        <w:rPr>
          <w:rFonts w:hint="eastAsia" w:ascii="宋体" w:hAnsi="宋体" w:cstheme="minorEastAsia"/>
          <w:color w:val="auto"/>
          <w:highlight w:val="none"/>
          <w:u w:val="single"/>
        </w:rPr>
        <w:t xml:space="preserve">        101300          </w:t>
      </w:r>
      <w:r>
        <w:rPr>
          <w:rFonts w:hint="eastAsia" w:ascii="宋体" w:hAnsi="宋体" w:cstheme="minorEastAsia"/>
          <w:color w:val="auto"/>
          <w:highlight w:val="none"/>
        </w:rPr>
        <w:t xml:space="preserve">       邮政编码：</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w:t>
      </w:r>
    </w:p>
    <w:p w14:paraId="651FA5B3">
      <w:pPr>
        <w:spacing w:line="360" w:lineRule="auto"/>
        <w:rPr>
          <w:rFonts w:hint="eastAsia" w:ascii="宋体" w:hAnsi="宋体" w:cstheme="minorEastAsia"/>
          <w:color w:val="auto"/>
          <w:highlight w:val="none"/>
        </w:rPr>
      </w:pPr>
    </w:p>
    <w:p w14:paraId="03CEFBCD">
      <w:pPr>
        <w:spacing w:line="360" w:lineRule="auto"/>
        <w:rPr>
          <w:rFonts w:hint="eastAsia" w:ascii="宋体" w:hAnsi="宋体" w:cstheme="minorEastAsia"/>
          <w:color w:val="auto"/>
          <w:highlight w:val="none"/>
        </w:rPr>
      </w:pPr>
    </w:p>
    <w:p w14:paraId="1FB5EBCD">
      <w:pPr>
        <w:rPr>
          <w:rFonts w:hint="eastAsia" w:ascii="宋体" w:hAnsi="宋体"/>
          <w:b/>
          <w:color w:val="auto"/>
          <w:sz w:val="36"/>
          <w:szCs w:val="36"/>
          <w:highlight w:val="none"/>
        </w:rPr>
      </w:pPr>
      <w:r>
        <w:rPr>
          <w:rFonts w:hint="eastAsia" w:ascii="宋体" w:hAnsi="宋体" w:cs="宋体"/>
          <w:b/>
          <w:color w:val="auto"/>
          <w:sz w:val="28"/>
          <w:szCs w:val="28"/>
          <w:highlight w:val="none"/>
        </w:rPr>
        <w:br w:type="page"/>
      </w:r>
      <w:bookmarkEnd w:id="718"/>
      <w:bookmarkStart w:id="813" w:name="_Toc20791"/>
      <w:bookmarkStart w:id="814" w:name="_Toc182579859"/>
    </w:p>
    <w:p w14:paraId="5AAE5C06">
      <w:pPr>
        <w:spacing w:line="36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t>第</w:t>
      </w:r>
      <w:r>
        <w:rPr>
          <w:rFonts w:hint="eastAsia" w:ascii="宋体" w:hAnsi="宋体"/>
          <w:b/>
          <w:color w:val="auto"/>
          <w:sz w:val="36"/>
          <w:szCs w:val="36"/>
          <w:highlight w:val="none"/>
        </w:rPr>
        <w:t>六</w:t>
      </w:r>
      <w:r>
        <w:rPr>
          <w:rFonts w:ascii="宋体" w:hAnsi="宋体"/>
          <w:b/>
          <w:color w:val="auto"/>
          <w:sz w:val="36"/>
          <w:szCs w:val="36"/>
          <w:highlight w:val="none"/>
        </w:rPr>
        <w:t xml:space="preserve">章   </w:t>
      </w:r>
      <w:r>
        <w:rPr>
          <w:rFonts w:hint="eastAsia" w:ascii="宋体" w:hAnsi="宋体"/>
          <w:b/>
          <w:color w:val="auto"/>
          <w:sz w:val="36"/>
          <w:szCs w:val="36"/>
          <w:highlight w:val="none"/>
        </w:rPr>
        <w:t>工程量清单</w:t>
      </w:r>
      <w:bookmarkEnd w:id="813"/>
      <w:bookmarkEnd w:id="814"/>
    </w:p>
    <w:p w14:paraId="0F5637E6">
      <w:pPr>
        <w:keepNext/>
        <w:keepLines/>
        <w:spacing w:line="360" w:lineRule="auto"/>
        <w:ind w:firstLine="480" w:firstLineChars="200"/>
        <w:outlineLvl w:val="1"/>
        <w:rPr>
          <w:rFonts w:hint="eastAsia" w:ascii="宋体" w:hAnsi="宋体" w:cs="宋体"/>
          <w:color w:val="auto"/>
          <w:sz w:val="24"/>
          <w:highlight w:val="none"/>
        </w:rPr>
      </w:pPr>
      <w:bookmarkStart w:id="815" w:name="_Toc117597689"/>
      <w:bookmarkStart w:id="816" w:name="_Toc486580259"/>
      <w:bookmarkStart w:id="817" w:name="_Toc490222670"/>
      <w:bookmarkStart w:id="818" w:name="_Toc489280068"/>
      <w:bookmarkStart w:id="819" w:name="_Toc497213933"/>
      <w:r>
        <w:rPr>
          <w:rFonts w:ascii="宋体" w:hAnsi="宋体" w:cs="宋体"/>
          <w:color w:val="auto"/>
          <w:sz w:val="24"/>
          <w:highlight w:val="none"/>
        </w:rPr>
        <w:t>1.</w:t>
      </w:r>
      <w:r>
        <w:rPr>
          <w:rFonts w:hint="eastAsia" w:ascii="宋体" w:hAnsi="宋体" w:cs="宋体"/>
          <w:color w:val="auto"/>
          <w:sz w:val="24"/>
          <w:highlight w:val="none"/>
        </w:rPr>
        <w:t>工程量清单说明</w:t>
      </w:r>
      <w:bookmarkEnd w:id="815"/>
      <w:bookmarkEnd w:id="816"/>
      <w:bookmarkEnd w:id="817"/>
      <w:bookmarkEnd w:id="818"/>
      <w:bookmarkEnd w:id="819"/>
    </w:p>
    <w:p w14:paraId="2CA0CDE4">
      <w:pPr>
        <w:keepNext/>
        <w:keepLines/>
        <w:spacing w:line="360" w:lineRule="auto"/>
        <w:ind w:firstLine="480" w:firstLineChars="200"/>
        <w:outlineLvl w:val="2"/>
        <w:rPr>
          <w:rFonts w:hint="eastAsia" w:ascii="宋体" w:hAnsi="宋体"/>
          <w:color w:val="auto"/>
          <w:kern w:val="0"/>
          <w:sz w:val="24"/>
          <w:highlight w:val="none"/>
        </w:rPr>
      </w:pPr>
      <w:bookmarkStart w:id="820" w:name="_Toc486580260"/>
      <w:bookmarkStart w:id="821" w:name="_Toc489280069"/>
      <w:bookmarkStart w:id="822" w:name="_Toc497213934"/>
      <w:bookmarkStart w:id="823" w:name="_Toc117597690"/>
      <w:r>
        <w:rPr>
          <w:rFonts w:ascii="宋体" w:hAnsi="宋体"/>
          <w:color w:val="auto"/>
          <w:kern w:val="0"/>
          <w:sz w:val="24"/>
          <w:highlight w:val="none"/>
        </w:rPr>
        <w:t xml:space="preserve">1.1  </w:t>
      </w:r>
      <w:r>
        <w:rPr>
          <w:rFonts w:hint="eastAsia" w:ascii="宋体" w:hAnsi="宋体"/>
          <w:color w:val="auto"/>
          <w:kern w:val="0"/>
          <w:sz w:val="24"/>
          <w:highlight w:val="none"/>
        </w:rPr>
        <w:t>工程量清单编制依据</w:t>
      </w:r>
      <w:bookmarkEnd w:id="820"/>
      <w:bookmarkEnd w:id="821"/>
      <w:bookmarkEnd w:id="822"/>
      <w:bookmarkEnd w:id="823"/>
    </w:p>
    <w:p w14:paraId="17F42851">
      <w:pPr>
        <w:spacing w:line="360" w:lineRule="auto"/>
        <w:ind w:firstLine="480" w:firstLineChars="200"/>
        <w:outlineLvl w:val="3"/>
        <w:rPr>
          <w:rFonts w:hint="eastAsia" w:ascii="宋体" w:hAnsi="宋体"/>
          <w:color w:val="auto"/>
          <w:sz w:val="24"/>
          <w:highlight w:val="none"/>
        </w:rPr>
      </w:pPr>
      <w:r>
        <w:rPr>
          <w:rFonts w:hint="eastAsia" w:ascii="宋体" w:hAnsi="宋体" w:eastAsia="宋体" w:cs="Times New Roman"/>
          <w:color w:val="auto"/>
          <w:sz w:val="24"/>
          <w:highlight w:val="none"/>
        </w:rPr>
        <w:t>1.1.1  本工程量清单是依据现行的计量计价标准以及图纸等设计文件，并结合施工现场实际情况等编制的。本</w:t>
      </w:r>
      <w:r>
        <w:rPr>
          <w:rFonts w:hint="eastAsia" w:ascii="宋体" w:hAnsi="宋体"/>
          <w:color w:val="auto"/>
          <w:sz w:val="24"/>
          <w:highlight w:val="none"/>
        </w:rPr>
        <w:t>工程量清单依据的计量计价规范：</w:t>
      </w:r>
      <w:r>
        <w:rPr>
          <w:rFonts w:hint="eastAsia" w:ascii="宋体" w:hAnsi="宋体"/>
          <w:color w:val="auto"/>
          <w:sz w:val="24"/>
          <w:highlight w:val="none"/>
          <w:u w:val="single"/>
        </w:rPr>
        <w:t>依据现行中华人民共和国国家标准《房屋修缮工程工程量计算标准》（DB11/T638-2023）《北京市房屋修缮工程计价依据-预算消耗量标准》（2021年）及相关计量规范及配套的工程量计算规范等</w:t>
      </w:r>
      <w:r>
        <w:rPr>
          <w:rFonts w:hint="eastAsia" w:ascii="宋体" w:hAnsi="宋体"/>
          <w:color w:val="auto"/>
          <w:sz w:val="24"/>
          <w:highlight w:val="none"/>
        </w:rPr>
        <w:t>。</w:t>
      </w:r>
    </w:p>
    <w:p w14:paraId="2AA71B73">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lang w:eastAsia="zh-CN"/>
        </w:rPr>
        <w:t>上述“计量计价标准”中规定的工程量计算规则中没有的项目，应当执行本章第1.1.3项约定；计量计价标准中规定的工程量计算规则中没有且本章第1.1.3项也未约定的，由双方协商确定；协商不成的，可向省级或行业工程造价管理机构申请裁定，或按照 有合同约束力的图纸所标示尺寸的理论净量计算。计量采用中华人民共和国法定的基本计量单位</w:t>
      </w:r>
      <w:r>
        <w:rPr>
          <w:rFonts w:hint="eastAsia" w:ascii="宋体" w:hAnsi="宋体"/>
          <w:color w:val="auto"/>
          <w:sz w:val="24"/>
          <w:highlight w:val="none"/>
        </w:rPr>
        <w:t>。</w:t>
      </w:r>
    </w:p>
    <w:p w14:paraId="3D86B1EC">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补充子目的子目特征、计量单位、工程量计算规则及工作内容说明</w:t>
      </w:r>
      <w:r>
        <w:rPr>
          <w:rFonts w:hint="eastAsia" w:ascii="宋体" w:hAnsi="宋体" w:cs="Arial"/>
          <w:color w:val="auto"/>
          <w:sz w:val="24"/>
          <w:highlight w:val="none"/>
        </w:rPr>
        <w:t>：</w:t>
      </w:r>
      <w:r>
        <w:rPr>
          <w:rFonts w:hint="eastAsia" w:ascii="宋体" w:hAnsi="宋体" w:cs="Arial"/>
          <w:bCs/>
          <w:color w:val="auto"/>
          <w:sz w:val="24"/>
          <w:highlight w:val="none"/>
          <w:u w:val="single"/>
        </w:rPr>
        <w:t>详见工程量清单，如有冲突以工程量清单为准</w:t>
      </w:r>
      <w:r>
        <w:rPr>
          <w:rFonts w:hint="eastAsia" w:ascii="宋体" w:hAnsi="宋体"/>
          <w:color w:val="auto"/>
          <w:sz w:val="24"/>
          <w:highlight w:val="none"/>
        </w:rPr>
        <w:t>。</w:t>
      </w:r>
    </w:p>
    <w:p w14:paraId="28657270">
      <w:pPr>
        <w:keepNext/>
        <w:keepLines/>
        <w:spacing w:line="360" w:lineRule="auto"/>
        <w:ind w:firstLine="480" w:firstLineChars="200"/>
        <w:outlineLvl w:val="2"/>
        <w:rPr>
          <w:rFonts w:hint="eastAsia" w:ascii="宋体" w:hAnsi="宋体"/>
          <w:color w:val="auto"/>
          <w:kern w:val="0"/>
          <w:sz w:val="24"/>
          <w:highlight w:val="none"/>
        </w:rPr>
      </w:pPr>
      <w:bookmarkStart w:id="824" w:name="_Toc117597691"/>
      <w:bookmarkStart w:id="825" w:name="_Toc489280070"/>
      <w:bookmarkStart w:id="826" w:name="_Toc486580261"/>
      <w:bookmarkStart w:id="827" w:name="_Toc497213935"/>
      <w:r>
        <w:rPr>
          <w:rFonts w:ascii="宋体" w:hAnsi="宋体"/>
          <w:color w:val="auto"/>
          <w:kern w:val="0"/>
          <w:sz w:val="24"/>
          <w:highlight w:val="none"/>
        </w:rPr>
        <w:t xml:space="preserve">1.2  </w:t>
      </w:r>
      <w:r>
        <w:rPr>
          <w:rFonts w:hint="eastAsia" w:ascii="宋体" w:hAnsi="宋体"/>
          <w:color w:val="auto"/>
          <w:kern w:val="0"/>
          <w:sz w:val="24"/>
          <w:highlight w:val="none"/>
        </w:rPr>
        <w:t>工程量清单有关内容的理解</w:t>
      </w:r>
      <w:bookmarkEnd w:id="824"/>
      <w:bookmarkEnd w:id="825"/>
      <w:bookmarkEnd w:id="826"/>
      <w:bookmarkEnd w:id="827"/>
    </w:p>
    <w:p w14:paraId="6214E8B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  本工程量清单应与</w:t>
      </w:r>
      <w:r>
        <w:rPr>
          <w:rFonts w:hint="eastAsia" w:ascii="宋体" w:hAnsi="宋体" w:eastAsia="宋体" w:cs="Times New Roman"/>
          <w:color w:val="auto"/>
          <w:sz w:val="24"/>
          <w:highlight w:val="none"/>
          <w:lang w:val="en-US" w:eastAsia="zh-CN"/>
        </w:rPr>
        <w:t>竞争性磋商文件</w:t>
      </w:r>
      <w:r>
        <w:rPr>
          <w:rFonts w:hint="eastAsia" w:ascii="宋体" w:hAnsi="宋体" w:eastAsia="宋体" w:cs="Times New Roman"/>
          <w:color w:val="auto"/>
          <w:sz w:val="24"/>
          <w:highlight w:val="none"/>
        </w:rPr>
        <w:t>文件中</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须知、合同条款、技术标准和要求及图纸等章节内容一起阅读和理解。</w:t>
      </w:r>
    </w:p>
    <w:p w14:paraId="7C72646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1.2.2  本工程量清单是指表现本工程项目编码、项目名称、项目特征、计量单位、工程数量等的明细清单，仅是</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报价以及最高</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限价的共同基础，竣工结算的工程量按合同约定确定。合同价格的确定以及价款支付应遵循合同条款、技术标准和要求以及本章的有关约定。</w:t>
      </w:r>
    </w:p>
    <w:p w14:paraId="154EDE4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1.2.3  工程量清单中总价项目是指以总价计价，以“项”为计量单位，工程量为整数1的项目，除合同另有约定外，价格固定包干。采用总价合同形式时，合同订立后，除合同条款第15条约定的变更外，合同清单中的工程量均没有合同约束力，所有项目均是总价项目，视同按项计量。</w:t>
      </w:r>
    </w:p>
    <w:p w14:paraId="0F599D16">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1.2.4  工程量清单中单价项目是指以单价计价，根据具有合同约束力的图纸和工程量计算规则进行计量，以实际完成数量乘以相应单价进行结算的项目。</w:t>
      </w:r>
    </w:p>
    <w:p w14:paraId="06D54F7C">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1.2.5  分部分项工程项目清单中项目编码是指所列清单项目的数字标识和代码。</w:t>
      </w:r>
    </w:p>
    <w:p w14:paraId="0B2DF3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1.2.6  项目特征是指载明工程量清单项目自身的本质及要求，用于说明设计图纸、技术标准规范及</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文件所要求完成的清单项目的文字性描述。</w:t>
      </w:r>
    </w:p>
    <w:p w14:paraId="7BC009C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1.2.7  增值税是指按照国家税法规定应计入建筑安装工程造价内的增值税销项税额。</w:t>
      </w:r>
    </w:p>
    <w:p w14:paraId="2AAE1F0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1.2.8  总承包服务费是指承包人对发包人提供材料履行保管及其配套服务所需的费</w:t>
      </w:r>
      <w:bookmarkStart w:id="828" w:name="_Toc486580262"/>
      <w:bookmarkStart w:id="829" w:name="_Toc117597692"/>
      <w:bookmarkStart w:id="830" w:name="_Toc490222671"/>
      <w:bookmarkStart w:id="831" w:name="_Toc497213936"/>
      <w:bookmarkStart w:id="832" w:name="_Toc489280071"/>
      <w:r>
        <w:rPr>
          <w:rFonts w:hint="eastAsia" w:ascii="宋体" w:hAnsi="宋体" w:eastAsia="宋体" w:cs="Times New Roman"/>
          <w:color w:val="auto"/>
          <w:sz w:val="24"/>
          <w:highlight w:val="none"/>
        </w:rPr>
        <w:t>用，和（或）承包人对暂估价专业分包工程提供配合、协调、施工现场管理、已有临时设施使用、竣工资料汇总整理等服务所需的费用，以及（或）承包人对发包人发包专业工程履行协调及配合责任所需的费用。</w:t>
      </w:r>
    </w:p>
    <w:p w14:paraId="7422FF8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1.2.9  同义词语，本章中使用的词语“</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人”和“</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 xml:space="preserve"> ”分别与合同条款中定义的“发包人”和“承包人 ”同义。</w:t>
      </w:r>
    </w:p>
    <w:p w14:paraId="2DBC00E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1.2.10  第1.1款中约定的计量和计价规则适用于合同履约过程中工程量计量与价款支付、工程变更、价格调整、工程索赔和工程结算。</w:t>
      </w:r>
    </w:p>
    <w:p w14:paraId="1A76607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1.2.11  本条与下述第2条和第3条的说明内容是构成合同文件的合同清单的组成部分。</w:t>
      </w:r>
    </w:p>
    <w:p w14:paraId="3280BC42">
      <w:pPr>
        <w:keepNext/>
        <w:keepLines/>
        <w:spacing w:line="36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响应报价说明</w:t>
      </w:r>
      <w:bookmarkEnd w:id="828"/>
      <w:bookmarkEnd w:id="829"/>
      <w:bookmarkEnd w:id="830"/>
      <w:bookmarkEnd w:id="831"/>
      <w:bookmarkEnd w:id="832"/>
    </w:p>
    <w:p w14:paraId="1E7365BC">
      <w:pPr>
        <w:keepNext/>
        <w:keepLines/>
        <w:spacing w:line="360" w:lineRule="auto"/>
        <w:ind w:firstLine="480" w:firstLineChars="200"/>
        <w:outlineLvl w:val="2"/>
        <w:rPr>
          <w:rFonts w:hint="eastAsia" w:ascii="宋体" w:hAnsi="宋体"/>
          <w:color w:val="auto"/>
          <w:kern w:val="0"/>
          <w:sz w:val="24"/>
          <w:highlight w:val="none"/>
        </w:rPr>
      </w:pPr>
      <w:bookmarkStart w:id="833" w:name="_Toc117597693"/>
      <w:bookmarkStart w:id="834" w:name="_Toc489280072"/>
      <w:bookmarkStart w:id="835" w:name="_Toc486580263"/>
      <w:bookmarkStart w:id="836" w:name="_Toc497213937"/>
      <w:r>
        <w:rPr>
          <w:rFonts w:ascii="宋体" w:hAnsi="宋体"/>
          <w:color w:val="auto"/>
          <w:kern w:val="0"/>
          <w:sz w:val="24"/>
          <w:highlight w:val="none"/>
        </w:rPr>
        <w:t xml:space="preserve">2.1  </w:t>
      </w:r>
      <w:r>
        <w:rPr>
          <w:rFonts w:hint="eastAsia" w:ascii="宋体" w:hAnsi="宋体"/>
          <w:color w:val="auto"/>
          <w:kern w:val="0"/>
          <w:sz w:val="24"/>
          <w:highlight w:val="none"/>
        </w:rPr>
        <w:t>响应报价的依据</w:t>
      </w:r>
      <w:bookmarkEnd w:id="833"/>
      <w:bookmarkEnd w:id="834"/>
      <w:bookmarkEnd w:id="835"/>
      <w:bookmarkEnd w:id="836"/>
    </w:p>
    <w:p w14:paraId="19EAD90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响应报价应当根据竞争性磋商文件中的有关计价要求，并按照下列依据自主报价：</w:t>
      </w:r>
    </w:p>
    <w:p w14:paraId="57AF5F26">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（1）本竞争性磋商文件（包括澄清、补充和修改文件）；</w:t>
      </w:r>
    </w:p>
    <w:p w14:paraId="67764D3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（2）本章第1.1.1项约定的计量计价标准及1.1.3项约定的补充计算规则；</w:t>
      </w:r>
    </w:p>
    <w:p w14:paraId="1FDE6F3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（3）国家或省级、行业建设主管部门颁发的计价相关规定；</w:t>
      </w:r>
    </w:p>
    <w:p w14:paraId="3A7A1C1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的企业定额、工程造价数据、市场价格信息及价格变动预期、装备及管理水平、造价资讯等；</w:t>
      </w:r>
    </w:p>
    <w:p w14:paraId="4D13CFA1">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（5）建设工程图纸等设计文件及相关资料；</w:t>
      </w:r>
    </w:p>
    <w:p w14:paraId="2783D63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的工程实施方案及</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工期；</w:t>
      </w:r>
    </w:p>
    <w:p w14:paraId="2207965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（7）与建设项目相关的标准、规定等技术资料；</w:t>
      </w:r>
    </w:p>
    <w:p w14:paraId="1B9890E1">
      <w:pPr>
        <w:spacing w:line="360" w:lineRule="auto"/>
        <w:ind w:firstLine="480" w:firstLineChars="200"/>
        <w:outlineLvl w:val="3"/>
        <w:rPr>
          <w:rFonts w:hint="eastAsia" w:ascii="宋体" w:hAnsi="宋体"/>
          <w:color w:val="auto"/>
          <w:sz w:val="24"/>
          <w:highlight w:val="none"/>
        </w:rPr>
      </w:pPr>
      <w:r>
        <w:rPr>
          <w:rFonts w:hint="eastAsia" w:ascii="宋体" w:hAnsi="宋体" w:eastAsia="宋体" w:cs="Times New Roman"/>
          <w:color w:val="auto"/>
          <w:sz w:val="24"/>
          <w:highlight w:val="none"/>
        </w:rPr>
        <w:t>（8）工程特点及交付标准、地勘水文资料、现场踏勘情况；</w:t>
      </w:r>
    </w:p>
    <w:p w14:paraId="316965D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）其他相关资料：</w:t>
      </w:r>
      <w:r>
        <w:rPr>
          <w:rFonts w:hint="eastAsia" w:ascii="宋体" w:hAnsi="宋体" w:eastAsia="宋体" w:cs="Times New Roman"/>
          <w:color w:val="auto"/>
          <w:sz w:val="24"/>
          <w:highlight w:val="none"/>
          <w:u w:val="single"/>
        </w:rPr>
        <w:t>供应商的</w:t>
      </w:r>
      <w:r>
        <w:rPr>
          <w:rFonts w:hint="eastAsia" w:ascii="宋体" w:hAnsi="宋体" w:cs="Times New Roman"/>
          <w:color w:val="auto"/>
          <w:sz w:val="24"/>
          <w:highlight w:val="none"/>
          <w:u w:val="single"/>
          <w:lang w:val="en-US" w:eastAsia="zh-CN"/>
        </w:rPr>
        <w:t>实施</w:t>
      </w:r>
      <w:r>
        <w:rPr>
          <w:rFonts w:hint="eastAsia" w:ascii="宋体" w:hAnsi="宋体" w:eastAsia="宋体" w:cs="Times New Roman"/>
          <w:color w:val="auto"/>
          <w:sz w:val="24"/>
          <w:highlight w:val="none"/>
          <w:u w:val="single"/>
        </w:rPr>
        <w:t>方案及响应工期。</w:t>
      </w:r>
    </w:p>
    <w:p w14:paraId="27307982">
      <w:pPr>
        <w:keepNext/>
        <w:keepLines/>
        <w:spacing w:line="360" w:lineRule="auto"/>
        <w:ind w:firstLine="480" w:firstLineChars="200"/>
        <w:outlineLvl w:val="2"/>
        <w:rPr>
          <w:rFonts w:hint="eastAsia" w:ascii="宋体" w:hAnsi="宋体"/>
          <w:color w:val="auto"/>
          <w:kern w:val="0"/>
          <w:sz w:val="24"/>
          <w:highlight w:val="none"/>
        </w:rPr>
      </w:pPr>
      <w:bookmarkStart w:id="837" w:name="_Toc486580264"/>
      <w:bookmarkStart w:id="838" w:name="_Toc489280073"/>
      <w:bookmarkStart w:id="839" w:name="_Toc497213938"/>
      <w:bookmarkStart w:id="840" w:name="_Toc117597694"/>
      <w:r>
        <w:rPr>
          <w:rFonts w:ascii="宋体" w:hAnsi="宋体"/>
          <w:color w:val="auto"/>
          <w:kern w:val="0"/>
          <w:sz w:val="24"/>
          <w:highlight w:val="none"/>
        </w:rPr>
        <w:t>2.2  响应</w:t>
      </w:r>
      <w:r>
        <w:rPr>
          <w:rFonts w:hint="eastAsia" w:ascii="宋体" w:hAnsi="宋体"/>
          <w:color w:val="auto"/>
          <w:kern w:val="0"/>
          <w:sz w:val="24"/>
          <w:highlight w:val="none"/>
        </w:rPr>
        <w:t>报价的一般规定</w:t>
      </w:r>
      <w:bookmarkEnd w:id="837"/>
      <w:bookmarkEnd w:id="838"/>
      <w:bookmarkEnd w:id="839"/>
      <w:bookmarkEnd w:id="840"/>
    </w:p>
    <w:p w14:paraId="7C307DA1">
      <w:pPr>
        <w:spacing w:line="360" w:lineRule="auto"/>
        <w:ind w:firstLine="480" w:firstLineChars="200"/>
        <w:outlineLvl w:val="3"/>
        <w:rPr>
          <w:rFonts w:hint="eastAsia" w:ascii="宋体" w:hAnsi="宋体" w:eastAsia="宋体" w:cs="Times New Roman"/>
          <w:color w:val="auto"/>
          <w:sz w:val="24"/>
          <w:highlight w:val="none"/>
        </w:rPr>
      </w:pPr>
      <w:bookmarkStart w:id="841" w:name="_Toc117597695"/>
      <w:bookmarkStart w:id="842" w:name="_Toc486580265"/>
      <w:bookmarkStart w:id="843" w:name="_Toc497213939"/>
      <w:bookmarkStart w:id="844" w:name="_Toc489280074"/>
      <w:r>
        <w:rPr>
          <w:rFonts w:hint="eastAsia" w:ascii="宋体" w:hAnsi="宋体" w:eastAsia="宋体" w:cs="Times New Roman"/>
          <w:color w:val="auto"/>
          <w:sz w:val="24"/>
          <w:highlight w:val="none"/>
        </w:rPr>
        <w:t>2.2.1  工程量清单中的每一项目须填入单价或价格，且只允许有一个报价。</w:t>
      </w:r>
    </w:p>
    <w:p w14:paraId="5A6A7B5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  工程量清单中的单价或金额，应包括所需人工费、材料费、施工机械使用费和企业管理费、利润，以及一定范围内的风险费用。所谓“一定范围内的风险”是指合同约定的风险。</w:t>
      </w:r>
    </w:p>
    <w:p w14:paraId="4713ACC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2.2.3  已标价工程量清单中</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没有填入单价或价格的项目，其费用视为已分摊在工程量清单中其他已标价的相关项目的单价或价格之中。</w:t>
      </w:r>
    </w:p>
    <w:p w14:paraId="6158C473">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2.2.4  “工程项目清单汇总表”中的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总价由分部分项工程费、措施项目费、其他项目费和增值税组成，并且“工程项目清单汇总表”中的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总价应当与构成已标价工程量清单的分部分项工程费、措施项目费、其他项目费、增值税的合计金额一致。</w:t>
      </w:r>
    </w:p>
    <w:p w14:paraId="08285D5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2.2.5  采用增值税一般计税方法时，工程量清单计价表中的人工费、材料费、机械费、企业管理费、利润均以不包含增值税（进项税额）的价格计算。采用增值税简易计税方法时，表中人工费、材料费、机械费、企业管理费、利润均以包含增值税（进项税额）的价格计算。</w:t>
      </w:r>
    </w:p>
    <w:p w14:paraId="66CBDDBD">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2.3  </w:t>
      </w:r>
      <w:bookmarkEnd w:id="841"/>
      <w:bookmarkEnd w:id="842"/>
      <w:bookmarkEnd w:id="843"/>
      <w:bookmarkEnd w:id="844"/>
      <w:r>
        <w:rPr>
          <w:rFonts w:ascii="宋体" w:hAnsi="宋体" w:eastAsia="宋体" w:cs="宋体"/>
          <w:color w:val="auto"/>
          <w:spacing w:val="-1"/>
          <w:sz w:val="24"/>
          <w:szCs w:val="24"/>
          <w:highlight w:val="none"/>
        </w:rPr>
        <w:t>分部分项工程项目（含以单价计价的措施项目）报价</w:t>
      </w:r>
    </w:p>
    <w:p w14:paraId="77F191DE">
      <w:pPr>
        <w:spacing w:line="360" w:lineRule="auto"/>
        <w:ind w:firstLine="480" w:firstLineChars="200"/>
        <w:outlineLvl w:val="3"/>
        <w:rPr>
          <w:rFonts w:hint="eastAsia" w:ascii="宋体" w:hAnsi="宋体" w:eastAsia="宋体" w:cs="Times New Roman"/>
          <w:color w:val="auto"/>
          <w:sz w:val="24"/>
          <w:highlight w:val="none"/>
        </w:rPr>
      </w:pPr>
      <w:bookmarkStart w:id="845" w:name="_Toc489280075"/>
      <w:bookmarkStart w:id="846" w:name="_Toc117597696"/>
      <w:bookmarkStart w:id="847" w:name="_Toc486580266"/>
      <w:bookmarkStart w:id="848" w:name="_Toc497213940"/>
      <w:r>
        <w:rPr>
          <w:rFonts w:hint="eastAsia" w:ascii="宋体" w:hAnsi="宋体" w:eastAsia="宋体" w:cs="Times New Roman"/>
          <w:color w:val="auto"/>
          <w:sz w:val="24"/>
          <w:highlight w:val="none"/>
        </w:rPr>
        <w:t>2.3.1  分部分项工程清单项目计价应依据计量计价标准中关于综合单价的组成内容确定报价。</w:t>
      </w:r>
    </w:p>
    <w:p w14:paraId="58A6C5AF">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2.3.2  如果分部分项工程项目清单中涉及“材料暂估单价表”中列出的材料，则按照本章第3.2.2项的报价原则计入分部分项工程项目清单相应项目的综合单价中。</w:t>
      </w:r>
    </w:p>
    <w:p w14:paraId="12E2A21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2.3.3  如果分部分项工程项目清单中涉及“发包人提供的材料一览表 ”（见第四章“合同条款专用部分”附件四）中列出的材料，则该类材料供应至现场指定位置的采购供应价本身（含有效损耗）不计入</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报价，但应将该类材料的安装、安装所需要的辅助材料、安装损耗（不含有效损耗）以及其他必要的辅助工作及其对应的企业管理费及利润计入分部分项 工程项目清单相应项目的综合单价，并在其他项目清单报价中计取与合同约定服务内容相对应的总承包服务费。</w:t>
      </w:r>
    </w:p>
    <w:p w14:paraId="00D412F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2.3.4  “分部分项工程项目清单计价表 ”所列各项目的综合单价组成中，各项目的人工、材料和机械台班消耗量由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按照其自身情况做充分的、竞争性考虑。材料消耗量 包括损耗量。</w:t>
      </w:r>
    </w:p>
    <w:p w14:paraId="1F3CF8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2.3.5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文件中提交并构成合同文件的“主要材料选用表 ”中所列的材料的价格是指此类材料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选用表”中所列材料的价格应与构成综合单价相应材料的价格一致。落地之后发生的仓储、保管、库损以及从堆放地点运至安装地点的二次搬运等其他费用均应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报价中考虑。</w:t>
      </w:r>
    </w:p>
    <w:p w14:paraId="4CC02F52">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2.4  </w:t>
      </w:r>
      <w:bookmarkEnd w:id="845"/>
      <w:bookmarkEnd w:id="846"/>
      <w:bookmarkEnd w:id="847"/>
      <w:bookmarkEnd w:id="848"/>
      <w:r>
        <w:rPr>
          <w:rFonts w:ascii="宋体" w:hAnsi="宋体" w:eastAsia="宋体" w:cs="宋体"/>
          <w:color w:val="auto"/>
          <w:spacing w:val="-1"/>
          <w:sz w:val="24"/>
          <w:szCs w:val="24"/>
          <w:highlight w:val="none"/>
        </w:rPr>
        <w:t>措施项目（不含以单价计价的措施项目）报价</w:t>
      </w:r>
    </w:p>
    <w:p w14:paraId="64CE4878">
      <w:pPr>
        <w:spacing w:line="360" w:lineRule="auto"/>
        <w:ind w:firstLine="480" w:firstLineChars="200"/>
        <w:outlineLvl w:val="3"/>
        <w:rPr>
          <w:rFonts w:hint="eastAsia" w:ascii="宋体" w:hAnsi="宋体" w:eastAsia="宋体" w:cs="Times New Roman"/>
          <w:color w:val="auto"/>
          <w:sz w:val="24"/>
          <w:highlight w:val="none"/>
        </w:rPr>
      </w:pPr>
      <w:bookmarkStart w:id="849" w:name="_Toc497213941"/>
      <w:bookmarkStart w:id="850" w:name="_Toc489280076"/>
      <w:bookmarkStart w:id="851" w:name="_Toc117597697"/>
      <w:bookmarkStart w:id="852" w:name="_Toc486580267"/>
      <w:r>
        <w:rPr>
          <w:rFonts w:hint="eastAsia" w:ascii="宋体" w:hAnsi="宋体" w:eastAsia="宋体" w:cs="Times New Roman"/>
          <w:color w:val="auto"/>
          <w:sz w:val="24"/>
          <w:highlight w:val="none"/>
        </w:rPr>
        <w:t>2.4.1  措施项目清单计价应根据</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的施工组织设计以“项”为单位计价。</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所填报价格应包括除增值税外的全部费用。</w:t>
      </w:r>
    </w:p>
    <w:p w14:paraId="1D49E3FE">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2.4.2  安全生产标准化措施费（特别是扬尘治理、建筑垃圾堆放、清运和消纳等综合治理污染而进行环境保护所需费用的投入）应依据施工措施、市场价格及国家、省级或行业建设主管部门的规定进行报价，不得作为让利因素。安全生产标准化措施费的具体要求见</w:t>
      </w:r>
      <w:r>
        <w:rPr>
          <w:rFonts w:hint="eastAsia" w:ascii="宋体" w:hAnsi="宋体" w:eastAsia="宋体" w:cs="Times New Roman"/>
          <w:color w:val="auto"/>
          <w:sz w:val="24"/>
          <w:highlight w:val="none"/>
          <w:u w:val="single"/>
          <w:lang w:val="en-US" w:eastAsia="zh-CN"/>
        </w:rPr>
        <w:t>合同</w:t>
      </w:r>
      <w:r>
        <w:rPr>
          <w:rFonts w:hint="eastAsia" w:ascii="宋体" w:hAnsi="宋体" w:eastAsia="宋体" w:cs="Times New Roman"/>
          <w:color w:val="auto"/>
          <w:sz w:val="24"/>
          <w:highlight w:val="none"/>
          <w:u w:val="single"/>
        </w:rPr>
        <w:t>专用部分</w:t>
      </w:r>
      <w:r>
        <w:rPr>
          <w:rFonts w:hint="eastAsia" w:ascii="宋体" w:hAnsi="宋体" w:eastAsia="宋体" w:cs="Times New Roman"/>
          <w:color w:val="auto"/>
          <w:sz w:val="24"/>
          <w:highlight w:val="none"/>
        </w:rPr>
        <w:t>。</w:t>
      </w:r>
    </w:p>
    <w:p w14:paraId="778B2DFB">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2.4.3  </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人提供的措施项目清单计价表中所列项目仅指</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人根据本工程实际情况和相关部门的有关规定编制的常规措施项目，</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在报价时应充分、全面地阅读和理解相关内容和约定，包括第五章“技术标准和要求”的相关约定，详实了解工程场地及其周围环境，充分考虑工程特点及拟定的施工方案和施工组织设计，对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人给出的措施项目清单的内容进行细化或增补。承包人对措施项目清单的完整性及准确性负责。</w:t>
      </w:r>
    </w:p>
    <w:p w14:paraId="3636AFE9">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2.4.4  “措施项目清单计价表”中所填写的报价金额，应全面涵盖</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文件约定的</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中标后施工、竣工、交付本工程并在缺陷责任期和保修期内维修其任何缺陷所需要履行的责任和义务的全部费用。</w:t>
      </w:r>
    </w:p>
    <w:p w14:paraId="5884D16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2.4.5  对于“措施项目清单计价表”中所填写的报价金额，应按照“措施项目清单价格组成分析表”对措施项目报价的组成进行详细的列项和分析。</w:t>
      </w:r>
    </w:p>
    <w:p w14:paraId="63BC82A9">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2.5  </w:t>
      </w:r>
      <w:r>
        <w:rPr>
          <w:rFonts w:hint="eastAsia" w:ascii="宋体" w:hAnsi="宋体"/>
          <w:color w:val="auto"/>
          <w:kern w:val="0"/>
          <w:sz w:val="24"/>
          <w:highlight w:val="none"/>
        </w:rPr>
        <w:t>其他项目清单报价</w:t>
      </w:r>
      <w:bookmarkEnd w:id="849"/>
      <w:bookmarkEnd w:id="850"/>
      <w:bookmarkEnd w:id="851"/>
      <w:bookmarkEnd w:id="852"/>
    </w:p>
    <w:p w14:paraId="34D2A75C">
      <w:pPr>
        <w:spacing w:line="360" w:lineRule="auto"/>
        <w:ind w:firstLine="480" w:firstLineChars="200"/>
        <w:outlineLvl w:val="3"/>
        <w:rPr>
          <w:rFonts w:hint="eastAsia" w:ascii="宋体" w:hAnsi="宋体" w:eastAsia="宋体" w:cs="Times New Roman"/>
          <w:color w:val="auto"/>
          <w:sz w:val="24"/>
          <w:highlight w:val="none"/>
        </w:rPr>
      </w:pPr>
      <w:bookmarkStart w:id="853" w:name="_Toc497213942"/>
      <w:bookmarkStart w:id="854" w:name="_Toc117597698"/>
      <w:bookmarkStart w:id="855" w:name="_Toc486580268"/>
      <w:bookmarkStart w:id="856" w:name="_Toc489280077"/>
      <w:r>
        <w:rPr>
          <w:rFonts w:hint="eastAsia" w:ascii="宋体" w:hAnsi="宋体" w:eastAsia="宋体" w:cs="Times New Roman"/>
          <w:color w:val="auto"/>
          <w:sz w:val="24"/>
          <w:highlight w:val="none"/>
        </w:rPr>
        <w:t>2.5.1  暂列金额按“暂列金额明细表”中列出的不含税金额进行报价，此处的暂列金额</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文件中统一给定的，并不包括本章第2.5.3项的计日工金额。</w:t>
      </w:r>
    </w:p>
    <w:p w14:paraId="324679F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2.5.2  专业工程暂估价直接按“专业工程暂估价表”中列出的含税金额和本节第3.2.3项的报价原则计入其他项目清单报价。</w:t>
      </w:r>
    </w:p>
    <w:p w14:paraId="7A437A9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2.5.3  计日工按“计日工表”中列出的项目和估算数量，自主确定综合单价并计算计日工金额。计日工综合单价均不包括增值税，其中：</w:t>
      </w:r>
    </w:p>
    <w:p w14:paraId="4DFB7C38">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（1）劳务单价应当包括工人工资、交通费用、各种补贴、劳动安全保护、社保费用、手提手动和电动工器具、施工场地内已经搭设的脚手架、水电和低值易耗品费用、企业管理费、利润；</w:t>
      </w:r>
    </w:p>
    <w:p w14:paraId="38CF5C99">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（2）材料价格包括材料运到现场的价格以及现场搬运、仓储、二次搬运、损耗和保险；</w:t>
      </w:r>
    </w:p>
    <w:p w14:paraId="4CB13B1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（3）施工机械限于在施工场地（现场）的机械设备，其价格包括租赁或折旧、维修、维护和燃油等消耗品以及操作人员费用，包括承包人企业管理费和利润，但不包括增值税。辅助人员按劳务价格另计。</w:t>
      </w:r>
    </w:p>
    <w:p w14:paraId="335BC4D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2.5.4  总承包服务费根据</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文件中列出的内容和要求，按“总承包服务费计价表”所列格式自主报价。在合同履行过程中，总承包服务费的调整方法</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rPr>
        <w:t>。</w:t>
      </w:r>
    </w:p>
    <w:p w14:paraId="41288F84">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2.6  </w:t>
      </w:r>
      <w:bookmarkEnd w:id="853"/>
      <w:bookmarkEnd w:id="854"/>
      <w:bookmarkEnd w:id="855"/>
      <w:bookmarkEnd w:id="856"/>
      <w:r>
        <w:rPr>
          <w:rFonts w:hint="eastAsia" w:ascii="宋体" w:hAnsi="宋体"/>
          <w:color w:val="auto"/>
          <w:kern w:val="0"/>
          <w:sz w:val="24"/>
          <w:highlight w:val="none"/>
        </w:rPr>
        <w:t>增值税</w:t>
      </w:r>
    </w:p>
    <w:p w14:paraId="706A09F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增值税应按“增值税项目清单与计价表”所列项目并根据国家、省级或行业建设主管部门的有关规定计算，不得作为竞争性费用。</w:t>
      </w:r>
    </w:p>
    <w:p w14:paraId="55EA56C5">
      <w:pPr>
        <w:keepNext/>
        <w:keepLines/>
        <w:spacing w:line="360" w:lineRule="auto"/>
        <w:ind w:firstLine="480" w:firstLineChars="200"/>
        <w:outlineLvl w:val="2"/>
        <w:rPr>
          <w:rFonts w:hint="eastAsia" w:ascii="宋体" w:hAnsi="宋体"/>
          <w:color w:val="auto"/>
          <w:kern w:val="0"/>
          <w:sz w:val="24"/>
          <w:highlight w:val="none"/>
        </w:rPr>
      </w:pPr>
      <w:bookmarkStart w:id="857" w:name="_Toc117597699"/>
      <w:bookmarkStart w:id="858" w:name="_Toc486580269"/>
      <w:bookmarkStart w:id="859" w:name="_Toc497213943"/>
      <w:bookmarkStart w:id="860" w:name="_Toc489280078"/>
      <w:r>
        <w:rPr>
          <w:rFonts w:ascii="宋体" w:hAnsi="宋体"/>
          <w:color w:val="auto"/>
          <w:kern w:val="0"/>
          <w:sz w:val="24"/>
          <w:highlight w:val="none"/>
        </w:rPr>
        <w:t xml:space="preserve">2.7  </w:t>
      </w:r>
      <w:r>
        <w:rPr>
          <w:rFonts w:hint="eastAsia" w:ascii="宋体" w:hAnsi="宋体"/>
          <w:color w:val="auto"/>
          <w:kern w:val="0"/>
          <w:sz w:val="24"/>
          <w:highlight w:val="none"/>
        </w:rPr>
        <w:t>响应报价需要说明的问题</w:t>
      </w:r>
      <w:bookmarkEnd w:id="857"/>
      <w:bookmarkEnd w:id="858"/>
      <w:bookmarkEnd w:id="859"/>
      <w:bookmarkEnd w:id="860"/>
    </w:p>
    <w:p w14:paraId="44341DC4">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除竞争性磋商文件有强制性规定以及不可竞争部分以外，响应报价由供应商自主确定，但不得低于其成本。</w:t>
      </w:r>
    </w:p>
    <w:p w14:paraId="02003CFA">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2.7.2  工程量清单计价所涉及的生产资源（包括各类人工、材料、施工设备、临时设施、临时用水、临时用电等）的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价格，应根据自身的信息渠道和采购渠道，分析其市场价格水平并判断其整个施工周期内的变化趋势，同时将爱国卫生、传染病防控、突发事件的管理等费用计入相应</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价格，以体现</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自身的管理水平、技术水平和综合实力。</w:t>
      </w:r>
    </w:p>
    <w:p w14:paraId="0B0A02F7">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2.7.3  企业管理费应由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在保证不低于其成本的基础上做竞争性考虑；利润由</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根据自身情况和综合实力做竞争性考虑。</w:t>
      </w:r>
    </w:p>
    <w:p w14:paraId="133C6E4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2.7.4  农民工工伤保险费已包含在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报价中，应按北京市人力资源和社会保障局相关文件计取，并单独列项。</w:t>
      </w:r>
    </w:p>
    <w:p w14:paraId="4F3106C8">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2.7.5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在“费率报价表”中填报的费率应与“分部分项工程项目清单综合单价分析表”中所使用的费率一致，不一致时以“分部分项工程项目清单综合单价分析表”所反映的费率为准，并遵照下列原则：</w:t>
      </w:r>
    </w:p>
    <w:p w14:paraId="0EABD61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针对同一分部分项工程，如果承包人在已标价工程量清单中未使用统一的企业管理费费率、利润费率，在合同履行过程中需要采用合同清单中相应费率组成新增清单项目的综合单价时，将适用相应分部分项工程项目单价中所采用费率的最低值，措施项目亦适用同样原则。</w:t>
      </w:r>
    </w:p>
    <w:p w14:paraId="3C229BFD">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2.7.6  </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报价中应考虑</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文件中要求</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承担的风险范围以及相关的费用。</w:t>
      </w:r>
    </w:p>
    <w:p w14:paraId="23B3A1D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2.7.7  </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总价为</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文件中提出的各项支付金额的总和，为实施、完成工程并修补缺陷以及履行</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文件中约定的风险范围内的所有责任和义务所发生的全部费用。</w:t>
      </w:r>
    </w:p>
    <w:p w14:paraId="50219B4B">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2.7.8  </w:t>
      </w:r>
      <w:r>
        <w:rPr>
          <w:rFonts w:hint="eastAsia" w:ascii="宋体" w:hAnsi="宋体"/>
          <w:color w:val="auto"/>
          <w:sz w:val="24"/>
          <w:highlight w:val="none"/>
        </w:rPr>
        <w:t>有关响应报价的其他说明</w:t>
      </w:r>
      <w:r>
        <w:rPr>
          <w:rFonts w:hint="eastAsia" w:ascii="宋体" w:hAnsi="宋体" w:cs="Arial"/>
          <w:color w:val="auto"/>
          <w:sz w:val="24"/>
          <w:highlight w:val="none"/>
        </w:rPr>
        <w:t>：</w:t>
      </w:r>
      <w:r>
        <w:rPr>
          <w:rFonts w:hint="eastAsia" w:ascii="宋体" w:hAnsi="宋体" w:cs="Arial"/>
          <w:color w:val="auto"/>
          <w:sz w:val="24"/>
          <w:highlight w:val="none"/>
          <w:u w:val="single"/>
        </w:rPr>
        <w:t>响应报价需符合国家及省级,行业建设主管部门颁发的工程计量与计价相关规定</w:t>
      </w:r>
      <w:r>
        <w:rPr>
          <w:rFonts w:hint="eastAsia" w:ascii="宋体" w:hAnsi="宋体"/>
          <w:color w:val="auto"/>
          <w:sz w:val="24"/>
          <w:highlight w:val="none"/>
        </w:rPr>
        <w:t>。</w:t>
      </w:r>
    </w:p>
    <w:p w14:paraId="0F405D37">
      <w:pPr>
        <w:keepNext/>
        <w:keepLines/>
        <w:spacing w:line="360" w:lineRule="auto"/>
        <w:ind w:firstLine="480" w:firstLineChars="200"/>
        <w:outlineLvl w:val="1"/>
        <w:rPr>
          <w:rFonts w:hint="eastAsia" w:ascii="宋体" w:hAnsi="宋体" w:cs="宋体"/>
          <w:color w:val="auto"/>
          <w:sz w:val="24"/>
          <w:highlight w:val="none"/>
        </w:rPr>
      </w:pPr>
      <w:bookmarkStart w:id="861" w:name="_Toc490222672"/>
      <w:bookmarkStart w:id="862" w:name="_Toc497213944"/>
      <w:bookmarkStart w:id="863" w:name="_Toc117597700"/>
      <w:bookmarkStart w:id="864" w:name="_Toc486580270"/>
      <w:bookmarkStart w:id="865" w:name="_Toc489280079"/>
      <w:r>
        <w:rPr>
          <w:rFonts w:ascii="宋体" w:hAnsi="宋体" w:cs="宋体"/>
          <w:color w:val="auto"/>
          <w:sz w:val="24"/>
          <w:highlight w:val="none"/>
        </w:rPr>
        <w:t>3.</w:t>
      </w:r>
      <w:r>
        <w:rPr>
          <w:rFonts w:hint="eastAsia" w:ascii="宋体" w:hAnsi="宋体" w:cs="宋体"/>
          <w:color w:val="auto"/>
          <w:sz w:val="24"/>
          <w:highlight w:val="none"/>
        </w:rPr>
        <w:t>其他说明</w:t>
      </w:r>
      <w:bookmarkEnd w:id="861"/>
      <w:bookmarkEnd w:id="862"/>
      <w:bookmarkEnd w:id="863"/>
      <w:bookmarkEnd w:id="864"/>
      <w:bookmarkEnd w:id="865"/>
    </w:p>
    <w:p w14:paraId="699CF05B">
      <w:pPr>
        <w:keepNext/>
        <w:keepLines/>
        <w:spacing w:line="360" w:lineRule="auto"/>
        <w:ind w:firstLine="480" w:firstLineChars="200"/>
        <w:outlineLvl w:val="2"/>
        <w:rPr>
          <w:rFonts w:hint="eastAsia" w:ascii="宋体" w:hAnsi="宋体"/>
          <w:color w:val="auto"/>
          <w:kern w:val="0"/>
          <w:sz w:val="24"/>
          <w:highlight w:val="none"/>
        </w:rPr>
      </w:pPr>
      <w:bookmarkStart w:id="866" w:name="_Toc486580271"/>
      <w:bookmarkStart w:id="867" w:name="_Toc489280080"/>
      <w:bookmarkStart w:id="868" w:name="_Toc497213945"/>
      <w:bookmarkStart w:id="869" w:name="_Toc117597701"/>
      <w:r>
        <w:rPr>
          <w:rFonts w:ascii="宋体" w:hAnsi="宋体"/>
          <w:color w:val="auto"/>
          <w:kern w:val="0"/>
          <w:sz w:val="24"/>
          <w:highlight w:val="none"/>
        </w:rPr>
        <w:t xml:space="preserve">3.1  </w:t>
      </w:r>
      <w:r>
        <w:rPr>
          <w:rFonts w:hint="eastAsia" w:ascii="宋体" w:hAnsi="宋体"/>
          <w:color w:val="auto"/>
          <w:kern w:val="0"/>
          <w:sz w:val="24"/>
          <w:highlight w:val="none"/>
        </w:rPr>
        <w:t>工程量差异调整（适用于单价合同）</w:t>
      </w:r>
      <w:bookmarkEnd w:id="866"/>
      <w:bookmarkEnd w:id="867"/>
      <w:bookmarkEnd w:id="868"/>
      <w:bookmarkEnd w:id="869"/>
    </w:p>
    <w:p w14:paraId="338D590B">
      <w:pPr>
        <w:spacing w:line="360" w:lineRule="auto"/>
        <w:ind w:firstLine="480" w:firstLineChars="200"/>
        <w:outlineLvl w:val="3"/>
        <w:rPr>
          <w:rFonts w:hint="eastAsia" w:ascii="宋体" w:hAnsi="宋体" w:eastAsia="宋体" w:cs="Times New Roman"/>
          <w:color w:val="auto"/>
          <w:sz w:val="24"/>
          <w:highlight w:val="none"/>
        </w:rPr>
      </w:pPr>
      <w:bookmarkStart w:id="870" w:name="_Toc486580273"/>
      <w:bookmarkStart w:id="871" w:name="_Toc489280082"/>
      <w:bookmarkStart w:id="872" w:name="_Toc117597703"/>
      <w:bookmarkStart w:id="873" w:name="_Toc497213947"/>
      <w:r>
        <w:rPr>
          <w:rFonts w:hint="eastAsia" w:ascii="宋体" w:hAnsi="宋体" w:eastAsia="宋体" w:cs="Times New Roman"/>
          <w:color w:val="auto"/>
          <w:sz w:val="24"/>
          <w:highlight w:val="none"/>
        </w:rPr>
        <w:t>3.1.1  合同清单（含已标价工程量清单）中的工作内容分类、项目列项、特征描述以及“分部分项工程项目清单计价表”中附带的工程量都不应理解为是对承包范围以及合同工作内容的唯一的、最终的或全部的定义。</w:t>
      </w:r>
    </w:p>
    <w:p w14:paraId="2157ADF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3.1.2  </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应对工程量清单进行认真细致的复核。这种复核包括对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工程量清单中的项目编码、项目名称、项目特征描述、计量单位、工程量的准确性以及可能存在的任何书写、打印错误进行检查和复核，特别是对“分部分项工程项目清单计价表”中每个工作项目的工程量进行重新计算和校核，对“措施项目清单计价表”中列项进行校核。如果</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经过检查和复核以后认为工程量清单存在差异，特别是“措施项目清单计价表”中存在可能对造价产生重大影响的漏项，则</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应将此类差异的详细情况连同按</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须知规定提交的要求</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人澄清的其他问题一起提交给</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人在核实差异后将根据实际情况决定是否颁发工程量清单的补充和（或）修改文件。</w:t>
      </w:r>
    </w:p>
    <w:p w14:paraId="1E0156F3">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3.1.3  如果</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人在检查</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根据上文第3.1.2项提交的工程量清单差异问题后认为没有必要对工程量清单进行补充和（或）修改，或者</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人根据上文第3.1.2项对工程量清单进行了补充和（或）修改，但</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认为工程量清单依然存在差异，则此类差异不再提交</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人答疑和修正，而是直接按工程量清单（包括</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人可能的补充和（或）修改）进行</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在按照工程量清单进行报价时，除按照本章第2.4.3项要求对</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人提供的措施项目清单的内容进行细化或增补外，不得改变（包括对工程量清单项目的项目编码、项目名称、项目特征描述、计量单位以及工程量的任何修改、增加或减少）</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人提供的分部分项工程项目清单和其他项目清单。即使按照图纸和</w:t>
      </w:r>
      <w:r>
        <w:rPr>
          <w:rFonts w:hint="eastAsia" w:ascii="宋体" w:hAnsi="宋体" w:eastAsia="宋体" w:cs="Times New Roman"/>
          <w:color w:val="auto"/>
          <w:sz w:val="24"/>
          <w:highlight w:val="none"/>
          <w:lang w:val="en-US" w:eastAsia="zh-CN"/>
        </w:rPr>
        <w:t>磋商</w:t>
      </w:r>
      <w:r>
        <w:rPr>
          <w:rFonts w:hint="eastAsia" w:ascii="宋体" w:hAnsi="宋体" w:eastAsia="宋体" w:cs="Times New Roman"/>
          <w:color w:val="auto"/>
          <w:sz w:val="24"/>
          <w:highlight w:val="none"/>
        </w:rPr>
        <w:t>范围的约定并不存在的项目，只要在</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人提供的分部分项工程量清单中已经列明，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都需要对其报价，并纳入</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总价的计算。</w:t>
      </w:r>
    </w:p>
    <w:p w14:paraId="0907D304">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3.1.4  合同履行阶段，发包人和承包人依据签约图纸及签约规范对分部分项工程清单项目及其工程量进行计量，计量结果与已标价工程量清单的清单项目及其工程量的差异为工程量清单缺陷。工程量清单缺陷按照合同条款第1.13款约定，对合同价格进行调整。</w:t>
      </w:r>
    </w:p>
    <w:p w14:paraId="46AF9601">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3.2  </w:t>
      </w:r>
      <w:r>
        <w:rPr>
          <w:rFonts w:hint="eastAsia" w:ascii="宋体" w:hAnsi="宋体"/>
          <w:color w:val="auto"/>
          <w:kern w:val="0"/>
          <w:sz w:val="24"/>
          <w:highlight w:val="none"/>
        </w:rPr>
        <w:t>暂列金额和暂估价</w:t>
      </w:r>
      <w:bookmarkEnd w:id="870"/>
      <w:bookmarkEnd w:id="871"/>
      <w:bookmarkEnd w:id="872"/>
      <w:bookmarkEnd w:id="873"/>
    </w:p>
    <w:p w14:paraId="642C589A">
      <w:pPr>
        <w:spacing w:line="360" w:lineRule="auto"/>
        <w:ind w:firstLine="480" w:firstLineChars="200"/>
        <w:outlineLvl w:val="3"/>
        <w:rPr>
          <w:rFonts w:hint="eastAsia" w:ascii="宋体" w:hAnsi="宋体" w:eastAsia="宋体" w:cs="Times New Roman"/>
          <w:color w:val="auto"/>
          <w:sz w:val="24"/>
          <w:highlight w:val="none"/>
        </w:rPr>
      </w:pPr>
      <w:bookmarkStart w:id="874" w:name="_Toc486580274"/>
      <w:bookmarkStart w:id="875" w:name="_Toc497213948"/>
      <w:bookmarkStart w:id="876" w:name="_Toc117597704"/>
      <w:bookmarkStart w:id="877" w:name="_Toc489280083"/>
      <w:r>
        <w:rPr>
          <w:rFonts w:hint="eastAsia" w:ascii="宋体" w:hAnsi="宋体" w:eastAsia="宋体" w:cs="Times New Roman"/>
          <w:color w:val="auto"/>
          <w:sz w:val="24"/>
          <w:highlight w:val="none"/>
        </w:rPr>
        <w:t>3.2.1  “暂列金额明细表 ”中所列暂列金额（不包括计日工金额）中已经包含与其对应的企业管理费、利润和增值税。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文件规定，将此类暂列金额（不含税） 直接纳入其他项目清单的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w:t>
      </w:r>
    </w:p>
    <w:p w14:paraId="0E84FD1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3.2.2  “材料暂估单价表”中所列的材料暂估价是此类材料本身运至施工现场内的工地地面价，不包括其本身所对应的企业管理费、利润、增值税以及这些材料的安装、安装 所需要的辅助材料、安装损耗、驻厂监造以及发生在现场内的验收、存储、保管、开箱、二次倒运、从存放地点运至安装地点以及其他任何必要的辅助工作（以下简称“暂估价材料的 安装及辅助工作”）所发生的费用及其对应的企业管理费、利润和增值税。除应按本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文件规定将此类暂估价本身纳入分部分项工程量清单相应项目的综合单价以外，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还应将 上述材料的安装及辅助工作所发生的费用以及与此类费用有关的企业管理费和利润包含在分部分项工程量清单相应项目的综合单价中，并计取相应的增值税。（适用于增值税一般计税方法）</w:t>
      </w:r>
    </w:p>
    <w:p w14:paraId="785C16D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3.2.2  “材料暂估单价表 ”中所列的材料暂估价是此类材料本身运至施工现场内的工地地面价，不包括其本身所对应的企业管理费、利润以及这些材料的安装、安装所需要的辅助材料、安装损耗、驻厂监造以及发生在现场内的验收、存储、保管、开箱、二次倒运、从存放地点运至安装地点以及其他任何必要的辅助工作（以下简称“暂估价材料的安装及辅 助工作 ”）所发生的费用及其对应的企业管理费、利润和增值税。除应按本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文件规定将此类暂估价本身纳入分部分项工程量清单相应项目的综合单价以外，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还应将上述材料的安装及辅助工作所发生的费用以及与此类费用有关的企业管理费和利润包含在分部分项工程量清单相应项目的综合单价中，并计取相应的增值税。（适用于增值税简易计税方法）</w:t>
      </w:r>
    </w:p>
    <w:p w14:paraId="5423E5F0">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3.2.3  专业工程暂估价表中所列的专业工程暂估价已经包含与其对应的企业管理费、利润和增值税。</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文件规定将此类暂估价金额（含税）直接纳入其他项目清单的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价格中。除按本</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文件规定将此类暂估价金额（含税）纳入其他项目清单的</w:t>
      </w:r>
      <w:r>
        <w:rPr>
          <w:rFonts w:hint="eastAsia" w:ascii="宋体" w:hAnsi="宋体" w:eastAsia="宋体" w:cs="Times New Roman"/>
          <w:color w:val="auto"/>
          <w:sz w:val="24"/>
          <w:highlight w:val="none"/>
          <w:lang w:val="en-US" w:eastAsia="zh-CN"/>
        </w:rPr>
        <w:t>响应</w:t>
      </w:r>
      <w:r>
        <w:rPr>
          <w:rFonts w:hint="eastAsia" w:ascii="宋体" w:hAnsi="宋体" w:eastAsia="宋体" w:cs="Times New Roman"/>
          <w:color w:val="auto"/>
          <w:sz w:val="24"/>
          <w:highlight w:val="none"/>
        </w:rPr>
        <w:t>价格中以外，</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还需要根据</w:t>
      </w:r>
      <w:r>
        <w:rPr>
          <w:rFonts w:hint="eastAsia" w:ascii="宋体" w:hAnsi="宋体" w:eastAsia="宋体" w:cs="Times New Roman"/>
          <w:color w:val="auto"/>
          <w:sz w:val="24"/>
          <w:highlight w:val="none"/>
          <w:lang w:val="en-US" w:eastAsia="zh-CN"/>
        </w:rPr>
        <w:t>竞争性磋商</w:t>
      </w:r>
      <w:r>
        <w:rPr>
          <w:rFonts w:hint="eastAsia" w:ascii="宋体" w:hAnsi="宋体" w:eastAsia="宋体" w:cs="Times New Roman"/>
          <w:color w:val="auto"/>
          <w:sz w:val="24"/>
          <w:highlight w:val="none"/>
        </w:rPr>
        <w:t>文件规定的内容考虑相应的总承包服务费。</w:t>
      </w:r>
    </w:p>
    <w:p w14:paraId="31667CE2">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3.3  需要补充的其他说明</w:t>
      </w:r>
      <w:bookmarkEnd w:id="874"/>
      <w:bookmarkEnd w:id="875"/>
      <w:bookmarkEnd w:id="876"/>
      <w:bookmarkEnd w:id="877"/>
    </w:p>
    <w:p w14:paraId="6E527D6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需要补充的其他说明：</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w:t>
      </w:r>
      <w:r>
        <w:rPr>
          <w:rFonts w:ascii="宋体" w:hAnsi="宋体" w:cs="Arial"/>
          <w:color w:val="auto"/>
          <w:sz w:val="24"/>
          <w:highlight w:val="none"/>
          <w:u w:val="single"/>
        </w:rPr>
        <w:t xml:space="preserve">      </w:t>
      </w:r>
      <w:r>
        <w:rPr>
          <w:rFonts w:hint="eastAsia" w:ascii="宋体" w:hAnsi="宋体"/>
          <w:color w:val="auto"/>
          <w:sz w:val="24"/>
          <w:highlight w:val="none"/>
        </w:rPr>
        <w:t>。</w:t>
      </w:r>
    </w:p>
    <w:p w14:paraId="41B7B769">
      <w:pPr>
        <w:keepNext/>
        <w:keepLines/>
        <w:spacing w:line="360" w:lineRule="auto"/>
        <w:ind w:firstLine="480" w:firstLineChars="200"/>
        <w:outlineLvl w:val="1"/>
        <w:rPr>
          <w:rFonts w:hint="eastAsia" w:ascii="宋体" w:hAnsi="宋体" w:cs="宋体"/>
          <w:color w:val="auto"/>
          <w:sz w:val="24"/>
          <w:highlight w:val="none"/>
        </w:rPr>
      </w:pPr>
      <w:bookmarkStart w:id="878" w:name="_Toc490222673"/>
      <w:bookmarkStart w:id="879" w:name="_Toc486580275"/>
      <w:bookmarkStart w:id="880" w:name="_Toc497213949"/>
      <w:bookmarkStart w:id="881" w:name="_Toc489280084"/>
      <w:bookmarkStart w:id="882" w:name="_Toc117597705"/>
      <w:r>
        <w:rPr>
          <w:rFonts w:ascii="宋体" w:hAnsi="宋体" w:cs="宋体"/>
          <w:color w:val="auto"/>
          <w:sz w:val="24"/>
          <w:highlight w:val="none"/>
        </w:rPr>
        <w:t>4.</w:t>
      </w:r>
      <w:r>
        <w:rPr>
          <w:rFonts w:hint="eastAsia" w:ascii="宋体" w:hAnsi="宋体" w:cs="宋体"/>
          <w:color w:val="auto"/>
          <w:sz w:val="24"/>
          <w:highlight w:val="none"/>
        </w:rPr>
        <w:t>工程量清单与计价表</w:t>
      </w:r>
      <w:bookmarkEnd w:id="878"/>
      <w:bookmarkEnd w:id="879"/>
      <w:bookmarkEnd w:id="880"/>
      <w:bookmarkEnd w:id="881"/>
      <w:bookmarkEnd w:id="882"/>
    </w:p>
    <w:p w14:paraId="2673E067">
      <w:pPr>
        <w:spacing w:line="360" w:lineRule="auto"/>
        <w:ind w:firstLine="480" w:firstLineChars="200"/>
        <w:outlineLvl w:val="3"/>
        <w:rPr>
          <w:rFonts w:hint="eastAsia" w:ascii="宋体" w:hAnsi="宋体" w:eastAsia="宋体" w:cs="Times New Roman"/>
          <w:color w:val="auto"/>
          <w:sz w:val="24"/>
          <w:highlight w:val="none"/>
        </w:rPr>
      </w:pPr>
      <w:bookmarkStart w:id="883" w:name="_Toc148453440"/>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人应结合本工程特点编制工程量清单，并确保暂列金额明细表、材料暂估单价表、专业工程暂估价表中所填写内容与工程量清单中所填写内容一致。</w:t>
      </w:r>
    </w:p>
    <w:p w14:paraId="14DFC6F5">
      <w:pPr>
        <w:spacing w:line="360" w:lineRule="auto"/>
        <w:ind w:firstLine="480" w:firstLineChars="200"/>
        <w:outlineLvl w:val="3"/>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应当使用工程量清单计价表中提供的格式（除工程量清单封面外），填报已标价工程量清单。</w:t>
      </w:r>
      <w:r>
        <w:rPr>
          <w:rFonts w:hint="eastAsia" w:ascii="宋体" w:hAnsi="宋体" w:eastAsia="宋体" w:cs="Times New Roman"/>
          <w:color w:val="auto"/>
          <w:sz w:val="24"/>
          <w:highlight w:val="none"/>
          <w:lang w:val="en-US" w:eastAsia="zh-CN"/>
        </w:rPr>
        <w:t>供应商</w:t>
      </w:r>
      <w:r>
        <w:rPr>
          <w:rFonts w:hint="eastAsia" w:ascii="宋体" w:hAnsi="宋体" w:eastAsia="宋体" w:cs="Times New Roman"/>
          <w:color w:val="auto"/>
          <w:sz w:val="24"/>
          <w:highlight w:val="none"/>
        </w:rPr>
        <w:t>认为工程量清单计价表格式无法满足工程量清单要求时，可自行补充相应表格。</w:t>
      </w:r>
    </w:p>
    <w:p w14:paraId="18BA333A">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工程量清单与计价表格式：</w:t>
      </w:r>
      <w:r>
        <w:rPr>
          <w:rFonts w:hint="eastAsia" w:ascii="宋体" w:hAnsi="宋体"/>
          <w:color w:val="auto"/>
          <w:sz w:val="24"/>
          <w:highlight w:val="none"/>
          <w:u w:val="single"/>
        </w:rPr>
        <w:t>另附</w:t>
      </w:r>
      <w:bookmarkEnd w:id="883"/>
      <w:r>
        <w:rPr>
          <w:rFonts w:hint="eastAsia" w:ascii="宋体" w:hAnsi="宋体"/>
          <w:color w:val="auto"/>
          <w:sz w:val="24"/>
          <w:highlight w:val="none"/>
          <w:u w:val="single"/>
        </w:rPr>
        <w:t>。</w:t>
      </w:r>
    </w:p>
    <w:p w14:paraId="4D41B7D6">
      <w:pPr>
        <w:rPr>
          <w:color w:val="auto"/>
          <w:highlight w:val="none"/>
        </w:rPr>
      </w:pPr>
    </w:p>
    <w:p w14:paraId="19EE43D7">
      <w:pPr>
        <w:spacing w:line="360" w:lineRule="auto"/>
        <w:ind w:firstLine="480" w:firstLineChars="200"/>
        <w:rPr>
          <w:rFonts w:hint="eastAsia" w:ascii="宋体" w:hAnsi="宋体"/>
          <w:color w:val="auto"/>
          <w:sz w:val="24"/>
          <w:highlight w:val="none"/>
          <w:u w:val="single"/>
        </w:rPr>
      </w:pPr>
    </w:p>
    <w:p w14:paraId="76A37E7C">
      <w:pPr>
        <w:rPr>
          <w:color w:val="auto"/>
          <w:highlight w:val="none"/>
        </w:rPr>
      </w:pPr>
    </w:p>
    <w:p w14:paraId="364835B0">
      <w:pPr>
        <w:pStyle w:val="25"/>
        <w:ind w:left="1260"/>
        <w:rPr>
          <w:color w:val="auto"/>
          <w:highlight w:val="none"/>
        </w:rPr>
      </w:pPr>
    </w:p>
    <w:p w14:paraId="4A24D2AF">
      <w:pPr>
        <w:rPr>
          <w:color w:val="auto"/>
          <w:highlight w:val="none"/>
        </w:rPr>
        <w:sectPr>
          <w:headerReference r:id="rId19" w:type="default"/>
          <w:footerReference r:id="rId20" w:type="default"/>
          <w:type w:val="nextColumn"/>
          <w:pgSz w:w="11907" w:h="16840"/>
          <w:pgMar w:top="1440" w:right="1800" w:bottom="1440" w:left="1800" w:header="851" w:footer="851" w:gutter="0"/>
          <w:pgNumType w:fmt="decimal"/>
          <w:cols w:space="720" w:num="1"/>
          <w:docGrid w:linePitch="462" w:charSpace="0"/>
        </w:sectPr>
      </w:pPr>
    </w:p>
    <w:p w14:paraId="6370BFFF">
      <w:pPr>
        <w:spacing w:line="360" w:lineRule="auto"/>
        <w:jc w:val="center"/>
        <w:outlineLvl w:val="0"/>
        <w:rPr>
          <w:rFonts w:hint="eastAsia" w:ascii="宋体" w:hAnsi="宋体"/>
          <w:b/>
          <w:color w:val="auto"/>
          <w:sz w:val="36"/>
          <w:szCs w:val="36"/>
          <w:highlight w:val="none"/>
        </w:rPr>
      </w:pPr>
      <w:bookmarkStart w:id="884" w:name="_Toc20120"/>
      <w:r>
        <w:rPr>
          <w:rFonts w:ascii="宋体" w:hAnsi="宋体"/>
          <w:b/>
          <w:color w:val="auto"/>
          <w:sz w:val="36"/>
          <w:szCs w:val="36"/>
          <w:highlight w:val="none"/>
        </w:rPr>
        <w:t>第</w:t>
      </w:r>
      <w:r>
        <w:rPr>
          <w:rFonts w:hint="eastAsia" w:ascii="宋体" w:hAnsi="宋体"/>
          <w:b/>
          <w:color w:val="auto"/>
          <w:sz w:val="36"/>
          <w:szCs w:val="36"/>
          <w:highlight w:val="none"/>
        </w:rPr>
        <w:t>七</w:t>
      </w:r>
      <w:r>
        <w:rPr>
          <w:rFonts w:ascii="宋体" w:hAnsi="宋体"/>
          <w:b/>
          <w:color w:val="auto"/>
          <w:sz w:val="36"/>
          <w:szCs w:val="36"/>
          <w:highlight w:val="none"/>
        </w:rPr>
        <w:t>章   响应文件格式</w:t>
      </w:r>
      <w:bookmarkEnd w:id="884"/>
    </w:p>
    <w:p w14:paraId="36267AC4">
      <w:pPr>
        <w:tabs>
          <w:tab w:val="left" w:pos="900"/>
          <w:tab w:val="left" w:pos="1980"/>
        </w:tabs>
        <w:snapToGrid w:val="0"/>
        <w:spacing w:line="360" w:lineRule="auto"/>
        <w:ind w:left="142"/>
        <w:rPr>
          <w:rFonts w:hint="eastAsia" w:ascii="宋体" w:hAnsi="宋体"/>
          <w:b/>
          <w:color w:val="auto"/>
          <w:kern w:val="0"/>
          <w:sz w:val="24"/>
          <w:highlight w:val="none"/>
        </w:rPr>
      </w:pPr>
      <w:r>
        <w:rPr>
          <w:rFonts w:hint="eastAsia" w:ascii="宋体" w:hAnsi="宋体"/>
          <w:b/>
          <w:color w:val="auto"/>
          <w:kern w:val="0"/>
          <w:sz w:val="24"/>
          <w:highlight w:val="none"/>
        </w:rPr>
        <w:t>供应商编制文件须知</w:t>
      </w:r>
    </w:p>
    <w:p w14:paraId="4BE5AB52">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1.供应商按照本部分的顺序编制响应文件，编制中涉及格式资料的，应按照本部分提供的内容和格式（所有表格的格式可扩展）填写提交。</w:t>
      </w:r>
    </w:p>
    <w:p w14:paraId="7D7E6FE3">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对于竞争性磋商文件中标记了“实质性格式”文件的，供应商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6B6AD1CA">
      <w:pPr>
        <w:tabs>
          <w:tab w:val="left" w:pos="900"/>
          <w:tab w:val="left" w:pos="1980"/>
        </w:tabs>
        <w:snapToGrid w:val="0"/>
        <w:spacing w:line="360" w:lineRule="auto"/>
        <w:ind w:left="142"/>
        <w:rPr>
          <w:rFonts w:hint="eastAsia" w:ascii="宋体" w:hAnsi="宋体"/>
          <w:b/>
          <w:color w:val="auto"/>
          <w:spacing w:val="20"/>
          <w:sz w:val="24"/>
          <w:highlight w:val="none"/>
        </w:rPr>
      </w:pPr>
      <w:r>
        <w:rPr>
          <w:rFonts w:ascii="宋体" w:hAnsi="宋体"/>
          <w:color w:val="auto"/>
          <w:sz w:val="24"/>
          <w:highlight w:val="none"/>
        </w:rPr>
        <w:t>3.全部声明和问题的回答及所附材料必须是真实的、准确的和完整的。</w:t>
      </w:r>
      <w:r>
        <w:rPr>
          <w:rFonts w:ascii="宋体" w:hAnsi="宋体"/>
          <w:b/>
          <w:color w:val="auto"/>
          <w:spacing w:val="20"/>
          <w:sz w:val="24"/>
          <w:highlight w:val="none"/>
        </w:rPr>
        <w:br w:type="page"/>
      </w:r>
    </w:p>
    <w:p w14:paraId="5F0656B7">
      <w:pPr>
        <w:rPr>
          <w:rFonts w:hint="eastAsia" w:ascii="宋体" w:hAnsi="宋体"/>
          <w:b/>
          <w:color w:val="auto"/>
          <w:sz w:val="24"/>
          <w:highlight w:val="none"/>
        </w:rPr>
      </w:pPr>
      <w:r>
        <w:rPr>
          <w:rFonts w:ascii="宋体" w:hAnsi="宋体"/>
          <w:b/>
          <w:color w:val="auto"/>
          <w:spacing w:val="20"/>
          <w:sz w:val="24"/>
          <w:highlight w:val="none"/>
        </w:rPr>
        <w:t>响应文件</w:t>
      </w:r>
      <w:r>
        <w:rPr>
          <w:rFonts w:ascii="宋体" w:hAnsi="宋体"/>
          <w:b/>
          <w:color w:val="auto"/>
          <w:sz w:val="24"/>
          <w:highlight w:val="none"/>
        </w:rPr>
        <w:t>封面（非实质性格式）</w:t>
      </w:r>
    </w:p>
    <w:p w14:paraId="271FD3B0">
      <w:pPr>
        <w:jc w:val="center"/>
        <w:rPr>
          <w:rFonts w:hint="eastAsia" w:ascii="宋体" w:hAnsi="宋体"/>
          <w:color w:val="auto"/>
          <w:szCs w:val="21"/>
          <w:highlight w:val="none"/>
        </w:rPr>
      </w:pPr>
    </w:p>
    <w:p w14:paraId="41FB0901">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响 应 文 件</w:t>
      </w:r>
    </w:p>
    <w:p w14:paraId="1CF6429E">
      <w:pPr>
        <w:jc w:val="center"/>
        <w:rPr>
          <w:rFonts w:hint="eastAsia" w:ascii="宋体" w:hAnsi="宋体"/>
          <w:b/>
          <w:color w:val="auto"/>
          <w:spacing w:val="60"/>
          <w:sz w:val="52"/>
          <w:szCs w:val="52"/>
          <w:highlight w:val="none"/>
        </w:rPr>
      </w:pPr>
    </w:p>
    <w:p w14:paraId="27A80A2D">
      <w:pPr>
        <w:ind w:firstLine="542" w:firstLineChars="150"/>
        <w:rPr>
          <w:rFonts w:hint="eastAsia" w:ascii="宋体" w:hAnsi="宋体"/>
          <w:b/>
          <w:color w:val="auto"/>
          <w:spacing w:val="20"/>
          <w:sz w:val="32"/>
          <w:szCs w:val="32"/>
          <w:highlight w:val="none"/>
        </w:rPr>
      </w:pPr>
    </w:p>
    <w:p w14:paraId="02CAECF5">
      <w:pPr>
        <w:ind w:firstLine="542" w:firstLineChars="150"/>
        <w:rPr>
          <w:rFonts w:hint="eastAsia" w:ascii="宋体" w:hAnsi="宋体"/>
          <w:b/>
          <w:color w:val="auto"/>
          <w:spacing w:val="20"/>
          <w:sz w:val="32"/>
          <w:szCs w:val="32"/>
          <w:highlight w:val="none"/>
        </w:rPr>
      </w:pPr>
    </w:p>
    <w:p w14:paraId="0EDDB7B4">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14:paraId="2B321B9E">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项目编号：</w:t>
      </w:r>
    </w:p>
    <w:p w14:paraId="384D01D2">
      <w:pPr>
        <w:ind w:firstLine="542" w:firstLineChars="150"/>
        <w:rPr>
          <w:rFonts w:hint="eastAsia" w:ascii="宋体" w:hAnsi="宋体"/>
          <w:b/>
          <w:color w:val="auto"/>
          <w:spacing w:val="20"/>
          <w:sz w:val="32"/>
          <w:szCs w:val="32"/>
          <w:highlight w:val="none"/>
        </w:rPr>
      </w:pPr>
    </w:p>
    <w:p w14:paraId="37171B3E">
      <w:pPr>
        <w:ind w:firstLine="542" w:firstLineChars="150"/>
        <w:rPr>
          <w:rFonts w:hint="eastAsia" w:ascii="宋体" w:hAnsi="宋体"/>
          <w:b/>
          <w:color w:val="auto"/>
          <w:spacing w:val="20"/>
          <w:sz w:val="32"/>
          <w:szCs w:val="32"/>
          <w:highlight w:val="none"/>
        </w:rPr>
      </w:pPr>
    </w:p>
    <w:p w14:paraId="1DF9BB65">
      <w:pPr>
        <w:jc w:val="center"/>
        <w:rPr>
          <w:rFonts w:hint="eastAsia" w:ascii="宋体" w:hAnsi="宋体"/>
          <w:b/>
          <w:color w:val="auto"/>
          <w:sz w:val="32"/>
          <w:szCs w:val="32"/>
          <w:highlight w:val="none"/>
        </w:rPr>
      </w:pPr>
    </w:p>
    <w:p w14:paraId="3B840BCD">
      <w:pPr>
        <w:jc w:val="center"/>
        <w:rPr>
          <w:rFonts w:hint="eastAsia" w:ascii="宋体" w:hAnsi="宋体"/>
          <w:b/>
          <w:color w:val="auto"/>
          <w:sz w:val="32"/>
          <w:szCs w:val="32"/>
          <w:highlight w:val="none"/>
        </w:rPr>
      </w:pPr>
    </w:p>
    <w:p w14:paraId="46B36CE7">
      <w:pPr>
        <w:jc w:val="center"/>
        <w:rPr>
          <w:rFonts w:hint="eastAsia" w:ascii="宋体" w:hAnsi="宋体"/>
          <w:b/>
          <w:color w:val="auto"/>
          <w:sz w:val="32"/>
          <w:szCs w:val="32"/>
          <w:highlight w:val="none"/>
        </w:rPr>
      </w:pPr>
    </w:p>
    <w:p w14:paraId="4BEAC1E9">
      <w:pPr>
        <w:jc w:val="center"/>
        <w:rPr>
          <w:rFonts w:hint="eastAsia" w:ascii="宋体" w:hAnsi="宋体"/>
          <w:b/>
          <w:color w:val="auto"/>
          <w:spacing w:val="20"/>
          <w:sz w:val="32"/>
          <w:szCs w:val="32"/>
          <w:highlight w:val="none"/>
        </w:rPr>
      </w:pPr>
    </w:p>
    <w:p w14:paraId="709B2D42">
      <w:pPr>
        <w:jc w:val="center"/>
        <w:rPr>
          <w:rFonts w:hint="eastAsia" w:ascii="宋体" w:hAnsi="宋体"/>
          <w:b/>
          <w:color w:val="auto"/>
          <w:spacing w:val="20"/>
          <w:sz w:val="32"/>
          <w:szCs w:val="32"/>
          <w:highlight w:val="none"/>
        </w:rPr>
      </w:pPr>
    </w:p>
    <w:p w14:paraId="1A8D23C9">
      <w:pPr>
        <w:jc w:val="center"/>
        <w:rPr>
          <w:rFonts w:hint="eastAsia" w:ascii="宋体" w:hAnsi="宋体"/>
          <w:b/>
          <w:color w:val="auto"/>
          <w:spacing w:val="20"/>
          <w:sz w:val="32"/>
          <w:szCs w:val="32"/>
          <w:highlight w:val="none"/>
        </w:rPr>
      </w:pPr>
    </w:p>
    <w:p w14:paraId="249A83E5">
      <w:pPr>
        <w:spacing w:line="360" w:lineRule="auto"/>
        <w:ind w:firstLine="1445" w:firstLineChars="400"/>
        <w:jc w:val="left"/>
        <w:rPr>
          <w:rFonts w:hint="eastAsia" w:ascii="宋体" w:hAnsi="宋体"/>
          <w:b/>
          <w:color w:val="auto"/>
          <w:spacing w:val="20"/>
          <w:sz w:val="32"/>
          <w:szCs w:val="32"/>
          <w:highlight w:val="none"/>
        </w:rPr>
      </w:pPr>
      <w:r>
        <w:rPr>
          <w:rFonts w:ascii="宋体" w:hAnsi="宋体"/>
          <w:b/>
          <w:color w:val="auto"/>
          <w:spacing w:val="20"/>
          <w:sz w:val="32"/>
          <w:szCs w:val="32"/>
          <w:highlight w:val="none"/>
        </w:rPr>
        <w:t>供应商名称：</w:t>
      </w:r>
    </w:p>
    <w:p w14:paraId="71FE604C">
      <w:pPr>
        <w:jc w:val="center"/>
        <w:rPr>
          <w:rFonts w:hint="eastAsia" w:ascii="宋体" w:hAnsi="宋体"/>
          <w:b/>
          <w:color w:val="auto"/>
          <w:sz w:val="32"/>
          <w:szCs w:val="32"/>
          <w:highlight w:val="none"/>
        </w:rPr>
      </w:pPr>
    </w:p>
    <w:p w14:paraId="6700FE3A">
      <w:pPr>
        <w:rPr>
          <w:rFonts w:hint="eastAsia" w:ascii="宋体" w:hAnsi="宋体"/>
          <w:b/>
          <w:color w:val="auto"/>
          <w:highlight w:val="none"/>
        </w:rPr>
      </w:pPr>
      <w:r>
        <w:rPr>
          <w:rFonts w:ascii="宋体" w:hAnsi="宋体"/>
          <w:b/>
          <w:color w:val="auto"/>
          <w:spacing w:val="20"/>
          <w:sz w:val="32"/>
          <w:szCs w:val="32"/>
          <w:highlight w:val="none"/>
        </w:rPr>
        <w:br w:type="page"/>
      </w:r>
    </w:p>
    <w:p w14:paraId="5FF49397">
      <w:p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1 满足《中华人民共和国政府采购法》第二十二条规定</w:t>
      </w:r>
    </w:p>
    <w:p w14:paraId="0EB7149B">
      <w:pPr>
        <w:spacing w:line="360" w:lineRule="auto"/>
        <w:outlineLvl w:val="2"/>
        <w:rPr>
          <w:rFonts w:hint="eastAsia" w:ascii="宋体" w:hAnsi="宋体"/>
          <w:color w:val="auto"/>
          <w:sz w:val="24"/>
          <w:highlight w:val="none"/>
        </w:rPr>
      </w:pPr>
      <w:r>
        <w:rPr>
          <w:rFonts w:ascii="宋体" w:hAnsi="宋体"/>
          <w:color w:val="auto"/>
          <w:sz w:val="24"/>
          <w:highlight w:val="none"/>
        </w:rPr>
        <w:t>1-1 营业执照等证明文件</w:t>
      </w:r>
    </w:p>
    <w:p w14:paraId="633D5D4E">
      <w:pPr>
        <w:tabs>
          <w:tab w:val="left" w:pos="1080"/>
        </w:tabs>
        <w:snapToGrid w:val="0"/>
        <w:rPr>
          <w:rFonts w:hint="eastAsia" w:ascii="宋体" w:hAnsi="宋体"/>
          <w:color w:val="auto"/>
          <w:sz w:val="24"/>
          <w:highlight w:val="none"/>
        </w:rPr>
      </w:pPr>
    </w:p>
    <w:p w14:paraId="33C5113C">
      <w:pPr>
        <w:widowControl/>
        <w:jc w:val="left"/>
        <w:rPr>
          <w:rFonts w:hint="eastAsia" w:ascii="宋体" w:hAnsi="宋体"/>
          <w:color w:val="auto"/>
          <w:sz w:val="24"/>
          <w:szCs w:val="20"/>
          <w:highlight w:val="none"/>
        </w:rPr>
      </w:pPr>
      <w:r>
        <w:rPr>
          <w:rFonts w:ascii="宋体" w:hAnsi="宋体"/>
          <w:color w:val="auto"/>
          <w:sz w:val="24"/>
          <w:highlight w:val="none"/>
        </w:rPr>
        <w:br w:type="page"/>
      </w:r>
    </w:p>
    <w:p w14:paraId="1A19C25A">
      <w:pPr>
        <w:pStyle w:val="4"/>
        <w:rPr>
          <w:rFonts w:hint="eastAsia" w:hAnsi="宋体"/>
          <w:b w:val="0"/>
          <w:bCs/>
          <w:color w:val="auto"/>
          <w:szCs w:val="24"/>
          <w:highlight w:val="none"/>
          <w:u w:val="none"/>
        </w:rPr>
      </w:pPr>
      <w:r>
        <w:rPr>
          <w:rFonts w:hAnsi="宋体"/>
          <w:b w:val="0"/>
          <w:color w:val="auto"/>
          <w:szCs w:val="24"/>
          <w:highlight w:val="none"/>
          <w:u w:val="none"/>
        </w:rPr>
        <w:t>1-2 供应商资格声明书</w:t>
      </w:r>
    </w:p>
    <w:p w14:paraId="3BC6A743">
      <w:pPr>
        <w:jc w:val="center"/>
        <w:rPr>
          <w:rFonts w:hint="eastAsia" w:ascii="宋体" w:hAnsi="宋体"/>
          <w:b/>
          <w:color w:val="auto"/>
          <w:sz w:val="36"/>
          <w:szCs w:val="36"/>
          <w:highlight w:val="none"/>
        </w:rPr>
      </w:pPr>
      <w:r>
        <w:rPr>
          <w:rFonts w:ascii="宋体" w:hAnsi="宋体"/>
          <w:b/>
          <w:color w:val="auto"/>
          <w:sz w:val="36"/>
          <w:szCs w:val="36"/>
          <w:highlight w:val="none"/>
        </w:rPr>
        <w:t>供应商资格声明书</w:t>
      </w:r>
    </w:p>
    <w:p w14:paraId="68BC8BE7">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BC3B6BA">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在参与本次项目磋商中，我单位承诺：</w:t>
      </w:r>
    </w:p>
    <w:p w14:paraId="698528D5">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具有良好的商业信誉和健全的财务会计制度；</w:t>
      </w:r>
    </w:p>
    <w:p w14:paraId="37627768">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具有履行合同所必需的设备和专业技术能力；</w:t>
      </w:r>
    </w:p>
    <w:p w14:paraId="05034987">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有依法缴纳税收和社会保障资金的良好记录；</w:t>
      </w:r>
    </w:p>
    <w:p w14:paraId="774641A2">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33099A">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14:paraId="1AC7D37C">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6AF06199">
      <w:pPr>
        <w:numPr>
          <w:ilvl w:val="0"/>
          <w:numId w:val="18"/>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CC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316D8A">
            <w:pPr>
              <w:jc w:val="center"/>
              <w:rPr>
                <w:rFonts w:hint="eastAsia" w:ascii="宋体" w:hAnsi="宋体"/>
                <w:color w:val="auto"/>
                <w:sz w:val="24"/>
                <w:highlight w:val="none"/>
              </w:rPr>
            </w:pPr>
            <w:r>
              <w:rPr>
                <w:rFonts w:ascii="宋体" w:hAnsi="宋体"/>
                <w:color w:val="auto"/>
                <w:sz w:val="24"/>
                <w:highlight w:val="none"/>
              </w:rPr>
              <w:t>序号</w:t>
            </w:r>
          </w:p>
        </w:tc>
        <w:tc>
          <w:tcPr>
            <w:tcW w:w="4574" w:type="dxa"/>
            <w:vAlign w:val="center"/>
          </w:tcPr>
          <w:p w14:paraId="71F23965">
            <w:pPr>
              <w:jc w:val="center"/>
              <w:rPr>
                <w:rFonts w:hint="eastAsia" w:ascii="宋体" w:hAnsi="宋体"/>
                <w:color w:val="auto"/>
                <w:sz w:val="24"/>
                <w:highlight w:val="none"/>
              </w:rPr>
            </w:pPr>
            <w:r>
              <w:rPr>
                <w:rFonts w:ascii="宋体" w:hAnsi="宋体"/>
                <w:color w:val="auto"/>
                <w:sz w:val="24"/>
                <w:highlight w:val="none"/>
              </w:rPr>
              <w:t>单位名称</w:t>
            </w:r>
          </w:p>
        </w:tc>
        <w:tc>
          <w:tcPr>
            <w:tcW w:w="2976" w:type="dxa"/>
            <w:vAlign w:val="center"/>
          </w:tcPr>
          <w:p w14:paraId="1608BA08">
            <w:pPr>
              <w:jc w:val="center"/>
              <w:rPr>
                <w:rFonts w:hint="eastAsia" w:ascii="宋体" w:hAnsi="宋体"/>
                <w:color w:val="auto"/>
                <w:sz w:val="24"/>
                <w:highlight w:val="none"/>
              </w:rPr>
            </w:pPr>
            <w:r>
              <w:rPr>
                <w:rFonts w:ascii="宋体" w:hAnsi="宋体"/>
                <w:color w:val="auto"/>
                <w:sz w:val="24"/>
                <w:highlight w:val="none"/>
              </w:rPr>
              <w:t>相互关系</w:t>
            </w:r>
          </w:p>
        </w:tc>
      </w:tr>
      <w:tr w14:paraId="2A7A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BA6185">
            <w:pPr>
              <w:jc w:val="center"/>
              <w:rPr>
                <w:rFonts w:hint="eastAsia" w:ascii="宋体" w:hAnsi="宋体"/>
                <w:color w:val="auto"/>
                <w:sz w:val="24"/>
                <w:highlight w:val="none"/>
              </w:rPr>
            </w:pPr>
            <w:r>
              <w:rPr>
                <w:rFonts w:ascii="宋体" w:hAnsi="宋体"/>
                <w:color w:val="auto"/>
                <w:sz w:val="24"/>
                <w:highlight w:val="none"/>
              </w:rPr>
              <w:t>1</w:t>
            </w:r>
          </w:p>
        </w:tc>
        <w:tc>
          <w:tcPr>
            <w:tcW w:w="4574" w:type="dxa"/>
            <w:vAlign w:val="center"/>
          </w:tcPr>
          <w:p w14:paraId="2B862FAE">
            <w:pPr>
              <w:jc w:val="center"/>
              <w:rPr>
                <w:rFonts w:hint="eastAsia" w:ascii="宋体" w:hAnsi="宋体"/>
                <w:color w:val="auto"/>
                <w:sz w:val="24"/>
                <w:highlight w:val="none"/>
              </w:rPr>
            </w:pPr>
          </w:p>
        </w:tc>
        <w:tc>
          <w:tcPr>
            <w:tcW w:w="2976" w:type="dxa"/>
            <w:vAlign w:val="center"/>
          </w:tcPr>
          <w:p w14:paraId="3C534FAE">
            <w:pPr>
              <w:jc w:val="center"/>
              <w:rPr>
                <w:rFonts w:hint="eastAsia" w:ascii="宋体" w:hAnsi="宋体"/>
                <w:color w:val="auto"/>
                <w:sz w:val="24"/>
                <w:highlight w:val="none"/>
              </w:rPr>
            </w:pPr>
          </w:p>
        </w:tc>
      </w:tr>
      <w:tr w14:paraId="544DF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83AD20">
            <w:pPr>
              <w:jc w:val="center"/>
              <w:rPr>
                <w:rFonts w:hint="eastAsia" w:ascii="宋体" w:hAnsi="宋体"/>
                <w:color w:val="auto"/>
                <w:sz w:val="24"/>
                <w:highlight w:val="none"/>
              </w:rPr>
            </w:pPr>
            <w:r>
              <w:rPr>
                <w:rFonts w:ascii="宋体" w:hAnsi="宋体"/>
                <w:color w:val="auto"/>
                <w:sz w:val="24"/>
                <w:highlight w:val="none"/>
              </w:rPr>
              <w:t>2</w:t>
            </w:r>
          </w:p>
        </w:tc>
        <w:tc>
          <w:tcPr>
            <w:tcW w:w="4574" w:type="dxa"/>
            <w:vAlign w:val="center"/>
          </w:tcPr>
          <w:p w14:paraId="6A8FD5D0">
            <w:pPr>
              <w:jc w:val="center"/>
              <w:rPr>
                <w:rFonts w:hint="eastAsia" w:ascii="宋体" w:hAnsi="宋体"/>
                <w:color w:val="auto"/>
                <w:sz w:val="24"/>
                <w:highlight w:val="none"/>
              </w:rPr>
            </w:pPr>
          </w:p>
        </w:tc>
        <w:tc>
          <w:tcPr>
            <w:tcW w:w="2976" w:type="dxa"/>
            <w:vAlign w:val="center"/>
          </w:tcPr>
          <w:p w14:paraId="064CF81D">
            <w:pPr>
              <w:jc w:val="center"/>
              <w:rPr>
                <w:rFonts w:hint="eastAsia" w:ascii="宋体" w:hAnsi="宋体"/>
                <w:color w:val="auto"/>
                <w:sz w:val="24"/>
                <w:highlight w:val="none"/>
              </w:rPr>
            </w:pPr>
          </w:p>
        </w:tc>
      </w:tr>
      <w:tr w14:paraId="68F4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0A51A7">
            <w:pPr>
              <w:jc w:val="center"/>
              <w:rPr>
                <w:rFonts w:hint="eastAsia" w:ascii="宋体" w:hAnsi="宋体"/>
                <w:color w:val="auto"/>
                <w:sz w:val="24"/>
                <w:highlight w:val="none"/>
              </w:rPr>
            </w:pPr>
            <w:r>
              <w:rPr>
                <w:rFonts w:ascii="宋体" w:hAnsi="宋体"/>
                <w:color w:val="auto"/>
                <w:sz w:val="24"/>
                <w:highlight w:val="none"/>
              </w:rPr>
              <w:t>…</w:t>
            </w:r>
          </w:p>
        </w:tc>
        <w:tc>
          <w:tcPr>
            <w:tcW w:w="4574" w:type="dxa"/>
            <w:vAlign w:val="center"/>
          </w:tcPr>
          <w:p w14:paraId="27288390">
            <w:pPr>
              <w:jc w:val="center"/>
              <w:rPr>
                <w:rFonts w:hint="eastAsia" w:ascii="宋体" w:hAnsi="宋体"/>
                <w:color w:val="auto"/>
                <w:sz w:val="24"/>
                <w:highlight w:val="none"/>
              </w:rPr>
            </w:pPr>
          </w:p>
        </w:tc>
        <w:tc>
          <w:tcPr>
            <w:tcW w:w="2976" w:type="dxa"/>
            <w:vAlign w:val="center"/>
          </w:tcPr>
          <w:p w14:paraId="224EA3A1">
            <w:pPr>
              <w:jc w:val="center"/>
              <w:rPr>
                <w:rFonts w:hint="eastAsia" w:ascii="宋体" w:hAnsi="宋体"/>
                <w:color w:val="auto"/>
                <w:sz w:val="24"/>
                <w:highlight w:val="none"/>
              </w:rPr>
            </w:pPr>
          </w:p>
        </w:tc>
      </w:tr>
    </w:tbl>
    <w:p w14:paraId="4B9CF8DE">
      <w:pPr>
        <w:rPr>
          <w:rFonts w:hint="eastAsia" w:ascii="宋体" w:hAnsi="宋体"/>
          <w:color w:val="auto"/>
          <w:highlight w:val="none"/>
        </w:rPr>
      </w:pPr>
    </w:p>
    <w:p w14:paraId="4338B850">
      <w:pPr>
        <w:ind w:firstLine="480" w:firstLineChars="200"/>
        <w:rPr>
          <w:rFonts w:hint="eastAsia" w:ascii="宋体" w:hAnsi="宋体"/>
          <w:color w:val="auto"/>
          <w:sz w:val="24"/>
          <w:szCs w:val="22"/>
          <w:highlight w:val="none"/>
        </w:rPr>
      </w:pPr>
      <w:r>
        <w:rPr>
          <w:rFonts w:ascii="宋体" w:hAnsi="宋体"/>
          <w:color w:val="auto"/>
          <w:sz w:val="24"/>
          <w:highlight w:val="none"/>
        </w:rPr>
        <w:t>上述声明真实有效，否则我方负全部责任。</w:t>
      </w:r>
    </w:p>
    <w:p w14:paraId="0E4ECF1C">
      <w:pPr>
        <w:spacing w:line="360" w:lineRule="auto"/>
        <w:rPr>
          <w:rFonts w:hint="eastAsia" w:ascii="宋体" w:hAnsi="宋体"/>
          <w:color w:val="auto"/>
          <w:sz w:val="24"/>
          <w:highlight w:val="none"/>
        </w:rPr>
      </w:pPr>
    </w:p>
    <w:p w14:paraId="7DA41BF2">
      <w:pPr>
        <w:autoSpaceDE w:val="0"/>
        <w:autoSpaceDN w:val="0"/>
        <w:adjustRightInd w:val="0"/>
        <w:snapToGrid w:val="0"/>
        <w:spacing w:before="25" w:after="25" w:line="360" w:lineRule="auto"/>
        <w:ind w:right="360"/>
        <w:jc w:val="right"/>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w:t>
      </w:r>
      <w:r>
        <w:rPr>
          <w:rFonts w:ascii="宋体" w:hAnsi="宋体"/>
          <w:color w:val="auto"/>
          <w:sz w:val="24"/>
          <w:highlight w:val="none"/>
        </w:rPr>
        <w:t>______</w:t>
      </w:r>
    </w:p>
    <w:p w14:paraId="7576C636">
      <w:pPr>
        <w:spacing w:line="360" w:lineRule="auto"/>
        <w:ind w:right="360" w:firstLine="480"/>
        <w:jc w:val="right"/>
        <w:rPr>
          <w:rFonts w:hint="eastAsia" w:ascii="宋体" w:hAnsi="宋体"/>
          <w:color w:val="auto"/>
          <w:sz w:val="24"/>
          <w:highlight w:val="none"/>
        </w:rPr>
      </w:pPr>
      <w:r>
        <w:rPr>
          <w:rFonts w:ascii="宋体" w:hAnsi="宋体"/>
          <w:color w:val="auto"/>
          <w:sz w:val="24"/>
          <w:szCs w:val="20"/>
          <w:highlight w:val="none"/>
        </w:rPr>
        <w:t xml:space="preserve">日期：____年____月____日   </w:t>
      </w:r>
    </w:p>
    <w:p w14:paraId="357C4EB2">
      <w:pPr>
        <w:spacing w:line="360" w:lineRule="auto"/>
        <w:rPr>
          <w:rFonts w:hint="eastAsia" w:ascii="宋体" w:hAnsi="宋体"/>
          <w:color w:val="auto"/>
          <w:sz w:val="24"/>
          <w:highlight w:val="none"/>
        </w:rPr>
      </w:pPr>
      <w:r>
        <w:rPr>
          <w:rFonts w:ascii="宋体" w:hAnsi="宋体"/>
          <w:color w:val="auto"/>
          <w:sz w:val="24"/>
          <w:highlight w:val="none"/>
        </w:rPr>
        <w:t>说明：供应商承诺不实的，依据《政府采购法》第七十七条“提供虚假材料谋取中标、成交的”有关规定予以处理。</w:t>
      </w:r>
    </w:p>
    <w:p w14:paraId="2E3E2176">
      <w:pPr>
        <w:tabs>
          <w:tab w:val="left" w:pos="5580"/>
        </w:tabs>
        <w:spacing w:line="360" w:lineRule="auto"/>
        <w:rPr>
          <w:rFonts w:hint="eastAsia" w:ascii="宋体" w:hAnsi="宋体"/>
          <w:color w:val="auto"/>
          <w:sz w:val="24"/>
          <w:highlight w:val="none"/>
        </w:rPr>
        <w:sectPr>
          <w:footerReference r:id="rId21" w:type="default"/>
          <w:footerReference r:id="rId22" w:type="even"/>
          <w:type w:val="nextColumn"/>
          <w:pgSz w:w="11907" w:h="16840"/>
          <w:pgMar w:top="1440" w:right="1800" w:bottom="1440" w:left="1800" w:header="851" w:footer="851" w:gutter="0"/>
          <w:pgNumType w:fmt="decimal"/>
          <w:cols w:space="720" w:num="1"/>
          <w:docGrid w:linePitch="462" w:charSpace="0"/>
        </w:sectPr>
      </w:pPr>
    </w:p>
    <w:p w14:paraId="4A52A063">
      <w:pPr>
        <w:tabs>
          <w:tab w:val="left" w:pos="360"/>
        </w:tabs>
        <w:snapToGrid w:val="0"/>
        <w:spacing w:line="360" w:lineRule="auto"/>
        <w:outlineLvl w:val="1"/>
        <w:rPr>
          <w:color w:val="auto"/>
          <w:sz w:val="24"/>
          <w:szCs w:val="20"/>
          <w:highlight w:val="none"/>
        </w:rPr>
      </w:pPr>
      <w:bookmarkStart w:id="885" w:name="_Ref467988698"/>
      <w:bookmarkStart w:id="886" w:name="_Toc480942349"/>
      <w:bookmarkStart w:id="887" w:name="_Toc142311058"/>
      <w:bookmarkStart w:id="888" w:name="_Toc150774761"/>
      <w:bookmarkStart w:id="889" w:name="_Toc127151556"/>
      <w:bookmarkStart w:id="890" w:name="_Toc520356217"/>
      <w:bookmarkStart w:id="891" w:name="_Toc226337252"/>
      <w:bookmarkStart w:id="892" w:name="_Toc226965746"/>
      <w:bookmarkStart w:id="893" w:name="_Toc226965829"/>
      <w:bookmarkStart w:id="894" w:name="_Toc195842921"/>
      <w:bookmarkStart w:id="895" w:name="_Toc150480794"/>
      <w:bookmarkStart w:id="896" w:name="_Toc226309800"/>
      <w:r>
        <w:rPr>
          <w:rFonts w:hint="eastAsia"/>
          <w:color w:val="auto"/>
          <w:sz w:val="24"/>
          <w:szCs w:val="20"/>
          <w:highlight w:val="none"/>
        </w:rPr>
        <w:t>2</w:t>
      </w:r>
      <w:r>
        <w:rPr>
          <w:color w:val="auto"/>
          <w:sz w:val="24"/>
          <w:szCs w:val="20"/>
          <w:highlight w:val="none"/>
        </w:rPr>
        <w:t>落实政府采购政策需满足的资格要求</w:t>
      </w:r>
    </w:p>
    <w:p w14:paraId="0432A6B0">
      <w:pPr>
        <w:spacing w:line="360" w:lineRule="auto"/>
        <w:outlineLvl w:val="2"/>
        <w:rPr>
          <w:color w:val="auto"/>
          <w:sz w:val="24"/>
          <w:szCs w:val="20"/>
          <w:highlight w:val="none"/>
        </w:rPr>
      </w:pPr>
      <w:r>
        <w:rPr>
          <w:color w:val="auto"/>
          <w:sz w:val="24"/>
          <w:szCs w:val="20"/>
          <w:highlight w:val="none"/>
        </w:rPr>
        <w:t>2-1 中小企业证明文件</w:t>
      </w:r>
    </w:p>
    <w:p w14:paraId="302C090A">
      <w:pPr>
        <w:tabs>
          <w:tab w:val="left" w:pos="5580"/>
        </w:tabs>
        <w:spacing w:line="360" w:lineRule="auto"/>
        <w:rPr>
          <w:color w:val="auto"/>
          <w:sz w:val="24"/>
          <w:highlight w:val="none"/>
        </w:rPr>
      </w:pPr>
      <w:r>
        <w:rPr>
          <w:color w:val="auto"/>
          <w:sz w:val="24"/>
          <w:highlight w:val="none"/>
        </w:rPr>
        <w:t>说明：</w:t>
      </w:r>
    </w:p>
    <w:p w14:paraId="6272D360">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）本项目专门面向中小企业采购，响应文件中须提供《中小企业声明函》或《残疾人福利性单位声明函》，或提供由省级以上监狱管理局、戒毒管理局（含新疆生产建设兵团）出具的属于监狱企业的证明文件。</w:t>
      </w:r>
    </w:p>
    <w:p w14:paraId="7609AE4D">
      <w:pPr>
        <w:tabs>
          <w:tab w:val="left" w:pos="5580"/>
        </w:tabs>
        <w:spacing w:line="360" w:lineRule="auto"/>
        <w:rPr>
          <w:color w:val="auto"/>
          <w:sz w:val="24"/>
          <w:highlight w:val="none"/>
        </w:rPr>
      </w:pPr>
      <w:r>
        <w:rPr>
          <w:rFonts w:hint="eastAsia"/>
          <w:color w:val="auto"/>
          <w:sz w:val="24"/>
          <w:highlight w:val="none"/>
        </w:rPr>
        <w:t>（2）供应商应充分、准确地了解所提供工程的承建企业信息。</w:t>
      </w:r>
    </w:p>
    <w:p w14:paraId="385C7923">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4A33BE5">
      <w:pPr>
        <w:tabs>
          <w:tab w:val="left" w:pos="5580"/>
        </w:tabs>
        <w:spacing w:line="360" w:lineRule="auto"/>
        <w:rPr>
          <w:color w:val="auto"/>
          <w:sz w:val="24"/>
          <w:highlight w:val="none"/>
        </w:rPr>
        <w:sectPr>
          <w:headerReference r:id="rId24" w:type="first"/>
          <w:footerReference r:id="rId26" w:type="first"/>
          <w:headerReference r:id="rId23" w:type="even"/>
          <w:footerReference r:id="rId25" w:type="even"/>
          <w:pgSz w:w="11907" w:h="16840"/>
          <w:pgMar w:top="1440" w:right="1800" w:bottom="1440" w:left="1800" w:header="851" w:footer="851" w:gutter="0"/>
          <w:pgNumType w:fmt="decimal"/>
          <w:cols w:space="720" w:num="1"/>
          <w:docGrid w:linePitch="462" w:charSpace="0"/>
        </w:sectPr>
      </w:pPr>
    </w:p>
    <w:p w14:paraId="4AC6FEAD">
      <w:pPr>
        <w:pStyle w:val="5"/>
        <w:rPr>
          <w:rFonts w:hint="eastAsia" w:ascii="宋体" w:hAnsi="宋体" w:eastAsia="宋体"/>
          <w:b w:val="0"/>
          <w:bCs/>
          <w:color w:val="auto"/>
          <w:highlight w:val="none"/>
        </w:rPr>
      </w:pPr>
      <w:r>
        <w:rPr>
          <w:rFonts w:ascii="Times New Roman" w:hAnsi="Times New Roman" w:eastAsia="宋体"/>
          <w:b w:val="0"/>
          <w:color w:val="auto"/>
          <w:kern w:val="2"/>
          <w:sz w:val="24"/>
          <w:highlight w:val="none"/>
        </w:rPr>
        <w:t xml:space="preserve">2-1-1 </w:t>
      </w:r>
      <w:r>
        <w:rPr>
          <w:rFonts w:ascii="宋体" w:hAnsi="宋体" w:eastAsia="宋体"/>
          <w:b w:val="0"/>
          <w:bCs/>
          <w:color w:val="auto"/>
          <w:highlight w:val="none"/>
        </w:rPr>
        <w:t>中小企业声明函及残疾人福利性单位声明函格式</w:t>
      </w:r>
    </w:p>
    <w:p w14:paraId="2A25E42F">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0D3D5CD4">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8B1D5A">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39BD1DD8">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34239B98">
      <w:pPr>
        <w:spacing w:line="360" w:lineRule="auto"/>
        <w:ind w:firstLine="504"/>
        <w:rPr>
          <w:color w:val="auto"/>
          <w:spacing w:val="6"/>
          <w:sz w:val="24"/>
          <w:highlight w:val="none"/>
        </w:rPr>
      </w:pPr>
    </w:p>
    <w:p w14:paraId="1B663D67">
      <w:pPr>
        <w:spacing w:line="360" w:lineRule="auto"/>
        <w:ind w:firstLine="504"/>
        <w:rPr>
          <w:color w:val="auto"/>
          <w:spacing w:val="6"/>
          <w:sz w:val="24"/>
          <w:highlight w:val="none"/>
        </w:rPr>
      </w:pPr>
      <w:r>
        <w:rPr>
          <w:color w:val="auto"/>
          <w:spacing w:val="6"/>
          <w:sz w:val="24"/>
          <w:highlight w:val="none"/>
        </w:rPr>
        <w:t>……</w:t>
      </w:r>
    </w:p>
    <w:p w14:paraId="43DD4AF2">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7E539895">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60AF8DDC">
      <w:pPr>
        <w:spacing w:line="360" w:lineRule="auto"/>
        <w:ind w:right="360" w:firstLine="480"/>
        <w:jc w:val="right"/>
        <w:rPr>
          <w:color w:val="auto"/>
          <w:sz w:val="24"/>
          <w:highlight w:val="none"/>
        </w:rPr>
      </w:pPr>
    </w:p>
    <w:p w14:paraId="7AA016D8">
      <w:pPr>
        <w:spacing w:line="360" w:lineRule="auto"/>
        <w:ind w:right="360" w:firstLine="480"/>
        <w:jc w:val="right"/>
        <w:rPr>
          <w:color w:val="auto"/>
          <w:sz w:val="24"/>
          <w:highlight w:val="none"/>
        </w:rPr>
      </w:pPr>
      <w:r>
        <w:rPr>
          <w:color w:val="auto"/>
          <w:sz w:val="24"/>
          <w:highlight w:val="none"/>
        </w:rPr>
        <w:t>企业名称（盖章）：________</w:t>
      </w:r>
    </w:p>
    <w:p w14:paraId="3AE7F2C8">
      <w:pPr>
        <w:spacing w:line="360" w:lineRule="auto"/>
        <w:ind w:right="360" w:firstLine="480"/>
        <w:jc w:val="right"/>
        <w:rPr>
          <w:color w:val="auto"/>
          <w:sz w:val="24"/>
          <w:highlight w:val="none"/>
        </w:rPr>
      </w:pPr>
      <w:r>
        <w:rPr>
          <w:color w:val="auto"/>
          <w:sz w:val="24"/>
          <w:highlight w:val="none"/>
        </w:rPr>
        <w:t>日 期：________</w:t>
      </w:r>
    </w:p>
    <w:p w14:paraId="39043607">
      <w:pPr>
        <w:adjustRightInd w:val="0"/>
        <w:snapToGrid w:val="0"/>
        <w:jc w:val="left"/>
        <w:rPr>
          <w:color w:val="auto"/>
          <w:sz w:val="24"/>
          <w:szCs w:val="21"/>
          <w:highlight w:val="none"/>
        </w:rPr>
      </w:pPr>
    </w:p>
    <w:p w14:paraId="4EC8A952">
      <w:pPr>
        <w:adjustRightInd w:val="0"/>
        <w:snapToGrid w:val="0"/>
        <w:jc w:val="left"/>
        <w:rPr>
          <w:color w:val="auto"/>
          <w:sz w:val="24"/>
          <w:szCs w:val="21"/>
          <w:highlight w:val="none"/>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4238B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FC97F9">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19740E52">
      <w:pPr>
        <w:adjustRightInd w:val="0"/>
        <w:snapToGrid w:val="0"/>
        <w:jc w:val="left"/>
        <w:rPr>
          <w:color w:val="auto"/>
          <w:szCs w:val="21"/>
          <w:highlight w:val="none"/>
          <w:vertAlign w:val="superscript"/>
        </w:rPr>
      </w:pPr>
    </w:p>
    <w:p w14:paraId="36383325">
      <w:pPr>
        <w:spacing w:line="360" w:lineRule="auto"/>
        <w:ind w:right="360" w:firstLine="480"/>
        <w:jc w:val="right"/>
        <w:rPr>
          <w:color w:val="auto"/>
          <w:sz w:val="24"/>
          <w:highlight w:val="none"/>
        </w:rPr>
      </w:pPr>
    </w:p>
    <w:p w14:paraId="3DAF0857">
      <w:pPr>
        <w:spacing w:line="360" w:lineRule="auto"/>
        <w:ind w:right="360" w:firstLine="480"/>
        <w:jc w:val="right"/>
        <w:rPr>
          <w:color w:val="auto"/>
          <w:sz w:val="24"/>
          <w:highlight w:val="none"/>
        </w:rPr>
      </w:pPr>
    </w:p>
    <w:p w14:paraId="06BAD989">
      <w:pPr>
        <w:spacing w:line="360" w:lineRule="auto"/>
        <w:rPr>
          <w:color w:val="auto"/>
          <w:sz w:val="24"/>
          <w:szCs w:val="20"/>
          <w:highlight w:val="none"/>
        </w:rPr>
      </w:pPr>
      <w:r>
        <w:rPr>
          <w:color w:val="auto"/>
          <w:sz w:val="24"/>
          <w:szCs w:val="20"/>
          <w:highlight w:val="none"/>
        </w:rPr>
        <w:br w:type="page"/>
      </w:r>
    </w:p>
    <w:p w14:paraId="3C43EC98">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64803250">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510A145A">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63179836">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6B4168D">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0150D545">
      <w:pPr>
        <w:spacing w:line="588" w:lineRule="exact"/>
        <w:ind w:firstLine="504" w:firstLineChars="200"/>
        <w:rPr>
          <w:color w:val="auto"/>
          <w:spacing w:val="6"/>
          <w:sz w:val="24"/>
          <w:highlight w:val="none"/>
        </w:rPr>
      </w:pPr>
    </w:p>
    <w:p w14:paraId="5BBF4AAF">
      <w:pPr>
        <w:spacing w:line="588" w:lineRule="exact"/>
        <w:ind w:firstLine="504" w:firstLineChars="200"/>
        <w:rPr>
          <w:color w:val="auto"/>
          <w:spacing w:val="6"/>
          <w:sz w:val="24"/>
          <w:highlight w:val="none"/>
        </w:rPr>
      </w:pPr>
    </w:p>
    <w:p w14:paraId="6AAD7B19">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4B455FFD">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35CB3C0E">
      <w:pPr>
        <w:widowControl/>
        <w:jc w:val="left"/>
        <w:rPr>
          <w:color w:val="auto"/>
          <w:sz w:val="24"/>
          <w:szCs w:val="20"/>
          <w:highlight w:val="none"/>
        </w:rPr>
        <w:sectPr>
          <w:pgSz w:w="11907" w:h="16840"/>
          <w:pgMar w:top="1440" w:right="1800" w:bottom="1440" w:left="1800" w:header="851" w:footer="851" w:gutter="0"/>
          <w:pgNumType w:fmt="decimal"/>
          <w:cols w:space="720" w:num="1"/>
          <w:docGrid w:linePitch="462" w:charSpace="0"/>
        </w:sectPr>
      </w:pPr>
      <w:r>
        <w:rPr>
          <w:color w:val="auto"/>
          <w:sz w:val="24"/>
          <w:szCs w:val="20"/>
          <w:highlight w:val="none"/>
        </w:rPr>
        <w:br w:type="page"/>
      </w:r>
    </w:p>
    <w:p w14:paraId="3133122B">
      <w:pPr>
        <w:tabs>
          <w:tab w:val="left" w:pos="360"/>
        </w:tabs>
        <w:snapToGrid w:val="0"/>
        <w:spacing w:line="360" w:lineRule="auto"/>
        <w:outlineLvl w:val="1"/>
        <w:rPr>
          <w:color w:val="auto"/>
          <w:sz w:val="24"/>
          <w:highlight w:val="none"/>
        </w:rPr>
      </w:pPr>
      <w:bookmarkStart w:id="897" w:name="_Hlk153870312"/>
      <w:r>
        <w:rPr>
          <w:color w:val="auto"/>
          <w:sz w:val="24"/>
          <w:szCs w:val="20"/>
          <w:highlight w:val="none"/>
        </w:rPr>
        <w:t>3</w:t>
      </w:r>
      <w:r>
        <w:rPr>
          <w:color w:val="auto"/>
          <w:sz w:val="24"/>
          <w:highlight w:val="none"/>
        </w:rPr>
        <w:t xml:space="preserve"> 本项目的特定资格要求</w:t>
      </w:r>
    </w:p>
    <w:p w14:paraId="68D35B7B">
      <w:pPr>
        <w:pStyle w:val="269"/>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3-1其他特定资格要求</w:t>
      </w:r>
    </w:p>
    <w:bookmarkEnd w:id="897"/>
    <w:p w14:paraId="27E0C7DF">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（1）供应商须具备建设行政主管部门核发的有效的消防设施工程专业承包二级（含）以上资质；</w:t>
      </w:r>
    </w:p>
    <w:p w14:paraId="308C31AE">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（2）具有有效的《安全生产许可证》，且未被北京市住房城乡建设主管部门暂扣；</w:t>
      </w:r>
    </w:p>
    <w:p w14:paraId="2370EC05">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（3）不存在被北京市住房城乡建设主管部门标注资质（本项目所涉及资质）异常且未完成整改情形；</w:t>
      </w:r>
    </w:p>
    <w:p w14:paraId="541DEB24">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（4）未被北京市住房城乡建设主管部门警示为施工安全风险企业；</w:t>
      </w:r>
    </w:p>
    <w:p w14:paraId="3793A3C7">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（5）拟派项目经理须具备机电工程专业二级（含）以上注册建造师执业资格，具备有效的安全生产考核合格证书（B本），且在确定成交人时不得担任其他在施建设工程项目的项目经理。</w:t>
      </w:r>
    </w:p>
    <w:p w14:paraId="6B624826">
      <w:pPr>
        <w:spacing w:line="360" w:lineRule="auto"/>
        <w:ind w:firstLine="480" w:firstLineChars="200"/>
        <w:rPr>
          <w:color w:val="auto"/>
          <w:sz w:val="24"/>
          <w:szCs w:val="20"/>
          <w:highlight w:val="none"/>
        </w:rPr>
      </w:pPr>
      <w:r>
        <w:rPr>
          <w:color w:val="auto"/>
          <w:sz w:val="24"/>
          <w:szCs w:val="20"/>
          <w:highlight w:val="none"/>
        </w:rPr>
        <w:t>【备注】</w:t>
      </w:r>
    </w:p>
    <w:p w14:paraId="4FAD2D2B">
      <w:pPr>
        <w:spacing w:line="360" w:lineRule="auto"/>
        <w:ind w:firstLine="480" w:firstLineChars="200"/>
        <w:rPr>
          <w:color w:val="auto"/>
          <w:sz w:val="24"/>
          <w:szCs w:val="20"/>
          <w:highlight w:val="none"/>
        </w:rPr>
      </w:pPr>
      <w:r>
        <w:rPr>
          <w:color w:val="auto"/>
          <w:sz w:val="24"/>
          <w:szCs w:val="20"/>
          <w:highlight w:val="none"/>
        </w:rPr>
        <w:t>1）提供（1）、（2）项中企业资质证书、安全生产许可证的扫描件并加盖公章；</w:t>
      </w:r>
    </w:p>
    <w:p w14:paraId="6D5918ED">
      <w:pPr>
        <w:spacing w:line="360" w:lineRule="auto"/>
        <w:ind w:firstLine="480" w:firstLineChars="200"/>
        <w:rPr>
          <w:color w:val="auto"/>
          <w:sz w:val="24"/>
          <w:szCs w:val="20"/>
          <w:highlight w:val="none"/>
        </w:rPr>
      </w:pPr>
      <w:r>
        <w:rPr>
          <w:color w:val="auto"/>
          <w:sz w:val="24"/>
          <w:szCs w:val="20"/>
          <w:highlight w:val="none"/>
        </w:rPr>
        <w:t>2）供应商是否被北京市住房城乡建设主管部门暂扣《安全生产许可证》、标注资质异常情况无需供应商提供，由采购人或采购代理机构在供应商首次响应文件提交截止时间以后、资格审查阶段查询。</w:t>
      </w:r>
    </w:p>
    <w:p w14:paraId="2484F5E0">
      <w:pPr>
        <w:spacing w:line="360" w:lineRule="auto"/>
        <w:ind w:firstLine="480" w:firstLineChars="200"/>
        <w:rPr>
          <w:color w:val="auto"/>
          <w:sz w:val="24"/>
          <w:szCs w:val="20"/>
          <w:highlight w:val="none"/>
        </w:rPr>
      </w:pPr>
      <w:r>
        <w:rPr>
          <w:color w:val="auto"/>
          <w:sz w:val="24"/>
          <w:szCs w:val="20"/>
          <w:highlight w:val="none"/>
        </w:rPr>
        <w:t>3）提供（4）项未被警示为施工安全风险企业的承诺书原件（承诺书格式自拟），并加盖公章。</w:t>
      </w:r>
    </w:p>
    <w:p w14:paraId="585598BF">
      <w:pPr>
        <w:spacing w:line="360" w:lineRule="auto"/>
        <w:ind w:firstLine="480" w:firstLineChars="200"/>
        <w:rPr>
          <w:rFonts w:hint="eastAsia" w:ascii="宋体" w:hAnsi="宋体"/>
          <w:color w:val="auto"/>
          <w:sz w:val="24"/>
          <w:szCs w:val="20"/>
          <w:highlight w:val="none"/>
        </w:rPr>
        <w:sectPr>
          <w:headerReference r:id="rId28" w:type="first"/>
          <w:footerReference r:id="rId30" w:type="first"/>
          <w:headerReference r:id="rId27" w:type="even"/>
          <w:footerReference r:id="rId29" w:type="even"/>
          <w:pgSz w:w="11907" w:h="16840"/>
          <w:pgMar w:top="1440" w:right="1800" w:bottom="1440" w:left="1800" w:header="851" w:footer="851" w:gutter="0"/>
          <w:pgNumType w:fmt="decimal"/>
          <w:cols w:space="720" w:num="1"/>
          <w:docGrid w:linePitch="462" w:charSpace="0"/>
        </w:sectPr>
      </w:pPr>
      <w:r>
        <w:rPr>
          <w:color w:val="auto"/>
          <w:sz w:val="24"/>
          <w:szCs w:val="20"/>
          <w:highlight w:val="none"/>
        </w:rPr>
        <w:t>4）提供（5）项中项目经理的注册建造师执业资格证明文件扫描件、有效的安全生产考核合格证书（B本）扫描件并加盖单位公章；项目经理不在施承诺书原件（承诺书格式自拟），并加盖</w:t>
      </w:r>
      <w:r>
        <w:rPr>
          <w:rFonts w:hint="eastAsia" w:ascii="宋体" w:hAnsi="宋体"/>
          <w:color w:val="auto"/>
          <w:sz w:val="24"/>
          <w:szCs w:val="20"/>
          <w:highlight w:val="none"/>
        </w:rPr>
        <w:t>公章。</w:t>
      </w:r>
    </w:p>
    <w:bookmarkEnd w:id="885"/>
    <w:bookmarkEnd w:id="886"/>
    <w:p w14:paraId="2B39555E">
      <w:pPr>
        <w:tabs>
          <w:tab w:val="left" w:pos="360"/>
        </w:tabs>
        <w:snapToGrid w:val="0"/>
        <w:spacing w:line="360" w:lineRule="auto"/>
        <w:outlineLvl w:val="1"/>
        <w:rPr>
          <w:color w:val="auto"/>
          <w:sz w:val="24"/>
          <w:highlight w:val="none"/>
        </w:rPr>
      </w:pPr>
      <w:r>
        <w:rPr>
          <w:color w:val="auto"/>
          <w:sz w:val="24"/>
          <w:highlight w:val="none"/>
        </w:rPr>
        <w:t>4 响应书</w:t>
      </w:r>
      <w:bookmarkEnd w:id="887"/>
      <w:bookmarkEnd w:id="888"/>
      <w:bookmarkEnd w:id="889"/>
      <w:bookmarkEnd w:id="890"/>
      <w:bookmarkEnd w:id="891"/>
      <w:bookmarkEnd w:id="892"/>
      <w:bookmarkEnd w:id="893"/>
      <w:bookmarkEnd w:id="894"/>
      <w:bookmarkEnd w:id="895"/>
      <w:bookmarkEnd w:id="896"/>
      <w:r>
        <w:rPr>
          <w:color w:val="auto"/>
          <w:sz w:val="24"/>
          <w:highlight w:val="none"/>
        </w:rPr>
        <w:t>（实质性格式）</w:t>
      </w:r>
    </w:p>
    <w:p w14:paraId="0F2FC3BE">
      <w:pPr>
        <w:tabs>
          <w:tab w:val="left" w:pos="5580"/>
        </w:tabs>
        <w:spacing w:line="360" w:lineRule="auto"/>
        <w:rPr>
          <w:color w:val="auto"/>
          <w:sz w:val="24"/>
          <w:highlight w:val="none"/>
        </w:rPr>
      </w:pPr>
    </w:p>
    <w:p w14:paraId="72AD7917">
      <w:pPr>
        <w:spacing w:line="360" w:lineRule="auto"/>
        <w:jc w:val="center"/>
        <w:rPr>
          <w:b/>
          <w:color w:val="auto"/>
          <w:sz w:val="36"/>
          <w:szCs w:val="36"/>
          <w:highlight w:val="none"/>
        </w:rPr>
      </w:pPr>
      <w:r>
        <w:rPr>
          <w:b/>
          <w:color w:val="auto"/>
          <w:sz w:val="36"/>
          <w:szCs w:val="36"/>
          <w:highlight w:val="none"/>
        </w:rPr>
        <w:t>响应书</w:t>
      </w:r>
    </w:p>
    <w:p w14:paraId="3775FA1A">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EF5CE24">
      <w:pPr>
        <w:tabs>
          <w:tab w:val="left" w:pos="5580"/>
        </w:tabs>
        <w:spacing w:line="360" w:lineRule="auto"/>
        <w:rPr>
          <w:color w:val="auto"/>
          <w:sz w:val="24"/>
          <w:szCs w:val="20"/>
          <w:highlight w:val="none"/>
        </w:rPr>
      </w:pPr>
    </w:p>
    <w:p w14:paraId="1561060C">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rPr>
        <w:t>______</w:t>
      </w:r>
      <w:r>
        <w:rPr>
          <w:color w:val="auto"/>
          <w:sz w:val="24"/>
          <w:szCs w:val="20"/>
          <w:highlight w:val="none"/>
        </w:rPr>
        <w:t>（项目名称，项目编号）组织的采购活动，并对此项目进行磋商。</w:t>
      </w:r>
    </w:p>
    <w:p w14:paraId="522276A4">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已详细审查全部竞争性磋商文件</w:t>
      </w:r>
      <w:r>
        <w:rPr>
          <w:color w:val="auto"/>
          <w:sz w:val="24"/>
          <w:szCs w:val="20"/>
          <w:highlight w:val="none"/>
        </w:rPr>
        <w:t>，自愿参与磋商并承诺如下：</w:t>
      </w:r>
    </w:p>
    <w:p w14:paraId="559D4552">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（1）本响应有效期为自响应文件提交截止之日起</w:t>
      </w:r>
      <w:r>
        <w:rPr>
          <w:color w:val="auto"/>
          <w:sz w:val="24"/>
          <w:highlight w:val="none"/>
        </w:rPr>
        <w:t>______</w:t>
      </w:r>
      <w:r>
        <w:rPr>
          <w:color w:val="auto"/>
          <w:sz w:val="24"/>
          <w:szCs w:val="20"/>
          <w:highlight w:val="none"/>
        </w:rPr>
        <w:t>个日历日。</w:t>
      </w:r>
    </w:p>
    <w:p w14:paraId="534B48CE">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（2）除合同条款及采购需求偏离表列出的偏离外，我方响应竞争性磋商文件的全部要求。</w:t>
      </w:r>
    </w:p>
    <w:p w14:paraId="5352CDA4">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7A92C0B8">
      <w:pPr>
        <w:tabs>
          <w:tab w:val="left" w:pos="5580"/>
        </w:tabs>
        <w:spacing w:line="360" w:lineRule="auto"/>
        <w:ind w:firstLine="420" w:firstLineChars="175"/>
        <w:rPr>
          <w:color w:val="auto"/>
          <w:sz w:val="24"/>
          <w:highlight w:val="none"/>
        </w:rPr>
      </w:pPr>
      <w:r>
        <w:rPr>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2CD1ED6">
      <w:pPr>
        <w:spacing w:line="360" w:lineRule="auto"/>
        <w:ind w:left="420"/>
        <w:rPr>
          <w:color w:val="auto"/>
          <w:sz w:val="24"/>
          <w:highlight w:val="none"/>
        </w:rPr>
      </w:pPr>
      <w:r>
        <w:rPr>
          <w:color w:val="auto"/>
          <w:sz w:val="24"/>
          <w:highlight w:val="none"/>
        </w:rPr>
        <w:t>2. 其他补充条款（如有）：______。</w:t>
      </w:r>
    </w:p>
    <w:p w14:paraId="56D4F617">
      <w:pPr>
        <w:spacing w:line="360" w:lineRule="auto"/>
        <w:ind w:firstLine="480" w:firstLineChars="200"/>
        <w:rPr>
          <w:color w:val="auto"/>
          <w:sz w:val="24"/>
          <w:highlight w:val="none"/>
        </w:rPr>
      </w:pPr>
      <w:r>
        <w:rPr>
          <w:color w:val="auto"/>
          <w:sz w:val="24"/>
          <w:highlight w:val="none"/>
        </w:rPr>
        <w:t>与本磋商有关的一切正式往来信函请寄：</w:t>
      </w:r>
    </w:p>
    <w:p w14:paraId="56A8A498">
      <w:pPr>
        <w:tabs>
          <w:tab w:val="left" w:pos="5580"/>
        </w:tabs>
        <w:spacing w:line="360" w:lineRule="auto"/>
        <w:ind w:left="420"/>
        <w:rPr>
          <w:color w:val="auto"/>
          <w:sz w:val="24"/>
          <w:szCs w:val="20"/>
          <w:highlight w:val="none"/>
        </w:rPr>
      </w:pPr>
    </w:p>
    <w:p w14:paraId="1236FE18">
      <w:pPr>
        <w:tabs>
          <w:tab w:val="left" w:pos="5580"/>
        </w:tabs>
        <w:spacing w:line="360" w:lineRule="auto"/>
        <w:ind w:left="420"/>
        <w:rPr>
          <w:color w:val="auto"/>
          <w:sz w:val="24"/>
          <w:szCs w:val="20"/>
          <w:highlight w:val="none"/>
        </w:rPr>
      </w:pPr>
      <w:r>
        <w:rPr>
          <w:color w:val="auto"/>
          <w:sz w:val="24"/>
          <w:szCs w:val="20"/>
          <w:highlight w:val="none"/>
        </w:rPr>
        <w:t>地址</w:t>
      </w:r>
      <w:r>
        <w:rPr>
          <w:bCs/>
          <w:color w:val="auto"/>
          <w:sz w:val="24"/>
          <w:highlight w:val="none"/>
        </w:rPr>
        <w:t>_________________________</w:t>
      </w:r>
      <w:r>
        <w:rPr>
          <w:color w:val="auto"/>
          <w:sz w:val="24"/>
          <w:szCs w:val="20"/>
          <w:highlight w:val="none"/>
        </w:rPr>
        <w:t xml:space="preserve">   传   真</w:t>
      </w:r>
      <w:r>
        <w:rPr>
          <w:bCs/>
          <w:color w:val="auto"/>
          <w:sz w:val="24"/>
          <w:highlight w:val="none"/>
        </w:rPr>
        <w:t>_________________________</w:t>
      </w:r>
    </w:p>
    <w:p w14:paraId="1B5529AC">
      <w:pPr>
        <w:tabs>
          <w:tab w:val="left" w:pos="5580"/>
        </w:tabs>
        <w:spacing w:line="360" w:lineRule="auto"/>
        <w:ind w:left="420"/>
        <w:rPr>
          <w:color w:val="auto"/>
          <w:sz w:val="24"/>
          <w:szCs w:val="20"/>
          <w:highlight w:val="none"/>
        </w:rPr>
      </w:pPr>
      <w:r>
        <w:rPr>
          <w:color w:val="auto"/>
          <w:sz w:val="24"/>
          <w:szCs w:val="20"/>
          <w:highlight w:val="none"/>
        </w:rPr>
        <w:t>电话</w:t>
      </w:r>
      <w:r>
        <w:rPr>
          <w:bCs/>
          <w:color w:val="auto"/>
          <w:sz w:val="24"/>
          <w:highlight w:val="none"/>
        </w:rPr>
        <w:t>_________________________</w:t>
      </w:r>
      <w:r>
        <w:rPr>
          <w:color w:val="auto"/>
          <w:sz w:val="24"/>
          <w:szCs w:val="20"/>
          <w:highlight w:val="none"/>
        </w:rPr>
        <w:t xml:space="preserve">   电子函件</w:t>
      </w:r>
      <w:r>
        <w:rPr>
          <w:bCs/>
          <w:color w:val="auto"/>
          <w:sz w:val="24"/>
          <w:highlight w:val="none"/>
        </w:rPr>
        <w:t>_________________________</w:t>
      </w:r>
    </w:p>
    <w:p w14:paraId="3579AABF">
      <w:pPr>
        <w:tabs>
          <w:tab w:val="left" w:pos="5580"/>
        </w:tabs>
        <w:spacing w:line="360" w:lineRule="auto"/>
        <w:ind w:left="420"/>
        <w:rPr>
          <w:color w:val="auto"/>
          <w:sz w:val="24"/>
          <w:szCs w:val="20"/>
          <w:highlight w:val="none"/>
        </w:rPr>
      </w:pPr>
    </w:p>
    <w:p w14:paraId="3E32602A">
      <w:pPr>
        <w:tabs>
          <w:tab w:val="left" w:pos="5580"/>
        </w:tabs>
        <w:spacing w:line="360" w:lineRule="auto"/>
        <w:ind w:left="420"/>
        <w:rPr>
          <w:color w:val="auto"/>
          <w:sz w:val="24"/>
          <w:szCs w:val="20"/>
          <w:highlight w:val="none"/>
        </w:rPr>
      </w:pPr>
    </w:p>
    <w:p w14:paraId="62D51F91">
      <w:pPr>
        <w:tabs>
          <w:tab w:val="left" w:pos="5580"/>
        </w:tabs>
        <w:spacing w:line="360" w:lineRule="auto"/>
        <w:ind w:left="420"/>
        <w:rPr>
          <w:color w:val="auto"/>
          <w:sz w:val="24"/>
          <w:szCs w:val="20"/>
          <w:highlight w:val="none"/>
        </w:rPr>
      </w:pPr>
    </w:p>
    <w:p w14:paraId="3D79E88F">
      <w:pPr>
        <w:autoSpaceDE w:val="0"/>
        <w:autoSpaceDN w:val="0"/>
        <w:adjustRightInd w:val="0"/>
        <w:snapToGrid w:val="0"/>
        <w:spacing w:before="25" w:after="25" w:line="360" w:lineRule="auto"/>
        <w:ind w:right="360" w:firstLine="360" w:firstLineChars="150"/>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1E7EBB86">
      <w:pPr>
        <w:tabs>
          <w:tab w:val="left" w:pos="5580"/>
        </w:tabs>
        <w:spacing w:line="360" w:lineRule="auto"/>
        <w:ind w:firstLine="360" w:firstLineChars="150"/>
        <w:rPr>
          <w:color w:val="auto"/>
          <w:sz w:val="24"/>
          <w:szCs w:val="20"/>
          <w:highlight w:val="none"/>
        </w:rPr>
      </w:pPr>
      <w:r>
        <w:rPr>
          <w:color w:val="auto"/>
          <w:sz w:val="24"/>
          <w:szCs w:val="20"/>
          <w:highlight w:val="none"/>
        </w:rPr>
        <w:t xml:space="preserve">日期：____年____月____日  </w:t>
      </w:r>
    </w:p>
    <w:p w14:paraId="3888F8B3">
      <w:pPr>
        <w:tabs>
          <w:tab w:val="left" w:pos="5580"/>
        </w:tabs>
        <w:spacing w:line="360" w:lineRule="auto"/>
        <w:ind w:left="420"/>
        <w:jc w:val="left"/>
        <w:rPr>
          <w:color w:val="auto"/>
          <w:sz w:val="24"/>
          <w:szCs w:val="20"/>
          <w:highlight w:val="none"/>
        </w:rPr>
      </w:pPr>
    </w:p>
    <w:p w14:paraId="09D93F4F">
      <w:pPr>
        <w:widowControl/>
        <w:jc w:val="left"/>
        <w:rPr>
          <w:b/>
          <w:color w:val="auto"/>
          <w:sz w:val="24"/>
          <w:szCs w:val="20"/>
          <w:highlight w:val="none"/>
        </w:rPr>
      </w:pPr>
      <w:r>
        <w:rPr>
          <w:b/>
          <w:color w:val="auto"/>
          <w:sz w:val="24"/>
          <w:szCs w:val="20"/>
          <w:highlight w:val="none"/>
        </w:rPr>
        <w:br w:type="page"/>
      </w:r>
    </w:p>
    <w:p w14:paraId="661A1551">
      <w:pPr>
        <w:tabs>
          <w:tab w:val="left" w:pos="360"/>
        </w:tabs>
        <w:snapToGrid w:val="0"/>
        <w:spacing w:line="360" w:lineRule="auto"/>
        <w:outlineLvl w:val="1"/>
        <w:rPr>
          <w:color w:val="auto"/>
          <w:sz w:val="24"/>
          <w:highlight w:val="none"/>
        </w:rPr>
      </w:pPr>
      <w:bookmarkStart w:id="898" w:name="_Hlt520355938"/>
      <w:bookmarkEnd w:id="898"/>
      <w:bookmarkStart w:id="899" w:name="_Hlt520356243"/>
      <w:bookmarkEnd w:id="899"/>
      <w:bookmarkStart w:id="900" w:name="_Toc226337253"/>
      <w:bookmarkStart w:id="901" w:name="_Toc226965830"/>
      <w:bookmarkStart w:id="902" w:name="_Toc226309801"/>
      <w:bookmarkStart w:id="903" w:name="_Toc265228395"/>
      <w:bookmarkStart w:id="904" w:name="_Toc520356218"/>
      <w:bookmarkStart w:id="905" w:name="_Toc226965747"/>
      <w:bookmarkStart w:id="906" w:name="_Toc127151557"/>
      <w:bookmarkStart w:id="907" w:name="_Toc142311059"/>
      <w:bookmarkStart w:id="908" w:name="_Toc150480795"/>
      <w:bookmarkStart w:id="909" w:name="_Toc480942350"/>
      <w:bookmarkStart w:id="910" w:name="_Toc150774762"/>
      <w:bookmarkStart w:id="911" w:name="_Toc305158899"/>
      <w:bookmarkStart w:id="912" w:name="_Toc195842922"/>
      <w:bookmarkStart w:id="913" w:name="_Toc305158825"/>
      <w:bookmarkStart w:id="914" w:name="_Ref467988705"/>
      <w:bookmarkStart w:id="915" w:name="_Toc264969247"/>
      <w:r>
        <w:rPr>
          <w:color w:val="auto"/>
          <w:sz w:val="24"/>
          <w:highlight w:val="none"/>
        </w:rPr>
        <w:t>5 授权委托书（实质性格式）</w:t>
      </w:r>
    </w:p>
    <w:p w14:paraId="66A9DB0A">
      <w:pPr>
        <w:autoSpaceDE w:val="0"/>
        <w:autoSpaceDN w:val="0"/>
        <w:adjustRightInd w:val="0"/>
        <w:spacing w:line="360" w:lineRule="auto"/>
        <w:jc w:val="center"/>
        <w:rPr>
          <w:b/>
          <w:color w:val="auto"/>
          <w:sz w:val="36"/>
          <w:szCs w:val="36"/>
          <w:highlight w:val="none"/>
        </w:rPr>
      </w:pPr>
      <w:r>
        <w:rPr>
          <w:b/>
          <w:color w:val="auto"/>
          <w:sz w:val="36"/>
          <w:szCs w:val="36"/>
          <w:highlight w:val="none"/>
        </w:rPr>
        <w:t>授权委托书</w:t>
      </w:r>
    </w:p>
    <w:p w14:paraId="33420419">
      <w:pPr>
        <w:spacing w:line="360" w:lineRule="auto"/>
        <w:ind w:firstLine="420"/>
        <w:rPr>
          <w:color w:val="auto"/>
          <w:sz w:val="24"/>
          <w:szCs w:val="20"/>
          <w:highlight w:val="none"/>
        </w:rPr>
      </w:pPr>
      <w:r>
        <w:rPr>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37DC403">
      <w:pPr>
        <w:spacing w:line="360" w:lineRule="auto"/>
        <w:ind w:firstLine="420"/>
        <w:rPr>
          <w:color w:val="auto"/>
          <w:sz w:val="24"/>
          <w:szCs w:val="20"/>
          <w:highlight w:val="none"/>
        </w:rPr>
      </w:pPr>
      <w:r>
        <w:rPr>
          <w:color w:val="auto"/>
          <w:sz w:val="24"/>
          <w:szCs w:val="20"/>
          <w:highlight w:val="none"/>
        </w:rPr>
        <w:t>委托期限：自本授权委托书签署之日起至响应有效期届满之日止。</w:t>
      </w:r>
    </w:p>
    <w:p w14:paraId="1B43AECB">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2C5B0D7B">
      <w:pPr>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szCs w:val="20"/>
          <w:highlight w:val="none"/>
        </w:rPr>
        <w:t>______________</w:t>
      </w:r>
    </w:p>
    <w:p w14:paraId="10BD67C1">
      <w:pPr>
        <w:spacing w:line="360" w:lineRule="auto"/>
        <w:rPr>
          <w:color w:val="auto"/>
          <w:sz w:val="24"/>
          <w:szCs w:val="20"/>
          <w:highlight w:val="none"/>
        </w:rPr>
      </w:pPr>
      <w:r>
        <w:rPr>
          <w:color w:val="auto"/>
          <w:sz w:val="24"/>
          <w:szCs w:val="20"/>
          <w:highlight w:val="none"/>
        </w:rPr>
        <w:t>法定代表人（单位负责人）（签字或签章）：______________</w:t>
      </w:r>
    </w:p>
    <w:p w14:paraId="1586B254">
      <w:pPr>
        <w:autoSpaceDE w:val="0"/>
        <w:autoSpaceDN w:val="0"/>
        <w:adjustRightInd w:val="0"/>
        <w:snapToGrid w:val="0"/>
        <w:spacing w:line="360" w:lineRule="auto"/>
        <w:rPr>
          <w:color w:val="auto"/>
          <w:sz w:val="24"/>
          <w:highlight w:val="none"/>
          <w:lang w:val="zh-CN"/>
        </w:rPr>
      </w:pPr>
      <w:r>
        <w:rPr>
          <w:color w:val="auto"/>
          <w:sz w:val="24"/>
          <w:highlight w:val="none"/>
        </w:rPr>
        <w:t>委托代理人（签字</w:t>
      </w:r>
      <w:r>
        <w:rPr>
          <w:color w:val="auto"/>
          <w:sz w:val="24"/>
          <w:szCs w:val="20"/>
          <w:highlight w:val="none"/>
        </w:rPr>
        <w:t>或签章</w:t>
      </w:r>
      <w:r>
        <w:rPr>
          <w:color w:val="auto"/>
          <w:sz w:val="24"/>
          <w:highlight w:val="none"/>
        </w:rPr>
        <w:t>）：</w:t>
      </w:r>
      <w:r>
        <w:rPr>
          <w:color w:val="auto"/>
          <w:sz w:val="24"/>
          <w:szCs w:val="20"/>
          <w:highlight w:val="none"/>
        </w:rPr>
        <w:t>______________</w:t>
      </w:r>
      <w:r>
        <w:rPr>
          <w:color w:val="auto"/>
          <w:sz w:val="24"/>
          <w:highlight w:val="none"/>
          <w:lang w:val="zh-CN"/>
        </w:rPr>
        <w:t xml:space="preserve">        </w:t>
      </w:r>
    </w:p>
    <w:p w14:paraId="31527689">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w:t>
      </w:r>
      <w:r>
        <w:rPr>
          <w:color w:val="auto"/>
          <w:sz w:val="24"/>
          <w:highlight w:val="none"/>
        </w:rPr>
        <w:t>年</w:t>
      </w:r>
      <w:r>
        <w:rPr>
          <w:color w:val="auto"/>
          <w:sz w:val="24"/>
          <w:szCs w:val="20"/>
          <w:highlight w:val="none"/>
        </w:rPr>
        <w:t>____</w:t>
      </w:r>
      <w:r>
        <w:rPr>
          <w:color w:val="auto"/>
          <w:sz w:val="24"/>
          <w:highlight w:val="none"/>
        </w:rPr>
        <w:t>月</w:t>
      </w:r>
      <w:r>
        <w:rPr>
          <w:color w:val="auto"/>
          <w:sz w:val="24"/>
          <w:szCs w:val="20"/>
          <w:highlight w:val="none"/>
        </w:rPr>
        <w:t>____</w:t>
      </w:r>
      <w:r>
        <w:rPr>
          <w:color w:val="auto"/>
          <w:sz w:val="24"/>
          <w:highlight w:val="none"/>
        </w:rPr>
        <w:t>日</w:t>
      </w:r>
    </w:p>
    <w:p w14:paraId="2BDF1F7C">
      <w:pPr>
        <w:tabs>
          <w:tab w:val="left" w:pos="5580"/>
        </w:tabs>
        <w:spacing w:line="360" w:lineRule="auto"/>
        <w:ind w:firstLine="480" w:firstLineChars="200"/>
        <w:rPr>
          <w:color w:val="auto"/>
          <w:sz w:val="24"/>
          <w:szCs w:val="20"/>
          <w:highlight w:val="none"/>
        </w:rPr>
      </w:pPr>
    </w:p>
    <w:p w14:paraId="28565689">
      <w:pPr>
        <w:tabs>
          <w:tab w:val="left" w:pos="5580"/>
        </w:tabs>
        <w:spacing w:line="360" w:lineRule="auto"/>
        <w:rPr>
          <w:color w:val="auto"/>
          <w:sz w:val="24"/>
          <w:szCs w:val="20"/>
          <w:highlight w:val="none"/>
        </w:rPr>
      </w:pPr>
      <w:r>
        <w:rPr>
          <w:color w:val="auto"/>
          <w:sz w:val="24"/>
          <w:szCs w:val="20"/>
          <w:highlight w:val="none"/>
        </w:rPr>
        <w:t>附：法定代表人及委托代理人身份证明文件电子件：</w:t>
      </w:r>
    </w:p>
    <w:tbl>
      <w:tblPr>
        <w:tblStyle w:val="54"/>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7E2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8296" w:type="dxa"/>
          </w:tcPr>
          <w:p w14:paraId="11934D82">
            <w:pPr>
              <w:tabs>
                <w:tab w:val="left" w:pos="5580"/>
              </w:tabs>
              <w:spacing w:line="360" w:lineRule="auto"/>
              <w:rPr>
                <w:color w:val="auto"/>
                <w:sz w:val="24"/>
                <w:szCs w:val="20"/>
                <w:highlight w:val="none"/>
              </w:rPr>
            </w:pPr>
          </w:p>
        </w:tc>
      </w:tr>
    </w:tbl>
    <w:p w14:paraId="2251A163">
      <w:pPr>
        <w:tabs>
          <w:tab w:val="left" w:pos="5580"/>
        </w:tabs>
        <w:spacing w:line="360" w:lineRule="auto"/>
        <w:jc w:val="left"/>
        <w:rPr>
          <w:color w:val="auto"/>
          <w:sz w:val="24"/>
          <w:szCs w:val="20"/>
          <w:highlight w:val="none"/>
        </w:rPr>
      </w:pPr>
      <w:r>
        <w:rPr>
          <w:color w:val="auto"/>
          <w:sz w:val="24"/>
          <w:szCs w:val="20"/>
          <w:highlight w:val="none"/>
        </w:rPr>
        <w:t>说明：</w:t>
      </w:r>
    </w:p>
    <w:p w14:paraId="6255A726">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1A1D1314">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72DF7DDD">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7E0C76F8">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4.供应商应随本《授权委托书》同时提供法定代表人（单位负责人）及委托代理人的有效的身份证或护照等身份证明文件电子件。提供身份证的，应同时提供身份证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17161252">
      <w:pPr>
        <w:autoSpaceDE w:val="0"/>
        <w:autoSpaceDN w:val="0"/>
        <w:adjustRightInd w:val="0"/>
        <w:spacing w:line="360" w:lineRule="auto"/>
        <w:jc w:val="center"/>
        <w:rPr>
          <w:b/>
          <w:color w:val="auto"/>
          <w:sz w:val="36"/>
          <w:szCs w:val="36"/>
          <w:highlight w:val="none"/>
        </w:rPr>
      </w:pPr>
      <w:r>
        <w:rPr>
          <w:b/>
          <w:color w:val="auto"/>
          <w:sz w:val="36"/>
          <w:szCs w:val="36"/>
          <w:highlight w:val="none"/>
        </w:rPr>
        <w:t>法定代表人（单位负责人）身份证明</w:t>
      </w:r>
    </w:p>
    <w:p w14:paraId="54F367B9">
      <w:pPr>
        <w:kinsoku w:val="0"/>
        <w:overflowPunct w:val="0"/>
        <w:spacing w:line="200" w:lineRule="exact"/>
        <w:rPr>
          <w:color w:val="auto"/>
          <w:sz w:val="20"/>
          <w:szCs w:val="20"/>
          <w:highlight w:val="none"/>
        </w:rPr>
      </w:pPr>
    </w:p>
    <w:p w14:paraId="6BDFBC6C">
      <w:pPr>
        <w:tabs>
          <w:tab w:val="left" w:pos="5580"/>
        </w:tabs>
        <w:spacing w:line="360" w:lineRule="auto"/>
        <w:rPr>
          <w:color w:val="auto"/>
          <w:sz w:val="24"/>
          <w:highlight w:val="none"/>
        </w:rPr>
      </w:pPr>
      <w:r>
        <w:rPr>
          <w:color w:val="auto"/>
          <w:sz w:val="24"/>
          <w:highlight w:val="none"/>
        </w:rPr>
        <w:t>致：</w:t>
      </w:r>
      <w:r>
        <w:rPr>
          <w:color w:val="auto"/>
          <w:sz w:val="24"/>
          <w:szCs w:val="20"/>
          <w:highlight w:val="none"/>
        </w:rPr>
        <w:t>____</w:t>
      </w:r>
      <w:r>
        <w:rPr>
          <w:color w:val="auto"/>
          <w:sz w:val="24"/>
          <w:highlight w:val="none"/>
        </w:rPr>
        <w:t>（采购人或采购代理机构）</w:t>
      </w:r>
    </w:p>
    <w:p w14:paraId="16EABA67">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77E2D1D6">
      <w:pPr>
        <w:pStyle w:val="21"/>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szCs w:val="20"/>
          <w:highlight w:val="none"/>
        </w:rPr>
        <w:t>____</w:t>
      </w:r>
      <w:r>
        <w:rPr>
          <w:rFonts w:ascii="Times New Roman" w:hAnsi="Times New Roman"/>
          <w:color w:val="auto"/>
          <w:highlight w:val="none"/>
        </w:rPr>
        <w:t>性别：</w:t>
      </w:r>
      <w:r>
        <w:rPr>
          <w:rFonts w:ascii="Times New Roman" w:hAnsi="Times New Roman"/>
          <w:color w:val="auto"/>
          <w:szCs w:val="20"/>
          <w:highlight w:val="none"/>
        </w:rPr>
        <w:t>____</w:t>
      </w:r>
      <w:r>
        <w:rPr>
          <w:rFonts w:ascii="Times New Roman" w:hAnsi="Times New Roman"/>
          <w:color w:val="auto"/>
          <w:highlight w:val="none"/>
        </w:rPr>
        <w:t>年龄：</w:t>
      </w:r>
      <w:r>
        <w:rPr>
          <w:rFonts w:ascii="Times New Roman" w:hAnsi="Times New Roman"/>
          <w:color w:val="auto"/>
          <w:szCs w:val="20"/>
          <w:highlight w:val="none"/>
        </w:rPr>
        <w:t>____</w:t>
      </w:r>
      <w:r>
        <w:rPr>
          <w:rFonts w:ascii="Times New Roman" w:hAnsi="Times New Roman"/>
          <w:color w:val="auto"/>
          <w:highlight w:val="none"/>
        </w:rPr>
        <w:t>职务：</w:t>
      </w:r>
      <w:r>
        <w:rPr>
          <w:rFonts w:ascii="Times New Roman" w:hAnsi="Times New Roman"/>
          <w:color w:val="auto"/>
          <w:szCs w:val="20"/>
          <w:highlight w:val="none"/>
        </w:rPr>
        <w:t>____</w:t>
      </w:r>
    </w:p>
    <w:p w14:paraId="7B9D8B45">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37926E90">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szCs w:val="20"/>
          <w:highlight w:val="none"/>
        </w:rPr>
        <w:t>__________</w:t>
      </w:r>
      <w:r>
        <w:rPr>
          <w:rFonts w:ascii="Times New Roman" w:hAnsi="Times New Roman"/>
          <w:color w:val="auto"/>
          <w:highlight w:val="none"/>
        </w:rPr>
        <w:t>（供应商名称）的法定代表人（单位负责人）。</w:t>
      </w:r>
    </w:p>
    <w:p w14:paraId="32DA497E">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3D8FF8C6">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58A6E36E">
      <w:pPr>
        <w:pStyle w:val="21"/>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附：法定代表人（单位负责人）身份证或护照等身份证明文件电子件：</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4B60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30A18B0">
            <w:pPr>
              <w:pStyle w:val="21"/>
              <w:kinsoku w:val="0"/>
              <w:overflowPunct w:val="0"/>
              <w:spacing w:line="583" w:lineRule="auto"/>
              <w:ind w:right="-46"/>
              <w:rPr>
                <w:rFonts w:ascii="Times New Roman" w:hAnsi="Times New Roman"/>
                <w:color w:val="auto"/>
                <w:szCs w:val="20"/>
                <w:highlight w:val="none"/>
              </w:rPr>
            </w:pPr>
          </w:p>
        </w:tc>
      </w:tr>
    </w:tbl>
    <w:p w14:paraId="28F0B967">
      <w:pPr>
        <w:pStyle w:val="21"/>
        <w:kinsoku w:val="0"/>
        <w:overflowPunct w:val="0"/>
        <w:spacing w:line="583" w:lineRule="auto"/>
        <w:ind w:right="4305"/>
        <w:rPr>
          <w:rFonts w:ascii="Times New Roman" w:hAnsi="Times New Roman"/>
          <w:color w:val="auto"/>
          <w:spacing w:val="-3"/>
          <w:highlight w:val="none"/>
        </w:rPr>
      </w:pPr>
    </w:p>
    <w:p w14:paraId="30051626">
      <w:pPr>
        <w:autoSpaceDE w:val="0"/>
        <w:autoSpaceDN w:val="0"/>
        <w:adjustRightInd w:val="0"/>
        <w:snapToGrid w:val="0"/>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1F3F8826">
      <w:pPr>
        <w:autoSpaceDE w:val="0"/>
        <w:autoSpaceDN w:val="0"/>
        <w:adjustRightInd w:val="0"/>
        <w:snapToGrid w:val="0"/>
        <w:spacing w:line="360" w:lineRule="auto"/>
        <w:rPr>
          <w:color w:val="auto"/>
          <w:sz w:val="24"/>
          <w:highlight w:val="none"/>
          <w:lang w:val="zh-CN"/>
        </w:rPr>
      </w:pPr>
      <w:r>
        <w:rPr>
          <w:color w:val="auto"/>
          <w:spacing w:val="-3"/>
          <w:sz w:val="24"/>
          <w:highlight w:val="none"/>
        </w:rPr>
        <w:t>法定代表人（</w:t>
      </w:r>
      <w:r>
        <w:rPr>
          <w:color w:val="auto"/>
          <w:sz w:val="24"/>
          <w:highlight w:val="none"/>
        </w:rPr>
        <w:t>单位负责人</w:t>
      </w:r>
      <w:r>
        <w:rPr>
          <w:color w:val="auto"/>
          <w:spacing w:val="-3"/>
          <w:sz w:val="24"/>
          <w:highlight w:val="none"/>
        </w:rPr>
        <w:t>）（签字</w:t>
      </w:r>
      <w:r>
        <w:rPr>
          <w:color w:val="auto"/>
          <w:sz w:val="24"/>
          <w:szCs w:val="20"/>
          <w:highlight w:val="none"/>
        </w:rPr>
        <w:t>或签章</w:t>
      </w:r>
      <w:r>
        <w:rPr>
          <w:color w:val="auto"/>
          <w:spacing w:val="-3"/>
          <w:sz w:val="24"/>
          <w:highlight w:val="none"/>
        </w:rPr>
        <w:t>）：</w:t>
      </w:r>
      <w:r>
        <w:rPr>
          <w:color w:val="auto"/>
          <w:sz w:val="24"/>
          <w:highlight w:val="none"/>
        </w:rPr>
        <w:t>______</w:t>
      </w:r>
    </w:p>
    <w:p w14:paraId="43CBB11D">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2FAB80E9">
      <w:pPr>
        <w:widowControl/>
        <w:jc w:val="left"/>
        <w:rPr>
          <w:i/>
          <w:color w:val="auto"/>
          <w:sz w:val="24"/>
          <w:szCs w:val="20"/>
          <w:highlight w:val="none"/>
          <w:u w:val="single"/>
        </w:rPr>
      </w:pPr>
    </w:p>
    <w:p w14:paraId="62082151">
      <w:pPr>
        <w:widowControl/>
        <w:jc w:val="left"/>
        <w:rPr>
          <w:color w:val="auto"/>
          <w:sz w:val="24"/>
          <w:szCs w:val="20"/>
          <w:highlight w:val="none"/>
        </w:rPr>
      </w:pPr>
      <w:r>
        <w:rPr>
          <w:color w:val="auto"/>
          <w:sz w:val="24"/>
          <w:szCs w:val="20"/>
          <w:highlight w:val="none"/>
        </w:rPr>
        <w:br w:type="page"/>
      </w:r>
    </w:p>
    <w:p w14:paraId="016D33A2">
      <w:pPr>
        <w:tabs>
          <w:tab w:val="left" w:pos="360"/>
        </w:tabs>
        <w:snapToGrid w:val="0"/>
        <w:spacing w:line="360" w:lineRule="auto"/>
        <w:outlineLvl w:val="1"/>
        <w:rPr>
          <w:color w:val="auto"/>
          <w:sz w:val="24"/>
          <w:highlight w:val="none"/>
        </w:rPr>
      </w:pPr>
      <w:r>
        <w:rPr>
          <w:color w:val="auto"/>
          <w:sz w:val="24"/>
          <w:highlight w:val="none"/>
        </w:rPr>
        <w:t>6 报价一览表</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auto"/>
          <w:sz w:val="24"/>
          <w:highlight w:val="none"/>
        </w:rPr>
        <w:t>（实质性格式）</w:t>
      </w:r>
    </w:p>
    <w:p w14:paraId="744AC593">
      <w:pPr>
        <w:spacing w:line="360" w:lineRule="exact"/>
        <w:jc w:val="center"/>
        <w:rPr>
          <w:b/>
          <w:color w:val="auto"/>
          <w:sz w:val="36"/>
          <w:szCs w:val="36"/>
          <w:highlight w:val="none"/>
        </w:rPr>
      </w:pPr>
      <w:bookmarkStart w:id="916" w:name="_Toc164608827"/>
      <w:bookmarkStart w:id="917" w:name="_Toc305158900"/>
      <w:bookmarkStart w:id="918" w:name="_Toc226965831"/>
      <w:bookmarkStart w:id="919" w:name="_Toc226309802"/>
      <w:bookmarkStart w:id="920" w:name="_Toc265228396"/>
      <w:bookmarkStart w:id="921" w:name="_Toc305158826"/>
      <w:bookmarkStart w:id="922" w:name="_Toc195842923"/>
      <w:bookmarkStart w:id="923" w:name="_Toc226337254"/>
      <w:bookmarkStart w:id="924" w:name="_Toc264969248"/>
      <w:bookmarkStart w:id="925" w:name="_Toc226965748"/>
      <w:bookmarkStart w:id="926" w:name="_Toc164608672"/>
      <w:r>
        <w:rPr>
          <w:b/>
          <w:color w:val="auto"/>
          <w:sz w:val="36"/>
          <w:szCs w:val="36"/>
          <w:highlight w:val="none"/>
        </w:rPr>
        <w:t>报价一览表</w:t>
      </w:r>
      <w:bookmarkEnd w:id="916"/>
      <w:bookmarkEnd w:id="917"/>
      <w:bookmarkEnd w:id="918"/>
      <w:bookmarkEnd w:id="919"/>
      <w:bookmarkEnd w:id="920"/>
      <w:bookmarkEnd w:id="921"/>
      <w:bookmarkEnd w:id="922"/>
      <w:bookmarkEnd w:id="923"/>
      <w:bookmarkEnd w:id="924"/>
      <w:bookmarkEnd w:id="925"/>
      <w:bookmarkEnd w:id="926"/>
    </w:p>
    <w:p w14:paraId="22DD2B86">
      <w:pPr>
        <w:tabs>
          <w:tab w:val="left" w:pos="1800"/>
          <w:tab w:val="left" w:pos="5580"/>
        </w:tabs>
        <w:spacing w:line="360" w:lineRule="auto"/>
        <w:jc w:val="left"/>
        <w:rPr>
          <w:color w:val="auto"/>
          <w:sz w:val="24"/>
          <w:highlight w:val="none"/>
        </w:rPr>
      </w:pPr>
    </w:p>
    <w:p w14:paraId="128C3BA1">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   项目名称：______________</w:t>
      </w:r>
    </w:p>
    <w:tbl>
      <w:tblPr>
        <w:tblStyle w:val="53"/>
        <w:tblW w:w="554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78"/>
        <w:gridCol w:w="1098"/>
        <w:gridCol w:w="882"/>
        <w:gridCol w:w="1488"/>
        <w:gridCol w:w="1379"/>
        <w:gridCol w:w="1088"/>
        <w:gridCol w:w="1242"/>
        <w:gridCol w:w="662"/>
      </w:tblGrid>
      <w:tr w14:paraId="5C8E6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747" w:type="pct"/>
            <w:vAlign w:val="center"/>
          </w:tcPr>
          <w:p w14:paraId="069A8120">
            <w:pPr>
              <w:tabs>
                <w:tab w:val="left" w:pos="5580"/>
              </w:tabs>
              <w:ind w:right="-199"/>
              <w:jc w:val="center"/>
              <w:rPr>
                <w:color w:val="auto"/>
                <w:szCs w:val="21"/>
                <w:highlight w:val="none"/>
              </w:rPr>
            </w:pPr>
            <w:r>
              <w:rPr>
                <w:color w:val="auto"/>
                <w:szCs w:val="21"/>
                <w:highlight w:val="none"/>
              </w:rPr>
              <w:t>响应报价</w:t>
            </w:r>
          </w:p>
          <w:p w14:paraId="062F7276">
            <w:pPr>
              <w:tabs>
                <w:tab w:val="left" w:pos="5580"/>
              </w:tabs>
              <w:ind w:right="-199"/>
              <w:jc w:val="center"/>
              <w:rPr>
                <w:color w:val="auto"/>
                <w:szCs w:val="21"/>
                <w:highlight w:val="none"/>
              </w:rPr>
            </w:pPr>
            <w:r>
              <w:rPr>
                <w:color w:val="auto"/>
                <w:szCs w:val="21"/>
                <w:highlight w:val="none"/>
              </w:rPr>
              <w:t>（元）</w:t>
            </w:r>
          </w:p>
        </w:tc>
        <w:tc>
          <w:tcPr>
            <w:tcW w:w="595" w:type="pct"/>
            <w:vAlign w:val="center"/>
          </w:tcPr>
          <w:p w14:paraId="045C8369">
            <w:pPr>
              <w:tabs>
                <w:tab w:val="left" w:pos="5580"/>
              </w:tabs>
              <w:jc w:val="center"/>
              <w:rPr>
                <w:color w:val="auto"/>
                <w:szCs w:val="21"/>
                <w:highlight w:val="none"/>
              </w:rPr>
            </w:pPr>
            <w:r>
              <w:rPr>
                <w:rFonts w:hint="eastAsia" w:ascii="宋体" w:hAnsi="宋体" w:cs="宋体"/>
                <w:color w:val="auto"/>
                <w:szCs w:val="21"/>
                <w:highlight w:val="none"/>
              </w:rPr>
              <w:t>合同履行期限（工期）(日历天)</w:t>
            </w:r>
          </w:p>
        </w:tc>
        <w:tc>
          <w:tcPr>
            <w:tcW w:w="479" w:type="pct"/>
            <w:vAlign w:val="center"/>
          </w:tcPr>
          <w:p w14:paraId="452FCF55">
            <w:pPr>
              <w:tabs>
                <w:tab w:val="left" w:pos="5580"/>
              </w:tabs>
              <w:jc w:val="center"/>
              <w:rPr>
                <w:color w:val="auto"/>
                <w:szCs w:val="21"/>
                <w:highlight w:val="none"/>
              </w:rPr>
            </w:pPr>
            <w:r>
              <w:rPr>
                <w:color w:val="auto"/>
                <w:szCs w:val="21"/>
                <w:highlight w:val="none"/>
              </w:rPr>
              <w:t>质量</w:t>
            </w:r>
          </w:p>
          <w:p w14:paraId="4A04D0EF">
            <w:pPr>
              <w:tabs>
                <w:tab w:val="left" w:pos="5580"/>
              </w:tabs>
              <w:jc w:val="center"/>
              <w:rPr>
                <w:color w:val="auto"/>
                <w:szCs w:val="21"/>
                <w:highlight w:val="none"/>
              </w:rPr>
            </w:pPr>
            <w:r>
              <w:rPr>
                <w:color w:val="auto"/>
                <w:szCs w:val="21"/>
                <w:highlight w:val="none"/>
              </w:rPr>
              <w:t>标准</w:t>
            </w:r>
          </w:p>
        </w:tc>
        <w:tc>
          <w:tcPr>
            <w:tcW w:w="806" w:type="pct"/>
            <w:vAlign w:val="center"/>
          </w:tcPr>
          <w:p w14:paraId="4D2423DF">
            <w:pPr>
              <w:tabs>
                <w:tab w:val="left" w:pos="5580"/>
              </w:tabs>
              <w:jc w:val="center"/>
              <w:rPr>
                <w:color w:val="auto"/>
                <w:szCs w:val="21"/>
                <w:highlight w:val="none"/>
              </w:rPr>
            </w:pPr>
            <w:r>
              <w:rPr>
                <w:color w:val="auto"/>
                <w:szCs w:val="21"/>
                <w:highlight w:val="none"/>
              </w:rPr>
              <w:t>安全生产标准化管理目标等级</w:t>
            </w:r>
          </w:p>
        </w:tc>
        <w:tc>
          <w:tcPr>
            <w:tcW w:w="747" w:type="pct"/>
            <w:vAlign w:val="center"/>
          </w:tcPr>
          <w:p w14:paraId="4DBE8DA2">
            <w:pPr>
              <w:jc w:val="center"/>
              <w:rPr>
                <w:color w:val="auto"/>
                <w:szCs w:val="21"/>
                <w:highlight w:val="none"/>
              </w:rPr>
            </w:pPr>
            <w:r>
              <w:rPr>
                <w:rFonts w:hint="eastAsia"/>
                <w:color w:val="auto"/>
                <w:szCs w:val="21"/>
                <w:highlight w:val="none"/>
              </w:rPr>
              <w:t>安全生产标准化措施费</w:t>
            </w:r>
            <w:r>
              <w:rPr>
                <w:color w:val="auto"/>
                <w:szCs w:val="21"/>
                <w:highlight w:val="none"/>
              </w:rPr>
              <w:t>含税金额</w:t>
            </w:r>
          </w:p>
          <w:p w14:paraId="445DEE25">
            <w:pPr>
              <w:jc w:val="center"/>
              <w:rPr>
                <w:color w:val="auto"/>
                <w:szCs w:val="21"/>
                <w:highlight w:val="none"/>
              </w:rPr>
            </w:pPr>
            <w:r>
              <w:rPr>
                <w:color w:val="auto"/>
                <w:szCs w:val="21"/>
                <w:highlight w:val="none"/>
              </w:rPr>
              <w:t>（元）</w:t>
            </w:r>
          </w:p>
        </w:tc>
        <w:tc>
          <w:tcPr>
            <w:tcW w:w="589" w:type="pct"/>
            <w:vAlign w:val="center"/>
          </w:tcPr>
          <w:p w14:paraId="484BA717">
            <w:pPr>
              <w:jc w:val="center"/>
              <w:rPr>
                <w:color w:val="auto"/>
                <w:szCs w:val="21"/>
                <w:highlight w:val="none"/>
              </w:rPr>
            </w:pPr>
            <w:r>
              <w:rPr>
                <w:color w:val="auto"/>
                <w:szCs w:val="21"/>
                <w:highlight w:val="none"/>
              </w:rPr>
              <w:t>专业工程</w:t>
            </w:r>
          </w:p>
          <w:p w14:paraId="53FC43D2">
            <w:pPr>
              <w:jc w:val="center"/>
              <w:rPr>
                <w:color w:val="auto"/>
                <w:szCs w:val="21"/>
                <w:highlight w:val="none"/>
              </w:rPr>
            </w:pPr>
            <w:r>
              <w:rPr>
                <w:color w:val="auto"/>
                <w:szCs w:val="21"/>
                <w:highlight w:val="none"/>
              </w:rPr>
              <w:t>暂估价含税金额（元）</w:t>
            </w:r>
          </w:p>
        </w:tc>
        <w:tc>
          <w:tcPr>
            <w:tcW w:w="673" w:type="pct"/>
            <w:vAlign w:val="center"/>
          </w:tcPr>
          <w:p w14:paraId="63FCD4A6">
            <w:pPr>
              <w:jc w:val="center"/>
              <w:rPr>
                <w:color w:val="auto"/>
                <w:szCs w:val="21"/>
                <w:highlight w:val="none"/>
              </w:rPr>
            </w:pPr>
            <w:r>
              <w:rPr>
                <w:color w:val="auto"/>
                <w:szCs w:val="21"/>
                <w:highlight w:val="none"/>
              </w:rPr>
              <w:t>暂列金额含税金额（元）</w:t>
            </w:r>
          </w:p>
        </w:tc>
        <w:tc>
          <w:tcPr>
            <w:tcW w:w="359" w:type="pct"/>
            <w:vAlign w:val="center"/>
          </w:tcPr>
          <w:p w14:paraId="57F2AA8E">
            <w:pPr>
              <w:tabs>
                <w:tab w:val="left" w:pos="5580"/>
              </w:tabs>
              <w:jc w:val="center"/>
              <w:rPr>
                <w:color w:val="auto"/>
                <w:szCs w:val="21"/>
                <w:highlight w:val="none"/>
              </w:rPr>
            </w:pPr>
            <w:r>
              <w:rPr>
                <w:color w:val="auto"/>
                <w:szCs w:val="21"/>
                <w:highlight w:val="none"/>
              </w:rPr>
              <w:t>备注</w:t>
            </w:r>
          </w:p>
        </w:tc>
      </w:tr>
      <w:tr w14:paraId="6E7EE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747" w:type="pct"/>
            <w:vAlign w:val="center"/>
          </w:tcPr>
          <w:p w14:paraId="74A46192">
            <w:pPr>
              <w:tabs>
                <w:tab w:val="left" w:pos="5580"/>
              </w:tabs>
              <w:spacing w:line="360" w:lineRule="auto"/>
              <w:ind w:left="-697"/>
              <w:jc w:val="center"/>
              <w:rPr>
                <w:color w:val="auto"/>
                <w:szCs w:val="21"/>
                <w:highlight w:val="none"/>
              </w:rPr>
            </w:pPr>
          </w:p>
        </w:tc>
        <w:tc>
          <w:tcPr>
            <w:tcW w:w="595" w:type="pct"/>
          </w:tcPr>
          <w:p w14:paraId="718C3B8F">
            <w:pPr>
              <w:tabs>
                <w:tab w:val="left" w:pos="5580"/>
              </w:tabs>
              <w:spacing w:line="360" w:lineRule="auto"/>
              <w:jc w:val="right"/>
              <w:rPr>
                <w:color w:val="auto"/>
                <w:szCs w:val="21"/>
                <w:highlight w:val="none"/>
              </w:rPr>
            </w:pPr>
          </w:p>
        </w:tc>
        <w:tc>
          <w:tcPr>
            <w:tcW w:w="479" w:type="pct"/>
            <w:vAlign w:val="center"/>
          </w:tcPr>
          <w:p w14:paraId="6A97601A">
            <w:pPr>
              <w:tabs>
                <w:tab w:val="left" w:pos="5580"/>
              </w:tabs>
              <w:spacing w:line="360" w:lineRule="auto"/>
              <w:jc w:val="right"/>
              <w:rPr>
                <w:color w:val="auto"/>
                <w:szCs w:val="21"/>
                <w:highlight w:val="none"/>
              </w:rPr>
            </w:pPr>
          </w:p>
        </w:tc>
        <w:tc>
          <w:tcPr>
            <w:tcW w:w="806" w:type="pct"/>
            <w:vAlign w:val="center"/>
          </w:tcPr>
          <w:p w14:paraId="4D927637">
            <w:pPr>
              <w:tabs>
                <w:tab w:val="left" w:pos="5580"/>
              </w:tabs>
              <w:spacing w:line="360" w:lineRule="auto"/>
              <w:jc w:val="center"/>
              <w:rPr>
                <w:color w:val="auto"/>
                <w:szCs w:val="21"/>
                <w:highlight w:val="none"/>
              </w:rPr>
            </w:pPr>
          </w:p>
        </w:tc>
        <w:tc>
          <w:tcPr>
            <w:tcW w:w="747" w:type="pct"/>
            <w:vAlign w:val="center"/>
          </w:tcPr>
          <w:p w14:paraId="7246703C">
            <w:pPr>
              <w:tabs>
                <w:tab w:val="left" w:pos="5580"/>
              </w:tabs>
              <w:spacing w:line="360" w:lineRule="auto"/>
              <w:jc w:val="center"/>
              <w:rPr>
                <w:color w:val="auto"/>
                <w:szCs w:val="21"/>
                <w:highlight w:val="none"/>
              </w:rPr>
            </w:pPr>
          </w:p>
        </w:tc>
        <w:tc>
          <w:tcPr>
            <w:tcW w:w="589" w:type="pct"/>
            <w:vAlign w:val="center"/>
          </w:tcPr>
          <w:p w14:paraId="4FD6ACA6">
            <w:pPr>
              <w:tabs>
                <w:tab w:val="left" w:pos="5580"/>
              </w:tabs>
              <w:spacing w:line="360" w:lineRule="auto"/>
              <w:jc w:val="center"/>
              <w:rPr>
                <w:color w:val="auto"/>
                <w:szCs w:val="21"/>
                <w:highlight w:val="none"/>
              </w:rPr>
            </w:pPr>
          </w:p>
        </w:tc>
        <w:tc>
          <w:tcPr>
            <w:tcW w:w="673" w:type="pct"/>
          </w:tcPr>
          <w:p w14:paraId="7E117116">
            <w:pPr>
              <w:tabs>
                <w:tab w:val="left" w:pos="5580"/>
              </w:tabs>
              <w:spacing w:line="360" w:lineRule="auto"/>
              <w:jc w:val="center"/>
              <w:rPr>
                <w:color w:val="auto"/>
                <w:szCs w:val="21"/>
                <w:highlight w:val="none"/>
              </w:rPr>
            </w:pPr>
          </w:p>
        </w:tc>
        <w:tc>
          <w:tcPr>
            <w:tcW w:w="359" w:type="pct"/>
          </w:tcPr>
          <w:p w14:paraId="158D21DC">
            <w:pPr>
              <w:tabs>
                <w:tab w:val="left" w:pos="5580"/>
              </w:tabs>
              <w:spacing w:line="360" w:lineRule="auto"/>
              <w:jc w:val="center"/>
              <w:rPr>
                <w:color w:val="auto"/>
                <w:szCs w:val="21"/>
                <w:highlight w:val="none"/>
              </w:rPr>
            </w:pPr>
          </w:p>
        </w:tc>
      </w:tr>
    </w:tbl>
    <w:p w14:paraId="234C07AB">
      <w:pPr>
        <w:autoSpaceDE w:val="0"/>
        <w:autoSpaceDN w:val="0"/>
        <w:adjustRightInd w:val="0"/>
        <w:jc w:val="left"/>
        <w:rPr>
          <w:color w:val="auto"/>
          <w:kern w:val="0"/>
          <w:sz w:val="24"/>
          <w:highlight w:val="none"/>
        </w:rPr>
      </w:pPr>
    </w:p>
    <w:p w14:paraId="3C04411D">
      <w:pPr>
        <w:tabs>
          <w:tab w:val="left" w:pos="5580"/>
        </w:tabs>
        <w:rPr>
          <w:color w:val="auto"/>
          <w:kern w:val="0"/>
          <w:sz w:val="24"/>
          <w:highlight w:val="none"/>
        </w:rPr>
      </w:pPr>
    </w:p>
    <w:p w14:paraId="0B385643">
      <w:pPr>
        <w:tabs>
          <w:tab w:val="left" w:pos="5580"/>
        </w:tabs>
        <w:rPr>
          <w:color w:val="auto"/>
          <w:kern w:val="0"/>
          <w:sz w:val="24"/>
          <w:highlight w:val="none"/>
        </w:rPr>
      </w:pPr>
    </w:p>
    <w:p w14:paraId="78722884">
      <w:pPr>
        <w:tabs>
          <w:tab w:val="left" w:pos="5580"/>
        </w:tabs>
        <w:rPr>
          <w:color w:val="auto"/>
          <w:sz w:val="24"/>
          <w:szCs w:val="20"/>
          <w:highlight w:val="none"/>
        </w:rPr>
      </w:pPr>
    </w:p>
    <w:p w14:paraId="355D7AE1">
      <w:pPr>
        <w:tabs>
          <w:tab w:val="left" w:pos="5580"/>
        </w:tabs>
        <w:rPr>
          <w:color w:val="auto"/>
          <w:sz w:val="24"/>
          <w:szCs w:val="20"/>
          <w:highlight w:val="none"/>
        </w:rPr>
      </w:pPr>
    </w:p>
    <w:p w14:paraId="3D3AD4A9">
      <w:pPr>
        <w:autoSpaceDE w:val="0"/>
        <w:autoSpaceDN w:val="0"/>
        <w:adjustRightInd w:val="0"/>
        <w:snapToGrid w:val="0"/>
        <w:spacing w:before="25" w:after="25" w:line="360" w:lineRule="auto"/>
        <w:rPr>
          <w:color w:val="auto"/>
          <w:sz w:val="24"/>
          <w:highlight w:val="none"/>
          <w:lang w:val="zh-CN"/>
        </w:rPr>
      </w:pPr>
    </w:p>
    <w:p w14:paraId="11913E70">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w:t>
      </w:r>
    </w:p>
    <w:p w14:paraId="645FA407">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284C4582">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  </w:t>
      </w:r>
    </w:p>
    <w:p w14:paraId="1D6F1102">
      <w:pPr>
        <w:tabs>
          <w:tab w:val="left" w:pos="360"/>
        </w:tabs>
        <w:snapToGrid w:val="0"/>
        <w:spacing w:line="360" w:lineRule="auto"/>
        <w:outlineLvl w:val="1"/>
        <w:rPr>
          <w:color w:val="auto"/>
          <w:sz w:val="24"/>
          <w:highlight w:val="none"/>
        </w:rPr>
        <w:sectPr>
          <w:pgSz w:w="11907" w:h="16840"/>
          <w:pgMar w:top="1440" w:right="1800" w:bottom="1440" w:left="1800" w:header="851" w:footer="851" w:gutter="0"/>
          <w:pgNumType w:fmt="decimal"/>
          <w:cols w:space="720" w:num="1"/>
          <w:docGrid w:linePitch="462" w:charSpace="0"/>
        </w:sectPr>
      </w:pPr>
      <w:bookmarkStart w:id="927" w:name="_Toc142311060"/>
      <w:bookmarkStart w:id="928" w:name="_Toc195842924"/>
      <w:bookmarkStart w:id="929" w:name="_Toc226965749"/>
      <w:bookmarkStart w:id="930" w:name="_Toc127151558"/>
      <w:bookmarkStart w:id="931" w:name="_Toc264969249"/>
      <w:bookmarkStart w:id="932" w:name="_Toc226337255"/>
      <w:bookmarkStart w:id="933" w:name="_Toc150774763"/>
      <w:bookmarkStart w:id="934" w:name="_Toc265228397"/>
      <w:bookmarkStart w:id="935" w:name="_Toc305158827"/>
      <w:bookmarkStart w:id="936" w:name="_Toc150480796"/>
      <w:bookmarkStart w:id="937" w:name="_Toc226309803"/>
      <w:bookmarkStart w:id="938" w:name="_Toc305158901"/>
      <w:bookmarkStart w:id="939" w:name="_Toc226965832"/>
    </w:p>
    <w:bookmarkEnd w:id="927"/>
    <w:bookmarkEnd w:id="928"/>
    <w:bookmarkEnd w:id="929"/>
    <w:bookmarkEnd w:id="930"/>
    <w:bookmarkEnd w:id="931"/>
    <w:bookmarkEnd w:id="932"/>
    <w:bookmarkEnd w:id="933"/>
    <w:bookmarkEnd w:id="934"/>
    <w:bookmarkEnd w:id="935"/>
    <w:bookmarkEnd w:id="936"/>
    <w:bookmarkEnd w:id="937"/>
    <w:bookmarkEnd w:id="938"/>
    <w:bookmarkEnd w:id="939"/>
    <w:p w14:paraId="16DD6759">
      <w:pPr>
        <w:tabs>
          <w:tab w:val="left" w:pos="360"/>
        </w:tabs>
        <w:snapToGrid w:val="0"/>
        <w:spacing w:line="360" w:lineRule="auto"/>
        <w:outlineLvl w:val="1"/>
        <w:rPr>
          <w:color w:val="auto"/>
          <w:sz w:val="24"/>
          <w:szCs w:val="20"/>
          <w:highlight w:val="none"/>
        </w:rPr>
      </w:pPr>
      <w:bookmarkStart w:id="940" w:name="_Toc305158904"/>
      <w:bookmarkStart w:id="941" w:name="_Toc264969252"/>
      <w:bookmarkStart w:id="942" w:name="_Toc226309806"/>
      <w:bookmarkStart w:id="943" w:name="_Toc150774765"/>
      <w:bookmarkStart w:id="944" w:name="_Toc142311062"/>
      <w:bookmarkStart w:id="945" w:name="_Toc265228400"/>
      <w:bookmarkStart w:id="946" w:name="_Toc150480798"/>
      <w:bookmarkStart w:id="947" w:name="_Toc127151562"/>
      <w:bookmarkStart w:id="948" w:name="_Toc226965835"/>
      <w:bookmarkStart w:id="949" w:name="_Toc226337258"/>
      <w:bookmarkStart w:id="950" w:name="_Toc226965752"/>
      <w:bookmarkStart w:id="951" w:name="_Toc305158830"/>
      <w:bookmarkStart w:id="952" w:name="_Toc195842927"/>
      <w:bookmarkStart w:id="953" w:name="_Toc127151561"/>
      <w:bookmarkStart w:id="954" w:name="_Toc305158829"/>
      <w:bookmarkStart w:id="955" w:name="_Toc265228399"/>
      <w:bookmarkStart w:id="956" w:name="_Toc150774764"/>
      <w:bookmarkStart w:id="957" w:name="_Toc264969251"/>
      <w:bookmarkStart w:id="958" w:name="_Toc226965834"/>
      <w:bookmarkStart w:id="959" w:name="_Toc226965751"/>
      <w:bookmarkStart w:id="960" w:name="_Toc226309805"/>
      <w:bookmarkStart w:id="961" w:name="_Toc195842926"/>
      <w:bookmarkStart w:id="962" w:name="_Toc226337257"/>
      <w:bookmarkStart w:id="963" w:name="_Toc142311061"/>
      <w:bookmarkStart w:id="964" w:name="_Toc305158903"/>
      <w:bookmarkStart w:id="965" w:name="_Toc150480797"/>
      <w:r>
        <w:rPr>
          <w:color w:val="auto"/>
          <w:sz w:val="24"/>
          <w:highlight w:val="none"/>
        </w:rPr>
        <w:t>7 合同条款偏离表</w:t>
      </w:r>
      <w:bookmarkEnd w:id="940"/>
      <w:bookmarkEnd w:id="941"/>
      <w:bookmarkEnd w:id="942"/>
      <w:bookmarkEnd w:id="943"/>
      <w:bookmarkEnd w:id="944"/>
      <w:bookmarkEnd w:id="945"/>
      <w:bookmarkEnd w:id="946"/>
      <w:bookmarkEnd w:id="947"/>
      <w:bookmarkEnd w:id="948"/>
      <w:bookmarkEnd w:id="949"/>
      <w:bookmarkEnd w:id="950"/>
      <w:bookmarkEnd w:id="951"/>
      <w:bookmarkEnd w:id="952"/>
      <w:r>
        <w:rPr>
          <w:color w:val="auto"/>
          <w:sz w:val="24"/>
          <w:highlight w:val="none"/>
        </w:rPr>
        <w:t>（实质性格式）</w:t>
      </w:r>
    </w:p>
    <w:p w14:paraId="64F6C1CC">
      <w:pPr>
        <w:spacing w:line="360" w:lineRule="auto"/>
        <w:rPr>
          <w:color w:val="auto"/>
          <w:sz w:val="24"/>
          <w:szCs w:val="20"/>
          <w:highlight w:val="none"/>
        </w:rPr>
      </w:pPr>
    </w:p>
    <w:p w14:paraId="15B660E3">
      <w:pPr>
        <w:tabs>
          <w:tab w:val="left" w:pos="2775"/>
          <w:tab w:val="center" w:pos="4153"/>
        </w:tabs>
        <w:autoSpaceDE w:val="0"/>
        <w:autoSpaceDN w:val="0"/>
        <w:adjustRightInd w:val="0"/>
        <w:spacing w:line="360" w:lineRule="auto"/>
        <w:jc w:val="left"/>
        <w:rPr>
          <w:b/>
          <w:color w:val="auto"/>
          <w:sz w:val="36"/>
          <w:szCs w:val="36"/>
          <w:highlight w:val="none"/>
        </w:rPr>
      </w:pPr>
      <w:r>
        <w:rPr>
          <w:color w:val="auto"/>
          <w:sz w:val="36"/>
          <w:szCs w:val="36"/>
          <w:highlight w:val="none"/>
        </w:rPr>
        <w:tab/>
      </w:r>
      <w:r>
        <w:rPr>
          <w:b/>
          <w:color w:val="auto"/>
          <w:sz w:val="36"/>
          <w:szCs w:val="36"/>
          <w:highlight w:val="none"/>
        </w:rPr>
        <w:tab/>
      </w:r>
      <w:r>
        <w:rPr>
          <w:b/>
          <w:color w:val="auto"/>
          <w:sz w:val="36"/>
          <w:szCs w:val="36"/>
          <w:highlight w:val="none"/>
        </w:rPr>
        <w:t>合同条款偏离表</w:t>
      </w:r>
    </w:p>
    <w:p w14:paraId="14710B8D">
      <w:pPr>
        <w:spacing w:line="360" w:lineRule="auto"/>
        <w:rPr>
          <w:color w:val="auto"/>
          <w:sz w:val="24"/>
          <w:szCs w:val="20"/>
          <w:highlight w:val="none"/>
        </w:rPr>
      </w:pPr>
    </w:p>
    <w:p w14:paraId="3EA74394">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777"/>
        <w:gridCol w:w="1778"/>
        <w:gridCol w:w="2184"/>
        <w:gridCol w:w="980"/>
      </w:tblGrid>
      <w:tr w14:paraId="0F61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1A704CE">
            <w:pPr>
              <w:adjustRightInd w:val="0"/>
              <w:snapToGrid w:val="0"/>
              <w:jc w:val="center"/>
              <w:rPr>
                <w:color w:val="auto"/>
                <w:sz w:val="24"/>
                <w:highlight w:val="none"/>
              </w:rPr>
            </w:pPr>
            <w:r>
              <w:rPr>
                <w:color w:val="auto"/>
                <w:sz w:val="24"/>
                <w:highlight w:val="none"/>
              </w:rPr>
              <w:t>序号</w:t>
            </w:r>
          </w:p>
        </w:tc>
        <w:tc>
          <w:tcPr>
            <w:tcW w:w="1560" w:type="dxa"/>
            <w:vAlign w:val="center"/>
          </w:tcPr>
          <w:p w14:paraId="0086671B">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条目号（页码）</w:t>
            </w:r>
          </w:p>
        </w:tc>
        <w:tc>
          <w:tcPr>
            <w:tcW w:w="1777" w:type="dxa"/>
            <w:vAlign w:val="center"/>
          </w:tcPr>
          <w:p w14:paraId="46B1F25E">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要求</w:t>
            </w:r>
          </w:p>
        </w:tc>
        <w:tc>
          <w:tcPr>
            <w:tcW w:w="1778" w:type="dxa"/>
            <w:vAlign w:val="center"/>
          </w:tcPr>
          <w:p w14:paraId="1B641F1A">
            <w:pPr>
              <w:adjustRightInd w:val="0"/>
              <w:snapToGrid w:val="0"/>
              <w:jc w:val="center"/>
              <w:rPr>
                <w:color w:val="auto"/>
                <w:sz w:val="24"/>
                <w:highlight w:val="none"/>
              </w:rPr>
            </w:pPr>
            <w:r>
              <w:rPr>
                <w:color w:val="auto"/>
                <w:sz w:val="24"/>
                <w:highlight w:val="none"/>
              </w:rPr>
              <w:t>响应文件内容</w:t>
            </w:r>
          </w:p>
        </w:tc>
        <w:tc>
          <w:tcPr>
            <w:tcW w:w="2184" w:type="dxa"/>
            <w:vAlign w:val="center"/>
          </w:tcPr>
          <w:p w14:paraId="3227E3C2">
            <w:pPr>
              <w:adjustRightInd w:val="0"/>
              <w:snapToGrid w:val="0"/>
              <w:jc w:val="center"/>
              <w:rPr>
                <w:color w:val="auto"/>
                <w:sz w:val="24"/>
                <w:highlight w:val="none"/>
              </w:rPr>
            </w:pPr>
            <w:r>
              <w:rPr>
                <w:color w:val="auto"/>
                <w:sz w:val="24"/>
                <w:highlight w:val="none"/>
              </w:rPr>
              <w:t>偏离情况</w:t>
            </w:r>
          </w:p>
        </w:tc>
        <w:tc>
          <w:tcPr>
            <w:tcW w:w="980" w:type="dxa"/>
            <w:vAlign w:val="center"/>
          </w:tcPr>
          <w:p w14:paraId="70DF4618">
            <w:pPr>
              <w:adjustRightInd w:val="0"/>
              <w:snapToGrid w:val="0"/>
              <w:jc w:val="center"/>
              <w:rPr>
                <w:color w:val="auto"/>
                <w:sz w:val="24"/>
                <w:highlight w:val="none"/>
              </w:rPr>
            </w:pPr>
            <w:r>
              <w:rPr>
                <w:color w:val="auto"/>
                <w:sz w:val="24"/>
                <w:highlight w:val="none"/>
              </w:rPr>
              <w:t>说明</w:t>
            </w:r>
          </w:p>
        </w:tc>
      </w:tr>
      <w:tr w14:paraId="2AA2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534416C">
            <w:pPr>
              <w:adjustRightInd w:val="0"/>
              <w:snapToGrid w:val="0"/>
              <w:jc w:val="left"/>
              <w:rPr>
                <w:b/>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响应无效）：</w:t>
            </w:r>
          </w:p>
          <w:p w14:paraId="58822633">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3D00030A">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则应在本表中对负偏离项逐一列明，否则</w:t>
            </w:r>
            <w:r>
              <w:rPr>
                <w:b/>
                <w:bCs/>
                <w:color w:val="auto"/>
                <w:sz w:val="24"/>
                <w:highlight w:val="none"/>
              </w:rPr>
              <w:t>响应无效</w:t>
            </w:r>
            <w:r>
              <w:rPr>
                <w:color w:val="auto"/>
                <w:sz w:val="24"/>
                <w:highlight w:val="none"/>
              </w:rPr>
              <w:t>；对合同条款中的所有要求，除本表列明的偏离外，均视作供应商已对之理解和响应。）</w:t>
            </w:r>
          </w:p>
        </w:tc>
      </w:tr>
      <w:tr w14:paraId="4A01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23191DE2">
            <w:pPr>
              <w:adjustRightInd w:val="0"/>
              <w:snapToGrid w:val="0"/>
              <w:jc w:val="center"/>
              <w:rPr>
                <w:color w:val="auto"/>
                <w:sz w:val="24"/>
                <w:highlight w:val="none"/>
              </w:rPr>
            </w:pPr>
          </w:p>
        </w:tc>
        <w:tc>
          <w:tcPr>
            <w:tcW w:w="1560" w:type="dxa"/>
            <w:vAlign w:val="center"/>
          </w:tcPr>
          <w:p w14:paraId="3C4CDA65">
            <w:pPr>
              <w:adjustRightInd w:val="0"/>
              <w:snapToGrid w:val="0"/>
              <w:jc w:val="center"/>
              <w:rPr>
                <w:color w:val="auto"/>
                <w:sz w:val="24"/>
                <w:highlight w:val="none"/>
              </w:rPr>
            </w:pPr>
          </w:p>
        </w:tc>
        <w:tc>
          <w:tcPr>
            <w:tcW w:w="1777" w:type="dxa"/>
            <w:vAlign w:val="center"/>
          </w:tcPr>
          <w:p w14:paraId="6C53763D">
            <w:pPr>
              <w:adjustRightInd w:val="0"/>
              <w:snapToGrid w:val="0"/>
              <w:jc w:val="center"/>
              <w:rPr>
                <w:color w:val="auto"/>
                <w:sz w:val="24"/>
                <w:highlight w:val="none"/>
              </w:rPr>
            </w:pPr>
          </w:p>
        </w:tc>
        <w:tc>
          <w:tcPr>
            <w:tcW w:w="1778" w:type="dxa"/>
            <w:vAlign w:val="center"/>
          </w:tcPr>
          <w:p w14:paraId="742F3DB0">
            <w:pPr>
              <w:adjustRightInd w:val="0"/>
              <w:snapToGrid w:val="0"/>
              <w:jc w:val="center"/>
              <w:rPr>
                <w:color w:val="auto"/>
                <w:sz w:val="24"/>
                <w:highlight w:val="none"/>
              </w:rPr>
            </w:pPr>
          </w:p>
        </w:tc>
        <w:tc>
          <w:tcPr>
            <w:tcW w:w="2184" w:type="dxa"/>
            <w:vAlign w:val="center"/>
          </w:tcPr>
          <w:p w14:paraId="01A4D634">
            <w:pPr>
              <w:adjustRightInd w:val="0"/>
              <w:snapToGrid w:val="0"/>
              <w:jc w:val="center"/>
              <w:rPr>
                <w:color w:val="auto"/>
                <w:sz w:val="24"/>
                <w:highlight w:val="none"/>
              </w:rPr>
            </w:pPr>
          </w:p>
        </w:tc>
        <w:tc>
          <w:tcPr>
            <w:tcW w:w="980" w:type="dxa"/>
            <w:vAlign w:val="center"/>
          </w:tcPr>
          <w:p w14:paraId="6C621ACA">
            <w:pPr>
              <w:adjustRightInd w:val="0"/>
              <w:snapToGrid w:val="0"/>
              <w:jc w:val="center"/>
              <w:rPr>
                <w:color w:val="auto"/>
                <w:sz w:val="24"/>
                <w:highlight w:val="none"/>
              </w:rPr>
            </w:pPr>
          </w:p>
        </w:tc>
      </w:tr>
      <w:tr w14:paraId="0B58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1BEB9E09">
            <w:pPr>
              <w:adjustRightInd w:val="0"/>
              <w:snapToGrid w:val="0"/>
              <w:jc w:val="center"/>
              <w:rPr>
                <w:color w:val="auto"/>
                <w:sz w:val="24"/>
                <w:highlight w:val="none"/>
              </w:rPr>
            </w:pPr>
          </w:p>
        </w:tc>
        <w:tc>
          <w:tcPr>
            <w:tcW w:w="1560" w:type="dxa"/>
            <w:vAlign w:val="center"/>
          </w:tcPr>
          <w:p w14:paraId="0B11E8D4">
            <w:pPr>
              <w:adjustRightInd w:val="0"/>
              <w:snapToGrid w:val="0"/>
              <w:jc w:val="center"/>
              <w:rPr>
                <w:color w:val="auto"/>
                <w:sz w:val="24"/>
                <w:highlight w:val="none"/>
              </w:rPr>
            </w:pPr>
          </w:p>
        </w:tc>
        <w:tc>
          <w:tcPr>
            <w:tcW w:w="1777" w:type="dxa"/>
            <w:vAlign w:val="center"/>
          </w:tcPr>
          <w:p w14:paraId="3C44016C">
            <w:pPr>
              <w:adjustRightInd w:val="0"/>
              <w:snapToGrid w:val="0"/>
              <w:jc w:val="center"/>
              <w:rPr>
                <w:color w:val="auto"/>
                <w:sz w:val="24"/>
                <w:highlight w:val="none"/>
              </w:rPr>
            </w:pPr>
          </w:p>
        </w:tc>
        <w:tc>
          <w:tcPr>
            <w:tcW w:w="1778" w:type="dxa"/>
            <w:vAlign w:val="center"/>
          </w:tcPr>
          <w:p w14:paraId="50633DA0">
            <w:pPr>
              <w:adjustRightInd w:val="0"/>
              <w:snapToGrid w:val="0"/>
              <w:jc w:val="center"/>
              <w:rPr>
                <w:color w:val="auto"/>
                <w:sz w:val="24"/>
                <w:highlight w:val="none"/>
              </w:rPr>
            </w:pPr>
          </w:p>
        </w:tc>
        <w:tc>
          <w:tcPr>
            <w:tcW w:w="2184" w:type="dxa"/>
            <w:vAlign w:val="center"/>
          </w:tcPr>
          <w:p w14:paraId="113B1711">
            <w:pPr>
              <w:adjustRightInd w:val="0"/>
              <w:snapToGrid w:val="0"/>
              <w:jc w:val="center"/>
              <w:rPr>
                <w:color w:val="auto"/>
                <w:sz w:val="24"/>
                <w:highlight w:val="none"/>
              </w:rPr>
            </w:pPr>
          </w:p>
        </w:tc>
        <w:tc>
          <w:tcPr>
            <w:tcW w:w="980" w:type="dxa"/>
            <w:vAlign w:val="center"/>
          </w:tcPr>
          <w:p w14:paraId="085C7992">
            <w:pPr>
              <w:adjustRightInd w:val="0"/>
              <w:snapToGrid w:val="0"/>
              <w:jc w:val="center"/>
              <w:rPr>
                <w:color w:val="auto"/>
                <w:sz w:val="24"/>
                <w:highlight w:val="none"/>
              </w:rPr>
            </w:pPr>
          </w:p>
        </w:tc>
      </w:tr>
      <w:tr w14:paraId="522D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2DD87406">
            <w:pPr>
              <w:adjustRightInd w:val="0"/>
              <w:snapToGrid w:val="0"/>
              <w:jc w:val="center"/>
              <w:rPr>
                <w:color w:val="auto"/>
                <w:sz w:val="24"/>
                <w:highlight w:val="none"/>
              </w:rPr>
            </w:pPr>
          </w:p>
        </w:tc>
        <w:tc>
          <w:tcPr>
            <w:tcW w:w="1560" w:type="dxa"/>
            <w:vAlign w:val="center"/>
          </w:tcPr>
          <w:p w14:paraId="75036E9B">
            <w:pPr>
              <w:adjustRightInd w:val="0"/>
              <w:snapToGrid w:val="0"/>
              <w:jc w:val="center"/>
              <w:rPr>
                <w:color w:val="auto"/>
                <w:sz w:val="24"/>
                <w:highlight w:val="none"/>
              </w:rPr>
            </w:pPr>
          </w:p>
        </w:tc>
        <w:tc>
          <w:tcPr>
            <w:tcW w:w="1777" w:type="dxa"/>
            <w:vAlign w:val="center"/>
          </w:tcPr>
          <w:p w14:paraId="01507DCE">
            <w:pPr>
              <w:adjustRightInd w:val="0"/>
              <w:snapToGrid w:val="0"/>
              <w:jc w:val="center"/>
              <w:rPr>
                <w:color w:val="auto"/>
                <w:sz w:val="24"/>
                <w:highlight w:val="none"/>
              </w:rPr>
            </w:pPr>
          </w:p>
        </w:tc>
        <w:tc>
          <w:tcPr>
            <w:tcW w:w="1778" w:type="dxa"/>
            <w:vAlign w:val="center"/>
          </w:tcPr>
          <w:p w14:paraId="306E7A34">
            <w:pPr>
              <w:adjustRightInd w:val="0"/>
              <w:snapToGrid w:val="0"/>
              <w:jc w:val="center"/>
              <w:rPr>
                <w:color w:val="auto"/>
                <w:sz w:val="24"/>
                <w:highlight w:val="none"/>
              </w:rPr>
            </w:pPr>
          </w:p>
        </w:tc>
        <w:tc>
          <w:tcPr>
            <w:tcW w:w="2184" w:type="dxa"/>
            <w:vAlign w:val="center"/>
          </w:tcPr>
          <w:p w14:paraId="1DE29F49">
            <w:pPr>
              <w:adjustRightInd w:val="0"/>
              <w:snapToGrid w:val="0"/>
              <w:jc w:val="center"/>
              <w:rPr>
                <w:color w:val="auto"/>
                <w:sz w:val="24"/>
                <w:highlight w:val="none"/>
              </w:rPr>
            </w:pPr>
          </w:p>
        </w:tc>
        <w:tc>
          <w:tcPr>
            <w:tcW w:w="980" w:type="dxa"/>
            <w:vAlign w:val="center"/>
          </w:tcPr>
          <w:p w14:paraId="38B129EF">
            <w:pPr>
              <w:adjustRightInd w:val="0"/>
              <w:snapToGrid w:val="0"/>
              <w:jc w:val="center"/>
              <w:rPr>
                <w:color w:val="auto"/>
                <w:sz w:val="24"/>
                <w:highlight w:val="none"/>
              </w:rPr>
            </w:pPr>
          </w:p>
        </w:tc>
      </w:tr>
      <w:tr w14:paraId="5D05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C9CF0A2">
            <w:pPr>
              <w:adjustRightInd w:val="0"/>
              <w:snapToGrid w:val="0"/>
              <w:jc w:val="center"/>
              <w:rPr>
                <w:color w:val="auto"/>
                <w:sz w:val="24"/>
                <w:highlight w:val="none"/>
              </w:rPr>
            </w:pPr>
          </w:p>
        </w:tc>
        <w:tc>
          <w:tcPr>
            <w:tcW w:w="1560" w:type="dxa"/>
            <w:vAlign w:val="center"/>
          </w:tcPr>
          <w:p w14:paraId="6F91B739">
            <w:pPr>
              <w:adjustRightInd w:val="0"/>
              <w:snapToGrid w:val="0"/>
              <w:jc w:val="center"/>
              <w:rPr>
                <w:color w:val="auto"/>
                <w:sz w:val="24"/>
                <w:highlight w:val="none"/>
              </w:rPr>
            </w:pPr>
          </w:p>
        </w:tc>
        <w:tc>
          <w:tcPr>
            <w:tcW w:w="1777" w:type="dxa"/>
            <w:vAlign w:val="center"/>
          </w:tcPr>
          <w:p w14:paraId="241407B8">
            <w:pPr>
              <w:adjustRightInd w:val="0"/>
              <w:snapToGrid w:val="0"/>
              <w:jc w:val="center"/>
              <w:rPr>
                <w:color w:val="auto"/>
                <w:sz w:val="24"/>
                <w:highlight w:val="none"/>
              </w:rPr>
            </w:pPr>
          </w:p>
        </w:tc>
        <w:tc>
          <w:tcPr>
            <w:tcW w:w="1778" w:type="dxa"/>
            <w:vAlign w:val="center"/>
          </w:tcPr>
          <w:p w14:paraId="4ECBBBF5">
            <w:pPr>
              <w:adjustRightInd w:val="0"/>
              <w:snapToGrid w:val="0"/>
              <w:jc w:val="center"/>
              <w:rPr>
                <w:color w:val="auto"/>
                <w:sz w:val="24"/>
                <w:highlight w:val="none"/>
              </w:rPr>
            </w:pPr>
          </w:p>
        </w:tc>
        <w:tc>
          <w:tcPr>
            <w:tcW w:w="2184" w:type="dxa"/>
            <w:vAlign w:val="center"/>
          </w:tcPr>
          <w:p w14:paraId="3FA11C71">
            <w:pPr>
              <w:adjustRightInd w:val="0"/>
              <w:snapToGrid w:val="0"/>
              <w:jc w:val="center"/>
              <w:rPr>
                <w:color w:val="auto"/>
                <w:sz w:val="24"/>
                <w:highlight w:val="none"/>
              </w:rPr>
            </w:pPr>
          </w:p>
        </w:tc>
        <w:tc>
          <w:tcPr>
            <w:tcW w:w="980" w:type="dxa"/>
            <w:vAlign w:val="center"/>
          </w:tcPr>
          <w:p w14:paraId="19E73AA1">
            <w:pPr>
              <w:adjustRightInd w:val="0"/>
              <w:snapToGrid w:val="0"/>
              <w:jc w:val="center"/>
              <w:rPr>
                <w:color w:val="auto"/>
                <w:sz w:val="24"/>
                <w:highlight w:val="none"/>
              </w:rPr>
            </w:pPr>
          </w:p>
        </w:tc>
      </w:tr>
      <w:tr w14:paraId="5648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246D9438">
            <w:pPr>
              <w:adjustRightInd w:val="0"/>
              <w:snapToGrid w:val="0"/>
              <w:jc w:val="center"/>
              <w:rPr>
                <w:color w:val="auto"/>
                <w:sz w:val="24"/>
                <w:highlight w:val="none"/>
              </w:rPr>
            </w:pPr>
          </w:p>
        </w:tc>
        <w:tc>
          <w:tcPr>
            <w:tcW w:w="1560" w:type="dxa"/>
            <w:vAlign w:val="center"/>
          </w:tcPr>
          <w:p w14:paraId="7A3966E8">
            <w:pPr>
              <w:adjustRightInd w:val="0"/>
              <w:snapToGrid w:val="0"/>
              <w:jc w:val="center"/>
              <w:rPr>
                <w:color w:val="auto"/>
                <w:sz w:val="24"/>
                <w:highlight w:val="none"/>
              </w:rPr>
            </w:pPr>
          </w:p>
        </w:tc>
        <w:tc>
          <w:tcPr>
            <w:tcW w:w="1777" w:type="dxa"/>
            <w:vAlign w:val="center"/>
          </w:tcPr>
          <w:p w14:paraId="36FA0B5A">
            <w:pPr>
              <w:adjustRightInd w:val="0"/>
              <w:snapToGrid w:val="0"/>
              <w:jc w:val="center"/>
              <w:rPr>
                <w:color w:val="auto"/>
                <w:sz w:val="24"/>
                <w:highlight w:val="none"/>
              </w:rPr>
            </w:pPr>
          </w:p>
        </w:tc>
        <w:tc>
          <w:tcPr>
            <w:tcW w:w="1778" w:type="dxa"/>
            <w:vAlign w:val="center"/>
          </w:tcPr>
          <w:p w14:paraId="171CECE7">
            <w:pPr>
              <w:adjustRightInd w:val="0"/>
              <w:snapToGrid w:val="0"/>
              <w:jc w:val="center"/>
              <w:rPr>
                <w:color w:val="auto"/>
                <w:sz w:val="24"/>
                <w:highlight w:val="none"/>
              </w:rPr>
            </w:pPr>
          </w:p>
        </w:tc>
        <w:tc>
          <w:tcPr>
            <w:tcW w:w="2184" w:type="dxa"/>
            <w:vAlign w:val="center"/>
          </w:tcPr>
          <w:p w14:paraId="066D7B60">
            <w:pPr>
              <w:adjustRightInd w:val="0"/>
              <w:snapToGrid w:val="0"/>
              <w:jc w:val="center"/>
              <w:rPr>
                <w:color w:val="auto"/>
                <w:sz w:val="24"/>
                <w:highlight w:val="none"/>
              </w:rPr>
            </w:pPr>
          </w:p>
        </w:tc>
        <w:tc>
          <w:tcPr>
            <w:tcW w:w="980" w:type="dxa"/>
            <w:vAlign w:val="center"/>
          </w:tcPr>
          <w:p w14:paraId="63C8ED5B">
            <w:pPr>
              <w:adjustRightInd w:val="0"/>
              <w:snapToGrid w:val="0"/>
              <w:jc w:val="center"/>
              <w:rPr>
                <w:color w:val="auto"/>
                <w:sz w:val="24"/>
                <w:highlight w:val="none"/>
              </w:rPr>
            </w:pPr>
          </w:p>
        </w:tc>
      </w:tr>
    </w:tbl>
    <w:p w14:paraId="6C57746F">
      <w:pPr>
        <w:tabs>
          <w:tab w:val="left" w:pos="1800"/>
          <w:tab w:val="left" w:pos="5580"/>
        </w:tabs>
        <w:jc w:val="left"/>
        <w:rPr>
          <w:color w:val="auto"/>
          <w:sz w:val="24"/>
          <w:highlight w:val="none"/>
        </w:rPr>
      </w:pPr>
    </w:p>
    <w:p w14:paraId="39EEDB6C">
      <w:pPr>
        <w:tabs>
          <w:tab w:val="left" w:pos="1800"/>
          <w:tab w:val="left" w:pos="5580"/>
        </w:tabs>
        <w:jc w:val="left"/>
        <w:rPr>
          <w:color w:val="auto"/>
          <w:sz w:val="24"/>
          <w:highlight w:val="none"/>
        </w:rPr>
      </w:pPr>
      <w:r>
        <w:rPr>
          <w:color w:val="auto"/>
          <w:sz w:val="24"/>
          <w:highlight w:val="none"/>
        </w:rPr>
        <w:t>注： “偏离情况”列应据实填写“正偏离”或“负偏离”。</w:t>
      </w:r>
    </w:p>
    <w:p w14:paraId="109F8DBC">
      <w:pPr>
        <w:spacing w:line="360" w:lineRule="auto"/>
        <w:rPr>
          <w:color w:val="auto"/>
          <w:sz w:val="24"/>
          <w:szCs w:val="20"/>
          <w:highlight w:val="none"/>
        </w:rPr>
      </w:pPr>
    </w:p>
    <w:p w14:paraId="6220B2DB">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_______________</w:t>
      </w:r>
    </w:p>
    <w:p w14:paraId="503C0BA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日期：____年____月____日    </w:t>
      </w:r>
    </w:p>
    <w:p w14:paraId="0244D645">
      <w:pPr>
        <w:tabs>
          <w:tab w:val="left" w:pos="360"/>
        </w:tabs>
        <w:snapToGrid w:val="0"/>
        <w:spacing w:line="360" w:lineRule="auto"/>
        <w:outlineLvl w:val="1"/>
        <w:rPr>
          <w:color w:val="auto"/>
          <w:sz w:val="24"/>
          <w:szCs w:val="20"/>
          <w:highlight w:val="none"/>
        </w:rPr>
      </w:pPr>
      <w:r>
        <w:rPr>
          <w:color w:val="auto"/>
          <w:sz w:val="24"/>
          <w:szCs w:val="20"/>
          <w:highlight w:val="none"/>
        </w:rPr>
        <w:br w:type="page"/>
      </w:r>
      <w:r>
        <w:rPr>
          <w:color w:val="auto"/>
          <w:sz w:val="24"/>
          <w:highlight w:val="none"/>
        </w:rPr>
        <w:t xml:space="preserve">8 </w:t>
      </w:r>
      <w:bookmarkEnd w:id="953"/>
      <w:bookmarkEnd w:id="954"/>
      <w:bookmarkEnd w:id="955"/>
      <w:bookmarkEnd w:id="956"/>
      <w:bookmarkEnd w:id="957"/>
      <w:bookmarkEnd w:id="958"/>
      <w:bookmarkEnd w:id="959"/>
      <w:bookmarkEnd w:id="960"/>
      <w:bookmarkEnd w:id="961"/>
      <w:bookmarkEnd w:id="962"/>
      <w:bookmarkEnd w:id="963"/>
      <w:bookmarkEnd w:id="964"/>
      <w:bookmarkEnd w:id="965"/>
      <w:r>
        <w:rPr>
          <w:color w:val="auto"/>
          <w:sz w:val="24"/>
          <w:highlight w:val="none"/>
        </w:rPr>
        <w:t>采购需求偏离表（实质性格式）</w:t>
      </w:r>
    </w:p>
    <w:p w14:paraId="04AB5B8E">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4A8DCE50">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5C1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CDB17E">
            <w:pPr>
              <w:adjustRightInd w:val="0"/>
              <w:snapToGrid w:val="0"/>
              <w:jc w:val="center"/>
              <w:rPr>
                <w:color w:val="auto"/>
                <w:sz w:val="24"/>
                <w:highlight w:val="none"/>
              </w:rPr>
            </w:pPr>
            <w:r>
              <w:rPr>
                <w:color w:val="auto"/>
                <w:sz w:val="24"/>
                <w:highlight w:val="none"/>
              </w:rPr>
              <w:t>序号</w:t>
            </w:r>
          </w:p>
        </w:tc>
        <w:tc>
          <w:tcPr>
            <w:tcW w:w="1482" w:type="dxa"/>
            <w:vAlign w:val="center"/>
          </w:tcPr>
          <w:p w14:paraId="774A19D8">
            <w:pPr>
              <w:adjustRightInd w:val="0"/>
              <w:snapToGrid w:val="0"/>
              <w:jc w:val="center"/>
              <w:rPr>
                <w:color w:val="auto"/>
                <w:sz w:val="24"/>
                <w:highlight w:val="none"/>
              </w:rPr>
            </w:pPr>
            <w:r>
              <w:rPr>
                <w:color w:val="auto"/>
                <w:sz w:val="24"/>
                <w:highlight w:val="none"/>
              </w:rPr>
              <w:t>竞争性磋商文件条目号(页码)</w:t>
            </w:r>
          </w:p>
        </w:tc>
        <w:tc>
          <w:tcPr>
            <w:tcW w:w="2384" w:type="dxa"/>
            <w:vAlign w:val="center"/>
          </w:tcPr>
          <w:p w14:paraId="52AC3361">
            <w:pPr>
              <w:adjustRightInd w:val="0"/>
              <w:snapToGrid w:val="0"/>
              <w:jc w:val="center"/>
              <w:rPr>
                <w:color w:val="auto"/>
                <w:sz w:val="24"/>
                <w:highlight w:val="none"/>
              </w:rPr>
            </w:pPr>
            <w:r>
              <w:rPr>
                <w:color w:val="auto"/>
                <w:sz w:val="24"/>
                <w:highlight w:val="none"/>
              </w:rPr>
              <w:t>竞争性磋商文件要求</w:t>
            </w:r>
          </w:p>
        </w:tc>
        <w:tc>
          <w:tcPr>
            <w:tcW w:w="2126" w:type="dxa"/>
            <w:vAlign w:val="center"/>
          </w:tcPr>
          <w:p w14:paraId="12D66BBB">
            <w:pPr>
              <w:adjustRightInd w:val="0"/>
              <w:snapToGrid w:val="0"/>
              <w:jc w:val="center"/>
              <w:rPr>
                <w:color w:val="auto"/>
                <w:sz w:val="24"/>
                <w:highlight w:val="none"/>
              </w:rPr>
            </w:pPr>
            <w:r>
              <w:rPr>
                <w:color w:val="auto"/>
                <w:sz w:val="24"/>
                <w:highlight w:val="none"/>
              </w:rPr>
              <w:t>响应内容</w:t>
            </w:r>
          </w:p>
        </w:tc>
        <w:tc>
          <w:tcPr>
            <w:tcW w:w="1875" w:type="dxa"/>
            <w:vAlign w:val="center"/>
          </w:tcPr>
          <w:p w14:paraId="392382B5">
            <w:pPr>
              <w:adjustRightInd w:val="0"/>
              <w:snapToGrid w:val="0"/>
              <w:jc w:val="center"/>
              <w:rPr>
                <w:color w:val="auto"/>
                <w:sz w:val="24"/>
                <w:highlight w:val="none"/>
              </w:rPr>
            </w:pPr>
            <w:r>
              <w:rPr>
                <w:color w:val="auto"/>
                <w:sz w:val="24"/>
                <w:highlight w:val="none"/>
              </w:rPr>
              <w:t>偏离情况</w:t>
            </w:r>
          </w:p>
        </w:tc>
        <w:tc>
          <w:tcPr>
            <w:tcW w:w="1009" w:type="dxa"/>
            <w:vAlign w:val="center"/>
          </w:tcPr>
          <w:p w14:paraId="6CD22BDA">
            <w:pPr>
              <w:adjustRightInd w:val="0"/>
              <w:snapToGrid w:val="0"/>
              <w:jc w:val="center"/>
              <w:rPr>
                <w:color w:val="auto"/>
                <w:sz w:val="24"/>
                <w:highlight w:val="none"/>
              </w:rPr>
            </w:pPr>
            <w:r>
              <w:rPr>
                <w:color w:val="auto"/>
                <w:sz w:val="24"/>
                <w:highlight w:val="none"/>
              </w:rPr>
              <w:t>说明</w:t>
            </w:r>
          </w:p>
        </w:tc>
      </w:tr>
      <w:tr w14:paraId="1696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268418">
            <w:pPr>
              <w:adjustRightInd w:val="0"/>
              <w:snapToGrid w:val="0"/>
              <w:jc w:val="center"/>
              <w:rPr>
                <w:color w:val="auto"/>
                <w:sz w:val="24"/>
                <w:highlight w:val="none"/>
              </w:rPr>
            </w:pPr>
          </w:p>
        </w:tc>
        <w:tc>
          <w:tcPr>
            <w:tcW w:w="1482" w:type="dxa"/>
            <w:vAlign w:val="center"/>
          </w:tcPr>
          <w:p w14:paraId="527701D8">
            <w:pPr>
              <w:adjustRightInd w:val="0"/>
              <w:snapToGrid w:val="0"/>
              <w:jc w:val="center"/>
              <w:rPr>
                <w:color w:val="auto"/>
                <w:sz w:val="24"/>
                <w:highlight w:val="none"/>
              </w:rPr>
            </w:pPr>
          </w:p>
        </w:tc>
        <w:tc>
          <w:tcPr>
            <w:tcW w:w="2384" w:type="dxa"/>
            <w:vAlign w:val="center"/>
          </w:tcPr>
          <w:p w14:paraId="70038BFF">
            <w:pPr>
              <w:adjustRightInd w:val="0"/>
              <w:snapToGrid w:val="0"/>
              <w:jc w:val="center"/>
              <w:rPr>
                <w:color w:val="auto"/>
                <w:sz w:val="24"/>
                <w:highlight w:val="none"/>
              </w:rPr>
            </w:pPr>
          </w:p>
        </w:tc>
        <w:tc>
          <w:tcPr>
            <w:tcW w:w="2126" w:type="dxa"/>
            <w:vAlign w:val="center"/>
          </w:tcPr>
          <w:p w14:paraId="73168A0C">
            <w:pPr>
              <w:adjustRightInd w:val="0"/>
              <w:snapToGrid w:val="0"/>
              <w:jc w:val="center"/>
              <w:rPr>
                <w:color w:val="auto"/>
                <w:sz w:val="24"/>
                <w:highlight w:val="none"/>
              </w:rPr>
            </w:pPr>
          </w:p>
        </w:tc>
        <w:tc>
          <w:tcPr>
            <w:tcW w:w="1875" w:type="dxa"/>
            <w:vAlign w:val="center"/>
          </w:tcPr>
          <w:p w14:paraId="2C37341D">
            <w:pPr>
              <w:adjustRightInd w:val="0"/>
              <w:snapToGrid w:val="0"/>
              <w:jc w:val="center"/>
              <w:rPr>
                <w:color w:val="auto"/>
                <w:sz w:val="24"/>
                <w:highlight w:val="none"/>
              </w:rPr>
            </w:pPr>
          </w:p>
        </w:tc>
        <w:tc>
          <w:tcPr>
            <w:tcW w:w="1009" w:type="dxa"/>
            <w:vAlign w:val="center"/>
          </w:tcPr>
          <w:p w14:paraId="270DF4C2">
            <w:pPr>
              <w:adjustRightInd w:val="0"/>
              <w:snapToGrid w:val="0"/>
              <w:jc w:val="center"/>
              <w:rPr>
                <w:color w:val="auto"/>
                <w:sz w:val="24"/>
                <w:highlight w:val="none"/>
              </w:rPr>
            </w:pPr>
          </w:p>
        </w:tc>
      </w:tr>
      <w:tr w14:paraId="41A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721BF5">
            <w:pPr>
              <w:adjustRightInd w:val="0"/>
              <w:snapToGrid w:val="0"/>
              <w:jc w:val="center"/>
              <w:rPr>
                <w:color w:val="auto"/>
                <w:sz w:val="24"/>
                <w:highlight w:val="none"/>
              </w:rPr>
            </w:pPr>
          </w:p>
        </w:tc>
        <w:tc>
          <w:tcPr>
            <w:tcW w:w="1482" w:type="dxa"/>
            <w:vAlign w:val="center"/>
          </w:tcPr>
          <w:p w14:paraId="0854CB44">
            <w:pPr>
              <w:adjustRightInd w:val="0"/>
              <w:snapToGrid w:val="0"/>
              <w:jc w:val="center"/>
              <w:rPr>
                <w:color w:val="auto"/>
                <w:sz w:val="24"/>
                <w:highlight w:val="none"/>
              </w:rPr>
            </w:pPr>
          </w:p>
        </w:tc>
        <w:tc>
          <w:tcPr>
            <w:tcW w:w="2384" w:type="dxa"/>
            <w:vAlign w:val="center"/>
          </w:tcPr>
          <w:p w14:paraId="08BBB54E">
            <w:pPr>
              <w:adjustRightInd w:val="0"/>
              <w:snapToGrid w:val="0"/>
              <w:jc w:val="center"/>
              <w:rPr>
                <w:color w:val="auto"/>
                <w:sz w:val="24"/>
                <w:highlight w:val="none"/>
              </w:rPr>
            </w:pPr>
          </w:p>
        </w:tc>
        <w:tc>
          <w:tcPr>
            <w:tcW w:w="2126" w:type="dxa"/>
            <w:vAlign w:val="center"/>
          </w:tcPr>
          <w:p w14:paraId="775BEDD1">
            <w:pPr>
              <w:adjustRightInd w:val="0"/>
              <w:snapToGrid w:val="0"/>
              <w:jc w:val="center"/>
              <w:rPr>
                <w:color w:val="auto"/>
                <w:sz w:val="24"/>
                <w:highlight w:val="none"/>
              </w:rPr>
            </w:pPr>
          </w:p>
        </w:tc>
        <w:tc>
          <w:tcPr>
            <w:tcW w:w="1875" w:type="dxa"/>
            <w:vAlign w:val="center"/>
          </w:tcPr>
          <w:p w14:paraId="77B32997">
            <w:pPr>
              <w:adjustRightInd w:val="0"/>
              <w:snapToGrid w:val="0"/>
              <w:jc w:val="center"/>
              <w:rPr>
                <w:color w:val="auto"/>
                <w:sz w:val="24"/>
                <w:highlight w:val="none"/>
              </w:rPr>
            </w:pPr>
          </w:p>
        </w:tc>
        <w:tc>
          <w:tcPr>
            <w:tcW w:w="1009" w:type="dxa"/>
            <w:vAlign w:val="center"/>
          </w:tcPr>
          <w:p w14:paraId="4F9949A9">
            <w:pPr>
              <w:adjustRightInd w:val="0"/>
              <w:snapToGrid w:val="0"/>
              <w:jc w:val="center"/>
              <w:rPr>
                <w:color w:val="auto"/>
                <w:sz w:val="24"/>
                <w:highlight w:val="none"/>
              </w:rPr>
            </w:pPr>
          </w:p>
        </w:tc>
      </w:tr>
      <w:tr w14:paraId="7B49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FF29B1">
            <w:pPr>
              <w:adjustRightInd w:val="0"/>
              <w:snapToGrid w:val="0"/>
              <w:jc w:val="center"/>
              <w:rPr>
                <w:color w:val="auto"/>
                <w:sz w:val="24"/>
                <w:highlight w:val="none"/>
              </w:rPr>
            </w:pPr>
          </w:p>
        </w:tc>
        <w:tc>
          <w:tcPr>
            <w:tcW w:w="1482" w:type="dxa"/>
            <w:vAlign w:val="center"/>
          </w:tcPr>
          <w:p w14:paraId="3C83E975">
            <w:pPr>
              <w:adjustRightInd w:val="0"/>
              <w:snapToGrid w:val="0"/>
              <w:jc w:val="center"/>
              <w:rPr>
                <w:color w:val="auto"/>
                <w:sz w:val="24"/>
                <w:highlight w:val="none"/>
              </w:rPr>
            </w:pPr>
          </w:p>
        </w:tc>
        <w:tc>
          <w:tcPr>
            <w:tcW w:w="2384" w:type="dxa"/>
            <w:vAlign w:val="center"/>
          </w:tcPr>
          <w:p w14:paraId="2AD3C76E">
            <w:pPr>
              <w:adjustRightInd w:val="0"/>
              <w:snapToGrid w:val="0"/>
              <w:jc w:val="center"/>
              <w:rPr>
                <w:color w:val="auto"/>
                <w:sz w:val="24"/>
                <w:highlight w:val="none"/>
              </w:rPr>
            </w:pPr>
          </w:p>
        </w:tc>
        <w:tc>
          <w:tcPr>
            <w:tcW w:w="2126" w:type="dxa"/>
            <w:vAlign w:val="center"/>
          </w:tcPr>
          <w:p w14:paraId="073F31F5">
            <w:pPr>
              <w:adjustRightInd w:val="0"/>
              <w:snapToGrid w:val="0"/>
              <w:jc w:val="center"/>
              <w:rPr>
                <w:color w:val="auto"/>
                <w:sz w:val="24"/>
                <w:highlight w:val="none"/>
              </w:rPr>
            </w:pPr>
          </w:p>
        </w:tc>
        <w:tc>
          <w:tcPr>
            <w:tcW w:w="1875" w:type="dxa"/>
            <w:vAlign w:val="center"/>
          </w:tcPr>
          <w:p w14:paraId="38682C62">
            <w:pPr>
              <w:adjustRightInd w:val="0"/>
              <w:snapToGrid w:val="0"/>
              <w:jc w:val="center"/>
              <w:rPr>
                <w:color w:val="auto"/>
                <w:sz w:val="24"/>
                <w:highlight w:val="none"/>
              </w:rPr>
            </w:pPr>
          </w:p>
        </w:tc>
        <w:tc>
          <w:tcPr>
            <w:tcW w:w="1009" w:type="dxa"/>
            <w:vAlign w:val="center"/>
          </w:tcPr>
          <w:p w14:paraId="496E320A">
            <w:pPr>
              <w:adjustRightInd w:val="0"/>
              <w:snapToGrid w:val="0"/>
              <w:jc w:val="center"/>
              <w:rPr>
                <w:color w:val="auto"/>
                <w:sz w:val="24"/>
                <w:highlight w:val="none"/>
              </w:rPr>
            </w:pPr>
          </w:p>
        </w:tc>
      </w:tr>
      <w:tr w14:paraId="3EE7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5A0A74">
            <w:pPr>
              <w:adjustRightInd w:val="0"/>
              <w:snapToGrid w:val="0"/>
              <w:jc w:val="center"/>
              <w:rPr>
                <w:color w:val="auto"/>
                <w:sz w:val="24"/>
                <w:highlight w:val="none"/>
              </w:rPr>
            </w:pPr>
          </w:p>
        </w:tc>
        <w:tc>
          <w:tcPr>
            <w:tcW w:w="1482" w:type="dxa"/>
            <w:vAlign w:val="center"/>
          </w:tcPr>
          <w:p w14:paraId="1C263529">
            <w:pPr>
              <w:adjustRightInd w:val="0"/>
              <w:snapToGrid w:val="0"/>
              <w:jc w:val="center"/>
              <w:rPr>
                <w:color w:val="auto"/>
                <w:sz w:val="24"/>
                <w:highlight w:val="none"/>
              </w:rPr>
            </w:pPr>
          </w:p>
        </w:tc>
        <w:tc>
          <w:tcPr>
            <w:tcW w:w="2384" w:type="dxa"/>
            <w:vAlign w:val="center"/>
          </w:tcPr>
          <w:p w14:paraId="239CD68D">
            <w:pPr>
              <w:adjustRightInd w:val="0"/>
              <w:snapToGrid w:val="0"/>
              <w:jc w:val="center"/>
              <w:rPr>
                <w:color w:val="auto"/>
                <w:sz w:val="24"/>
                <w:highlight w:val="none"/>
              </w:rPr>
            </w:pPr>
          </w:p>
        </w:tc>
        <w:tc>
          <w:tcPr>
            <w:tcW w:w="2126" w:type="dxa"/>
            <w:vAlign w:val="center"/>
          </w:tcPr>
          <w:p w14:paraId="74BB4820">
            <w:pPr>
              <w:adjustRightInd w:val="0"/>
              <w:snapToGrid w:val="0"/>
              <w:jc w:val="center"/>
              <w:rPr>
                <w:color w:val="auto"/>
                <w:sz w:val="24"/>
                <w:highlight w:val="none"/>
              </w:rPr>
            </w:pPr>
          </w:p>
        </w:tc>
        <w:tc>
          <w:tcPr>
            <w:tcW w:w="1875" w:type="dxa"/>
            <w:vAlign w:val="center"/>
          </w:tcPr>
          <w:p w14:paraId="2DF2A21B">
            <w:pPr>
              <w:adjustRightInd w:val="0"/>
              <w:snapToGrid w:val="0"/>
              <w:jc w:val="center"/>
              <w:rPr>
                <w:color w:val="auto"/>
                <w:sz w:val="24"/>
                <w:highlight w:val="none"/>
              </w:rPr>
            </w:pPr>
          </w:p>
        </w:tc>
        <w:tc>
          <w:tcPr>
            <w:tcW w:w="1009" w:type="dxa"/>
            <w:vAlign w:val="center"/>
          </w:tcPr>
          <w:p w14:paraId="30F9A6FD">
            <w:pPr>
              <w:adjustRightInd w:val="0"/>
              <w:snapToGrid w:val="0"/>
              <w:jc w:val="center"/>
              <w:rPr>
                <w:color w:val="auto"/>
                <w:sz w:val="24"/>
                <w:highlight w:val="none"/>
              </w:rPr>
            </w:pPr>
          </w:p>
        </w:tc>
      </w:tr>
      <w:tr w14:paraId="4AD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A3D993">
            <w:pPr>
              <w:adjustRightInd w:val="0"/>
              <w:snapToGrid w:val="0"/>
              <w:jc w:val="center"/>
              <w:rPr>
                <w:color w:val="auto"/>
                <w:sz w:val="24"/>
                <w:highlight w:val="none"/>
              </w:rPr>
            </w:pPr>
          </w:p>
        </w:tc>
        <w:tc>
          <w:tcPr>
            <w:tcW w:w="1482" w:type="dxa"/>
            <w:vAlign w:val="center"/>
          </w:tcPr>
          <w:p w14:paraId="194F616E">
            <w:pPr>
              <w:adjustRightInd w:val="0"/>
              <w:snapToGrid w:val="0"/>
              <w:jc w:val="center"/>
              <w:rPr>
                <w:color w:val="auto"/>
                <w:sz w:val="24"/>
                <w:highlight w:val="none"/>
              </w:rPr>
            </w:pPr>
          </w:p>
        </w:tc>
        <w:tc>
          <w:tcPr>
            <w:tcW w:w="2384" w:type="dxa"/>
            <w:vAlign w:val="center"/>
          </w:tcPr>
          <w:p w14:paraId="688710AE">
            <w:pPr>
              <w:adjustRightInd w:val="0"/>
              <w:snapToGrid w:val="0"/>
              <w:jc w:val="center"/>
              <w:rPr>
                <w:color w:val="auto"/>
                <w:sz w:val="24"/>
                <w:highlight w:val="none"/>
              </w:rPr>
            </w:pPr>
          </w:p>
        </w:tc>
        <w:tc>
          <w:tcPr>
            <w:tcW w:w="2126" w:type="dxa"/>
            <w:vAlign w:val="center"/>
          </w:tcPr>
          <w:p w14:paraId="3DB4BFD9">
            <w:pPr>
              <w:adjustRightInd w:val="0"/>
              <w:snapToGrid w:val="0"/>
              <w:jc w:val="center"/>
              <w:rPr>
                <w:color w:val="auto"/>
                <w:sz w:val="24"/>
                <w:highlight w:val="none"/>
              </w:rPr>
            </w:pPr>
          </w:p>
        </w:tc>
        <w:tc>
          <w:tcPr>
            <w:tcW w:w="1875" w:type="dxa"/>
            <w:vAlign w:val="center"/>
          </w:tcPr>
          <w:p w14:paraId="13F70FF9">
            <w:pPr>
              <w:adjustRightInd w:val="0"/>
              <w:snapToGrid w:val="0"/>
              <w:jc w:val="center"/>
              <w:rPr>
                <w:color w:val="auto"/>
                <w:sz w:val="24"/>
                <w:highlight w:val="none"/>
              </w:rPr>
            </w:pPr>
          </w:p>
        </w:tc>
        <w:tc>
          <w:tcPr>
            <w:tcW w:w="1009" w:type="dxa"/>
            <w:vAlign w:val="center"/>
          </w:tcPr>
          <w:p w14:paraId="2F62AB12">
            <w:pPr>
              <w:adjustRightInd w:val="0"/>
              <w:snapToGrid w:val="0"/>
              <w:jc w:val="center"/>
              <w:rPr>
                <w:color w:val="auto"/>
                <w:sz w:val="24"/>
                <w:highlight w:val="none"/>
              </w:rPr>
            </w:pPr>
          </w:p>
        </w:tc>
      </w:tr>
      <w:tr w14:paraId="6CC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DD2B0C">
            <w:pPr>
              <w:adjustRightInd w:val="0"/>
              <w:snapToGrid w:val="0"/>
              <w:jc w:val="center"/>
              <w:rPr>
                <w:color w:val="auto"/>
                <w:sz w:val="24"/>
                <w:highlight w:val="none"/>
              </w:rPr>
            </w:pPr>
          </w:p>
        </w:tc>
        <w:tc>
          <w:tcPr>
            <w:tcW w:w="1482" w:type="dxa"/>
            <w:vAlign w:val="center"/>
          </w:tcPr>
          <w:p w14:paraId="7A857066">
            <w:pPr>
              <w:adjustRightInd w:val="0"/>
              <w:snapToGrid w:val="0"/>
              <w:jc w:val="center"/>
              <w:rPr>
                <w:color w:val="auto"/>
                <w:sz w:val="24"/>
                <w:highlight w:val="none"/>
              </w:rPr>
            </w:pPr>
          </w:p>
        </w:tc>
        <w:tc>
          <w:tcPr>
            <w:tcW w:w="2384" w:type="dxa"/>
            <w:vAlign w:val="center"/>
          </w:tcPr>
          <w:p w14:paraId="7941C07B">
            <w:pPr>
              <w:adjustRightInd w:val="0"/>
              <w:snapToGrid w:val="0"/>
              <w:jc w:val="center"/>
              <w:rPr>
                <w:color w:val="auto"/>
                <w:sz w:val="24"/>
                <w:highlight w:val="none"/>
              </w:rPr>
            </w:pPr>
          </w:p>
        </w:tc>
        <w:tc>
          <w:tcPr>
            <w:tcW w:w="2126" w:type="dxa"/>
            <w:vAlign w:val="center"/>
          </w:tcPr>
          <w:p w14:paraId="29F232E9">
            <w:pPr>
              <w:adjustRightInd w:val="0"/>
              <w:snapToGrid w:val="0"/>
              <w:jc w:val="center"/>
              <w:rPr>
                <w:color w:val="auto"/>
                <w:sz w:val="24"/>
                <w:highlight w:val="none"/>
              </w:rPr>
            </w:pPr>
          </w:p>
        </w:tc>
        <w:tc>
          <w:tcPr>
            <w:tcW w:w="1875" w:type="dxa"/>
            <w:vAlign w:val="center"/>
          </w:tcPr>
          <w:p w14:paraId="08BD12FD">
            <w:pPr>
              <w:adjustRightInd w:val="0"/>
              <w:snapToGrid w:val="0"/>
              <w:jc w:val="center"/>
              <w:rPr>
                <w:color w:val="auto"/>
                <w:sz w:val="24"/>
                <w:highlight w:val="none"/>
              </w:rPr>
            </w:pPr>
          </w:p>
        </w:tc>
        <w:tc>
          <w:tcPr>
            <w:tcW w:w="1009" w:type="dxa"/>
            <w:vAlign w:val="center"/>
          </w:tcPr>
          <w:p w14:paraId="369E9ACA">
            <w:pPr>
              <w:adjustRightInd w:val="0"/>
              <w:snapToGrid w:val="0"/>
              <w:jc w:val="center"/>
              <w:rPr>
                <w:color w:val="auto"/>
                <w:sz w:val="24"/>
                <w:highlight w:val="none"/>
              </w:rPr>
            </w:pPr>
          </w:p>
        </w:tc>
      </w:tr>
    </w:tbl>
    <w:p w14:paraId="4858FAB1">
      <w:pPr>
        <w:tabs>
          <w:tab w:val="left" w:pos="1800"/>
          <w:tab w:val="left" w:pos="5580"/>
        </w:tabs>
        <w:spacing w:line="360" w:lineRule="auto"/>
        <w:ind w:firstLine="360" w:firstLineChars="150"/>
        <w:jc w:val="left"/>
        <w:rPr>
          <w:color w:val="auto"/>
          <w:sz w:val="24"/>
          <w:highlight w:val="none"/>
          <w:u w:val="single"/>
        </w:rPr>
      </w:pPr>
    </w:p>
    <w:p w14:paraId="603D07E7">
      <w:pPr>
        <w:tabs>
          <w:tab w:val="left" w:pos="1800"/>
          <w:tab w:val="left" w:pos="5580"/>
        </w:tabs>
        <w:jc w:val="left"/>
        <w:rPr>
          <w:color w:val="auto"/>
          <w:sz w:val="24"/>
          <w:highlight w:val="none"/>
        </w:rPr>
      </w:pPr>
      <w:r>
        <w:rPr>
          <w:color w:val="auto"/>
          <w:sz w:val="24"/>
          <w:highlight w:val="none"/>
        </w:rPr>
        <w:t>注：</w:t>
      </w:r>
    </w:p>
    <w:p w14:paraId="2B0DD101">
      <w:pPr>
        <w:tabs>
          <w:tab w:val="left" w:pos="1800"/>
          <w:tab w:val="left" w:pos="5580"/>
        </w:tabs>
        <w:jc w:val="left"/>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0926624A">
      <w:pPr>
        <w:tabs>
          <w:tab w:val="left" w:pos="1800"/>
          <w:tab w:val="left" w:pos="5580"/>
        </w:tabs>
        <w:jc w:val="left"/>
        <w:rPr>
          <w:color w:val="auto"/>
          <w:sz w:val="24"/>
          <w:highlight w:val="none"/>
        </w:rPr>
      </w:pPr>
      <w:r>
        <w:rPr>
          <w:color w:val="auto"/>
          <w:sz w:val="24"/>
          <w:highlight w:val="none"/>
        </w:rPr>
        <w:t>2</w:t>
      </w:r>
      <w:r>
        <w:rPr>
          <w:rFonts w:hint="eastAsia" w:ascii="宋体" w:hAnsi="宋体" w:cs="宋体"/>
          <w:color w:val="auto"/>
          <w:sz w:val="24"/>
          <w:highlight w:val="none"/>
        </w:rPr>
        <w:t>.“偏离情况”列应据实填写“无偏离”、“正偏离”或“负偏离”。</w:t>
      </w:r>
    </w:p>
    <w:p w14:paraId="69D875A3">
      <w:pPr>
        <w:tabs>
          <w:tab w:val="left" w:pos="1800"/>
          <w:tab w:val="left" w:pos="5580"/>
        </w:tabs>
        <w:jc w:val="left"/>
        <w:rPr>
          <w:color w:val="auto"/>
          <w:sz w:val="24"/>
          <w:highlight w:val="none"/>
        </w:rPr>
      </w:pPr>
    </w:p>
    <w:p w14:paraId="6D90AFE3">
      <w:pPr>
        <w:rPr>
          <w:color w:val="auto"/>
          <w:sz w:val="24"/>
          <w:szCs w:val="20"/>
          <w:highlight w:val="none"/>
        </w:rPr>
      </w:pPr>
    </w:p>
    <w:p w14:paraId="22C36330">
      <w:pPr>
        <w:autoSpaceDE w:val="0"/>
        <w:autoSpaceDN w:val="0"/>
        <w:adjustRightInd w:val="0"/>
        <w:snapToGrid w:val="0"/>
        <w:spacing w:before="25" w:after="25" w:line="360" w:lineRule="auto"/>
        <w:ind w:right="360"/>
        <w:jc w:val="lef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50F08396">
      <w:pPr>
        <w:autoSpaceDE w:val="0"/>
        <w:autoSpaceDN w:val="0"/>
        <w:adjustRightInd w:val="0"/>
        <w:snapToGrid w:val="0"/>
        <w:spacing w:before="25" w:after="25" w:line="360" w:lineRule="auto"/>
        <w:ind w:right="360"/>
        <w:jc w:val="left"/>
        <w:rPr>
          <w:color w:val="auto"/>
          <w:sz w:val="24"/>
          <w:szCs w:val="20"/>
          <w:highlight w:val="none"/>
        </w:rPr>
      </w:pPr>
      <w:r>
        <w:rPr>
          <w:color w:val="auto"/>
          <w:sz w:val="24"/>
          <w:szCs w:val="20"/>
          <w:highlight w:val="none"/>
        </w:rPr>
        <w:t xml:space="preserve">日期：____年____月____日 </w:t>
      </w:r>
    </w:p>
    <w:p w14:paraId="35E6AB26">
      <w:pPr>
        <w:tabs>
          <w:tab w:val="left" w:pos="360"/>
        </w:tabs>
        <w:snapToGrid w:val="0"/>
        <w:spacing w:line="360" w:lineRule="auto"/>
        <w:outlineLvl w:val="1"/>
        <w:rPr>
          <w:color w:val="auto"/>
          <w:sz w:val="24"/>
          <w:highlight w:val="none"/>
        </w:rPr>
      </w:pPr>
      <w:r>
        <w:rPr>
          <w:color w:val="auto"/>
          <w:sz w:val="24"/>
          <w:szCs w:val="20"/>
          <w:highlight w:val="none"/>
        </w:rPr>
        <w:br w:type="page"/>
      </w:r>
      <w:bookmarkStart w:id="966" w:name="_Toc39072990"/>
      <w:r>
        <w:rPr>
          <w:rFonts w:eastAsiaTheme="minorEastAsia"/>
          <w:color w:val="auto"/>
          <w:sz w:val="24"/>
          <w:highlight w:val="none"/>
        </w:rPr>
        <w:t xml:space="preserve">9 </w:t>
      </w:r>
      <w:r>
        <w:rPr>
          <w:color w:val="auto"/>
          <w:sz w:val="24"/>
          <w:highlight w:val="none"/>
        </w:rPr>
        <w:t>近年完成的类似项目情况表</w:t>
      </w:r>
      <w:bookmarkEnd w:id="966"/>
      <w:r>
        <w:rPr>
          <w:color w:val="auto"/>
          <w:sz w:val="24"/>
          <w:highlight w:val="none"/>
        </w:rPr>
        <w:t>(如有)</w:t>
      </w:r>
    </w:p>
    <w:p w14:paraId="1DDF1C96">
      <w:pPr>
        <w:autoSpaceDE w:val="0"/>
        <w:autoSpaceDN w:val="0"/>
        <w:adjustRightInd w:val="0"/>
        <w:spacing w:line="360" w:lineRule="auto"/>
        <w:jc w:val="center"/>
        <w:rPr>
          <w:b/>
          <w:color w:val="auto"/>
          <w:sz w:val="36"/>
          <w:szCs w:val="36"/>
          <w:highlight w:val="none"/>
        </w:rPr>
      </w:pPr>
      <w:r>
        <w:rPr>
          <w:b/>
          <w:color w:val="auto"/>
          <w:sz w:val="36"/>
          <w:szCs w:val="36"/>
          <w:highlight w:val="none"/>
        </w:rPr>
        <w:t>近年完成的类似项目情况表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433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50AD18F">
            <w:pPr>
              <w:topLinePunct/>
              <w:jc w:val="center"/>
              <w:rPr>
                <w:color w:val="auto"/>
                <w:sz w:val="24"/>
                <w:highlight w:val="none"/>
              </w:rPr>
            </w:pPr>
            <w:r>
              <w:rPr>
                <w:color w:val="auto"/>
                <w:sz w:val="24"/>
                <w:highlight w:val="none"/>
              </w:rPr>
              <w:t>项目名称</w:t>
            </w:r>
          </w:p>
        </w:tc>
        <w:tc>
          <w:tcPr>
            <w:tcW w:w="6258" w:type="dxa"/>
            <w:gridSpan w:val="3"/>
            <w:vAlign w:val="center"/>
          </w:tcPr>
          <w:p w14:paraId="5BB4F7A7">
            <w:pPr>
              <w:topLinePunct/>
              <w:rPr>
                <w:color w:val="auto"/>
                <w:sz w:val="24"/>
                <w:highlight w:val="none"/>
              </w:rPr>
            </w:pPr>
          </w:p>
        </w:tc>
      </w:tr>
      <w:tr w14:paraId="1CF3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7FEBE6B">
            <w:pPr>
              <w:topLinePunct/>
              <w:jc w:val="center"/>
              <w:rPr>
                <w:color w:val="auto"/>
                <w:sz w:val="24"/>
                <w:highlight w:val="none"/>
              </w:rPr>
            </w:pPr>
            <w:r>
              <w:rPr>
                <w:color w:val="auto"/>
                <w:sz w:val="24"/>
                <w:highlight w:val="none"/>
              </w:rPr>
              <w:t>项目所在地</w:t>
            </w:r>
          </w:p>
        </w:tc>
        <w:tc>
          <w:tcPr>
            <w:tcW w:w="6258" w:type="dxa"/>
            <w:gridSpan w:val="3"/>
            <w:vAlign w:val="center"/>
          </w:tcPr>
          <w:p w14:paraId="2508F9F4">
            <w:pPr>
              <w:topLinePunct/>
              <w:rPr>
                <w:color w:val="auto"/>
                <w:sz w:val="24"/>
                <w:highlight w:val="none"/>
              </w:rPr>
            </w:pPr>
          </w:p>
        </w:tc>
      </w:tr>
      <w:tr w14:paraId="3575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51B97E1">
            <w:pPr>
              <w:topLinePunct/>
              <w:jc w:val="center"/>
              <w:rPr>
                <w:color w:val="auto"/>
                <w:sz w:val="24"/>
                <w:highlight w:val="none"/>
              </w:rPr>
            </w:pPr>
            <w:r>
              <w:rPr>
                <w:color w:val="auto"/>
                <w:sz w:val="24"/>
                <w:highlight w:val="none"/>
              </w:rPr>
              <w:t>发包人名称</w:t>
            </w:r>
          </w:p>
        </w:tc>
        <w:tc>
          <w:tcPr>
            <w:tcW w:w="6258" w:type="dxa"/>
            <w:gridSpan w:val="3"/>
            <w:vAlign w:val="center"/>
          </w:tcPr>
          <w:p w14:paraId="3978958A">
            <w:pPr>
              <w:topLinePunct/>
              <w:rPr>
                <w:color w:val="auto"/>
                <w:sz w:val="24"/>
                <w:highlight w:val="none"/>
              </w:rPr>
            </w:pPr>
          </w:p>
        </w:tc>
      </w:tr>
      <w:tr w14:paraId="7814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FAEAD89">
            <w:pPr>
              <w:topLinePunct/>
              <w:jc w:val="center"/>
              <w:rPr>
                <w:color w:val="auto"/>
                <w:sz w:val="24"/>
                <w:highlight w:val="none"/>
              </w:rPr>
            </w:pPr>
            <w:r>
              <w:rPr>
                <w:color w:val="auto"/>
                <w:sz w:val="24"/>
                <w:highlight w:val="none"/>
              </w:rPr>
              <w:t>发包人地址</w:t>
            </w:r>
          </w:p>
        </w:tc>
        <w:tc>
          <w:tcPr>
            <w:tcW w:w="6258" w:type="dxa"/>
            <w:gridSpan w:val="3"/>
            <w:vAlign w:val="center"/>
          </w:tcPr>
          <w:p w14:paraId="26FA859A">
            <w:pPr>
              <w:topLinePunct/>
              <w:rPr>
                <w:color w:val="auto"/>
                <w:sz w:val="24"/>
                <w:highlight w:val="none"/>
              </w:rPr>
            </w:pPr>
          </w:p>
        </w:tc>
      </w:tr>
      <w:tr w14:paraId="691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078BD27">
            <w:pPr>
              <w:topLinePunct/>
              <w:jc w:val="center"/>
              <w:rPr>
                <w:color w:val="auto"/>
                <w:sz w:val="24"/>
                <w:highlight w:val="none"/>
              </w:rPr>
            </w:pPr>
            <w:r>
              <w:rPr>
                <w:color w:val="auto"/>
                <w:sz w:val="24"/>
                <w:highlight w:val="none"/>
              </w:rPr>
              <w:t>发包人联系人</w:t>
            </w:r>
          </w:p>
        </w:tc>
        <w:tc>
          <w:tcPr>
            <w:tcW w:w="2038" w:type="dxa"/>
            <w:vAlign w:val="center"/>
          </w:tcPr>
          <w:p w14:paraId="42CE59A1">
            <w:pPr>
              <w:topLinePunct/>
              <w:rPr>
                <w:color w:val="auto"/>
                <w:sz w:val="24"/>
                <w:highlight w:val="none"/>
              </w:rPr>
            </w:pPr>
          </w:p>
        </w:tc>
        <w:tc>
          <w:tcPr>
            <w:tcW w:w="1472" w:type="dxa"/>
            <w:vAlign w:val="center"/>
          </w:tcPr>
          <w:p w14:paraId="11BE31D1">
            <w:pPr>
              <w:topLinePunct/>
              <w:ind w:firstLine="120" w:firstLineChars="50"/>
              <w:jc w:val="center"/>
              <w:rPr>
                <w:color w:val="auto"/>
                <w:sz w:val="24"/>
                <w:highlight w:val="none"/>
              </w:rPr>
            </w:pPr>
            <w:r>
              <w:rPr>
                <w:color w:val="auto"/>
                <w:sz w:val="24"/>
                <w:highlight w:val="none"/>
              </w:rPr>
              <w:t>联系电话</w:t>
            </w:r>
          </w:p>
        </w:tc>
        <w:tc>
          <w:tcPr>
            <w:tcW w:w="2748" w:type="dxa"/>
            <w:vAlign w:val="center"/>
          </w:tcPr>
          <w:p w14:paraId="249C3B0C">
            <w:pPr>
              <w:topLinePunct/>
              <w:rPr>
                <w:color w:val="auto"/>
                <w:sz w:val="24"/>
                <w:highlight w:val="none"/>
              </w:rPr>
            </w:pPr>
          </w:p>
        </w:tc>
      </w:tr>
      <w:tr w14:paraId="652F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DEDF1CD">
            <w:pPr>
              <w:topLinePunct/>
              <w:jc w:val="center"/>
              <w:rPr>
                <w:color w:val="auto"/>
                <w:sz w:val="24"/>
                <w:highlight w:val="none"/>
              </w:rPr>
            </w:pPr>
            <w:r>
              <w:rPr>
                <w:color w:val="auto"/>
                <w:sz w:val="24"/>
                <w:highlight w:val="none"/>
              </w:rPr>
              <w:t>合同价格</w:t>
            </w:r>
          </w:p>
        </w:tc>
        <w:tc>
          <w:tcPr>
            <w:tcW w:w="6258" w:type="dxa"/>
            <w:gridSpan w:val="3"/>
            <w:vAlign w:val="center"/>
          </w:tcPr>
          <w:p w14:paraId="579710B1">
            <w:pPr>
              <w:pStyle w:val="212"/>
              <w:topLinePunct/>
              <w:rPr>
                <w:color w:val="auto"/>
                <w:sz w:val="24"/>
                <w:highlight w:val="none"/>
              </w:rPr>
            </w:pPr>
          </w:p>
        </w:tc>
      </w:tr>
      <w:tr w14:paraId="674B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6239CD8">
            <w:pPr>
              <w:topLinePunct/>
              <w:jc w:val="center"/>
              <w:rPr>
                <w:color w:val="auto"/>
                <w:sz w:val="24"/>
                <w:highlight w:val="none"/>
              </w:rPr>
            </w:pPr>
            <w:r>
              <w:rPr>
                <w:color w:val="auto"/>
                <w:sz w:val="24"/>
                <w:highlight w:val="none"/>
              </w:rPr>
              <w:t>开工日期</w:t>
            </w:r>
          </w:p>
        </w:tc>
        <w:tc>
          <w:tcPr>
            <w:tcW w:w="6258" w:type="dxa"/>
            <w:gridSpan w:val="3"/>
            <w:vAlign w:val="center"/>
          </w:tcPr>
          <w:p w14:paraId="49D2E809">
            <w:pPr>
              <w:topLinePunct/>
              <w:rPr>
                <w:color w:val="auto"/>
                <w:sz w:val="24"/>
                <w:highlight w:val="none"/>
              </w:rPr>
            </w:pPr>
          </w:p>
        </w:tc>
      </w:tr>
      <w:tr w14:paraId="52E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4242C77D">
            <w:pPr>
              <w:topLinePunct/>
              <w:jc w:val="center"/>
              <w:rPr>
                <w:color w:val="auto"/>
                <w:sz w:val="24"/>
                <w:highlight w:val="none"/>
              </w:rPr>
            </w:pPr>
            <w:r>
              <w:rPr>
                <w:color w:val="auto"/>
                <w:sz w:val="24"/>
                <w:highlight w:val="none"/>
              </w:rPr>
              <w:t>竣工日期</w:t>
            </w:r>
          </w:p>
        </w:tc>
        <w:tc>
          <w:tcPr>
            <w:tcW w:w="6258" w:type="dxa"/>
            <w:gridSpan w:val="3"/>
            <w:vAlign w:val="center"/>
          </w:tcPr>
          <w:p w14:paraId="764D665D">
            <w:pPr>
              <w:topLinePunct/>
              <w:rPr>
                <w:color w:val="auto"/>
                <w:sz w:val="24"/>
                <w:highlight w:val="none"/>
              </w:rPr>
            </w:pPr>
          </w:p>
        </w:tc>
      </w:tr>
      <w:tr w14:paraId="64A3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C396CF7">
            <w:pPr>
              <w:topLinePunct/>
              <w:jc w:val="center"/>
              <w:rPr>
                <w:color w:val="auto"/>
                <w:sz w:val="24"/>
                <w:highlight w:val="none"/>
              </w:rPr>
            </w:pPr>
            <w:r>
              <w:rPr>
                <w:color w:val="auto"/>
                <w:sz w:val="24"/>
                <w:highlight w:val="none"/>
              </w:rPr>
              <w:t>承担的工作</w:t>
            </w:r>
          </w:p>
        </w:tc>
        <w:tc>
          <w:tcPr>
            <w:tcW w:w="6258" w:type="dxa"/>
            <w:gridSpan w:val="3"/>
            <w:vAlign w:val="center"/>
          </w:tcPr>
          <w:p w14:paraId="3A910B29">
            <w:pPr>
              <w:topLinePunct/>
              <w:rPr>
                <w:color w:val="auto"/>
                <w:sz w:val="24"/>
                <w:highlight w:val="none"/>
              </w:rPr>
            </w:pPr>
          </w:p>
        </w:tc>
      </w:tr>
      <w:tr w14:paraId="7E0C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5504293">
            <w:pPr>
              <w:topLinePunct/>
              <w:jc w:val="center"/>
              <w:rPr>
                <w:color w:val="auto"/>
                <w:sz w:val="24"/>
                <w:highlight w:val="none"/>
              </w:rPr>
            </w:pPr>
            <w:r>
              <w:rPr>
                <w:color w:val="auto"/>
                <w:sz w:val="24"/>
                <w:highlight w:val="none"/>
              </w:rPr>
              <w:t>工程质量</w:t>
            </w:r>
          </w:p>
        </w:tc>
        <w:tc>
          <w:tcPr>
            <w:tcW w:w="6258" w:type="dxa"/>
            <w:gridSpan w:val="3"/>
            <w:vAlign w:val="center"/>
          </w:tcPr>
          <w:p w14:paraId="4BFA23FD">
            <w:pPr>
              <w:topLinePunct/>
              <w:rPr>
                <w:color w:val="auto"/>
                <w:sz w:val="24"/>
                <w:highlight w:val="none"/>
              </w:rPr>
            </w:pPr>
          </w:p>
        </w:tc>
      </w:tr>
      <w:tr w14:paraId="6780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1BEC096">
            <w:pPr>
              <w:topLinePunct/>
              <w:jc w:val="center"/>
              <w:rPr>
                <w:color w:val="auto"/>
                <w:sz w:val="24"/>
                <w:highlight w:val="none"/>
              </w:rPr>
            </w:pPr>
            <w:r>
              <w:rPr>
                <w:color w:val="auto"/>
                <w:sz w:val="24"/>
                <w:highlight w:val="none"/>
              </w:rPr>
              <w:t>项目经理</w:t>
            </w:r>
          </w:p>
        </w:tc>
        <w:tc>
          <w:tcPr>
            <w:tcW w:w="2038" w:type="dxa"/>
            <w:vAlign w:val="center"/>
          </w:tcPr>
          <w:p w14:paraId="3150E7E5">
            <w:pPr>
              <w:topLinePunct/>
              <w:rPr>
                <w:color w:val="auto"/>
                <w:sz w:val="24"/>
                <w:highlight w:val="none"/>
              </w:rPr>
            </w:pPr>
          </w:p>
        </w:tc>
        <w:tc>
          <w:tcPr>
            <w:tcW w:w="1472" w:type="dxa"/>
            <w:vAlign w:val="center"/>
          </w:tcPr>
          <w:p w14:paraId="2B1E386E">
            <w:pPr>
              <w:topLinePunct/>
              <w:jc w:val="center"/>
              <w:rPr>
                <w:color w:val="auto"/>
                <w:sz w:val="24"/>
                <w:highlight w:val="none"/>
              </w:rPr>
            </w:pPr>
            <w:r>
              <w:rPr>
                <w:color w:val="auto"/>
                <w:sz w:val="24"/>
                <w:highlight w:val="none"/>
              </w:rPr>
              <w:t>身份证号</w:t>
            </w:r>
          </w:p>
        </w:tc>
        <w:tc>
          <w:tcPr>
            <w:tcW w:w="2748" w:type="dxa"/>
            <w:vAlign w:val="center"/>
          </w:tcPr>
          <w:p w14:paraId="1149F2A0">
            <w:pPr>
              <w:topLinePunct/>
              <w:rPr>
                <w:color w:val="auto"/>
                <w:sz w:val="24"/>
                <w:highlight w:val="none"/>
              </w:rPr>
            </w:pPr>
          </w:p>
        </w:tc>
      </w:tr>
      <w:tr w14:paraId="3D6B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89F5439">
            <w:pPr>
              <w:topLinePunct/>
              <w:jc w:val="center"/>
              <w:rPr>
                <w:color w:val="auto"/>
                <w:sz w:val="24"/>
                <w:highlight w:val="none"/>
              </w:rPr>
            </w:pPr>
            <w:r>
              <w:rPr>
                <w:color w:val="auto"/>
                <w:sz w:val="24"/>
                <w:highlight w:val="none"/>
              </w:rPr>
              <w:t>技术负责人</w:t>
            </w:r>
          </w:p>
        </w:tc>
        <w:tc>
          <w:tcPr>
            <w:tcW w:w="2038" w:type="dxa"/>
            <w:vAlign w:val="center"/>
          </w:tcPr>
          <w:p w14:paraId="186157C4">
            <w:pPr>
              <w:topLinePunct/>
              <w:rPr>
                <w:color w:val="auto"/>
                <w:sz w:val="24"/>
                <w:highlight w:val="none"/>
              </w:rPr>
            </w:pPr>
          </w:p>
        </w:tc>
        <w:tc>
          <w:tcPr>
            <w:tcW w:w="1472" w:type="dxa"/>
            <w:vAlign w:val="center"/>
          </w:tcPr>
          <w:p w14:paraId="4A89B8BA">
            <w:pPr>
              <w:topLinePunct/>
              <w:jc w:val="center"/>
              <w:rPr>
                <w:color w:val="auto"/>
                <w:sz w:val="24"/>
                <w:highlight w:val="none"/>
              </w:rPr>
            </w:pPr>
            <w:r>
              <w:rPr>
                <w:color w:val="auto"/>
                <w:sz w:val="24"/>
                <w:highlight w:val="none"/>
              </w:rPr>
              <w:t>身份证号</w:t>
            </w:r>
          </w:p>
        </w:tc>
        <w:tc>
          <w:tcPr>
            <w:tcW w:w="2748" w:type="dxa"/>
            <w:vAlign w:val="center"/>
          </w:tcPr>
          <w:p w14:paraId="5BB18513">
            <w:pPr>
              <w:topLinePunct/>
              <w:rPr>
                <w:color w:val="auto"/>
                <w:sz w:val="24"/>
                <w:highlight w:val="none"/>
              </w:rPr>
            </w:pPr>
          </w:p>
        </w:tc>
      </w:tr>
      <w:tr w14:paraId="2CF6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66077E1">
            <w:pPr>
              <w:topLinePunct/>
              <w:jc w:val="center"/>
              <w:rPr>
                <w:color w:val="auto"/>
                <w:sz w:val="24"/>
                <w:highlight w:val="none"/>
              </w:rPr>
            </w:pPr>
            <w:r>
              <w:rPr>
                <w:color w:val="auto"/>
                <w:sz w:val="24"/>
                <w:highlight w:val="none"/>
              </w:rPr>
              <w:t>总监理工程师</w:t>
            </w:r>
          </w:p>
        </w:tc>
        <w:tc>
          <w:tcPr>
            <w:tcW w:w="2038" w:type="dxa"/>
            <w:vAlign w:val="center"/>
          </w:tcPr>
          <w:p w14:paraId="0DA597B4">
            <w:pPr>
              <w:topLinePunct/>
              <w:rPr>
                <w:color w:val="auto"/>
                <w:sz w:val="24"/>
                <w:highlight w:val="none"/>
              </w:rPr>
            </w:pPr>
          </w:p>
        </w:tc>
        <w:tc>
          <w:tcPr>
            <w:tcW w:w="1472" w:type="dxa"/>
            <w:vAlign w:val="center"/>
          </w:tcPr>
          <w:p w14:paraId="052DDC16">
            <w:pPr>
              <w:topLinePunct/>
              <w:jc w:val="center"/>
              <w:rPr>
                <w:color w:val="auto"/>
                <w:sz w:val="24"/>
                <w:highlight w:val="none"/>
              </w:rPr>
            </w:pPr>
            <w:r>
              <w:rPr>
                <w:color w:val="auto"/>
                <w:sz w:val="24"/>
                <w:highlight w:val="none"/>
              </w:rPr>
              <w:t>联系电话</w:t>
            </w:r>
          </w:p>
        </w:tc>
        <w:tc>
          <w:tcPr>
            <w:tcW w:w="2748" w:type="dxa"/>
            <w:vAlign w:val="center"/>
          </w:tcPr>
          <w:p w14:paraId="2BAE767B">
            <w:pPr>
              <w:topLinePunct/>
              <w:rPr>
                <w:color w:val="auto"/>
                <w:sz w:val="24"/>
                <w:highlight w:val="none"/>
              </w:rPr>
            </w:pPr>
          </w:p>
        </w:tc>
      </w:tr>
      <w:tr w14:paraId="56B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85BAA98">
            <w:pPr>
              <w:topLinePunct/>
              <w:jc w:val="center"/>
              <w:rPr>
                <w:color w:val="auto"/>
                <w:sz w:val="24"/>
                <w:highlight w:val="none"/>
              </w:rPr>
            </w:pPr>
            <w:r>
              <w:rPr>
                <w:color w:val="auto"/>
                <w:sz w:val="24"/>
                <w:highlight w:val="none"/>
              </w:rPr>
              <w:t>项目描述</w:t>
            </w:r>
          </w:p>
        </w:tc>
        <w:tc>
          <w:tcPr>
            <w:tcW w:w="6258" w:type="dxa"/>
            <w:gridSpan w:val="3"/>
            <w:vAlign w:val="center"/>
          </w:tcPr>
          <w:p w14:paraId="2BC0DD15">
            <w:pPr>
              <w:topLinePunct/>
              <w:rPr>
                <w:color w:val="auto"/>
                <w:sz w:val="24"/>
                <w:highlight w:val="none"/>
              </w:rPr>
            </w:pPr>
          </w:p>
          <w:p w14:paraId="4FF9706A">
            <w:pPr>
              <w:topLinePunct/>
              <w:rPr>
                <w:color w:val="auto"/>
                <w:sz w:val="24"/>
                <w:highlight w:val="none"/>
              </w:rPr>
            </w:pPr>
          </w:p>
        </w:tc>
      </w:tr>
      <w:tr w14:paraId="0437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9CDCA9C">
            <w:pPr>
              <w:topLinePunct/>
              <w:jc w:val="center"/>
              <w:rPr>
                <w:color w:val="auto"/>
                <w:sz w:val="24"/>
                <w:highlight w:val="none"/>
              </w:rPr>
            </w:pPr>
            <w:r>
              <w:rPr>
                <w:color w:val="auto"/>
                <w:sz w:val="24"/>
                <w:highlight w:val="none"/>
              </w:rPr>
              <w:t>备注</w:t>
            </w:r>
          </w:p>
        </w:tc>
        <w:tc>
          <w:tcPr>
            <w:tcW w:w="6258" w:type="dxa"/>
            <w:gridSpan w:val="3"/>
            <w:vAlign w:val="center"/>
          </w:tcPr>
          <w:p w14:paraId="66F8C502">
            <w:pPr>
              <w:topLinePunct/>
              <w:rPr>
                <w:color w:val="auto"/>
                <w:sz w:val="24"/>
                <w:highlight w:val="none"/>
              </w:rPr>
            </w:pPr>
          </w:p>
        </w:tc>
      </w:tr>
    </w:tbl>
    <w:p w14:paraId="6F4F16C6">
      <w:pPr>
        <w:spacing w:line="440" w:lineRule="atLeast"/>
        <w:ind w:right="357"/>
        <w:rPr>
          <w:color w:val="auto"/>
          <w:sz w:val="24"/>
          <w:highlight w:val="none"/>
        </w:rPr>
      </w:pPr>
      <w:r>
        <w:rPr>
          <w:color w:val="auto"/>
          <w:sz w:val="24"/>
          <w:highlight w:val="none"/>
        </w:rPr>
        <w:t>备注：</w:t>
      </w:r>
    </w:p>
    <w:p w14:paraId="5DEAFBAA">
      <w:pPr>
        <w:spacing w:line="440" w:lineRule="atLeast"/>
        <w:ind w:right="357"/>
        <w:rPr>
          <w:color w:val="auto"/>
          <w:sz w:val="24"/>
          <w:highlight w:val="none"/>
        </w:rPr>
      </w:pPr>
      <w:r>
        <w:rPr>
          <w:color w:val="auto"/>
          <w:sz w:val="24"/>
          <w:highlight w:val="none"/>
        </w:rPr>
        <w:t>1．</w:t>
      </w:r>
      <w:r>
        <w:rPr>
          <w:rFonts w:hint="eastAsia"/>
          <w:color w:val="auto"/>
          <w:sz w:val="24"/>
          <w:highlight w:val="none"/>
        </w:rPr>
        <w:t>自2022年1月至今（以签订日期为准）供应商已成功实施的类似消防工程施工业绩，需提供中标（成交）通知书或合同协议书、工程接收证书（或竣工验收备案登记表或单位工程质量竣工验收记录）扫描件，加盖公章。</w:t>
      </w:r>
    </w:p>
    <w:p w14:paraId="33149B66">
      <w:pPr>
        <w:spacing w:line="440" w:lineRule="atLeast"/>
        <w:ind w:right="357"/>
        <w:rPr>
          <w:color w:val="auto"/>
          <w:sz w:val="24"/>
          <w:highlight w:val="none"/>
        </w:rPr>
      </w:pPr>
      <w:r>
        <w:rPr>
          <w:color w:val="auto"/>
          <w:sz w:val="24"/>
          <w:highlight w:val="none"/>
        </w:rPr>
        <w:t>2．类似项目情况表作为本表的附表填写。</w:t>
      </w:r>
    </w:p>
    <w:p w14:paraId="0A661564">
      <w:pPr>
        <w:spacing w:line="440" w:lineRule="atLeast"/>
        <w:ind w:right="357"/>
        <w:rPr>
          <w:color w:val="auto"/>
          <w:sz w:val="24"/>
          <w:highlight w:val="none"/>
        </w:rPr>
      </w:pPr>
      <w:r>
        <w:rPr>
          <w:color w:val="auto"/>
          <w:sz w:val="24"/>
          <w:highlight w:val="none"/>
        </w:rPr>
        <w:t>3．合同身份是指独立承包人、分包人。</w:t>
      </w:r>
    </w:p>
    <w:p w14:paraId="4E015596">
      <w:pPr>
        <w:rPr>
          <w:color w:val="auto"/>
          <w:sz w:val="24"/>
          <w:highlight w:val="none"/>
        </w:rPr>
        <w:sectPr>
          <w:headerReference r:id="rId31" w:type="default"/>
          <w:footerReference r:id="rId32" w:type="default"/>
          <w:pgSz w:w="11907" w:h="16840"/>
          <w:pgMar w:top="1440" w:right="1800" w:bottom="1440" w:left="1800" w:header="851" w:footer="992" w:gutter="0"/>
          <w:pgNumType w:fmt="decimal"/>
          <w:cols w:space="720" w:num="1"/>
          <w:docGrid w:linePitch="312" w:charSpace="0"/>
        </w:sectPr>
      </w:pPr>
    </w:p>
    <w:p w14:paraId="3EED6CBF">
      <w:pPr>
        <w:tabs>
          <w:tab w:val="left" w:pos="360"/>
        </w:tabs>
        <w:snapToGrid w:val="0"/>
        <w:spacing w:line="360" w:lineRule="auto"/>
        <w:outlineLvl w:val="1"/>
        <w:rPr>
          <w:color w:val="auto"/>
          <w:sz w:val="24"/>
          <w:highlight w:val="none"/>
        </w:rPr>
      </w:pPr>
      <w:bookmarkStart w:id="967" w:name="_Toc152045804"/>
      <w:bookmarkStart w:id="968" w:name="_Toc30747"/>
      <w:bookmarkStart w:id="969" w:name="_Toc342296589"/>
      <w:bookmarkStart w:id="970" w:name="_Toc493609554"/>
      <w:bookmarkStart w:id="971" w:name="_Toc241459832"/>
      <w:bookmarkStart w:id="972" w:name="_Toc152042593"/>
      <w:bookmarkStart w:id="973" w:name="_Toc39072991"/>
      <w:bookmarkStart w:id="974" w:name="_Toc144974872"/>
      <w:bookmarkStart w:id="975" w:name="_Toc179632824"/>
      <w:r>
        <w:rPr>
          <w:rFonts w:eastAsiaTheme="minorEastAsia"/>
          <w:color w:val="auto"/>
          <w:sz w:val="24"/>
          <w:highlight w:val="none"/>
        </w:rPr>
        <w:t xml:space="preserve">10 </w:t>
      </w:r>
      <w:r>
        <w:rPr>
          <w:color w:val="auto"/>
          <w:sz w:val="24"/>
          <w:highlight w:val="none"/>
        </w:rPr>
        <w:t>项目管理机构组成表</w:t>
      </w:r>
      <w:bookmarkEnd w:id="967"/>
      <w:bookmarkEnd w:id="968"/>
      <w:bookmarkEnd w:id="969"/>
      <w:bookmarkEnd w:id="970"/>
      <w:bookmarkEnd w:id="971"/>
      <w:bookmarkEnd w:id="972"/>
      <w:bookmarkEnd w:id="973"/>
      <w:bookmarkEnd w:id="974"/>
      <w:bookmarkEnd w:id="975"/>
    </w:p>
    <w:p w14:paraId="3751E088">
      <w:pPr>
        <w:autoSpaceDE w:val="0"/>
        <w:autoSpaceDN w:val="0"/>
        <w:adjustRightInd w:val="0"/>
        <w:spacing w:line="360" w:lineRule="auto"/>
        <w:jc w:val="center"/>
        <w:rPr>
          <w:b/>
          <w:color w:val="auto"/>
          <w:sz w:val="36"/>
          <w:szCs w:val="36"/>
          <w:highlight w:val="none"/>
        </w:rPr>
      </w:pPr>
      <w:r>
        <w:rPr>
          <w:b/>
          <w:color w:val="auto"/>
          <w:sz w:val="36"/>
          <w:szCs w:val="36"/>
          <w:highlight w:val="none"/>
        </w:rPr>
        <w:t>项目管理机构组成表</w:t>
      </w:r>
    </w:p>
    <w:tbl>
      <w:tblPr>
        <w:tblStyle w:val="5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850"/>
        <w:gridCol w:w="851"/>
        <w:gridCol w:w="850"/>
        <w:gridCol w:w="993"/>
        <w:gridCol w:w="850"/>
        <w:gridCol w:w="1304"/>
        <w:gridCol w:w="1730"/>
      </w:tblGrid>
      <w:tr w14:paraId="527D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04031B06">
            <w:pPr>
              <w:jc w:val="center"/>
              <w:rPr>
                <w:color w:val="auto"/>
                <w:sz w:val="24"/>
                <w:highlight w:val="none"/>
              </w:rPr>
            </w:pPr>
            <w:r>
              <w:rPr>
                <w:color w:val="auto"/>
                <w:sz w:val="24"/>
                <w:highlight w:val="none"/>
              </w:rPr>
              <w:t>序号</w:t>
            </w:r>
          </w:p>
        </w:tc>
        <w:tc>
          <w:tcPr>
            <w:tcW w:w="1276" w:type="dxa"/>
            <w:vAlign w:val="center"/>
          </w:tcPr>
          <w:p w14:paraId="0164DF54">
            <w:pPr>
              <w:ind w:firstLine="240"/>
              <w:rPr>
                <w:color w:val="auto"/>
                <w:sz w:val="24"/>
                <w:highlight w:val="none"/>
              </w:rPr>
            </w:pPr>
            <w:r>
              <w:rPr>
                <w:color w:val="auto"/>
                <w:sz w:val="24"/>
                <w:highlight w:val="none"/>
              </w:rPr>
              <w:t>姓名</w:t>
            </w:r>
          </w:p>
        </w:tc>
        <w:tc>
          <w:tcPr>
            <w:tcW w:w="850" w:type="dxa"/>
            <w:vAlign w:val="center"/>
          </w:tcPr>
          <w:p w14:paraId="74126DFC">
            <w:pPr>
              <w:jc w:val="center"/>
              <w:rPr>
                <w:color w:val="auto"/>
                <w:sz w:val="24"/>
                <w:highlight w:val="none"/>
              </w:rPr>
            </w:pPr>
            <w:r>
              <w:rPr>
                <w:color w:val="auto"/>
                <w:sz w:val="24"/>
                <w:highlight w:val="none"/>
              </w:rPr>
              <w:t>年龄</w:t>
            </w:r>
          </w:p>
        </w:tc>
        <w:tc>
          <w:tcPr>
            <w:tcW w:w="851" w:type="dxa"/>
            <w:vAlign w:val="center"/>
          </w:tcPr>
          <w:p w14:paraId="4CD2F539">
            <w:pPr>
              <w:jc w:val="center"/>
              <w:rPr>
                <w:color w:val="auto"/>
                <w:sz w:val="24"/>
                <w:highlight w:val="none"/>
              </w:rPr>
            </w:pPr>
            <w:r>
              <w:rPr>
                <w:color w:val="auto"/>
                <w:sz w:val="24"/>
                <w:highlight w:val="none"/>
              </w:rPr>
              <w:t>性别</w:t>
            </w:r>
          </w:p>
        </w:tc>
        <w:tc>
          <w:tcPr>
            <w:tcW w:w="850" w:type="dxa"/>
            <w:vAlign w:val="center"/>
          </w:tcPr>
          <w:p w14:paraId="1727E524">
            <w:pPr>
              <w:jc w:val="center"/>
              <w:rPr>
                <w:color w:val="auto"/>
                <w:sz w:val="24"/>
                <w:highlight w:val="none"/>
              </w:rPr>
            </w:pPr>
            <w:r>
              <w:rPr>
                <w:color w:val="auto"/>
                <w:sz w:val="24"/>
                <w:highlight w:val="none"/>
              </w:rPr>
              <w:t>学历</w:t>
            </w:r>
          </w:p>
        </w:tc>
        <w:tc>
          <w:tcPr>
            <w:tcW w:w="993" w:type="dxa"/>
            <w:vAlign w:val="center"/>
          </w:tcPr>
          <w:p w14:paraId="174D2CD1">
            <w:pPr>
              <w:jc w:val="center"/>
              <w:rPr>
                <w:color w:val="auto"/>
                <w:sz w:val="24"/>
                <w:highlight w:val="none"/>
              </w:rPr>
            </w:pPr>
            <w:r>
              <w:rPr>
                <w:color w:val="auto"/>
                <w:sz w:val="24"/>
                <w:highlight w:val="none"/>
              </w:rPr>
              <w:t>资格证书编号</w:t>
            </w:r>
          </w:p>
        </w:tc>
        <w:tc>
          <w:tcPr>
            <w:tcW w:w="850" w:type="dxa"/>
            <w:vAlign w:val="center"/>
          </w:tcPr>
          <w:p w14:paraId="4604F3E5">
            <w:pPr>
              <w:jc w:val="center"/>
              <w:rPr>
                <w:color w:val="auto"/>
                <w:sz w:val="24"/>
                <w:highlight w:val="none"/>
              </w:rPr>
            </w:pPr>
            <w:r>
              <w:rPr>
                <w:color w:val="auto"/>
                <w:sz w:val="24"/>
                <w:highlight w:val="none"/>
              </w:rPr>
              <w:t>职称</w:t>
            </w:r>
          </w:p>
        </w:tc>
        <w:tc>
          <w:tcPr>
            <w:tcW w:w="1304" w:type="dxa"/>
            <w:vAlign w:val="center"/>
          </w:tcPr>
          <w:p w14:paraId="33B60C92">
            <w:pPr>
              <w:jc w:val="center"/>
              <w:rPr>
                <w:color w:val="auto"/>
                <w:sz w:val="24"/>
                <w:highlight w:val="none"/>
              </w:rPr>
            </w:pPr>
            <w:r>
              <w:rPr>
                <w:color w:val="auto"/>
                <w:sz w:val="24"/>
                <w:highlight w:val="none"/>
              </w:rPr>
              <w:t>在本项目拟任职务</w:t>
            </w:r>
          </w:p>
        </w:tc>
        <w:tc>
          <w:tcPr>
            <w:tcW w:w="1730" w:type="dxa"/>
            <w:vAlign w:val="center"/>
          </w:tcPr>
          <w:p w14:paraId="07AAE954">
            <w:pPr>
              <w:jc w:val="center"/>
              <w:rPr>
                <w:color w:val="auto"/>
                <w:sz w:val="24"/>
                <w:highlight w:val="none"/>
              </w:rPr>
            </w:pPr>
            <w:r>
              <w:rPr>
                <w:color w:val="auto"/>
                <w:sz w:val="24"/>
                <w:highlight w:val="none"/>
              </w:rPr>
              <w:t>负责事宜</w:t>
            </w:r>
          </w:p>
        </w:tc>
      </w:tr>
      <w:tr w14:paraId="7DF5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0085241">
            <w:pPr>
              <w:jc w:val="center"/>
              <w:rPr>
                <w:color w:val="auto"/>
                <w:sz w:val="24"/>
                <w:highlight w:val="none"/>
              </w:rPr>
            </w:pPr>
          </w:p>
        </w:tc>
        <w:tc>
          <w:tcPr>
            <w:tcW w:w="1276" w:type="dxa"/>
            <w:vAlign w:val="center"/>
          </w:tcPr>
          <w:p w14:paraId="65AAF36C">
            <w:pPr>
              <w:jc w:val="center"/>
              <w:rPr>
                <w:color w:val="auto"/>
                <w:sz w:val="24"/>
                <w:highlight w:val="none"/>
              </w:rPr>
            </w:pPr>
          </w:p>
        </w:tc>
        <w:tc>
          <w:tcPr>
            <w:tcW w:w="850" w:type="dxa"/>
            <w:vAlign w:val="center"/>
          </w:tcPr>
          <w:p w14:paraId="59B51DEE">
            <w:pPr>
              <w:jc w:val="center"/>
              <w:rPr>
                <w:color w:val="auto"/>
                <w:sz w:val="24"/>
                <w:highlight w:val="none"/>
              </w:rPr>
            </w:pPr>
          </w:p>
        </w:tc>
        <w:tc>
          <w:tcPr>
            <w:tcW w:w="851" w:type="dxa"/>
            <w:vAlign w:val="center"/>
          </w:tcPr>
          <w:p w14:paraId="2B558985">
            <w:pPr>
              <w:jc w:val="center"/>
              <w:rPr>
                <w:color w:val="auto"/>
                <w:sz w:val="24"/>
                <w:highlight w:val="none"/>
              </w:rPr>
            </w:pPr>
          </w:p>
        </w:tc>
        <w:tc>
          <w:tcPr>
            <w:tcW w:w="850" w:type="dxa"/>
            <w:vAlign w:val="center"/>
          </w:tcPr>
          <w:p w14:paraId="1FC40F57">
            <w:pPr>
              <w:jc w:val="center"/>
              <w:rPr>
                <w:color w:val="auto"/>
                <w:sz w:val="24"/>
                <w:highlight w:val="none"/>
              </w:rPr>
            </w:pPr>
          </w:p>
        </w:tc>
        <w:tc>
          <w:tcPr>
            <w:tcW w:w="993" w:type="dxa"/>
            <w:vAlign w:val="center"/>
          </w:tcPr>
          <w:p w14:paraId="45AD8157">
            <w:pPr>
              <w:jc w:val="center"/>
              <w:rPr>
                <w:color w:val="auto"/>
                <w:sz w:val="24"/>
                <w:highlight w:val="none"/>
              </w:rPr>
            </w:pPr>
          </w:p>
        </w:tc>
        <w:tc>
          <w:tcPr>
            <w:tcW w:w="850" w:type="dxa"/>
            <w:vAlign w:val="center"/>
          </w:tcPr>
          <w:p w14:paraId="5994A4AA">
            <w:pPr>
              <w:jc w:val="center"/>
              <w:rPr>
                <w:color w:val="auto"/>
                <w:sz w:val="24"/>
                <w:highlight w:val="none"/>
              </w:rPr>
            </w:pPr>
          </w:p>
        </w:tc>
        <w:tc>
          <w:tcPr>
            <w:tcW w:w="1304" w:type="dxa"/>
            <w:vAlign w:val="center"/>
          </w:tcPr>
          <w:p w14:paraId="6F76E32B">
            <w:pPr>
              <w:jc w:val="center"/>
              <w:rPr>
                <w:color w:val="auto"/>
                <w:sz w:val="24"/>
                <w:highlight w:val="none"/>
              </w:rPr>
            </w:pPr>
          </w:p>
        </w:tc>
        <w:tc>
          <w:tcPr>
            <w:tcW w:w="1730" w:type="dxa"/>
            <w:vAlign w:val="center"/>
          </w:tcPr>
          <w:p w14:paraId="56BA814E">
            <w:pPr>
              <w:jc w:val="center"/>
              <w:rPr>
                <w:color w:val="auto"/>
                <w:sz w:val="24"/>
                <w:highlight w:val="none"/>
              </w:rPr>
            </w:pPr>
          </w:p>
        </w:tc>
      </w:tr>
      <w:tr w14:paraId="3E2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48E46C87">
            <w:pPr>
              <w:jc w:val="center"/>
              <w:rPr>
                <w:color w:val="auto"/>
                <w:sz w:val="24"/>
                <w:highlight w:val="none"/>
              </w:rPr>
            </w:pPr>
          </w:p>
        </w:tc>
        <w:tc>
          <w:tcPr>
            <w:tcW w:w="1276" w:type="dxa"/>
            <w:vAlign w:val="center"/>
          </w:tcPr>
          <w:p w14:paraId="57E5ACCB">
            <w:pPr>
              <w:jc w:val="center"/>
              <w:rPr>
                <w:color w:val="auto"/>
                <w:sz w:val="24"/>
                <w:highlight w:val="none"/>
              </w:rPr>
            </w:pPr>
          </w:p>
        </w:tc>
        <w:tc>
          <w:tcPr>
            <w:tcW w:w="850" w:type="dxa"/>
            <w:vAlign w:val="center"/>
          </w:tcPr>
          <w:p w14:paraId="3628E451">
            <w:pPr>
              <w:jc w:val="center"/>
              <w:rPr>
                <w:color w:val="auto"/>
                <w:sz w:val="24"/>
                <w:highlight w:val="none"/>
              </w:rPr>
            </w:pPr>
          </w:p>
        </w:tc>
        <w:tc>
          <w:tcPr>
            <w:tcW w:w="851" w:type="dxa"/>
            <w:vAlign w:val="center"/>
          </w:tcPr>
          <w:p w14:paraId="37C12D29">
            <w:pPr>
              <w:jc w:val="center"/>
              <w:rPr>
                <w:color w:val="auto"/>
                <w:sz w:val="24"/>
                <w:highlight w:val="none"/>
              </w:rPr>
            </w:pPr>
          </w:p>
        </w:tc>
        <w:tc>
          <w:tcPr>
            <w:tcW w:w="850" w:type="dxa"/>
            <w:vAlign w:val="center"/>
          </w:tcPr>
          <w:p w14:paraId="29510FC9">
            <w:pPr>
              <w:jc w:val="center"/>
              <w:rPr>
                <w:color w:val="auto"/>
                <w:sz w:val="24"/>
                <w:highlight w:val="none"/>
              </w:rPr>
            </w:pPr>
          </w:p>
        </w:tc>
        <w:tc>
          <w:tcPr>
            <w:tcW w:w="993" w:type="dxa"/>
            <w:vAlign w:val="center"/>
          </w:tcPr>
          <w:p w14:paraId="041EF6F3">
            <w:pPr>
              <w:jc w:val="center"/>
              <w:rPr>
                <w:color w:val="auto"/>
                <w:sz w:val="24"/>
                <w:highlight w:val="none"/>
              </w:rPr>
            </w:pPr>
          </w:p>
        </w:tc>
        <w:tc>
          <w:tcPr>
            <w:tcW w:w="850" w:type="dxa"/>
            <w:vAlign w:val="center"/>
          </w:tcPr>
          <w:p w14:paraId="564E52C9">
            <w:pPr>
              <w:jc w:val="center"/>
              <w:rPr>
                <w:color w:val="auto"/>
                <w:sz w:val="24"/>
                <w:highlight w:val="none"/>
              </w:rPr>
            </w:pPr>
          </w:p>
        </w:tc>
        <w:tc>
          <w:tcPr>
            <w:tcW w:w="1304" w:type="dxa"/>
            <w:vAlign w:val="center"/>
          </w:tcPr>
          <w:p w14:paraId="5A6D0556">
            <w:pPr>
              <w:jc w:val="center"/>
              <w:rPr>
                <w:color w:val="auto"/>
                <w:sz w:val="24"/>
                <w:highlight w:val="none"/>
              </w:rPr>
            </w:pPr>
          </w:p>
        </w:tc>
        <w:tc>
          <w:tcPr>
            <w:tcW w:w="1730" w:type="dxa"/>
            <w:vAlign w:val="center"/>
          </w:tcPr>
          <w:p w14:paraId="2363223D">
            <w:pPr>
              <w:jc w:val="center"/>
              <w:rPr>
                <w:color w:val="auto"/>
                <w:sz w:val="24"/>
                <w:highlight w:val="none"/>
              </w:rPr>
            </w:pPr>
          </w:p>
        </w:tc>
      </w:tr>
      <w:tr w14:paraId="685D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0C585D39">
            <w:pPr>
              <w:jc w:val="center"/>
              <w:rPr>
                <w:color w:val="auto"/>
                <w:sz w:val="24"/>
                <w:highlight w:val="none"/>
              </w:rPr>
            </w:pPr>
          </w:p>
        </w:tc>
        <w:tc>
          <w:tcPr>
            <w:tcW w:w="1276" w:type="dxa"/>
            <w:vAlign w:val="center"/>
          </w:tcPr>
          <w:p w14:paraId="038334EB">
            <w:pPr>
              <w:jc w:val="center"/>
              <w:rPr>
                <w:color w:val="auto"/>
                <w:sz w:val="24"/>
                <w:highlight w:val="none"/>
              </w:rPr>
            </w:pPr>
          </w:p>
        </w:tc>
        <w:tc>
          <w:tcPr>
            <w:tcW w:w="850" w:type="dxa"/>
            <w:vAlign w:val="center"/>
          </w:tcPr>
          <w:p w14:paraId="436537FF">
            <w:pPr>
              <w:jc w:val="center"/>
              <w:rPr>
                <w:color w:val="auto"/>
                <w:sz w:val="24"/>
                <w:highlight w:val="none"/>
              </w:rPr>
            </w:pPr>
          </w:p>
        </w:tc>
        <w:tc>
          <w:tcPr>
            <w:tcW w:w="851" w:type="dxa"/>
            <w:vAlign w:val="center"/>
          </w:tcPr>
          <w:p w14:paraId="5E24077E">
            <w:pPr>
              <w:jc w:val="center"/>
              <w:rPr>
                <w:color w:val="auto"/>
                <w:sz w:val="24"/>
                <w:highlight w:val="none"/>
              </w:rPr>
            </w:pPr>
          </w:p>
        </w:tc>
        <w:tc>
          <w:tcPr>
            <w:tcW w:w="850" w:type="dxa"/>
            <w:vAlign w:val="center"/>
          </w:tcPr>
          <w:p w14:paraId="3DDC7C71">
            <w:pPr>
              <w:jc w:val="center"/>
              <w:rPr>
                <w:color w:val="auto"/>
                <w:sz w:val="24"/>
                <w:highlight w:val="none"/>
              </w:rPr>
            </w:pPr>
          </w:p>
        </w:tc>
        <w:tc>
          <w:tcPr>
            <w:tcW w:w="993" w:type="dxa"/>
            <w:vAlign w:val="center"/>
          </w:tcPr>
          <w:p w14:paraId="43331FB0">
            <w:pPr>
              <w:jc w:val="center"/>
              <w:rPr>
                <w:color w:val="auto"/>
                <w:sz w:val="24"/>
                <w:highlight w:val="none"/>
              </w:rPr>
            </w:pPr>
          </w:p>
        </w:tc>
        <w:tc>
          <w:tcPr>
            <w:tcW w:w="850" w:type="dxa"/>
            <w:vAlign w:val="center"/>
          </w:tcPr>
          <w:p w14:paraId="0ECE0094">
            <w:pPr>
              <w:jc w:val="center"/>
              <w:rPr>
                <w:color w:val="auto"/>
                <w:sz w:val="24"/>
                <w:highlight w:val="none"/>
              </w:rPr>
            </w:pPr>
          </w:p>
        </w:tc>
        <w:tc>
          <w:tcPr>
            <w:tcW w:w="1304" w:type="dxa"/>
            <w:vAlign w:val="center"/>
          </w:tcPr>
          <w:p w14:paraId="7F616757">
            <w:pPr>
              <w:jc w:val="center"/>
              <w:rPr>
                <w:color w:val="auto"/>
                <w:sz w:val="24"/>
                <w:highlight w:val="none"/>
              </w:rPr>
            </w:pPr>
          </w:p>
        </w:tc>
        <w:tc>
          <w:tcPr>
            <w:tcW w:w="1730" w:type="dxa"/>
            <w:vAlign w:val="center"/>
          </w:tcPr>
          <w:p w14:paraId="41FB09BD">
            <w:pPr>
              <w:jc w:val="center"/>
              <w:rPr>
                <w:color w:val="auto"/>
                <w:sz w:val="24"/>
                <w:highlight w:val="none"/>
              </w:rPr>
            </w:pPr>
          </w:p>
        </w:tc>
      </w:tr>
      <w:tr w14:paraId="03BF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3AA507D6">
            <w:pPr>
              <w:jc w:val="center"/>
              <w:rPr>
                <w:color w:val="auto"/>
                <w:sz w:val="24"/>
                <w:highlight w:val="none"/>
              </w:rPr>
            </w:pPr>
          </w:p>
        </w:tc>
        <w:tc>
          <w:tcPr>
            <w:tcW w:w="1276" w:type="dxa"/>
            <w:vAlign w:val="center"/>
          </w:tcPr>
          <w:p w14:paraId="5EAA789E">
            <w:pPr>
              <w:jc w:val="center"/>
              <w:rPr>
                <w:color w:val="auto"/>
                <w:sz w:val="24"/>
                <w:highlight w:val="none"/>
              </w:rPr>
            </w:pPr>
          </w:p>
        </w:tc>
        <w:tc>
          <w:tcPr>
            <w:tcW w:w="850" w:type="dxa"/>
            <w:vAlign w:val="center"/>
          </w:tcPr>
          <w:p w14:paraId="223EA052">
            <w:pPr>
              <w:jc w:val="center"/>
              <w:rPr>
                <w:color w:val="auto"/>
                <w:sz w:val="24"/>
                <w:highlight w:val="none"/>
              </w:rPr>
            </w:pPr>
          </w:p>
        </w:tc>
        <w:tc>
          <w:tcPr>
            <w:tcW w:w="851" w:type="dxa"/>
            <w:vAlign w:val="center"/>
          </w:tcPr>
          <w:p w14:paraId="42F82D61">
            <w:pPr>
              <w:jc w:val="center"/>
              <w:rPr>
                <w:color w:val="auto"/>
                <w:sz w:val="24"/>
                <w:highlight w:val="none"/>
              </w:rPr>
            </w:pPr>
          </w:p>
        </w:tc>
        <w:tc>
          <w:tcPr>
            <w:tcW w:w="850" w:type="dxa"/>
            <w:vAlign w:val="center"/>
          </w:tcPr>
          <w:p w14:paraId="6B6054F3">
            <w:pPr>
              <w:jc w:val="center"/>
              <w:rPr>
                <w:color w:val="auto"/>
                <w:sz w:val="24"/>
                <w:highlight w:val="none"/>
              </w:rPr>
            </w:pPr>
          </w:p>
        </w:tc>
        <w:tc>
          <w:tcPr>
            <w:tcW w:w="993" w:type="dxa"/>
            <w:vAlign w:val="center"/>
          </w:tcPr>
          <w:p w14:paraId="31360624">
            <w:pPr>
              <w:jc w:val="center"/>
              <w:rPr>
                <w:color w:val="auto"/>
                <w:sz w:val="24"/>
                <w:highlight w:val="none"/>
              </w:rPr>
            </w:pPr>
          </w:p>
        </w:tc>
        <w:tc>
          <w:tcPr>
            <w:tcW w:w="850" w:type="dxa"/>
            <w:vAlign w:val="center"/>
          </w:tcPr>
          <w:p w14:paraId="67BF0336">
            <w:pPr>
              <w:jc w:val="center"/>
              <w:rPr>
                <w:color w:val="auto"/>
                <w:sz w:val="24"/>
                <w:highlight w:val="none"/>
              </w:rPr>
            </w:pPr>
          </w:p>
        </w:tc>
        <w:tc>
          <w:tcPr>
            <w:tcW w:w="1304" w:type="dxa"/>
            <w:vAlign w:val="center"/>
          </w:tcPr>
          <w:p w14:paraId="2BB1B642">
            <w:pPr>
              <w:jc w:val="center"/>
              <w:rPr>
                <w:color w:val="auto"/>
                <w:sz w:val="24"/>
                <w:highlight w:val="none"/>
              </w:rPr>
            </w:pPr>
          </w:p>
        </w:tc>
        <w:tc>
          <w:tcPr>
            <w:tcW w:w="1730" w:type="dxa"/>
            <w:vAlign w:val="center"/>
          </w:tcPr>
          <w:p w14:paraId="5ED2656C">
            <w:pPr>
              <w:jc w:val="center"/>
              <w:rPr>
                <w:color w:val="auto"/>
                <w:sz w:val="24"/>
                <w:highlight w:val="none"/>
              </w:rPr>
            </w:pPr>
          </w:p>
        </w:tc>
      </w:tr>
      <w:tr w14:paraId="0EF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102311A2">
            <w:pPr>
              <w:jc w:val="center"/>
              <w:rPr>
                <w:color w:val="auto"/>
                <w:sz w:val="24"/>
                <w:highlight w:val="none"/>
              </w:rPr>
            </w:pPr>
          </w:p>
        </w:tc>
        <w:tc>
          <w:tcPr>
            <w:tcW w:w="1276" w:type="dxa"/>
            <w:vAlign w:val="center"/>
          </w:tcPr>
          <w:p w14:paraId="0C16385E">
            <w:pPr>
              <w:jc w:val="center"/>
              <w:rPr>
                <w:color w:val="auto"/>
                <w:sz w:val="24"/>
                <w:highlight w:val="none"/>
              </w:rPr>
            </w:pPr>
          </w:p>
        </w:tc>
        <w:tc>
          <w:tcPr>
            <w:tcW w:w="850" w:type="dxa"/>
            <w:vAlign w:val="center"/>
          </w:tcPr>
          <w:p w14:paraId="06239CEF">
            <w:pPr>
              <w:jc w:val="center"/>
              <w:rPr>
                <w:color w:val="auto"/>
                <w:sz w:val="24"/>
                <w:highlight w:val="none"/>
              </w:rPr>
            </w:pPr>
          </w:p>
        </w:tc>
        <w:tc>
          <w:tcPr>
            <w:tcW w:w="851" w:type="dxa"/>
            <w:vAlign w:val="center"/>
          </w:tcPr>
          <w:p w14:paraId="33FEEB0A">
            <w:pPr>
              <w:jc w:val="center"/>
              <w:rPr>
                <w:color w:val="auto"/>
                <w:sz w:val="24"/>
                <w:highlight w:val="none"/>
              </w:rPr>
            </w:pPr>
          </w:p>
        </w:tc>
        <w:tc>
          <w:tcPr>
            <w:tcW w:w="850" w:type="dxa"/>
            <w:vAlign w:val="center"/>
          </w:tcPr>
          <w:p w14:paraId="3EAEB599">
            <w:pPr>
              <w:jc w:val="center"/>
              <w:rPr>
                <w:color w:val="auto"/>
                <w:sz w:val="24"/>
                <w:highlight w:val="none"/>
              </w:rPr>
            </w:pPr>
          </w:p>
        </w:tc>
        <w:tc>
          <w:tcPr>
            <w:tcW w:w="993" w:type="dxa"/>
            <w:vAlign w:val="center"/>
          </w:tcPr>
          <w:p w14:paraId="44F84BC6">
            <w:pPr>
              <w:jc w:val="center"/>
              <w:rPr>
                <w:color w:val="auto"/>
                <w:sz w:val="24"/>
                <w:highlight w:val="none"/>
              </w:rPr>
            </w:pPr>
          </w:p>
        </w:tc>
        <w:tc>
          <w:tcPr>
            <w:tcW w:w="850" w:type="dxa"/>
            <w:vAlign w:val="center"/>
          </w:tcPr>
          <w:p w14:paraId="45290948">
            <w:pPr>
              <w:jc w:val="center"/>
              <w:rPr>
                <w:color w:val="auto"/>
                <w:sz w:val="24"/>
                <w:highlight w:val="none"/>
              </w:rPr>
            </w:pPr>
          </w:p>
        </w:tc>
        <w:tc>
          <w:tcPr>
            <w:tcW w:w="1304" w:type="dxa"/>
            <w:vAlign w:val="center"/>
          </w:tcPr>
          <w:p w14:paraId="2DFE9B25">
            <w:pPr>
              <w:jc w:val="center"/>
              <w:rPr>
                <w:color w:val="auto"/>
                <w:sz w:val="24"/>
                <w:highlight w:val="none"/>
              </w:rPr>
            </w:pPr>
          </w:p>
        </w:tc>
        <w:tc>
          <w:tcPr>
            <w:tcW w:w="1730" w:type="dxa"/>
            <w:vAlign w:val="center"/>
          </w:tcPr>
          <w:p w14:paraId="59EA83B0">
            <w:pPr>
              <w:jc w:val="center"/>
              <w:rPr>
                <w:color w:val="auto"/>
                <w:sz w:val="24"/>
                <w:highlight w:val="none"/>
              </w:rPr>
            </w:pPr>
          </w:p>
        </w:tc>
      </w:tr>
      <w:tr w14:paraId="0050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2001B821">
            <w:pPr>
              <w:jc w:val="center"/>
              <w:rPr>
                <w:color w:val="auto"/>
                <w:sz w:val="24"/>
                <w:highlight w:val="none"/>
              </w:rPr>
            </w:pPr>
          </w:p>
        </w:tc>
        <w:tc>
          <w:tcPr>
            <w:tcW w:w="1276" w:type="dxa"/>
            <w:vAlign w:val="center"/>
          </w:tcPr>
          <w:p w14:paraId="13061EBC">
            <w:pPr>
              <w:jc w:val="center"/>
              <w:rPr>
                <w:color w:val="auto"/>
                <w:sz w:val="24"/>
                <w:highlight w:val="none"/>
              </w:rPr>
            </w:pPr>
          </w:p>
        </w:tc>
        <w:tc>
          <w:tcPr>
            <w:tcW w:w="850" w:type="dxa"/>
            <w:vAlign w:val="center"/>
          </w:tcPr>
          <w:p w14:paraId="087F489D">
            <w:pPr>
              <w:jc w:val="center"/>
              <w:rPr>
                <w:color w:val="auto"/>
                <w:sz w:val="24"/>
                <w:highlight w:val="none"/>
              </w:rPr>
            </w:pPr>
          </w:p>
        </w:tc>
        <w:tc>
          <w:tcPr>
            <w:tcW w:w="851" w:type="dxa"/>
            <w:vAlign w:val="center"/>
          </w:tcPr>
          <w:p w14:paraId="69FF894B">
            <w:pPr>
              <w:jc w:val="center"/>
              <w:rPr>
                <w:color w:val="auto"/>
                <w:sz w:val="24"/>
                <w:highlight w:val="none"/>
              </w:rPr>
            </w:pPr>
          </w:p>
        </w:tc>
        <w:tc>
          <w:tcPr>
            <w:tcW w:w="850" w:type="dxa"/>
            <w:vAlign w:val="center"/>
          </w:tcPr>
          <w:p w14:paraId="5EE8A408">
            <w:pPr>
              <w:jc w:val="center"/>
              <w:rPr>
                <w:color w:val="auto"/>
                <w:sz w:val="24"/>
                <w:highlight w:val="none"/>
              </w:rPr>
            </w:pPr>
          </w:p>
        </w:tc>
        <w:tc>
          <w:tcPr>
            <w:tcW w:w="993" w:type="dxa"/>
            <w:vAlign w:val="center"/>
          </w:tcPr>
          <w:p w14:paraId="6D8BE291">
            <w:pPr>
              <w:jc w:val="center"/>
              <w:rPr>
                <w:color w:val="auto"/>
                <w:sz w:val="24"/>
                <w:highlight w:val="none"/>
              </w:rPr>
            </w:pPr>
          </w:p>
        </w:tc>
        <w:tc>
          <w:tcPr>
            <w:tcW w:w="850" w:type="dxa"/>
            <w:vAlign w:val="center"/>
          </w:tcPr>
          <w:p w14:paraId="4E824C7D">
            <w:pPr>
              <w:jc w:val="center"/>
              <w:rPr>
                <w:color w:val="auto"/>
                <w:sz w:val="24"/>
                <w:highlight w:val="none"/>
              </w:rPr>
            </w:pPr>
          </w:p>
        </w:tc>
        <w:tc>
          <w:tcPr>
            <w:tcW w:w="1304" w:type="dxa"/>
            <w:vAlign w:val="center"/>
          </w:tcPr>
          <w:p w14:paraId="3AC92589">
            <w:pPr>
              <w:jc w:val="center"/>
              <w:rPr>
                <w:color w:val="auto"/>
                <w:sz w:val="24"/>
                <w:highlight w:val="none"/>
              </w:rPr>
            </w:pPr>
          </w:p>
        </w:tc>
        <w:tc>
          <w:tcPr>
            <w:tcW w:w="1730" w:type="dxa"/>
            <w:vAlign w:val="center"/>
          </w:tcPr>
          <w:p w14:paraId="3F33F4D1">
            <w:pPr>
              <w:jc w:val="center"/>
              <w:rPr>
                <w:color w:val="auto"/>
                <w:sz w:val="24"/>
                <w:highlight w:val="none"/>
              </w:rPr>
            </w:pPr>
          </w:p>
        </w:tc>
      </w:tr>
      <w:tr w14:paraId="44A4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1D263359">
            <w:pPr>
              <w:jc w:val="center"/>
              <w:rPr>
                <w:color w:val="auto"/>
                <w:sz w:val="24"/>
                <w:highlight w:val="none"/>
              </w:rPr>
            </w:pPr>
          </w:p>
        </w:tc>
        <w:tc>
          <w:tcPr>
            <w:tcW w:w="1276" w:type="dxa"/>
            <w:vAlign w:val="center"/>
          </w:tcPr>
          <w:p w14:paraId="76CE4EA9">
            <w:pPr>
              <w:jc w:val="center"/>
              <w:rPr>
                <w:color w:val="auto"/>
                <w:sz w:val="24"/>
                <w:highlight w:val="none"/>
              </w:rPr>
            </w:pPr>
          </w:p>
        </w:tc>
        <w:tc>
          <w:tcPr>
            <w:tcW w:w="850" w:type="dxa"/>
            <w:vAlign w:val="center"/>
          </w:tcPr>
          <w:p w14:paraId="227ED0D9">
            <w:pPr>
              <w:jc w:val="center"/>
              <w:rPr>
                <w:color w:val="auto"/>
                <w:sz w:val="24"/>
                <w:highlight w:val="none"/>
              </w:rPr>
            </w:pPr>
          </w:p>
        </w:tc>
        <w:tc>
          <w:tcPr>
            <w:tcW w:w="851" w:type="dxa"/>
            <w:vAlign w:val="center"/>
          </w:tcPr>
          <w:p w14:paraId="22A56A55">
            <w:pPr>
              <w:jc w:val="center"/>
              <w:rPr>
                <w:color w:val="auto"/>
                <w:sz w:val="24"/>
                <w:highlight w:val="none"/>
              </w:rPr>
            </w:pPr>
          </w:p>
        </w:tc>
        <w:tc>
          <w:tcPr>
            <w:tcW w:w="850" w:type="dxa"/>
            <w:vAlign w:val="center"/>
          </w:tcPr>
          <w:p w14:paraId="1BEFF0EC">
            <w:pPr>
              <w:jc w:val="center"/>
              <w:rPr>
                <w:color w:val="auto"/>
                <w:sz w:val="24"/>
                <w:highlight w:val="none"/>
              </w:rPr>
            </w:pPr>
          </w:p>
        </w:tc>
        <w:tc>
          <w:tcPr>
            <w:tcW w:w="993" w:type="dxa"/>
            <w:vAlign w:val="center"/>
          </w:tcPr>
          <w:p w14:paraId="19928A62">
            <w:pPr>
              <w:jc w:val="center"/>
              <w:rPr>
                <w:color w:val="auto"/>
                <w:sz w:val="24"/>
                <w:highlight w:val="none"/>
              </w:rPr>
            </w:pPr>
          </w:p>
        </w:tc>
        <w:tc>
          <w:tcPr>
            <w:tcW w:w="850" w:type="dxa"/>
            <w:vAlign w:val="center"/>
          </w:tcPr>
          <w:p w14:paraId="472B9FB5">
            <w:pPr>
              <w:jc w:val="center"/>
              <w:rPr>
                <w:color w:val="auto"/>
                <w:sz w:val="24"/>
                <w:highlight w:val="none"/>
              </w:rPr>
            </w:pPr>
          </w:p>
        </w:tc>
        <w:tc>
          <w:tcPr>
            <w:tcW w:w="1304" w:type="dxa"/>
            <w:vAlign w:val="center"/>
          </w:tcPr>
          <w:p w14:paraId="4AA5BC93">
            <w:pPr>
              <w:jc w:val="center"/>
              <w:rPr>
                <w:color w:val="auto"/>
                <w:sz w:val="24"/>
                <w:highlight w:val="none"/>
              </w:rPr>
            </w:pPr>
          </w:p>
        </w:tc>
        <w:tc>
          <w:tcPr>
            <w:tcW w:w="1730" w:type="dxa"/>
            <w:vAlign w:val="center"/>
          </w:tcPr>
          <w:p w14:paraId="40A0C75F">
            <w:pPr>
              <w:jc w:val="center"/>
              <w:rPr>
                <w:color w:val="auto"/>
                <w:sz w:val="24"/>
                <w:highlight w:val="none"/>
              </w:rPr>
            </w:pPr>
          </w:p>
        </w:tc>
      </w:tr>
    </w:tbl>
    <w:p w14:paraId="023C0C07">
      <w:pPr>
        <w:spacing w:before="240" w:line="360" w:lineRule="auto"/>
        <w:rPr>
          <w:color w:val="auto"/>
          <w:szCs w:val="21"/>
          <w:highlight w:val="none"/>
        </w:rPr>
        <w:sectPr>
          <w:headerReference r:id="rId34" w:type="first"/>
          <w:footerReference r:id="rId36" w:type="first"/>
          <w:headerReference r:id="rId33" w:type="even"/>
          <w:footerReference r:id="rId35" w:type="even"/>
          <w:type w:val="nextColumn"/>
          <w:pgSz w:w="11907" w:h="16840"/>
          <w:pgMar w:top="1440" w:right="1800" w:bottom="1440" w:left="1800" w:header="851" w:footer="851" w:gutter="0"/>
          <w:pgNumType w:fmt="decimal"/>
          <w:cols w:space="720" w:num="1"/>
          <w:docGrid w:linePitch="462" w:charSpace="0"/>
        </w:sectPr>
      </w:pPr>
      <w:r>
        <w:rPr>
          <w:color w:val="auto"/>
          <w:szCs w:val="21"/>
          <w:highlight w:val="none"/>
        </w:rPr>
        <w:t>备注：项目经理可附建造师执业资格证书、注册证书、安全生产考核合格证书（B本）、身份证、职称证（如有）、学历证（如有）扫描件，管理过的工程业绩须附中标（成交）通知书或合同协议书、竣工验收备案登记表或单位工程质量竣工验收记录扫描件（如有）。</w:t>
      </w:r>
    </w:p>
    <w:p w14:paraId="5C497B5A">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11 </w:t>
      </w:r>
      <w:r>
        <w:rPr>
          <w:color w:val="auto"/>
          <w:sz w:val="24"/>
          <w:highlight w:val="none"/>
        </w:rPr>
        <w:t>技术</w:t>
      </w:r>
    </w:p>
    <w:p w14:paraId="3DC9E14F">
      <w:pPr>
        <w:spacing w:line="360" w:lineRule="auto"/>
        <w:ind w:firstLine="480" w:firstLineChars="200"/>
        <w:rPr>
          <w:color w:val="auto"/>
          <w:sz w:val="24"/>
          <w:highlight w:val="none"/>
        </w:rPr>
      </w:pPr>
      <w:r>
        <w:rPr>
          <w:color w:val="auto"/>
          <w:sz w:val="24"/>
          <w:highlight w:val="none"/>
        </w:rPr>
        <w:t>供应商根据采购人需求、评审因素和采购项目特点，结合自身优势，有针对性地提供项目实施方案，包括但不限于以下内容：</w:t>
      </w:r>
    </w:p>
    <w:p w14:paraId="6D6E1A41">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kern w:val="44"/>
          <w:sz w:val="24"/>
          <w:szCs w:val="24"/>
          <w:highlight w:val="none"/>
        </w:rPr>
        <w:t>本工程重点难点分析</w:t>
      </w:r>
    </w:p>
    <w:p w14:paraId="34CE06FE">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项目管理机构</w:t>
      </w:r>
    </w:p>
    <w:p w14:paraId="21B77D1C">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施工方案与技术措施</w:t>
      </w:r>
    </w:p>
    <w:p w14:paraId="41B8D47D">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质量管理体系与保证措施</w:t>
      </w:r>
    </w:p>
    <w:p w14:paraId="4C185789">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进度与成本管理及保障措施</w:t>
      </w:r>
    </w:p>
    <w:p w14:paraId="597DD2A4">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安全管理及保障措施</w:t>
      </w:r>
    </w:p>
    <w:p w14:paraId="34E2E17C">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绿色文明施工管理及保障措施</w:t>
      </w:r>
    </w:p>
    <w:p w14:paraId="72C7C0C3">
      <w:pPr>
        <w:pStyle w:val="112"/>
        <w:numPr>
          <w:ilvl w:val="0"/>
          <w:numId w:val="19"/>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紧急情况的处理措施、预案以及抵抗风险的措施</w:t>
      </w:r>
    </w:p>
    <w:p w14:paraId="79118816">
      <w:pPr>
        <w:pStyle w:val="28"/>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t>
      </w:r>
    </w:p>
    <w:p w14:paraId="55BFDD75">
      <w:pPr>
        <w:rPr>
          <w:rFonts w:eastAsiaTheme="minorEastAsia"/>
          <w:color w:val="auto"/>
          <w:sz w:val="24"/>
          <w:highlight w:val="none"/>
        </w:rPr>
      </w:pPr>
      <w:r>
        <w:rPr>
          <w:rFonts w:eastAsiaTheme="minorEastAsia"/>
          <w:color w:val="auto"/>
          <w:sz w:val="24"/>
          <w:highlight w:val="none"/>
        </w:rPr>
        <w:br w:type="page"/>
      </w:r>
    </w:p>
    <w:p w14:paraId="46C3A6C3">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12 </w:t>
      </w:r>
      <w:r>
        <w:rPr>
          <w:color w:val="auto"/>
          <w:sz w:val="24"/>
          <w:highlight w:val="none"/>
        </w:rPr>
        <w:t>已标价工程量清单</w:t>
      </w:r>
    </w:p>
    <w:p w14:paraId="45658470">
      <w:pPr>
        <w:spacing w:line="360" w:lineRule="auto"/>
        <w:ind w:firstLine="480" w:firstLineChars="200"/>
        <w:rPr>
          <w:color w:val="auto"/>
          <w:sz w:val="24"/>
          <w:highlight w:val="none"/>
        </w:rPr>
      </w:pPr>
      <w:r>
        <w:rPr>
          <w:color w:val="auto"/>
          <w:sz w:val="24"/>
          <w:highlight w:val="none"/>
        </w:rPr>
        <w:t>按照竞争性磋商文件第六章</w:t>
      </w:r>
      <w:r>
        <w:rPr>
          <w:rFonts w:hint="eastAsia" w:ascii="宋体" w:hAnsi="宋体" w:cs="宋体"/>
          <w:color w:val="auto"/>
          <w:sz w:val="24"/>
          <w:highlight w:val="none"/>
        </w:rPr>
        <w:t>“工程量清单”要求编</w:t>
      </w:r>
      <w:r>
        <w:rPr>
          <w:color w:val="auto"/>
          <w:sz w:val="24"/>
          <w:highlight w:val="none"/>
        </w:rPr>
        <w:t>制。</w:t>
      </w:r>
    </w:p>
    <w:p w14:paraId="3E6173DF">
      <w:pPr>
        <w:widowControl/>
        <w:jc w:val="left"/>
        <w:rPr>
          <w:rFonts w:eastAsiaTheme="minorEastAsia"/>
          <w:b/>
          <w:color w:val="auto"/>
          <w:sz w:val="36"/>
          <w:szCs w:val="36"/>
          <w:highlight w:val="none"/>
        </w:rPr>
      </w:pPr>
    </w:p>
    <w:p w14:paraId="33FB915B">
      <w:pPr>
        <w:tabs>
          <w:tab w:val="left" w:pos="360"/>
        </w:tabs>
        <w:snapToGrid w:val="0"/>
        <w:spacing w:line="360" w:lineRule="auto"/>
        <w:outlineLvl w:val="1"/>
        <w:rPr>
          <w:rFonts w:eastAsiaTheme="minorEastAsia"/>
          <w:color w:val="auto"/>
          <w:sz w:val="24"/>
          <w:highlight w:val="none"/>
        </w:rPr>
        <w:sectPr>
          <w:pgSz w:w="11907" w:h="16840"/>
          <w:pgMar w:top="1440" w:right="1800" w:bottom="1440" w:left="1800" w:header="851" w:footer="851" w:gutter="0"/>
          <w:pgNumType w:fmt="decimal"/>
          <w:cols w:space="720" w:num="1"/>
          <w:docGrid w:linePitch="462" w:charSpace="0"/>
        </w:sectPr>
      </w:pPr>
    </w:p>
    <w:p w14:paraId="5C165EAF">
      <w:pPr>
        <w:tabs>
          <w:tab w:val="left" w:pos="360"/>
        </w:tabs>
        <w:snapToGrid w:val="0"/>
        <w:spacing w:line="360" w:lineRule="auto"/>
        <w:outlineLvl w:val="1"/>
        <w:rPr>
          <w:color w:val="auto"/>
          <w:sz w:val="24"/>
          <w:szCs w:val="20"/>
          <w:highlight w:val="none"/>
        </w:rPr>
      </w:pPr>
      <w:r>
        <w:rPr>
          <w:color w:val="auto"/>
          <w:sz w:val="24"/>
          <w:highlight w:val="none"/>
        </w:rPr>
        <w:t>13 竞争性磋商文件要求提供或供应商认为应附的其他材料</w:t>
      </w:r>
    </w:p>
    <w:p w14:paraId="439DA76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bookmarkStart w:id="976" w:name="_Hlk109566285"/>
      <w:r>
        <w:rPr>
          <w:rFonts w:ascii="Times New Roman" w:hAnsi="Times New Roman" w:cs="Times New Roman"/>
          <w:b w:val="0"/>
          <w:color w:val="auto"/>
          <w:sz w:val="24"/>
          <w:szCs w:val="24"/>
          <w:highlight w:val="none"/>
        </w:rPr>
        <w:t>（1）供应商信息采集表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1"/>
        <w:gridCol w:w="2841"/>
      </w:tblGrid>
      <w:tr w14:paraId="3863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vAlign w:val="center"/>
          </w:tcPr>
          <w:p w14:paraId="501EF87C">
            <w:pPr>
              <w:autoSpaceDE w:val="0"/>
              <w:autoSpaceDN w:val="0"/>
              <w:spacing w:line="267" w:lineRule="exact"/>
              <w:jc w:val="center"/>
              <w:rPr>
                <w:color w:val="auto"/>
                <w:szCs w:val="22"/>
                <w:highlight w:val="none"/>
              </w:rPr>
            </w:pPr>
            <w:r>
              <w:rPr>
                <w:color w:val="auto"/>
                <w:szCs w:val="22"/>
                <w:highlight w:val="none"/>
              </w:rPr>
              <w:t>供应商名称</w:t>
            </w:r>
          </w:p>
        </w:tc>
        <w:tc>
          <w:tcPr>
            <w:tcW w:w="2841" w:type="dxa"/>
            <w:vAlign w:val="center"/>
          </w:tcPr>
          <w:p w14:paraId="42BC8BEA">
            <w:pPr>
              <w:pStyle w:val="268"/>
              <w:keepNext w:val="0"/>
              <w:keepLines w:val="0"/>
              <w:tabs>
                <w:tab w:val="left" w:pos="420"/>
                <w:tab w:val="left" w:pos="660"/>
              </w:tabs>
              <w:snapToGrid w:val="0"/>
              <w:spacing w:before="0"/>
              <w:jc w:val="center"/>
              <w:outlineLvl w:val="9"/>
              <w:rPr>
                <w:rFonts w:ascii="Times New Roman" w:hAnsi="Times New Roman" w:cs="Times New Roman"/>
                <w:b w:val="0"/>
                <w:color w:val="auto"/>
                <w:sz w:val="24"/>
                <w:szCs w:val="24"/>
                <w:highlight w:val="none"/>
              </w:rPr>
            </w:pPr>
            <w:r>
              <w:rPr>
                <w:rFonts w:ascii="Times New Roman" w:hAnsi="Times New Roman" w:cs="Times New Roman"/>
                <w:b w:val="0"/>
                <w:color w:val="auto"/>
                <w:szCs w:val="22"/>
                <w:highlight w:val="none"/>
              </w:rPr>
              <w:t>供应商所属性别</w:t>
            </w:r>
          </w:p>
        </w:tc>
        <w:tc>
          <w:tcPr>
            <w:tcW w:w="2841" w:type="dxa"/>
            <w:vAlign w:val="center"/>
          </w:tcPr>
          <w:p w14:paraId="3737E80C">
            <w:pPr>
              <w:autoSpaceDE w:val="0"/>
              <w:autoSpaceDN w:val="0"/>
              <w:spacing w:line="267" w:lineRule="exact"/>
              <w:jc w:val="center"/>
              <w:rPr>
                <w:color w:val="auto"/>
                <w:szCs w:val="22"/>
                <w:highlight w:val="none"/>
              </w:rPr>
            </w:pPr>
            <w:r>
              <w:rPr>
                <w:color w:val="auto"/>
                <w:szCs w:val="22"/>
                <w:highlight w:val="none"/>
              </w:rPr>
              <w:t>外商投资类型</w:t>
            </w:r>
          </w:p>
        </w:tc>
      </w:tr>
      <w:tr w14:paraId="1C01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2243933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4942B09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357BE80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7527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44135C4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4A962EE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5230E92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44518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1584637A">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350FBD3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2908178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1DFA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7154634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0D0D0A47">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5D2F2F9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bl>
    <w:p w14:paraId="63A99284">
      <w:pPr>
        <w:spacing w:before="240" w:line="360" w:lineRule="auto"/>
        <w:ind w:firstLine="480" w:firstLineChars="200"/>
        <w:rPr>
          <w:color w:val="auto"/>
          <w:sz w:val="24"/>
          <w:highlight w:val="none"/>
        </w:rPr>
      </w:pPr>
      <w:r>
        <w:rPr>
          <w:color w:val="auto"/>
          <w:sz w:val="24"/>
          <w:highlight w:val="none"/>
        </w:rPr>
        <w:t>注：</w:t>
      </w:r>
    </w:p>
    <w:p w14:paraId="63C5555D">
      <w:pPr>
        <w:spacing w:line="360" w:lineRule="auto"/>
        <w:ind w:firstLine="480" w:firstLineChars="200"/>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14:paraId="0962603F">
      <w:pPr>
        <w:spacing w:line="360" w:lineRule="auto"/>
        <w:ind w:firstLine="480" w:firstLineChars="200"/>
        <w:rPr>
          <w:color w:val="auto"/>
          <w:sz w:val="24"/>
          <w:highlight w:val="none"/>
        </w:rPr>
      </w:pPr>
      <w:r>
        <w:rPr>
          <w:color w:val="auto"/>
          <w:sz w:val="24"/>
          <w:highlight w:val="none"/>
        </w:rPr>
        <w:t>2</w:t>
      </w:r>
      <w:r>
        <w:rPr>
          <w:rFonts w:hint="eastAsia" w:ascii="宋体" w:hAnsi="宋体" w:cs="宋体"/>
          <w:color w:val="auto"/>
          <w:sz w:val="24"/>
          <w:highlight w:val="none"/>
        </w:rPr>
        <w:t>.外商投资类型请填写“外商单独投资”、“外商部分投资”或“内资”。</w:t>
      </w:r>
    </w:p>
    <w:p w14:paraId="2605E4BF">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37502466">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15E6278D">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6DFDE422">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30DB35A6">
      <w:pPr>
        <w:rPr>
          <w:rFonts w:hint="eastAsia" w:ascii="宋体" w:hAnsi="宋体"/>
          <w:color w:val="auto"/>
          <w:sz w:val="24"/>
          <w:highlight w:val="none"/>
        </w:rPr>
      </w:pPr>
      <w:r>
        <w:rPr>
          <w:rFonts w:hint="eastAsia" w:ascii="宋体" w:hAnsi="宋体"/>
          <w:color w:val="auto"/>
          <w:sz w:val="24"/>
          <w:highlight w:val="none"/>
        </w:rPr>
        <w:t>（2）</w:t>
      </w:r>
      <w:r>
        <w:rPr>
          <w:rFonts w:hint="eastAsia" w:cs="微软雅黑"/>
          <w:color w:val="auto"/>
          <w:sz w:val="24"/>
          <w:highlight w:val="none"/>
        </w:rPr>
        <w:t>环保专项承诺（实质性格式）</w:t>
      </w:r>
    </w:p>
    <w:p w14:paraId="5FBD7466">
      <w:pPr>
        <w:widowControl/>
        <w:jc w:val="left"/>
        <w:rPr>
          <w:rFonts w:hint="eastAsia" w:asciiTheme="minorEastAsia" w:hAnsiTheme="minorEastAsia" w:eastAsiaTheme="minorEastAsia"/>
          <w:b/>
          <w:color w:val="auto"/>
          <w:sz w:val="36"/>
          <w:szCs w:val="36"/>
          <w:highlight w:val="none"/>
        </w:rPr>
      </w:pPr>
    </w:p>
    <w:p w14:paraId="1F182100">
      <w:pPr>
        <w:pStyle w:val="268"/>
        <w:keepNext w:val="0"/>
        <w:keepLines w:val="0"/>
        <w:tabs>
          <w:tab w:val="left" w:pos="420"/>
          <w:tab w:val="left" w:pos="660"/>
        </w:tabs>
        <w:snapToGrid w:val="0"/>
        <w:spacing w:before="0" w:line="360" w:lineRule="auto"/>
        <w:ind w:firstLine="480" w:firstLineChars="200"/>
        <w:outlineLvl w:val="9"/>
        <w:rPr>
          <w:rFonts w:hint="eastAsia" w:cs="微软雅黑"/>
          <w:b w:val="0"/>
          <w:color w:val="auto"/>
          <w:sz w:val="24"/>
          <w:szCs w:val="24"/>
          <w:highlight w:val="none"/>
        </w:rPr>
      </w:pPr>
      <w:r>
        <w:rPr>
          <w:rFonts w:hint="eastAsia" w:cs="微软雅黑"/>
          <w:b w:val="0"/>
          <w:color w:val="auto"/>
          <w:sz w:val="24"/>
          <w:szCs w:val="24"/>
          <w:highlight w:val="none"/>
        </w:rPr>
        <w:t>致：</w:t>
      </w:r>
      <w:r>
        <w:rPr>
          <w:rFonts w:hint="eastAsia" w:cs="微软雅黑"/>
          <w:b w:val="0"/>
          <w:color w:val="auto"/>
          <w:sz w:val="24"/>
          <w:szCs w:val="24"/>
          <w:highlight w:val="none"/>
          <w:u w:val="single"/>
        </w:rPr>
        <w:t xml:space="preserve">            （采购人）</w:t>
      </w:r>
    </w:p>
    <w:p w14:paraId="6D9568F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w:t>
      </w:r>
      <w:r>
        <w:rPr>
          <w:rFonts w:hint="eastAsia" w:ascii="宋体" w:hAnsi="宋体"/>
          <w:color w:val="auto"/>
          <w:sz w:val="24"/>
          <w:highlight w:val="none"/>
        </w:rPr>
        <w:t>、</w:t>
      </w:r>
      <w:r>
        <w:rPr>
          <w:rFonts w:ascii="宋体" w:hAnsi="宋体"/>
          <w:color w:val="auto"/>
          <w:sz w:val="24"/>
          <w:highlight w:val="none"/>
        </w:rPr>
        <w:t>组织本项目实施过程中，我单位承诺：</w:t>
      </w:r>
    </w:p>
    <w:p w14:paraId="74BBAAA1">
      <w:pPr>
        <w:spacing w:line="360" w:lineRule="auto"/>
        <w:ind w:firstLine="480" w:firstLineChars="200"/>
        <w:rPr>
          <w:color w:val="auto"/>
          <w:highlight w:val="none"/>
        </w:rPr>
      </w:pPr>
      <w:r>
        <w:rPr>
          <w:rFonts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w:t>
      </w:r>
      <w:r>
        <w:rPr>
          <w:rFonts w:hint="eastAsia" w:ascii="宋体" w:hAnsi="宋体"/>
          <w:color w:val="auto"/>
          <w:sz w:val="24"/>
          <w:highlight w:val="none"/>
        </w:rPr>
        <w:t>本项目</w:t>
      </w:r>
      <w:r>
        <w:rPr>
          <w:rFonts w:ascii="宋体" w:hAnsi="宋体"/>
          <w:color w:val="auto"/>
          <w:sz w:val="24"/>
          <w:highlight w:val="none"/>
        </w:rPr>
        <w:t>属于强制性标准，执行符合本市和国家的VOCs 含量限制标准</w:t>
      </w:r>
      <w:r>
        <w:rPr>
          <w:rFonts w:hint="eastAsia" w:ascii="宋体" w:hAnsi="宋体"/>
          <w:color w:val="auto"/>
          <w:sz w:val="24"/>
          <w:highlight w:val="none"/>
        </w:rPr>
        <w:t>。</w:t>
      </w:r>
    </w:p>
    <w:p w14:paraId="4DABB389">
      <w:pPr>
        <w:pStyle w:val="268"/>
        <w:keepNext w:val="0"/>
        <w:keepLines w:val="0"/>
        <w:tabs>
          <w:tab w:val="left" w:pos="420"/>
          <w:tab w:val="left" w:pos="660"/>
        </w:tabs>
        <w:snapToGrid w:val="0"/>
        <w:spacing w:before="0" w:line="360" w:lineRule="auto"/>
        <w:ind w:firstLine="482" w:firstLineChars="200"/>
        <w:outlineLvl w:val="9"/>
        <w:rPr>
          <w:rFonts w:hint="eastAsia"/>
          <w:color w:val="auto"/>
          <w:sz w:val="24"/>
          <w:highlight w:val="none"/>
        </w:rPr>
      </w:pPr>
    </w:p>
    <w:p w14:paraId="0DD510EF">
      <w:pPr>
        <w:pStyle w:val="268"/>
        <w:keepNext w:val="0"/>
        <w:keepLines w:val="0"/>
        <w:tabs>
          <w:tab w:val="left" w:pos="420"/>
          <w:tab w:val="left" w:pos="660"/>
        </w:tabs>
        <w:snapToGrid w:val="0"/>
        <w:spacing w:before="0" w:line="360" w:lineRule="auto"/>
        <w:ind w:firstLine="482" w:firstLineChars="200"/>
        <w:jc w:val="right"/>
        <w:outlineLvl w:val="9"/>
        <w:rPr>
          <w:rFonts w:hint="eastAsia"/>
          <w:color w:val="auto"/>
          <w:sz w:val="24"/>
          <w:highlight w:val="none"/>
        </w:rPr>
      </w:pPr>
    </w:p>
    <w:p w14:paraId="1D62D78C">
      <w:pPr>
        <w:pStyle w:val="268"/>
        <w:keepNext w:val="0"/>
        <w:keepLines w:val="0"/>
        <w:tabs>
          <w:tab w:val="left" w:pos="420"/>
          <w:tab w:val="left" w:pos="660"/>
        </w:tabs>
        <w:snapToGrid w:val="0"/>
        <w:spacing w:before="0" w:line="360" w:lineRule="auto"/>
        <w:ind w:firstLine="480" w:firstLineChars="200"/>
        <w:jc w:val="right"/>
        <w:outlineLvl w:val="9"/>
        <w:rPr>
          <w:rFonts w:hint="eastAsia" w:cs="微软雅黑"/>
          <w:b w:val="0"/>
          <w:color w:val="auto"/>
          <w:sz w:val="24"/>
          <w:szCs w:val="24"/>
          <w:highlight w:val="none"/>
        </w:rPr>
      </w:pPr>
      <w:r>
        <w:rPr>
          <w:rFonts w:hint="eastAsia" w:cs="微软雅黑"/>
          <w:b w:val="0"/>
          <w:color w:val="auto"/>
          <w:sz w:val="24"/>
          <w:szCs w:val="24"/>
          <w:highlight w:val="none"/>
        </w:rPr>
        <w:t xml:space="preserve"> 供应商</w:t>
      </w:r>
      <w:r>
        <w:rPr>
          <w:rFonts w:cs="微软雅黑"/>
          <w:b w:val="0"/>
          <w:color w:val="auto"/>
          <w:sz w:val="24"/>
          <w:szCs w:val="24"/>
          <w:highlight w:val="none"/>
        </w:rPr>
        <w:t>名称（加盖公章）：  ____________</w:t>
      </w:r>
    </w:p>
    <w:p w14:paraId="3DFC0039">
      <w:pPr>
        <w:widowControl/>
        <w:ind w:firstLine="3840" w:firstLineChars="1600"/>
        <w:jc w:val="left"/>
        <w:rPr>
          <w:rFonts w:cs="微软雅黑"/>
          <w:color w:val="auto"/>
          <w:sz w:val="24"/>
          <w:highlight w:val="none"/>
        </w:rPr>
      </w:pPr>
      <w:r>
        <w:rPr>
          <w:rFonts w:cs="微软雅黑"/>
          <w:color w:val="auto"/>
          <w:sz w:val="24"/>
          <w:highlight w:val="none"/>
        </w:rPr>
        <w:t xml:space="preserve">日期：_____年______月______日  </w:t>
      </w:r>
    </w:p>
    <w:p w14:paraId="41EB1F10">
      <w:pPr>
        <w:widowControl/>
        <w:jc w:val="left"/>
        <w:rPr>
          <w:color w:val="auto"/>
          <w:sz w:val="24"/>
          <w:highlight w:val="none"/>
        </w:rPr>
      </w:pPr>
    </w:p>
    <w:p w14:paraId="635D7853">
      <w:pPr>
        <w:widowControl/>
        <w:jc w:val="left"/>
        <w:rPr>
          <w:color w:val="auto"/>
          <w:sz w:val="24"/>
          <w:highlight w:val="none"/>
        </w:rPr>
      </w:pPr>
    </w:p>
    <w:p w14:paraId="233EB40D">
      <w:pPr>
        <w:widowControl/>
        <w:jc w:val="left"/>
        <w:rPr>
          <w:b/>
          <w:color w:val="auto"/>
          <w:sz w:val="36"/>
          <w:szCs w:val="36"/>
          <w:highlight w:val="none"/>
        </w:rPr>
      </w:pPr>
      <w:r>
        <w:rPr>
          <w:color w:val="auto"/>
          <w:sz w:val="24"/>
          <w:highlight w:val="none"/>
        </w:rPr>
        <w:t>（</w:t>
      </w:r>
      <w:r>
        <w:rPr>
          <w:rFonts w:hint="eastAsia"/>
          <w:color w:val="auto"/>
          <w:sz w:val="24"/>
          <w:highlight w:val="none"/>
        </w:rPr>
        <w:t>3</w:t>
      </w:r>
      <w:r>
        <w:rPr>
          <w:color w:val="auto"/>
          <w:sz w:val="24"/>
          <w:highlight w:val="none"/>
        </w:rPr>
        <w:t>）其他供应商认为应当提供或补充的其他文件。</w:t>
      </w:r>
    </w:p>
    <w:bookmarkEnd w:id="976"/>
    <w:p w14:paraId="22A10DBC">
      <w:pPr>
        <w:widowControl/>
        <w:jc w:val="left"/>
        <w:rPr>
          <w:b/>
          <w:color w:val="auto"/>
          <w:sz w:val="36"/>
          <w:szCs w:val="36"/>
          <w:highlight w:val="none"/>
        </w:rPr>
      </w:pPr>
    </w:p>
    <w:p w14:paraId="52B27FF9">
      <w:pPr>
        <w:widowControl/>
        <w:jc w:val="left"/>
        <w:rPr>
          <w:b/>
          <w:color w:val="auto"/>
          <w:sz w:val="36"/>
          <w:szCs w:val="36"/>
          <w:highlight w:val="none"/>
        </w:rPr>
      </w:pPr>
    </w:p>
    <w:p w14:paraId="74D9D018">
      <w:pPr>
        <w:widowControl/>
        <w:jc w:val="left"/>
        <w:rPr>
          <w:b/>
          <w:color w:val="auto"/>
          <w:sz w:val="36"/>
          <w:szCs w:val="36"/>
          <w:highlight w:val="none"/>
        </w:rPr>
      </w:pPr>
    </w:p>
    <w:p w14:paraId="7BF45484">
      <w:pPr>
        <w:widowControl/>
        <w:jc w:val="left"/>
        <w:rPr>
          <w:color w:val="auto"/>
          <w:sz w:val="24"/>
          <w:highlight w:val="none"/>
        </w:rPr>
      </w:pPr>
      <w:r>
        <w:rPr>
          <w:color w:val="auto"/>
          <w:sz w:val="24"/>
          <w:highlight w:val="none"/>
        </w:rPr>
        <w:br w:type="page"/>
      </w:r>
    </w:p>
    <w:p w14:paraId="69D2BCC0">
      <w:pPr>
        <w:tabs>
          <w:tab w:val="left" w:pos="360"/>
        </w:tabs>
        <w:snapToGrid w:val="0"/>
        <w:spacing w:line="360" w:lineRule="auto"/>
        <w:outlineLvl w:val="1"/>
        <w:rPr>
          <w:color w:val="auto"/>
          <w:sz w:val="24"/>
          <w:highlight w:val="none"/>
        </w:rPr>
      </w:pPr>
      <w:r>
        <w:rPr>
          <w:color w:val="auto"/>
          <w:sz w:val="24"/>
          <w:highlight w:val="none"/>
        </w:rPr>
        <w:t>14 最后报价一览表（实质性格式，磋商后提交）</w:t>
      </w:r>
    </w:p>
    <w:p w14:paraId="35E0506E">
      <w:pPr>
        <w:widowControl/>
        <w:jc w:val="left"/>
        <w:rPr>
          <w:color w:val="auto"/>
          <w:kern w:val="0"/>
          <w:sz w:val="24"/>
          <w:szCs w:val="20"/>
          <w:highlight w:val="none"/>
        </w:rPr>
      </w:pPr>
    </w:p>
    <w:p w14:paraId="63082FD7">
      <w:pPr>
        <w:spacing w:line="360" w:lineRule="exact"/>
        <w:ind w:firstLine="720"/>
        <w:jc w:val="center"/>
        <w:rPr>
          <w:rFonts w:hint="eastAsia" w:ascii="宋体" w:hAnsi="宋体" w:cs="宋体"/>
          <w:b/>
          <w:color w:val="auto"/>
          <w:sz w:val="36"/>
          <w:szCs w:val="36"/>
          <w:highlight w:val="none"/>
        </w:rPr>
      </w:pPr>
      <w:bookmarkStart w:id="977" w:name="_Hlk137145809"/>
      <w:r>
        <w:rPr>
          <w:rFonts w:hint="eastAsia" w:ascii="宋体" w:hAnsi="宋体" w:cs="宋体"/>
          <w:b/>
          <w:color w:val="auto"/>
          <w:sz w:val="36"/>
          <w:szCs w:val="36"/>
          <w:highlight w:val="none"/>
        </w:rPr>
        <w:t>最后报价一览表</w:t>
      </w:r>
    </w:p>
    <w:p w14:paraId="67632735">
      <w:pPr>
        <w:tabs>
          <w:tab w:val="left" w:pos="1800"/>
          <w:tab w:val="left" w:pos="5580"/>
        </w:tabs>
        <w:spacing w:line="360" w:lineRule="auto"/>
        <w:jc w:val="left"/>
        <w:rPr>
          <w:rFonts w:eastAsiaTheme="minorEastAsia"/>
          <w:color w:val="auto"/>
          <w:sz w:val="24"/>
          <w:highlight w:val="none"/>
        </w:rPr>
      </w:pPr>
    </w:p>
    <w:p w14:paraId="0248FD07">
      <w:pPr>
        <w:tabs>
          <w:tab w:val="left" w:pos="1800"/>
          <w:tab w:val="left" w:pos="55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项目编号：_______________     项目名称：_______________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57"/>
        <w:gridCol w:w="1141"/>
        <w:gridCol w:w="720"/>
        <w:gridCol w:w="1575"/>
        <w:gridCol w:w="1431"/>
        <w:gridCol w:w="1209"/>
        <w:gridCol w:w="1206"/>
        <w:gridCol w:w="648"/>
      </w:tblGrid>
      <w:tr w14:paraId="43E02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1557" w:type="dxa"/>
            <w:vAlign w:val="center"/>
          </w:tcPr>
          <w:p w14:paraId="3284155D">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响应报价</w:t>
            </w:r>
          </w:p>
          <w:p w14:paraId="31560A45">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（元）</w:t>
            </w:r>
          </w:p>
        </w:tc>
        <w:tc>
          <w:tcPr>
            <w:tcW w:w="1141" w:type="dxa"/>
            <w:vAlign w:val="center"/>
          </w:tcPr>
          <w:p w14:paraId="09221EA4">
            <w:pPr>
              <w:tabs>
                <w:tab w:val="left" w:pos="5580"/>
              </w:tabs>
              <w:jc w:val="center"/>
              <w:rPr>
                <w:rFonts w:hint="eastAsia" w:ascii="宋体" w:hAnsi="宋体"/>
                <w:color w:val="auto"/>
                <w:szCs w:val="21"/>
                <w:highlight w:val="none"/>
              </w:rPr>
            </w:pPr>
            <w:r>
              <w:rPr>
                <w:rFonts w:ascii="宋体" w:hAnsi="宋体"/>
                <w:color w:val="auto"/>
                <w:szCs w:val="21"/>
                <w:highlight w:val="none"/>
              </w:rPr>
              <w:t>合同履行期限（工期）</w:t>
            </w:r>
            <w:r>
              <w:rPr>
                <w:rFonts w:hint="eastAsia" w:ascii="宋体" w:hAnsi="宋体"/>
                <w:color w:val="auto"/>
                <w:szCs w:val="21"/>
                <w:highlight w:val="none"/>
              </w:rPr>
              <w:t>(日历天)</w:t>
            </w:r>
          </w:p>
        </w:tc>
        <w:tc>
          <w:tcPr>
            <w:tcW w:w="720" w:type="dxa"/>
            <w:vAlign w:val="center"/>
          </w:tcPr>
          <w:p w14:paraId="56C032CE">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质量</w:t>
            </w:r>
          </w:p>
          <w:p w14:paraId="67162649">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标准</w:t>
            </w:r>
          </w:p>
        </w:tc>
        <w:tc>
          <w:tcPr>
            <w:tcW w:w="1575" w:type="dxa"/>
            <w:vAlign w:val="center"/>
          </w:tcPr>
          <w:p w14:paraId="79134528">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安全生产标准化管理目标等级</w:t>
            </w:r>
          </w:p>
        </w:tc>
        <w:tc>
          <w:tcPr>
            <w:tcW w:w="1431" w:type="dxa"/>
            <w:vAlign w:val="center"/>
          </w:tcPr>
          <w:p w14:paraId="5F2DFF47">
            <w:pPr>
              <w:jc w:val="center"/>
              <w:rPr>
                <w:rFonts w:ascii="宋体"/>
                <w:color w:val="auto"/>
                <w:szCs w:val="21"/>
                <w:highlight w:val="none"/>
              </w:rPr>
            </w:pPr>
            <w:r>
              <w:rPr>
                <w:rFonts w:hint="eastAsia" w:ascii="宋体" w:hAnsi="宋体"/>
                <w:color w:val="auto"/>
                <w:szCs w:val="21"/>
                <w:highlight w:val="none"/>
              </w:rPr>
              <w:t>安全生产标准化措施费含税金额</w:t>
            </w:r>
          </w:p>
          <w:p w14:paraId="7290368D">
            <w:pPr>
              <w:jc w:val="center"/>
              <w:rPr>
                <w:rFonts w:ascii="宋体"/>
                <w:color w:val="auto"/>
                <w:szCs w:val="21"/>
                <w:highlight w:val="none"/>
              </w:rPr>
            </w:pPr>
            <w:r>
              <w:rPr>
                <w:rFonts w:hint="eastAsia" w:ascii="宋体" w:hAnsi="宋体"/>
                <w:color w:val="auto"/>
                <w:szCs w:val="21"/>
                <w:highlight w:val="none"/>
              </w:rPr>
              <w:t>（元）</w:t>
            </w:r>
          </w:p>
        </w:tc>
        <w:tc>
          <w:tcPr>
            <w:tcW w:w="1209" w:type="dxa"/>
            <w:vAlign w:val="center"/>
          </w:tcPr>
          <w:p w14:paraId="058A24CB">
            <w:pPr>
              <w:jc w:val="center"/>
              <w:rPr>
                <w:rFonts w:ascii="宋体"/>
                <w:color w:val="auto"/>
                <w:szCs w:val="21"/>
                <w:highlight w:val="none"/>
              </w:rPr>
            </w:pPr>
            <w:r>
              <w:rPr>
                <w:rFonts w:hint="eastAsia" w:ascii="宋体" w:hAnsi="宋体"/>
                <w:color w:val="auto"/>
                <w:szCs w:val="21"/>
                <w:highlight w:val="none"/>
              </w:rPr>
              <w:t>专业工程</w:t>
            </w:r>
          </w:p>
          <w:p w14:paraId="3AD48973">
            <w:pPr>
              <w:jc w:val="center"/>
              <w:rPr>
                <w:rFonts w:ascii="宋体"/>
                <w:color w:val="auto"/>
                <w:szCs w:val="21"/>
                <w:highlight w:val="none"/>
              </w:rPr>
            </w:pPr>
            <w:r>
              <w:rPr>
                <w:rFonts w:hint="eastAsia" w:ascii="宋体" w:hAnsi="宋体"/>
                <w:color w:val="auto"/>
                <w:szCs w:val="21"/>
                <w:highlight w:val="none"/>
              </w:rPr>
              <w:t>暂估价含税金额</w:t>
            </w:r>
          </w:p>
          <w:p w14:paraId="7B9C210C">
            <w:pPr>
              <w:jc w:val="center"/>
              <w:rPr>
                <w:rFonts w:ascii="宋体"/>
                <w:color w:val="auto"/>
                <w:szCs w:val="21"/>
                <w:highlight w:val="none"/>
              </w:rPr>
            </w:pPr>
            <w:r>
              <w:rPr>
                <w:rFonts w:hint="eastAsia" w:ascii="宋体" w:hAnsi="宋体"/>
                <w:color w:val="auto"/>
                <w:szCs w:val="21"/>
                <w:highlight w:val="none"/>
              </w:rPr>
              <w:t>（元）</w:t>
            </w:r>
          </w:p>
        </w:tc>
        <w:tc>
          <w:tcPr>
            <w:tcW w:w="1206" w:type="dxa"/>
            <w:vAlign w:val="center"/>
          </w:tcPr>
          <w:p w14:paraId="195C5C2B">
            <w:pPr>
              <w:jc w:val="center"/>
              <w:rPr>
                <w:rFonts w:ascii="宋体"/>
                <w:color w:val="auto"/>
                <w:szCs w:val="21"/>
                <w:highlight w:val="none"/>
              </w:rPr>
            </w:pPr>
            <w:r>
              <w:rPr>
                <w:rFonts w:hint="eastAsia" w:ascii="宋体" w:hAnsi="宋体"/>
                <w:color w:val="auto"/>
                <w:szCs w:val="21"/>
                <w:highlight w:val="none"/>
              </w:rPr>
              <w:t>暂列金额含税金额</w:t>
            </w:r>
          </w:p>
          <w:p w14:paraId="78C725A6">
            <w:pPr>
              <w:jc w:val="center"/>
              <w:rPr>
                <w:rFonts w:ascii="宋体"/>
                <w:color w:val="auto"/>
                <w:szCs w:val="21"/>
                <w:highlight w:val="none"/>
              </w:rPr>
            </w:pPr>
            <w:r>
              <w:rPr>
                <w:rFonts w:hint="eastAsia" w:ascii="宋体" w:hAnsi="宋体"/>
                <w:color w:val="auto"/>
                <w:szCs w:val="21"/>
                <w:highlight w:val="none"/>
              </w:rPr>
              <w:t>（元）</w:t>
            </w:r>
          </w:p>
        </w:tc>
        <w:tc>
          <w:tcPr>
            <w:tcW w:w="648" w:type="dxa"/>
            <w:vAlign w:val="center"/>
          </w:tcPr>
          <w:p w14:paraId="0666A22A">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备注</w:t>
            </w:r>
          </w:p>
        </w:tc>
      </w:tr>
      <w:tr w14:paraId="4551A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557" w:type="dxa"/>
            <w:vAlign w:val="center"/>
          </w:tcPr>
          <w:p w14:paraId="54ABF8E8">
            <w:pPr>
              <w:tabs>
                <w:tab w:val="left" w:pos="5580"/>
              </w:tabs>
              <w:spacing w:line="360" w:lineRule="auto"/>
              <w:ind w:left="-697"/>
              <w:jc w:val="center"/>
              <w:rPr>
                <w:rFonts w:hint="eastAsia" w:ascii="宋体" w:hAnsi="宋体"/>
                <w:color w:val="auto"/>
                <w:szCs w:val="21"/>
                <w:highlight w:val="none"/>
              </w:rPr>
            </w:pPr>
          </w:p>
        </w:tc>
        <w:tc>
          <w:tcPr>
            <w:tcW w:w="1141" w:type="dxa"/>
          </w:tcPr>
          <w:p w14:paraId="70CC67AE">
            <w:pPr>
              <w:tabs>
                <w:tab w:val="left" w:pos="5580"/>
              </w:tabs>
              <w:spacing w:line="360" w:lineRule="auto"/>
              <w:jc w:val="right"/>
              <w:rPr>
                <w:rFonts w:hint="eastAsia" w:ascii="宋体" w:hAnsi="宋体"/>
                <w:color w:val="auto"/>
                <w:szCs w:val="21"/>
                <w:highlight w:val="none"/>
              </w:rPr>
            </w:pPr>
          </w:p>
        </w:tc>
        <w:tc>
          <w:tcPr>
            <w:tcW w:w="720" w:type="dxa"/>
            <w:vAlign w:val="center"/>
          </w:tcPr>
          <w:p w14:paraId="5F50FE18">
            <w:pPr>
              <w:tabs>
                <w:tab w:val="left" w:pos="5580"/>
              </w:tabs>
              <w:spacing w:line="360" w:lineRule="auto"/>
              <w:jc w:val="right"/>
              <w:rPr>
                <w:rFonts w:hint="eastAsia" w:ascii="宋体" w:hAnsi="宋体"/>
                <w:color w:val="auto"/>
                <w:szCs w:val="21"/>
                <w:highlight w:val="none"/>
              </w:rPr>
            </w:pPr>
          </w:p>
        </w:tc>
        <w:tc>
          <w:tcPr>
            <w:tcW w:w="1575" w:type="dxa"/>
            <w:vAlign w:val="center"/>
          </w:tcPr>
          <w:p w14:paraId="64C303C6">
            <w:pPr>
              <w:tabs>
                <w:tab w:val="left" w:pos="5580"/>
              </w:tabs>
              <w:spacing w:line="360" w:lineRule="auto"/>
              <w:jc w:val="center"/>
              <w:rPr>
                <w:rFonts w:hint="eastAsia" w:ascii="宋体" w:hAnsi="宋体"/>
                <w:color w:val="auto"/>
                <w:szCs w:val="21"/>
                <w:highlight w:val="none"/>
              </w:rPr>
            </w:pPr>
          </w:p>
        </w:tc>
        <w:tc>
          <w:tcPr>
            <w:tcW w:w="1431" w:type="dxa"/>
            <w:vAlign w:val="center"/>
          </w:tcPr>
          <w:p w14:paraId="6F64F66B">
            <w:pPr>
              <w:tabs>
                <w:tab w:val="left" w:pos="5580"/>
              </w:tabs>
              <w:spacing w:line="360" w:lineRule="auto"/>
              <w:jc w:val="center"/>
              <w:rPr>
                <w:rFonts w:hint="eastAsia" w:ascii="宋体" w:hAnsi="宋体"/>
                <w:color w:val="auto"/>
                <w:szCs w:val="21"/>
                <w:highlight w:val="none"/>
              </w:rPr>
            </w:pPr>
          </w:p>
        </w:tc>
        <w:tc>
          <w:tcPr>
            <w:tcW w:w="1209" w:type="dxa"/>
            <w:vAlign w:val="center"/>
          </w:tcPr>
          <w:p w14:paraId="413EDB5A">
            <w:pPr>
              <w:tabs>
                <w:tab w:val="left" w:pos="5580"/>
              </w:tabs>
              <w:spacing w:line="360" w:lineRule="auto"/>
              <w:jc w:val="center"/>
              <w:rPr>
                <w:rFonts w:hint="eastAsia" w:ascii="宋体" w:hAnsi="宋体"/>
                <w:color w:val="auto"/>
                <w:szCs w:val="21"/>
                <w:highlight w:val="none"/>
              </w:rPr>
            </w:pPr>
          </w:p>
        </w:tc>
        <w:tc>
          <w:tcPr>
            <w:tcW w:w="1206" w:type="dxa"/>
          </w:tcPr>
          <w:p w14:paraId="4B7C5A71">
            <w:pPr>
              <w:tabs>
                <w:tab w:val="left" w:pos="5580"/>
              </w:tabs>
              <w:spacing w:line="360" w:lineRule="auto"/>
              <w:jc w:val="center"/>
              <w:rPr>
                <w:rFonts w:hint="eastAsia" w:ascii="宋体" w:hAnsi="宋体"/>
                <w:color w:val="auto"/>
                <w:szCs w:val="21"/>
                <w:highlight w:val="none"/>
              </w:rPr>
            </w:pPr>
          </w:p>
        </w:tc>
        <w:tc>
          <w:tcPr>
            <w:tcW w:w="648" w:type="dxa"/>
          </w:tcPr>
          <w:p w14:paraId="1EB39121">
            <w:pPr>
              <w:tabs>
                <w:tab w:val="left" w:pos="5580"/>
              </w:tabs>
              <w:spacing w:line="360" w:lineRule="auto"/>
              <w:jc w:val="center"/>
              <w:rPr>
                <w:rFonts w:hint="eastAsia" w:ascii="宋体" w:hAnsi="宋体"/>
                <w:color w:val="auto"/>
                <w:szCs w:val="21"/>
                <w:highlight w:val="none"/>
              </w:rPr>
            </w:pPr>
          </w:p>
        </w:tc>
      </w:tr>
    </w:tbl>
    <w:p w14:paraId="384B073F">
      <w:pPr>
        <w:autoSpaceDE w:val="0"/>
        <w:autoSpaceDN w:val="0"/>
        <w:adjustRightInd w:val="0"/>
        <w:jc w:val="left"/>
        <w:rPr>
          <w:rFonts w:eastAsiaTheme="minorEastAsia"/>
          <w:color w:val="auto"/>
          <w:kern w:val="0"/>
          <w:sz w:val="24"/>
          <w:highlight w:val="none"/>
        </w:rPr>
      </w:pPr>
    </w:p>
    <w:p w14:paraId="68991E0A">
      <w:pPr>
        <w:autoSpaceDE w:val="0"/>
        <w:autoSpaceDN w:val="0"/>
        <w:adjustRightInd w:val="0"/>
        <w:jc w:val="left"/>
        <w:rPr>
          <w:color w:val="auto"/>
          <w:sz w:val="24"/>
          <w:szCs w:val="20"/>
          <w:highlight w:val="none"/>
        </w:rPr>
      </w:pPr>
      <w:r>
        <w:rPr>
          <w:color w:val="auto"/>
          <w:kern w:val="0"/>
          <w:sz w:val="24"/>
          <w:highlight w:val="none"/>
        </w:rPr>
        <w:t>注：1</w:t>
      </w:r>
      <w:r>
        <w:rPr>
          <w:rFonts w:hint="eastAsia" w:ascii="宋体" w:hAnsi="宋体" w:cs="宋体"/>
          <w:color w:val="auto"/>
          <w:sz w:val="24"/>
          <w:szCs w:val="20"/>
          <w:highlight w:val="none"/>
        </w:rPr>
        <w:t>.本表</w:t>
      </w:r>
      <w:r>
        <w:rPr>
          <w:color w:val="auto"/>
          <w:sz w:val="24"/>
          <w:szCs w:val="20"/>
          <w:highlight w:val="none"/>
        </w:rPr>
        <w:t>必须按包分别填写。</w:t>
      </w:r>
    </w:p>
    <w:p w14:paraId="5888BED7">
      <w:pPr>
        <w:pStyle w:val="215"/>
        <w:ind w:left="642" w:leftChars="227" w:hanging="165" w:hangingChars="69"/>
        <w:rPr>
          <w:rFonts w:ascii="Times New Roman" w:hAnsi="Times New Roman"/>
          <w:color w:val="auto"/>
          <w:sz w:val="24"/>
          <w:szCs w:val="24"/>
          <w:highlight w:val="none"/>
        </w:rPr>
      </w:pPr>
      <w:r>
        <w:rPr>
          <w:rFonts w:ascii="Times New Roman" w:hAnsi="Times New Roman"/>
          <w:color w:val="auto"/>
          <w:sz w:val="24"/>
          <w:highlight w:val="none"/>
        </w:rPr>
        <w:t>2</w:t>
      </w:r>
      <w:r>
        <w:rPr>
          <w:rFonts w:hint="eastAsia" w:cs="宋体"/>
          <w:color w:val="auto"/>
          <w:sz w:val="24"/>
          <w:highlight w:val="none"/>
        </w:rPr>
        <w:t>.如磋商后报价进行</w:t>
      </w:r>
      <w:r>
        <w:rPr>
          <w:rFonts w:hint="eastAsia" w:cs="宋体"/>
          <w:color w:val="auto"/>
          <w:sz w:val="24"/>
          <w:szCs w:val="24"/>
          <w:highlight w:val="none"/>
        </w:rPr>
        <w:t>调整</w:t>
      </w:r>
      <w:r>
        <w:rPr>
          <w:rFonts w:hint="eastAsia" w:cs="宋体"/>
          <w:color w:val="auto"/>
          <w:sz w:val="24"/>
          <w:highlight w:val="none"/>
        </w:rPr>
        <w:t>，则供应商需提供与最后报价一览表对应的已标价工程量</w:t>
      </w:r>
      <w:r>
        <w:rPr>
          <w:rFonts w:ascii="Times New Roman" w:hAnsi="Times New Roman"/>
          <w:color w:val="auto"/>
          <w:sz w:val="24"/>
          <w:highlight w:val="none"/>
        </w:rPr>
        <w:t>清单。</w:t>
      </w:r>
    </w:p>
    <w:p w14:paraId="4CDA930C">
      <w:pPr>
        <w:pStyle w:val="215"/>
        <w:ind w:left="642" w:leftChars="227" w:hanging="165" w:hangingChars="69"/>
        <w:rPr>
          <w:rFonts w:ascii="Times New Roman" w:hAnsi="Times New Roman"/>
          <w:color w:val="auto"/>
          <w:sz w:val="24"/>
          <w:highlight w:val="none"/>
        </w:rPr>
      </w:pPr>
      <w:r>
        <w:rPr>
          <w:rFonts w:ascii="Times New Roman" w:hAnsi="Times New Roman"/>
          <w:color w:val="auto"/>
          <w:sz w:val="24"/>
          <w:highlight w:val="none"/>
        </w:rPr>
        <w:t>3</w:t>
      </w:r>
      <w:r>
        <w:rPr>
          <w:rFonts w:hint="eastAsia" w:cs="宋体"/>
          <w:color w:val="auto"/>
          <w:sz w:val="24"/>
          <w:highlight w:val="none"/>
        </w:rPr>
        <w:t>.最后报价一览表及对应的已标价工程量清单无需在响应文件中提交，磋商后供应</w:t>
      </w:r>
      <w:r>
        <w:rPr>
          <w:rFonts w:ascii="Times New Roman" w:hAnsi="Times New Roman"/>
          <w:color w:val="auto"/>
          <w:sz w:val="24"/>
          <w:highlight w:val="none"/>
        </w:rPr>
        <w:t>商按磋商小组要求提交。</w:t>
      </w:r>
    </w:p>
    <w:bookmarkEnd w:id="977"/>
    <w:p w14:paraId="72652FA4">
      <w:pPr>
        <w:autoSpaceDE w:val="0"/>
        <w:autoSpaceDN w:val="0"/>
        <w:adjustRightInd w:val="0"/>
        <w:ind w:firstLine="480" w:firstLineChars="200"/>
        <w:jc w:val="left"/>
        <w:rPr>
          <w:color w:val="auto"/>
          <w:sz w:val="24"/>
          <w:highlight w:val="none"/>
        </w:rPr>
      </w:pPr>
    </w:p>
    <w:p w14:paraId="5F06A5F7">
      <w:pPr>
        <w:autoSpaceDE w:val="0"/>
        <w:autoSpaceDN w:val="0"/>
        <w:adjustRightInd w:val="0"/>
        <w:ind w:firstLine="480" w:firstLineChars="200"/>
        <w:jc w:val="left"/>
        <w:rPr>
          <w:color w:val="auto"/>
          <w:sz w:val="24"/>
          <w:highlight w:val="none"/>
        </w:rPr>
      </w:pPr>
    </w:p>
    <w:p w14:paraId="20703EBF">
      <w:pPr>
        <w:autoSpaceDE w:val="0"/>
        <w:autoSpaceDN w:val="0"/>
        <w:adjustRightInd w:val="0"/>
        <w:snapToGrid w:val="0"/>
        <w:spacing w:before="25" w:after="25" w:line="360" w:lineRule="auto"/>
        <w:rPr>
          <w:color w:val="auto"/>
          <w:sz w:val="24"/>
          <w:highlight w:val="none"/>
        </w:rPr>
      </w:pPr>
    </w:p>
    <w:p w14:paraId="54DD8605">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BAB405C">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供应商授权代表签字（或加盖公章）</w:t>
      </w:r>
      <w:r>
        <w:rPr>
          <w:color w:val="auto"/>
          <w:sz w:val="24"/>
          <w:highlight w:val="none"/>
          <w:lang w:val="zh-CN"/>
        </w:rPr>
        <w:t xml:space="preserve">：___________ </w:t>
      </w:r>
    </w:p>
    <w:p w14:paraId="118CE12A">
      <w:pPr>
        <w:widowControl/>
        <w:jc w:val="left"/>
        <w:rPr>
          <w:color w:val="auto"/>
          <w:sz w:val="24"/>
          <w:szCs w:val="20"/>
          <w:highlight w:val="none"/>
        </w:rPr>
      </w:pPr>
      <w:r>
        <w:rPr>
          <w:color w:val="auto"/>
          <w:sz w:val="24"/>
          <w:szCs w:val="20"/>
          <w:highlight w:val="none"/>
        </w:rPr>
        <w:t xml:space="preserve">日期：____年____月____日   </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3E34A5A">
      <w:pPr>
        <w:widowControl/>
        <w:ind w:right="960"/>
        <w:jc w:val="center"/>
        <w:rPr>
          <w:rFonts w:hint="eastAsia" w:ascii="宋体" w:hAnsi="宋体"/>
          <w:color w:val="auto"/>
          <w:sz w:val="22"/>
          <w:szCs w:val="20"/>
          <w:highlight w:val="none"/>
        </w:rPr>
      </w:pPr>
    </w:p>
    <w:sectPr>
      <w:headerReference r:id="rId38" w:type="first"/>
      <w:footerReference r:id="rId40" w:type="first"/>
      <w:headerReference r:id="rId37" w:type="even"/>
      <w:footerReference r:id="rId39" w:type="even"/>
      <w:type w:val="nextColumn"/>
      <w:pgSz w:w="11907" w:h="16840"/>
      <w:pgMar w:top="1440" w:right="1800" w:bottom="993" w:left="180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7875C1-C657-4786-84B7-D3A116CA5CA1}"/>
  </w:font>
  <w:font w:name="Arial">
    <w:panose1 w:val="020B0604020202020204"/>
    <w:charset w:val="01"/>
    <w:family w:val="swiss"/>
    <w:pitch w:val="default"/>
    <w:sig w:usb0="E0002EFF" w:usb1="C000785B" w:usb2="00000009" w:usb3="00000000" w:csb0="400001FF" w:csb1="FFFF0000"/>
    <w:embedRegular r:id="rId2" w:fontKey="{7993EE72-B9C3-4994-9761-70D763A5D7F6}"/>
  </w:font>
  <w:font w:name="黑体">
    <w:panose1 w:val="02010600030101010101"/>
    <w:charset w:val="86"/>
    <w:family w:val="auto"/>
    <w:pitch w:val="default"/>
    <w:sig w:usb0="800002BF" w:usb1="38CF7CFA" w:usb2="00000016" w:usb3="00000000" w:csb0="00040001" w:csb1="00000000"/>
    <w:embedRegular r:id="rId3" w:fontKey="{6C597042-2863-4E49-AEEA-483424955F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4FC09DE5-BFF8-48D4-8E83-4EBB7FBB7CA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88BB8D9E-24CC-4D5C-ABD5-CC76C09C07D5}"/>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embedRegular r:id="rId6" w:fontKey="{29248980-EF41-4D49-8DB1-363F32D5181E}"/>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仿宋"/>
    <w:panose1 w:val="00000000000000000000"/>
    <w:charset w:val="01"/>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全真簡粗明">
    <w:altName w:val="微软雅黑"/>
    <w:panose1 w:val="00000000000000000000"/>
    <w:charset w:val="01"/>
    <w:family w:val="swiss"/>
    <w:pitch w:val="default"/>
    <w:sig w:usb0="00000000" w:usb1="00000000" w:usb2="00000010" w:usb3="00000000" w:csb0="00140000" w:csb1="00000000"/>
  </w:font>
  <w:font w:name="微软雅黑">
    <w:panose1 w:val="020B0503020204020204"/>
    <w:charset w:val="86"/>
    <w:family w:val="swiss"/>
    <w:pitch w:val="default"/>
    <w:sig w:usb0="80000287" w:usb1="2ACF3C50" w:usb2="00000016" w:usb3="00000000" w:csb0="0004001F" w:csb1="00000000"/>
    <w:embedRegular r:id="rId7" w:fontKey="{A117EA8E-2332-4CA2-A0BF-06776D527EB2}"/>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0000000000000000000"/>
    <w:charset w:val="86"/>
    <w:family w:val="auto"/>
    <w:pitch w:val="default"/>
    <w:sig w:usb0="00000000" w:usb1="00000000" w:usb2="00000012" w:usb3="00000000" w:csb0="0004000F" w:csb1="00000000"/>
    <w:embedRegular r:id="rId8" w:fontKey="{93FD6B57-3388-4AF1-81EA-A09C473AC422}"/>
  </w:font>
  <w:font w:name="Segoe UI Symbol">
    <w:panose1 w:val="020B0502040204020203"/>
    <w:charset w:val="00"/>
    <w:family w:val="swiss"/>
    <w:pitch w:val="default"/>
    <w:sig w:usb0="800001E3" w:usb1="1200FFEF" w:usb2="00040000" w:usb3="04000000" w:csb0="00000001" w:csb1="40000000"/>
    <w:embedRegular r:id="rId9" w:fontKey="{5B29AA05-2839-4F52-9C65-F7A620D1D4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C79F">
    <w:pPr>
      <w:pStyle w:val="3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70E3">
    <w:pPr>
      <w:spacing w:line="226" w:lineRule="exact"/>
      <w:ind w:left="18"/>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823E0">
                          <w:pPr>
                            <w:pStyle w:val="3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1823E0">
                    <w:pPr>
                      <w:pStyle w:val="3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513B">
    <w:pPr>
      <w:spacing w:line="226" w:lineRule="exact"/>
      <w:ind w:left="15"/>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EA2E8">
                          <w:pPr>
                            <w:pStyle w:val="3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5EA2E8">
                    <w:pPr>
                      <w:pStyle w:val="3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3A8A">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B13E9">
                          <w:pPr>
                            <w:pStyle w:val="3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4B13E9">
                    <w:pPr>
                      <w:pStyle w:val="3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35C6">
    <w:pPr>
      <w:pStyle w:val="3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62477">
                          <w:pPr>
                            <w:pStyle w:val="3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362477">
                    <w:pPr>
                      <w:pStyle w:val="3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A24C">
    <w:pPr>
      <w:pStyle w:val="3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7180" cy="131445"/>
              <wp:effectExtent l="0" t="0" r="7620" b="4445"/>
              <wp:wrapNone/>
              <wp:docPr id="1932424208" name="文本框 1932424208"/>
              <wp:cNvGraphicFramePr/>
              <a:graphic xmlns:a="http://schemas.openxmlformats.org/drawingml/2006/main">
                <a:graphicData uri="http://schemas.microsoft.com/office/word/2010/wordprocessingShape">
                  <wps:wsp>
                    <wps:cNvSpPr txBox="1">
                      <a:spLocks noChangeArrowheads="1"/>
                    </wps:cNvSpPr>
                    <wps:spPr bwMode="auto">
                      <a:xfrm>
                        <a:off x="0" y="0"/>
                        <a:ext cx="297180" cy="131445"/>
                      </a:xfrm>
                      <a:prstGeom prst="rect">
                        <a:avLst/>
                      </a:prstGeom>
                      <a:noFill/>
                      <a:ln>
                        <a:noFill/>
                      </a:ln>
                      <a:effectLst/>
                    </wps:spPr>
                    <wps:txbx>
                      <w:txbxContent>
                        <w:p w14:paraId="14D63EBF">
                          <w:pPr>
                            <w:pStyle w:val="33"/>
                          </w:pPr>
                          <w:r>
                            <w:fldChar w:fldCharType="begin"/>
                          </w:r>
                          <w:r>
                            <w:instrText xml:space="preserve"> PAGE  \* MERGEFORMAT </w:instrText>
                          </w:r>
                          <w:r>
                            <w:fldChar w:fldCharType="separate"/>
                          </w:r>
                          <w:r>
                            <w:t>90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3.4pt;mso-position-horizontal:outside;mso-position-horizontal-relative:margin;z-index:251659264;mso-width-relative:page;mso-height-relative:page;" filled="f" stroked="f" coordsize="21600,21600" o:gfxdata="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snyV0QAAAAMBAAAPAAAAAAAA&#10;AAEAIAAAACIAAABkcnMvZG93bnJldi54bWxQSwECFAAUAAAACACHTuJAPiKgrhkCAAAkBAAADgAA&#10;AAAAAAABACAAAAAgAQAAZHJzL2Uyb0RvYy54bWxQSwUGAAAAAAYABgBZAQAAqwUAAAAA&#10;">
              <v:fill on="f" focussize="0,0"/>
              <v:stroke on="f"/>
              <v:imagedata o:title=""/>
              <o:lock v:ext="edit" aspectratio="f"/>
              <v:textbox inset="0mm,0mm,0mm,0mm" style="mso-fit-shape-to-text:t;">
                <w:txbxContent>
                  <w:p w14:paraId="14D63EBF">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E5EF7">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48392ADD">
    <w:pPr>
      <w:pStyle w:val="33"/>
      <w:ind w:right="360"/>
    </w:pPr>
  </w:p>
  <w:p w14:paraId="534FD88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34B1">
    <w:pPr>
      <w:pStyle w:val="3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5409">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B337DB2">
    <w:pPr>
      <w:pStyle w:val="33"/>
      <w:ind w:right="360"/>
    </w:pPr>
  </w:p>
  <w:p w14:paraId="13D1133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366B">
    <w:pPr>
      <w:pStyle w:val="3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4335">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10B7C">
                          <w:pPr>
                            <w:pStyle w:val="33"/>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210B7C">
                    <w:pPr>
                      <w:pStyle w:val="33"/>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ED39">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w:t>
    </w:r>
    <w:r>
      <w:fldChar w:fldCharType="end"/>
    </w:r>
  </w:p>
  <w:p w14:paraId="1D296196">
    <w:pPr>
      <w:pStyle w:val="3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6244">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4E52F2A1">
    <w:pPr>
      <w:pStyle w:val="33"/>
      <w:ind w:right="360"/>
    </w:pPr>
  </w:p>
  <w:p w14:paraId="1F59A9D4"/>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7625">
    <w:pPr>
      <w:pStyle w:val="3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E41F">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5E8B5F19">
    <w:pPr>
      <w:pStyle w:val="33"/>
      <w:ind w:right="360"/>
    </w:pPr>
  </w:p>
  <w:p w14:paraId="736D5437"/>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E1A4">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FE5E">
    <w:pPr>
      <w:pStyle w:val="33"/>
      <w:tabs>
        <w:tab w:val="left" w:pos="1229"/>
        <w:tab w:val="center" w:pos="4213"/>
      </w:tabs>
      <w:jc w:val="left"/>
    </w:pPr>
    <w:r>
      <w:rPr>
        <w:rFonts w:hint="eastAsia"/>
        <w:sz w:val="18"/>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57D6">
    <w:pPr>
      <w:pStyle w:val="33"/>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89034">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689034">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5E84">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C257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DC257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9C16F">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38</w:t>
    </w:r>
    <w:r>
      <w:rPr>
        <w:rStyle w:val="58"/>
      </w:rPr>
      <w:fldChar w:fldCharType="end"/>
    </w:r>
  </w:p>
  <w:p w14:paraId="2FD854E5">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C3D4">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0A6B">
    <w:pPr>
      <w:pStyle w:val="3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A201F">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7A201F">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0A20">
    <w:pPr>
      <w:pStyle w:val="33"/>
      <w:jc w:val="center"/>
    </w:pPr>
    <w:r>
      <w:fldChar w:fldCharType="begin"/>
    </w:r>
    <w:r>
      <w:instrText xml:space="preserve"> PAGE   \* MERGEFORMAT </w:instrText>
    </w:r>
    <w:r>
      <w:fldChar w:fldCharType="separate"/>
    </w:r>
    <w:r>
      <w:rPr>
        <w:lang w:val="zh-CN"/>
      </w:rPr>
      <w:t>267</w:t>
    </w:r>
    <w:r>
      <w:rPr>
        <w:lang w:val="zh-CN"/>
      </w:rPr>
      <w:fldChar w:fldCharType="end"/>
    </w:r>
  </w:p>
  <w:p w14:paraId="0C7A785A">
    <w:pPr>
      <w:pStyle w:val="33"/>
      <w:tabs>
        <w:tab w:val="left" w:pos="4668"/>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1106">
    <w:pPr>
      <w:pStyle w:val="3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6E24">
    <w:pPr>
      <w:pStyle w:val="3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9AF2">
    <w:pPr>
      <w:pStyle w:val="35"/>
      <w:pBdr>
        <w:bottom w:val="none" w:color="auto" w:sz="0" w:space="0"/>
      </w:pBdr>
    </w:pPr>
  </w:p>
  <w:p w14:paraId="3DB611C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FE2">
    <w:pPr>
      <w:pStyle w:val="35"/>
    </w:pPr>
  </w:p>
  <w:p w14:paraId="2E468EB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B780">
    <w:pPr>
      <w:pStyle w:val="3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0D81">
    <w:pPr>
      <w:pStyle w:val="35"/>
    </w:pPr>
  </w:p>
  <w:p w14:paraId="6D7D205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4E8D">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3E1D">
    <w:pPr>
      <w:pStyle w:val="3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D74F">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577A">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2918">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12F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A414">
    <w:pPr>
      <w:pStyle w:val="35"/>
    </w:pPr>
  </w:p>
  <w:p w14:paraId="7051BE7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A6FA">
    <w:pPr>
      <w:pStyle w:val="3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7405B">
    <w:pPr>
      <w:pStyle w:val="35"/>
    </w:pPr>
  </w:p>
  <w:p w14:paraId="1DBCFA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98B7F"/>
    <w:multiLevelType w:val="singleLevel"/>
    <w:tmpl w:val="BBA98B7F"/>
    <w:lvl w:ilvl="0" w:tentative="0">
      <w:start w:val="2"/>
      <w:numFmt w:val="decimal"/>
      <w:suff w:val="nothing"/>
      <w:lvlText w:val="%1）"/>
      <w:lvlJc w:val="left"/>
    </w:lvl>
  </w:abstractNum>
  <w:abstractNum w:abstractNumId="1">
    <w:nsid w:val="E5C09F44"/>
    <w:multiLevelType w:val="singleLevel"/>
    <w:tmpl w:val="E5C09F44"/>
    <w:lvl w:ilvl="0" w:tentative="0">
      <w:start w:val="2"/>
      <w:numFmt w:val="decimal"/>
      <w:lvlText w:val="%1."/>
      <w:lvlJc w:val="left"/>
      <w:pPr>
        <w:tabs>
          <w:tab w:val="left" w:pos="312"/>
        </w:tabs>
      </w:pPr>
      <w:rPr>
        <w:rFonts w:hint="default" w:ascii="宋体" w:hAnsi="宋体" w:eastAsia="宋体" w:cs="宋体"/>
        <w:sz w:val="24"/>
        <w:szCs w:val="24"/>
      </w:rPr>
    </w:lvl>
  </w:abstractNum>
  <w:abstractNum w:abstractNumId="2">
    <w:nsid w:val="F9E32AFB"/>
    <w:multiLevelType w:val="singleLevel"/>
    <w:tmpl w:val="F9E32AFB"/>
    <w:lvl w:ilvl="0" w:tentative="0">
      <w:start w:val="2"/>
      <w:numFmt w:val="chineseCounting"/>
      <w:suff w:val="nothing"/>
      <w:lvlText w:val="%1、"/>
      <w:lvlJc w:val="left"/>
      <w:rPr>
        <w:rFonts w:hint="eastAsia"/>
      </w:rPr>
    </w:lvl>
  </w:abstractNum>
  <w:abstractNum w:abstractNumId="3">
    <w:nsid w:val="FEF6A771"/>
    <w:multiLevelType w:val="singleLevel"/>
    <w:tmpl w:val="FEF6A771"/>
    <w:lvl w:ilvl="0" w:tentative="0">
      <w:start w:val="1"/>
      <w:numFmt w:val="lowerLetter"/>
      <w:suff w:val="space"/>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5509"/>
        </w:tabs>
        <w:ind w:left="5509" w:hanging="1140"/>
      </w:pPr>
      <w:rPr>
        <w:rFonts w:hint="eastAsia"/>
      </w:rPr>
    </w:lvl>
    <w:lvl w:ilvl="1" w:tentative="0">
      <w:start w:val="1"/>
      <w:numFmt w:val="lowerLetter"/>
      <w:lvlText w:val="%2)"/>
      <w:lvlJc w:val="left"/>
      <w:pPr>
        <w:tabs>
          <w:tab w:val="left" w:pos="5209"/>
        </w:tabs>
        <w:ind w:left="5209" w:hanging="420"/>
      </w:pPr>
    </w:lvl>
    <w:lvl w:ilvl="2" w:tentative="0">
      <w:start w:val="1"/>
      <w:numFmt w:val="lowerRoman"/>
      <w:lvlText w:val="%3."/>
      <w:lvlJc w:val="right"/>
      <w:pPr>
        <w:tabs>
          <w:tab w:val="left" w:pos="5629"/>
        </w:tabs>
        <w:ind w:left="5629" w:hanging="420"/>
      </w:pPr>
    </w:lvl>
    <w:lvl w:ilvl="3" w:tentative="0">
      <w:start w:val="1"/>
      <w:numFmt w:val="decimal"/>
      <w:lvlText w:val="%4."/>
      <w:lvlJc w:val="left"/>
      <w:pPr>
        <w:tabs>
          <w:tab w:val="left" w:pos="6049"/>
        </w:tabs>
        <w:ind w:left="6049" w:hanging="420"/>
      </w:pPr>
    </w:lvl>
    <w:lvl w:ilvl="4" w:tentative="0">
      <w:start w:val="1"/>
      <w:numFmt w:val="lowerLetter"/>
      <w:lvlText w:val="%5)"/>
      <w:lvlJc w:val="left"/>
      <w:pPr>
        <w:tabs>
          <w:tab w:val="left" w:pos="6469"/>
        </w:tabs>
        <w:ind w:left="6469" w:hanging="420"/>
      </w:pPr>
    </w:lvl>
    <w:lvl w:ilvl="5" w:tentative="0">
      <w:start w:val="1"/>
      <w:numFmt w:val="lowerRoman"/>
      <w:lvlText w:val="%6."/>
      <w:lvlJc w:val="right"/>
      <w:pPr>
        <w:tabs>
          <w:tab w:val="left" w:pos="6889"/>
        </w:tabs>
        <w:ind w:left="6889" w:hanging="420"/>
      </w:pPr>
    </w:lvl>
    <w:lvl w:ilvl="6" w:tentative="0">
      <w:start w:val="1"/>
      <w:numFmt w:val="decimal"/>
      <w:lvlText w:val="%7."/>
      <w:lvlJc w:val="left"/>
      <w:pPr>
        <w:tabs>
          <w:tab w:val="left" w:pos="7309"/>
        </w:tabs>
        <w:ind w:left="7309" w:hanging="420"/>
      </w:pPr>
    </w:lvl>
    <w:lvl w:ilvl="7" w:tentative="0">
      <w:start w:val="1"/>
      <w:numFmt w:val="lowerLetter"/>
      <w:lvlText w:val="%8)"/>
      <w:lvlJc w:val="left"/>
      <w:pPr>
        <w:tabs>
          <w:tab w:val="left" w:pos="7729"/>
        </w:tabs>
        <w:ind w:left="7729" w:hanging="420"/>
      </w:pPr>
    </w:lvl>
    <w:lvl w:ilvl="8" w:tentative="0">
      <w:start w:val="1"/>
      <w:numFmt w:val="lowerRoman"/>
      <w:lvlText w:val="%9."/>
      <w:lvlJc w:val="right"/>
      <w:pPr>
        <w:tabs>
          <w:tab w:val="left" w:pos="8149"/>
        </w:tabs>
        <w:ind w:left="8149" w:hanging="420"/>
      </w:pPr>
    </w:lvl>
  </w:abstractNum>
  <w:abstractNum w:abstractNumId="5">
    <w:nsid w:val="00000014"/>
    <w:multiLevelType w:val="multilevel"/>
    <w:tmpl w:val="00000014"/>
    <w:lvl w:ilvl="0" w:tentative="0">
      <w:start w:val="1"/>
      <w:numFmt w:val="decimal"/>
      <w:pStyle w:val="413"/>
      <w:lvlText w:val="%1."/>
      <w:lvlJc w:val="left"/>
      <w:pPr>
        <w:tabs>
          <w:tab w:val="left" w:pos="709"/>
        </w:tabs>
        <w:ind w:left="709" w:hanging="709"/>
      </w:pPr>
      <w:rPr>
        <w:rFonts w:hint="eastAsia"/>
      </w:rPr>
    </w:lvl>
    <w:lvl w:ilvl="1" w:tentative="0">
      <w:start w:val="1"/>
      <w:numFmt w:val="decimal"/>
      <w:lvlText w:val="%1.%2"/>
      <w:lvlJc w:val="left"/>
      <w:pPr>
        <w:tabs>
          <w:tab w:val="left" w:pos="1135"/>
        </w:tabs>
        <w:ind w:left="1135"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Times New Roman" w:hAnsi="Times New Roman"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color w:val="000000" w:themeColor="text1"/>
        <w14:textFill>
          <w14:solidFill>
            <w14:schemeClr w14:val="tx1"/>
          </w14:solidFill>
        </w14:textFill>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FD46054"/>
    <w:multiLevelType w:val="multilevel"/>
    <w:tmpl w:val="0FD46054"/>
    <w:lvl w:ilvl="0" w:tentative="0">
      <w:start w:val="1"/>
      <w:numFmt w:val="decimal"/>
      <w:pStyle w:val="226"/>
      <w:lvlText w:val="%1."/>
      <w:lvlJc w:val="left"/>
      <w:pPr>
        <w:tabs>
          <w:tab w:val="left" w:pos="420"/>
        </w:tabs>
        <w:ind w:left="420" w:hanging="420"/>
      </w:pPr>
      <w:rPr>
        <w:b w:val="0"/>
      </w:rPr>
    </w:lvl>
    <w:lvl w:ilvl="1" w:tentative="0">
      <w:start w:val="1"/>
      <w:numFmt w:val="lowerLetter"/>
      <w:pStyle w:val="227"/>
      <w:lvlText w:val="%2)"/>
      <w:lvlJc w:val="left"/>
      <w:pPr>
        <w:tabs>
          <w:tab w:val="left" w:pos="840"/>
        </w:tabs>
        <w:ind w:left="840" w:hanging="420"/>
      </w:pPr>
    </w:lvl>
    <w:lvl w:ilvl="2" w:tentative="0">
      <w:start w:val="1"/>
      <w:numFmt w:val="lowerRoman"/>
      <w:pStyle w:val="2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default" w:ascii="Times New Roman" w:hAnsi="Times New Roman" w:cs="Times New Roman"/>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1E80430"/>
    <w:multiLevelType w:val="singleLevel"/>
    <w:tmpl w:val="41E80430"/>
    <w:lvl w:ilvl="0" w:tentative="0">
      <w:start w:val="9"/>
      <w:numFmt w:val="decimal"/>
      <w:lvlText w:val="%1."/>
      <w:lvlJc w:val="left"/>
      <w:pPr>
        <w:tabs>
          <w:tab w:val="left" w:pos="312"/>
        </w:tabs>
      </w:pPr>
    </w:lvl>
  </w:abstractNum>
  <w:abstractNum w:abstractNumId="12">
    <w:nsid w:val="4B9D1C70"/>
    <w:multiLevelType w:val="multilevel"/>
    <w:tmpl w:val="4B9D1C70"/>
    <w:lvl w:ilvl="0" w:tentative="0">
      <w:start w:val="1"/>
      <w:numFmt w:val="decimal"/>
      <w:pStyle w:val="171"/>
      <w:lvlText w:val="%1"/>
      <w:lvlJc w:val="left"/>
      <w:pPr>
        <w:ind w:left="425" w:hanging="425"/>
      </w:pPr>
      <w:rPr>
        <w:rFonts w:hint="eastAsia"/>
      </w:rPr>
    </w:lvl>
    <w:lvl w:ilvl="1" w:tentative="0">
      <w:start w:val="1"/>
      <w:numFmt w:val="decimal"/>
      <w:lvlText w:val="%1.%2"/>
      <w:lvlJc w:val="left"/>
      <w:pPr>
        <w:ind w:left="297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E9B6272"/>
    <w:multiLevelType w:val="multilevel"/>
    <w:tmpl w:val="4E9B6272"/>
    <w:lvl w:ilvl="0" w:tentative="0">
      <w:start w:val="1"/>
      <w:numFmt w:val="decimalEnclosedCircle"/>
      <w:pStyle w:val="125"/>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2E10F8"/>
    <w:multiLevelType w:val="multilevel"/>
    <w:tmpl w:val="602E10F8"/>
    <w:lvl w:ilvl="0" w:tentative="0">
      <w:start w:val="1"/>
      <w:numFmt w:val="decimal"/>
      <w:pStyle w:val="2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6BCA0E72"/>
    <w:multiLevelType w:val="singleLevel"/>
    <w:tmpl w:val="6BCA0E72"/>
    <w:lvl w:ilvl="0" w:tentative="0">
      <w:start w:val="1"/>
      <w:numFmt w:val="decimal"/>
      <w:lvlText w:val="(%1)"/>
      <w:lvlJc w:val="left"/>
      <w:pPr>
        <w:ind w:left="425" w:hanging="425"/>
      </w:pPr>
      <w:rPr>
        <w:rFonts w:hint="default"/>
      </w:rPr>
    </w:lvl>
  </w:abstractNum>
  <w:abstractNum w:abstractNumId="16">
    <w:nsid w:val="6EF32AF5"/>
    <w:multiLevelType w:val="multilevel"/>
    <w:tmpl w:val="6EF32AF5"/>
    <w:lvl w:ilvl="0" w:tentative="0">
      <w:start w:val="1"/>
      <w:numFmt w:val="chineseCountingThousand"/>
      <w:lvlText w:val="%1、"/>
      <w:lvlJc w:val="left"/>
      <w:pPr>
        <w:ind w:left="561" w:hanging="420"/>
      </w:pPr>
    </w:lvl>
    <w:lvl w:ilvl="1" w:tentative="0">
      <w:start w:val="1"/>
      <w:numFmt w:val="lowerLetter"/>
      <w:pStyle w:val="158"/>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7">
    <w:nsid w:val="75936CFC"/>
    <w:multiLevelType w:val="multilevel"/>
    <w:tmpl w:val="75936CFC"/>
    <w:lvl w:ilvl="0" w:tentative="0">
      <w:start w:val="1"/>
      <w:numFmt w:val="decimal"/>
      <w:pStyle w:val="120"/>
      <w:lvlText w:val="（%1）"/>
      <w:lvlJc w:val="left"/>
      <w:pPr>
        <w:tabs>
          <w:tab w:val="left" w:pos="1140"/>
        </w:tabs>
        <w:ind w:left="1140" w:hanging="720"/>
      </w:pPr>
      <w:rPr>
        <w:rFonts w:hint="eastAsia"/>
      </w:rPr>
    </w:lvl>
    <w:lvl w:ilvl="1" w:tentative="0">
      <w:start w:val="1"/>
      <w:numFmt w:val="lowerLetter"/>
      <w:pStyle w:val="119"/>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56"/>
      <w:lvlText w:val="%4."/>
      <w:lvlJc w:val="left"/>
      <w:pPr>
        <w:tabs>
          <w:tab w:val="left" w:pos="2100"/>
        </w:tabs>
        <w:ind w:left="2100" w:hanging="420"/>
      </w:pPr>
    </w:lvl>
    <w:lvl w:ilvl="4" w:tentative="0">
      <w:start w:val="1"/>
      <w:numFmt w:val="lowerLetter"/>
      <w:pStyle w:val="155"/>
      <w:lvlText w:val="%5)"/>
      <w:lvlJc w:val="left"/>
      <w:pPr>
        <w:tabs>
          <w:tab w:val="left" w:pos="2520"/>
        </w:tabs>
        <w:ind w:left="2520" w:hanging="420"/>
      </w:pPr>
    </w:lvl>
    <w:lvl w:ilvl="5" w:tentative="0">
      <w:start w:val="1"/>
      <w:numFmt w:val="lowerRoman"/>
      <w:pStyle w:val="164"/>
      <w:lvlText w:val="%6."/>
      <w:lvlJc w:val="right"/>
      <w:pPr>
        <w:tabs>
          <w:tab w:val="left" w:pos="2940"/>
        </w:tabs>
        <w:ind w:left="2940" w:hanging="420"/>
      </w:pPr>
    </w:lvl>
    <w:lvl w:ilvl="6" w:tentative="0">
      <w:start w:val="1"/>
      <w:numFmt w:val="decimal"/>
      <w:pStyle w:val="177"/>
      <w:lvlText w:val="%7."/>
      <w:lvlJc w:val="left"/>
      <w:pPr>
        <w:tabs>
          <w:tab w:val="left" w:pos="3360"/>
        </w:tabs>
        <w:ind w:left="3360" w:hanging="420"/>
      </w:pPr>
    </w:lvl>
    <w:lvl w:ilvl="7" w:tentative="0">
      <w:start w:val="1"/>
      <w:numFmt w:val="lowerLetter"/>
      <w:pStyle w:val="140"/>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798BFCCB"/>
    <w:multiLevelType w:val="singleLevel"/>
    <w:tmpl w:val="798BFCCB"/>
    <w:lvl w:ilvl="0" w:tentative="0">
      <w:start w:val="4"/>
      <w:numFmt w:val="decimal"/>
      <w:lvlText w:val="%1."/>
      <w:lvlJc w:val="left"/>
      <w:pPr>
        <w:tabs>
          <w:tab w:val="left" w:pos="312"/>
        </w:tabs>
      </w:pPr>
    </w:lvl>
  </w:abstractNum>
  <w:num w:numId="1">
    <w:abstractNumId w:val="17"/>
  </w:num>
  <w:num w:numId="2">
    <w:abstractNumId w:val="13"/>
  </w:num>
  <w:num w:numId="3">
    <w:abstractNumId w:val="16"/>
  </w:num>
  <w:num w:numId="4">
    <w:abstractNumId w:val="12"/>
  </w:num>
  <w:num w:numId="5">
    <w:abstractNumId w:val="14"/>
  </w:num>
  <w:num w:numId="6">
    <w:abstractNumId w:val="7"/>
  </w:num>
  <w:num w:numId="7">
    <w:abstractNumId w:val="5"/>
  </w:num>
  <w:num w:numId="8">
    <w:abstractNumId w:val="1"/>
  </w:num>
  <w:num w:numId="9">
    <w:abstractNumId w:val="6"/>
  </w:num>
  <w:num w:numId="10">
    <w:abstractNumId w:val="9"/>
  </w:num>
  <w:num w:numId="11">
    <w:abstractNumId w:val="4"/>
  </w:num>
  <w:num w:numId="12">
    <w:abstractNumId w:val="8"/>
  </w:num>
  <w:num w:numId="13">
    <w:abstractNumId w:val="2"/>
  </w:num>
  <w:num w:numId="14">
    <w:abstractNumId w:val="11"/>
  </w:num>
  <w:num w:numId="15">
    <w:abstractNumId w:val="0"/>
  </w:num>
  <w:num w:numId="16">
    <w:abstractNumId w:val="18"/>
  </w:num>
  <w:num w:numId="17">
    <w:abstractNumId w:val="3"/>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FmZWIzNDg2MmIzZjExOTIzMmViNTBmYTMwYTk0ZWYifQ=="/>
    <w:docVar w:name="VTCASE" w:val="4"/>
    <w:docVar w:name="VTCommandPending" w:val="NONE"/>
  </w:docVars>
  <w:rsids>
    <w:rsidRoot w:val="00172A27"/>
    <w:rsid w:val="00000277"/>
    <w:rsid w:val="000002C4"/>
    <w:rsid w:val="00000368"/>
    <w:rsid w:val="00000432"/>
    <w:rsid w:val="00000448"/>
    <w:rsid w:val="00000905"/>
    <w:rsid w:val="00000BC6"/>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EA1"/>
    <w:rsid w:val="00002F13"/>
    <w:rsid w:val="00002F3D"/>
    <w:rsid w:val="00002FE1"/>
    <w:rsid w:val="000031CE"/>
    <w:rsid w:val="00003279"/>
    <w:rsid w:val="000033F4"/>
    <w:rsid w:val="00003477"/>
    <w:rsid w:val="00003711"/>
    <w:rsid w:val="00003804"/>
    <w:rsid w:val="000039FD"/>
    <w:rsid w:val="00003A41"/>
    <w:rsid w:val="00003C7D"/>
    <w:rsid w:val="00003D01"/>
    <w:rsid w:val="00003D6A"/>
    <w:rsid w:val="00003E5F"/>
    <w:rsid w:val="00003EA2"/>
    <w:rsid w:val="00004254"/>
    <w:rsid w:val="0000429B"/>
    <w:rsid w:val="000044A2"/>
    <w:rsid w:val="000046C6"/>
    <w:rsid w:val="00004717"/>
    <w:rsid w:val="0000474F"/>
    <w:rsid w:val="00004A22"/>
    <w:rsid w:val="00004C44"/>
    <w:rsid w:val="00004D13"/>
    <w:rsid w:val="00004E70"/>
    <w:rsid w:val="0000508D"/>
    <w:rsid w:val="000050FD"/>
    <w:rsid w:val="000051DC"/>
    <w:rsid w:val="00005232"/>
    <w:rsid w:val="000053B4"/>
    <w:rsid w:val="00005407"/>
    <w:rsid w:val="00005905"/>
    <w:rsid w:val="00005A31"/>
    <w:rsid w:val="00005AF1"/>
    <w:rsid w:val="00005DF0"/>
    <w:rsid w:val="00005EC8"/>
    <w:rsid w:val="000060A7"/>
    <w:rsid w:val="000064B2"/>
    <w:rsid w:val="00006668"/>
    <w:rsid w:val="00006923"/>
    <w:rsid w:val="00006BD5"/>
    <w:rsid w:val="00006CD1"/>
    <w:rsid w:val="00006CD3"/>
    <w:rsid w:val="000073B1"/>
    <w:rsid w:val="000073E8"/>
    <w:rsid w:val="0000781A"/>
    <w:rsid w:val="000078F6"/>
    <w:rsid w:val="00007A5A"/>
    <w:rsid w:val="00007DA4"/>
    <w:rsid w:val="00007F7A"/>
    <w:rsid w:val="00010010"/>
    <w:rsid w:val="000100A2"/>
    <w:rsid w:val="000100B6"/>
    <w:rsid w:val="000104BA"/>
    <w:rsid w:val="000106FC"/>
    <w:rsid w:val="00010763"/>
    <w:rsid w:val="00010962"/>
    <w:rsid w:val="00010B40"/>
    <w:rsid w:val="00010DB9"/>
    <w:rsid w:val="00010E8F"/>
    <w:rsid w:val="0001121F"/>
    <w:rsid w:val="0001127B"/>
    <w:rsid w:val="000112A5"/>
    <w:rsid w:val="00011565"/>
    <w:rsid w:val="00011793"/>
    <w:rsid w:val="000118AD"/>
    <w:rsid w:val="00011A59"/>
    <w:rsid w:val="00011AFF"/>
    <w:rsid w:val="00011BD5"/>
    <w:rsid w:val="00011DA9"/>
    <w:rsid w:val="00011EBB"/>
    <w:rsid w:val="00012276"/>
    <w:rsid w:val="0001235C"/>
    <w:rsid w:val="00012486"/>
    <w:rsid w:val="000124BE"/>
    <w:rsid w:val="000125B2"/>
    <w:rsid w:val="000125FF"/>
    <w:rsid w:val="0001283B"/>
    <w:rsid w:val="00012A66"/>
    <w:rsid w:val="00012BE6"/>
    <w:rsid w:val="00012C45"/>
    <w:rsid w:val="00012EBE"/>
    <w:rsid w:val="00012F4A"/>
    <w:rsid w:val="00013121"/>
    <w:rsid w:val="000131D3"/>
    <w:rsid w:val="000136DC"/>
    <w:rsid w:val="00013965"/>
    <w:rsid w:val="00013DAB"/>
    <w:rsid w:val="00013EC7"/>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B3"/>
    <w:rsid w:val="00015C1D"/>
    <w:rsid w:val="00015D20"/>
    <w:rsid w:val="00015D38"/>
    <w:rsid w:val="0001606B"/>
    <w:rsid w:val="000160FB"/>
    <w:rsid w:val="000163AA"/>
    <w:rsid w:val="00016644"/>
    <w:rsid w:val="000168D9"/>
    <w:rsid w:val="000169A7"/>
    <w:rsid w:val="00016E72"/>
    <w:rsid w:val="000173B8"/>
    <w:rsid w:val="0001745D"/>
    <w:rsid w:val="00017521"/>
    <w:rsid w:val="0001764D"/>
    <w:rsid w:val="00017674"/>
    <w:rsid w:val="000178C0"/>
    <w:rsid w:val="000178F8"/>
    <w:rsid w:val="00017A16"/>
    <w:rsid w:val="00017A27"/>
    <w:rsid w:val="00017A3B"/>
    <w:rsid w:val="00017A46"/>
    <w:rsid w:val="00017B17"/>
    <w:rsid w:val="00017B36"/>
    <w:rsid w:val="00017C29"/>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B0"/>
    <w:rsid w:val="00021C9E"/>
    <w:rsid w:val="00021F1F"/>
    <w:rsid w:val="00021F66"/>
    <w:rsid w:val="0002210E"/>
    <w:rsid w:val="0002216A"/>
    <w:rsid w:val="0002217C"/>
    <w:rsid w:val="0002226B"/>
    <w:rsid w:val="000222D0"/>
    <w:rsid w:val="00022354"/>
    <w:rsid w:val="000223C3"/>
    <w:rsid w:val="00022526"/>
    <w:rsid w:val="00022562"/>
    <w:rsid w:val="00022657"/>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BE"/>
    <w:rsid w:val="00025BF3"/>
    <w:rsid w:val="00025DA9"/>
    <w:rsid w:val="00026353"/>
    <w:rsid w:val="000265E5"/>
    <w:rsid w:val="00026693"/>
    <w:rsid w:val="000267C8"/>
    <w:rsid w:val="00026845"/>
    <w:rsid w:val="00026AAC"/>
    <w:rsid w:val="00026D3D"/>
    <w:rsid w:val="00026F4A"/>
    <w:rsid w:val="000272EC"/>
    <w:rsid w:val="00027416"/>
    <w:rsid w:val="00027478"/>
    <w:rsid w:val="000274ED"/>
    <w:rsid w:val="0002751F"/>
    <w:rsid w:val="00027819"/>
    <w:rsid w:val="000279DE"/>
    <w:rsid w:val="0003010B"/>
    <w:rsid w:val="000301C2"/>
    <w:rsid w:val="000304D3"/>
    <w:rsid w:val="000304E9"/>
    <w:rsid w:val="00030640"/>
    <w:rsid w:val="0003072E"/>
    <w:rsid w:val="000307A8"/>
    <w:rsid w:val="00030887"/>
    <w:rsid w:val="00030993"/>
    <w:rsid w:val="00030D53"/>
    <w:rsid w:val="00030D81"/>
    <w:rsid w:val="00030EDC"/>
    <w:rsid w:val="00031069"/>
    <w:rsid w:val="000313A2"/>
    <w:rsid w:val="000313C2"/>
    <w:rsid w:val="00031442"/>
    <w:rsid w:val="0003161A"/>
    <w:rsid w:val="00031704"/>
    <w:rsid w:val="00031756"/>
    <w:rsid w:val="00031A81"/>
    <w:rsid w:val="00031B2F"/>
    <w:rsid w:val="00031B98"/>
    <w:rsid w:val="00031BCE"/>
    <w:rsid w:val="00031BED"/>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EA"/>
    <w:rsid w:val="000343F4"/>
    <w:rsid w:val="0003447F"/>
    <w:rsid w:val="00034786"/>
    <w:rsid w:val="00034820"/>
    <w:rsid w:val="0003491D"/>
    <w:rsid w:val="00034BBD"/>
    <w:rsid w:val="00034F4A"/>
    <w:rsid w:val="000352D3"/>
    <w:rsid w:val="0003536A"/>
    <w:rsid w:val="000354BF"/>
    <w:rsid w:val="000357FF"/>
    <w:rsid w:val="00035967"/>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6F1"/>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80"/>
    <w:rsid w:val="00042F5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D4"/>
    <w:rsid w:val="00045514"/>
    <w:rsid w:val="00045678"/>
    <w:rsid w:val="0004567A"/>
    <w:rsid w:val="000456B3"/>
    <w:rsid w:val="00045730"/>
    <w:rsid w:val="00045840"/>
    <w:rsid w:val="0004588D"/>
    <w:rsid w:val="0004597F"/>
    <w:rsid w:val="00045A76"/>
    <w:rsid w:val="00045BF7"/>
    <w:rsid w:val="00045C98"/>
    <w:rsid w:val="00046001"/>
    <w:rsid w:val="000460A7"/>
    <w:rsid w:val="0004611A"/>
    <w:rsid w:val="000461DC"/>
    <w:rsid w:val="00046309"/>
    <w:rsid w:val="0004639F"/>
    <w:rsid w:val="00046737"/>
    <w:rsid w:val="0004680B"/>
    <w:rsid w:val="00046872"/>
    <w:rsid w:val="00046939"/>
    <w:rsid w:val="00046963"/>
    <w:rsid w:val="00046C34"/>
    <w:rsid w:val="00046C5C"/>
    <w:rsid w:val="000470D5"/>
    <w:rsid w:val="00047207"/>
    <w:rsid w:val="00047479"/>
    <w:rsid w:val="000476F9"/>
    <w:rsid w:val="00047889"/>
    <w:rsid w:val="00047AB3"/>
    <w:rsid w:val="00047ADA"/>
    <w:rsid w:val="00047B25"/>
    <w:rsid w:val="00047BBA"/>
    <w:rsid w:val="00047E61"/>
    <w:rsid w:val="000500A2"/>
    <w:rsid w:val="000502FD"/>
    <w:rsid w:val="00050351"/>
    <w:rsid w:val="00050606"/>
    <w:rsid w:val="00050747"/>
    <w:rsid w:val="00050899"/>
    <w:rsid w:val="000508C4"/>
    <w:rsid w:val="00050A3F"/>
    <w:rsid w:val="00050AEA"/>
    <w:rsid w:val="00050C78"/>
    <w:rsid w:val="00051241"/>
    <w:rsid w:val="000514DF"/>
    <w:rsid w:val="0005161F"/>
    <w:rsid w:val="00051756"/>
    <w:rsid w:val="000517DD"/>
    <w:rsid w:val="0005182E"/>
    <w:rsid w:val="0005191F"/>
    <w:rsid w:val="0005192B"/>
    <w:rsid w:val="00051C52"/>
    <w:rsid w:val="000520C1"/>
    <w:rsid w:val="0005259F"/>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1C"/>
    <w:rsid w:val="00055298"/>
    <w:rsid w:val="000553C0"/>
    <w:rsid w:val="00055594"/>
    <w:rsid w:val="000555BE"/>
    <w:rsid w:val="00055637"/>
    <w:rsid w:val="0005569F"/>
    <w:rsid w:val="00055B09"/>
    <w:rsid w:val="00055B14"/>
    <w:rsid w:val="00055DD7"/>
    <w:rsid w:val="00055F08"/>
    <w:rsid w:val="00055F19"/>
    <w:rsid w:val="00056003"/>
    <w:rsid w:val="000560E2"/>
    <w:rsid w:val="0005626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8D7"/>
    <w:rsid w:val="00060C6B"/>
    <w:rsid w:val="00060D4C"/>
    <w:rsid w:val="00060D82"/>
    <w:rsid w:val="00060E85"/>
    <w:rsid w:val="00060E9E"/>
    <w:rsid w:val="00060FB3"/>
    <w:rsid w:val="00061003"/>
    <w:rsid w:val="0006108C"/>
    <w:rsid w:val="0006142A"/>
    <w:rsid w:val="00061819"/>
    <w:rsid w:val="00061DD1"/>
    <w:rsid w:val="00061EF5"/>
    <w:rsid w:val="00061F68"/>
    <w:rsid w:val="000620CE"/>
    <w:rsid w:val="0006234D"/>
    <w:rsid w:val="00062420"/>
    <w:rsid w:val="00062474"/>
    <w:rsid w:val="0006280B"/>
    <w:rsid w:val="00062854"/>
    <w:rsid w:val="0006298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91"/>
    <w:rsid w:val="00066242"/>
    <w:rsid w:val="000665A0"/>
    <w:rsid w:val="000666C4"/>
    <w:rsid w:val="000668C9"/>
    <w:rsid w:val="000668D7"/>
    <w:rsid w:val="00066C16"/>
    <w:rsid w:val="00066E01"/>
    <w:rsid w:val="0006751D"/>
    <w:rsid w:val="00067529"/>
    <w:rsid w:val="00067802"/>
    <w:rsid w:val="000678FD"/>
    <w:rsid w:val="000679C4"/>
    <w:rsid w:val="00067A34"/>
    <w:rsid w:val="00067BD2"/>
    <w:rsid w:val="00067D43"/>
    <w:rsid w:val="00067E9C"/>
    <w:rsid w:val="00070102"/>
    <w:rsid w:val="000701A2"/>
    <w:rsid w:val="000704FE"/>
    <w:rsid w:val="0007050C"/>
    <w:rsid w:val="00070524"/>
    <w:rsid w:val="00070526"/>
    <w:rsid w:val="0007060C"/>
    <w:rsid w:val="00070779"/>
    <w:rsid w:val="0007090B"/>
    <w:rsid w:val="00070998"/>
    <w:rsid w:val="00070BB9"/>
    <w:rsid w:val="00070D0F"/>
    <w:rsid w:val="0007103D"/>
    <w:rsid w:val="00071223"/>
    <w:rsid w:val="00071356"/>
    <w:rsid w:val="00071780"/>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DEA"/>
    <w:rsid w:val="00077FE5"/>
    <w:rsid w:val="000801CC"/>
    <w:rsid w:val="00080289"/>
    <w:rsid w:val="000802AA"/>
    <w:rsid w:val="00080443"/>
    <w:rsid w:val="000805BC"/>
    <w:rsid w:val="00080608"/>
    <w:rsid w:val="00080982"/>
    <w:rsid w:val="000809DF"/>
    <w:rsid w:val="00080C51"/>
    <w:rsid w:val="00081030"/>
    <w:rsid w:val="00081713"/>
    <w:rsid w:val="000817A1"/>
    <w:rsid w:val="00081948"/>
    <w:rsid w:val="00082322"/>
    <w:rsid w:val="0008234E"/>
    <w:rsid w:val="00082377"/>
    <w:rsid w:val="00082742"/>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02"/>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E7"/>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CC1"/>
    <w:rsid w:val="00095D63"/>
    <w:rsid w:val="00096012"/>
    <w:rsid w:val="00096244"/>
    <w:rsid w:val="00096251"/>
    <w:rsid w:val="0009672F"/>
    <w:rsid w:val="000967BF"/>
    <w:rsid w:val="000967EC"/>
    <w:rsid w:val="00096822"/>
    <w:rsid w:val="00096835"/>
    <w:rsid w:val="00096BFF"/>
    <w:rsid w:val="00096C99"/>
    <w:rsid w:val="00096CA2"/>
    <w:rsid w:val="00096CBB"/>
    <w:rsid w:val="00096CE7"/>
    <w:rsid w:val="00096F57"/>
    <w:rsid w:val="00096FB0"/>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4FE"/>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B9D"/>
    <w:rsid w:val="000A5D65"/>
    <w:rsid w:val="000A5E91"/>
    <w:rsid w:val="000A5EAC"/>
    <w:rsid w:val="000A60F3"/>
    <w:rsid w:val="000A6A43"/>
    <w:rsid w:val="000A6D69"/>
    <w:rsid w:val="000A6F27"/>
    <w:rsid w:val="000A6F72"/>
    <w:rsid w:val="000A6F99"/>
    <w:rsid w:val="000A6FE6"/>
    <w:rsid w:val="000A721F"/>
    <w:rsid w:val="000A72B1"/>
    <w:rsid w:val="000A7580"/>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22"/>
    <w:rsid w:val="000B1513"/>
    <w:rsid w:val="000B15B4"/>
    <w:rsid w:val="000B1772"/>
    <w:rsid w:val="000B1A73"/>
    <w:rsid w:val="000B1B49"/>
    <w:rsid w:val="000B1CAA"/>
    <w:rsid w:val="000B1D85"/>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1A1"/>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02"/>
    <w:rsid w:val="000C6043"/>
    <w:rsid w:val="000C6211"/>
    <w:rsid w:val="000C6255"/>
    <w:rsid w:val="000C627A"/>
    <w:rsid w:val="000C64CF"/>
    <w:rsid w:val="000C655D"/>
    <w:rsid w:val="000C692E"/>
    <w:rsid w:val="000C69D5"/>
    <w:rsid w:val="000C6D78"/>
    <w:rsid w:val="000C6EBF"/>
    <w:rsid w:val="000C6F06"/>
    <w:rsid w:val="000C70D6"/>
    <w:rsid w:val="000C7581"/>
    <w:rsid w:val="000C76DD"/>
    <w:rsid w:val="000C79C6"/>
    <w:rsid w:val="000C7E46"/>
    <w:rsid w:val="000C7E93"/>
    <w:rsid w:val="000C7EAD"/>
    <w:rsid w:val="000D02EB"/>
    <w:rsid w:val="000D0723"/>
    <w:rsid w:val="000D07F4"/>
    <w:rsid w:val="000D0953"/>
    <w:rsid w:val="000D0D09"/>
    <w:rsid w:val="000D0E8B"/>
    <w:rsid w:val="000D0F36"/>
    <w:rsid w:val="000D0F46"/>
    <w:rsid w:val="000D10B3"/>
    <w:rsid w:val="000D11FA"/>
    <w:rsid w:val="000D1393"/>
    <w:rsid w:val="000D144A"/>
    <w:rsid w:val="000D16DF"/>
    <w:rsid w:val="000D19A2"/>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B8"/>
    <w:rsid w:val="000D2EA7"/>
    <w:rsid w:val="000D2EFE"/>
    <w:rsid w:val="000D309B"/>
    <w:rsid w:val="000D30F6"/>
    <w:rsid w:val="000D3225"/>
    <w:rsid w:val="000D32EA"/>
    <w:rsid w:val="000D3324"/>
    <w:rsid w:val="000D3332"/>
    <w:rsid w:val="000D335B"/>
    <w:rsid w:val="000D3397"/>
    <w:rsid w:val="000D33BE"/>
    <w:rsid w:val="000D360E"/>
    <w:rsid w:val="000D38C3"/>
    <w:rsid w:val="000D398B"/>
    <w:rsid w:val="000D3C54"/>
    <w:rsid w:val="000D3E70"/>
    <w:rsid w:val="000D3EA8"/>
    <w:rsid w:val="000D3F97"/>
    <w:rsid w:val="000D3FA5"/>
    <w:rsid w:val="000D3FE7"/>
    <w:rsid w:val="000D4081"/>
    <w:rsid w:val="000D42FB"/>
    <w:rsid w:val="000D45CE"/>
    <w:rsid w:val="000D47A9"/>
    <w:rsid w:val="000D4887"/>
    <w:rsid w:val="000D4985"/>
    <w:rsid w:val="000D4BAD"/>
    <w:rsid w:val="000D4CDB"/>
    <w:rsid w:val="000D4EA5"/>
    <w:rsid w:val="000D4F97"/>
    <w:rsid w:val="000D51C0"/>
    <w:rsid w:val="000D524E"/>
    <w:rsid w:val="000D54BA"/>
    <w:rsid w:val="000D5B64"/>
    <w:rsid w:val="000D5C3A"/>
    <w:rsid w:val="000D6209"/>
    <w:rsid w:val="000D643C"/>
    <w:rsid w:val="000D6471"/>
    <w:rsid w:val="000D64DD"/>
    <w:rsid w:val="000D6AEB"/>
    <w:rsid w:val="000D6C0B"/>
    <w:rsid w:val="000D6C2E"/>
    <w:rsid w:val="000D6CEA"/>
    <w:rsid w:val="000D7405"/>
    <w:rsid w:val="000D7460"/>
    <w:rsid w:val="000D7971"/>
    <w:rsid w:val="000D79DB"/>
    <w:rsid w:val="000D7D7F"/>
    <w:rsid w:val="000D7D9A"/>
    <w:rsid w:val="000D7E52"/>
    <w:rsid w:val="000D7EEC"/>
    <w:rsid w:val="000E00B1"/>
    <w:rsid w:val="000E0249"/>
    <w:rsid w:val="000E06D0"/>
    <w:rsid w:val="000E0865"/>
    <w:rsid w:val="000E0994"/>
    <w:rsid w:val="000E09FF"/>
    <w:rsid w:val="000E0AF6"/>
    <w:rsid w:val="000E103A"/>
    <w:rsid w:val="000E10BC"/>
    <w:rsid w:val="000E11BF"/>
    <w:rsid w:val="000E1232"/>
    <w:rsid w:val="000E1253"/>
    <w:rsid w:val="000E12D6"/>
    <w:rsid w:val="000E148C"/>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44"/>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A2"/>
    <w:rsid w:val="000E57D3"/>
    <w:rsid w:val="000E60DC"/>
    <w:rsid w:val="000E62CE"/>
    <w:rsid w:val="000E62D4"/>
    <w:rsid w:val="000E62F5"/>
    <w:rsid w:val="000E6382"/>
    <w:rsid w:val="000E6393"/>
    <w:rsid w:val="000E678B"/>
    <w:rsid w:val="000E6A44"/>
    <w:rsid w:val="000E6EA3"/>
    <w:rsid w:val="000E7231"/>
    <w:rsid w:val="000E7316"/>
    <w:rsid w:val="000E742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82"/>
    <w:rsid w:val="000F3405"/>
    <w:rsid w:val="000F37A3"/>
    <w:rsid w:val="000F3843"/>
    <w:rsid w:val="000F385E"/>
    <w:rsid w:val="000F3C91"/>
    <w:rsid w:val="000F3D72"/>
    <w:rsid w:val="000F42A6"/>
    <w:rsid w:val="000F4378"/>
    <w:rsid w:val="000F43EF"/>
    <w:rsid w:val="000F44ED"/>
    <w:rsid w:val="000F470E"/>
    <w:rsid w:val="000F4813"/>
    <w:rsid w:val="000F4D48"/>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41"/>
    <w:rsid w:val="000F7C70"/>
    <w:rsid w:val="000F7E2B"/>
    <w:rsid w:val="001003BB"/>
    <w:rsid w:val="00100421"/>
    <w:rsid w:val="0010063E"/>
    <w:rsid w:val="001006D6"/>
    <w:rsid w:val="001006F0"/>
    <w:rsid w:val="001006F5"/>
    <w:rsid w:val="001008FB"/>
    <w:rsid w:val="00100A6E"/>
    <w:rsid w:val="00100CF1"/>
    <w:rsid w:val="00100D3D"/>
    <w:rsid w:val="00100EF3"/>
    <w:rsid w:val="00100F25"/>
    <w:rsid w:val="00100FA0"/>
    <w:rsid w:val="001011B1"/>
    <w:rsid w:val="00101254"/>
    <w:rsid w:val="0010166A"/>
    <w:rsid w:val="00101C2D"/>
    <w:rsid w:val="00101CD7"/>
    <w:rsid w:val="00101E70"/>
    <w:rsid w:val="0010209B"/>
    <w:rsid w:val="00102313"/>
    <w:rsid w:val="0010234F"/>
    <w:rsid w:val="00102653"/>
    <w:rsid w:val="00102677"/>
    <w:rsid w:val="0010270C"/>
    <w:rsid w:val="00102833"/>
    <w:rsid w:val="00102BA9"/>
    <w:rsid w:val="00102F8E"/>
    <w:rsid w:val="001033C4"/>
    <w:rsid w:val="0010366C"/>
    <w:rsid w:val="001036EB"/>
    <w:rsid w:val="00103727"/>
    <w:rsid w:val="0010372B"/>
    <w:rsid w:val="00103916"/>
    <w:rsid w:val="00103A23"/>
    <w:rsid w:val="00103AFD"/>
    <w:rsid w:val="00103C7C"/>
    <w:rsid w:val="00103CBB"/>
    <w:rsid w:val="00103EA8"/>
    <w:rsid w:val="00103FCB"/>
    <w:rsid w:val="00104062"/>
    <w:rsid w:val="001041DF"/>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570"/>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6F"/>
    <w:rsid w:val="0011199A"/>
    <w:rsid w:val="00111AB0"/>
    <w:rsid w:val="00111B72"/>
    <w:rsid w:val="00111BB5"/>
    <w:rsid w:val="00111C2B"/>
    <w:rsid w:val="00111D5C"/>
    <w:rsid w:val="00111DD5"/>
    <w:rsid w:val="0011204B"/>
    <w:rsid w:val="00112212"/>
    <w:rsid w:val="001122C1"/>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3C8"/>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73"/>
    <w:rsid w:val="00120019"/>
    <w:rsid w:val="001206A9"/>
    <w:rsid w:val="00120708"/>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E6"/>
    <w:rsid w:val="00122DB8"/>
    <w:rsid w:val="00122E2E"/>
    <w:rsid w:val="00122EC6"/>
    <w:rsid w:val="00122EF1"/>
    <w:rsid w:val="00122F50"/>
    <w:rsid w:val="0012309F"/>
    <w:rsid w:val="0012335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29A"/>
    <w:rsid w:val="001242DE"/>
    <w:rsid w:val="00124732"/>
    <w:rsid w:val="001248A3"/>
    <w:rsid w:val="001248FD"/>
    <w:rsid w:val="00124C8B"/>
    <w:rsid w:val="00124D00"/>
    <w:rsid w:val="00124E36"/>
    <w:rsid w:val="00124EAB"/>
    <w:rsid w:val="001251E2"/>
    <w:rsid w:val="00125286"/>
    <w:rsid w:val="00125301"/>
    <w:rsid w:val="0012535E"/>
    <w:rsid w:val="00125402"/>
    <w:rsid w:val="0012550F"/>
    <w:rsid w:val="001255F6"/>
    <w:rsid w:val="00125659"/>
    <w:rsid w:val="00125686"/>
    <w:rsid w:val="00125783"/>
    <w:rsid w:val="001257EB"/>
    <w:rsid w:val="0012582F"/>
    <w:rsid w:val="00125B2E"/>
    <w:rsid w:val="0012614B"/>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87"/>
    <w:rsid w:val="001310F1"/>
    <w:rsid w:val="00131197"/>
    <w:rsid w:val="001314B9"/>
    <w:rsid w:val="001316FA"/>
    <w:rsid w:val="0013186F"/>
    <w:rsid w:val="001319A0"/>
    <w:rsid w:val="00131D11"/>
    <w:rsid w:val="00132024"/>
    <w:rsid w:val="00132696"/>
    <w:rsid w:val="001328EB"/>
    <w:rsid w:val="00132E43"/>
    <w:rsid w:val="00132F01"/>
    <w:rsid w:val="00132FB6"/>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CB"/>
    <w:rsid w:val="001352D6"/>
    <w:rsid w:val="0013559C"/>
    <w:rsid w:val="0013565E"/>
    <w:rsid w:val="00135760"/>
    <w:rsid w:val="001359D7"/>
    <w:rsid w:val="00135DD4"/>
    <w:rsid w:val="00135E44"/>
    <w:rsid w:val="0013606C"/>
    <w:rsid w:val="001361CD"/>
    <w:rsid w:val="001361D6"/>
    <w:rsid w:val="0013624E"/>
    <w:rsid w:val="001363BC"/>
    <w:rsid w:val="0013654A"/>
    <w:rsid w:val="00136681"/>
    <w:rsid w:val="001371D4"/>
    <w:rsid w:val="001371DC"/>
    <w:rsid w:val="001378D1"/>
    <w:rsid w:val="001379B7"/>
    <w:rsid w:val="00137A98"/>
    <w:rsid w:val="00137B09"/>
    <w:rsid w:val="00137DD9"/>
    <w:rsid w:val="00137F03"/>
    <w:rsid w:val="001400A0"/>
    <w:rsid w:val="001404E9"/>
    <w:rsid w:val="00140656"/>
    <w:rsid w:val="00140C98"/>
    <w:rsid w:val="00140CC4"/>
    <w:rsid w:val="00140E02"/>
    <w:rsid w:val="00141657"/>
    <w:rsid w:val="001416C8"/>
    <w:rsid w:val="00141897"/>
    <w:rsid w:val="00141C91"/>
    <w:rsid w:val="00141DF4"/>
    <w:rsid w:val="00141FEF"/>
    <w:rsid w:val="00142005"/>
    <w:rsid w:val="001421FC"/>
    <w:rsid w:val="00142323"/>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46"/>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7"/>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7C8"/>
    <w:rsid w:val="001518CA"/>
    <w:rsid w:val="001519E7"/>
    <w:rsid w:val="00151CDC"/>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877"/>
    <w:rsid w:val="00154E2A"/>
    <w:rsid w:val="00154E60"/>
    <w:rsid w:val="00155202"/>
    <w:rsid w:val="0015538F"/>
    <w:rsid w:val="00155434"/>
    <w:rsid w:val="00155982"/>
    <w:rsid w:val="00155F45"/>
    <w:rsid w:val="001564FC"/>
    <w:rsid w:val="00156D28"/>
    <w:rsid w:val="00156D64"/>
    <w:rsid w:val="00156EF9"/>
    <w:rsid w:val="001570D9"/>
    <w:rsid w:val="001571B6"/>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0B0"/>
    <w:rsid w:val="001655BB"/>
    <w:rsid w:val="0016576A"/>
    <w:rsid w:val="001657CC"/>
    <w:rsid w:val="00165B61"/>
    <w:rsid w:val="00165BC2"/>
    <w:rsid w:val="00165F07"/>
    <w:rsid w:val="001664DB"/>
    <w:rsid w:val="0016655E"/>
    <w:rsid w:val="00166A93"/>
    <w:rsid w:val="00166C93"/>
    <w:rsid w:val="00166E60"/>
    <w:rsid w:val="00166EBE"/>
    <w:rsid w:val="00166F3F"/>
    <w:rsid w:val="001670EA"/>
    <w:rsid w:val="001674A5"/>
    <w:rsid w:val="001675E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8DE"/>
    <w:rsid w:val="00172A27"/>
    <w:rsid w:val="00173062"/>
    <w:rsid w:val="00173087"/>
    <w:rsid w:val="001730AA"/>
    <w:rsid w:val="001733BD"/>
    <w:rsid w:val="0017344E"/>
    <w:rsid w:val="0017345B"/>
    <w:rsid w:val="0017345C"/>
    <w:rsid w:val="001734C6"/>
    <w:rsid w:val="001734F4"/>
    <w:rsid w:val="00173B73"/>
    <w:rsid w:val="00173CA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C74"/>
    <w:rsid w:val="00176DE2"/>
    <w:rsid w:val="00176E48"/>
    <w:rsid w:val="001770BF"/>
    <w:rsid w:val="001770D4"/>
    <w:rsid w:val="0017712C"/>
    <w:rsid w:val="00177148"/>
    <w:rsid w:val="001771CA"/>
    <w:rsid w:val="00177269"/>
    <w:rsid w:val="0017727A"/>
    <w:rsid w:val="001772BB"/>
    <w:rsid w:val="00177385"/>
    <w:rsid w:val="001776C7"/>
    <w:rsid w:val="00177707"/>
    <w:rsid w:val="00177873"/>
    <w:rsid w:val="00177994"/>
    <w:rsid w:val="00177B3D"/>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68"/>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7E"/>
    <w:rsid w:val="00184111"/>
    <w:rsid w:val="00184171"/>
    <w:rsid w:val="00184298"/>
    <w:rsid w:val="001846ED"/>
    <w:rsid w:val="001848D0"/>
    <w:rsid w:val="001849ED"/>
    <w:rsid w:val="00184B0F"/>
    <w:rsid w:val="00184BC3"/>
    <w:rsid w:val="00184DC3"/>
    <w:rsid w:val="00184F04"/>
    <w:rsid w:val="00184FA0"/>
    <w:rsid w:val="0018502C"/>
    <w:rsid w:val="00185367"/>
    <w:rsid w:val="0018542F"/>
    <w:rsid w:val="0018557B"/>
    <w:rsid w:val="00185A00"/>
    <w:rsid w:val="00185BBA"/>
    <w:rsid w:val="0018614B"/>
    <w:rsid w:val="00186223"/>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901"/>
    <w:rsid w:val="00187BD3"/>
    <w:rsid w:val="00187D09"/>
    <w:rsid w:val="00187D47"/>
    <w:rsid w:val="00190143"/>
    <w:rsid w:val="0019015C"/>
    <w:rsid w:val="00190335"/>
    <w:rsid w:val="00190396"/>
    <w:rsid w:val="001906EF"/>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EF0"/>
    <w:rsid w:val="001950C6"/>
    <w:rsid w:val="0019525E"/>
    <w:rsid w:val="00195427"/>
    <w:rsid w:val="001954DF"/>
    <w:rsid w:val="00195515"/>
    <w:rsid w:val="0019580B"/>
    <w:rsid w:val="001958C9"/>
    <w:rsid w:val="00195A71"/>
    <w:rsid w:val="00195B1E"/>
    <w:rsid w:val="00195D3C"/>
    <w:rsid w:val="001961CE"/>
    <w:rsid w:val="00196296"/>
    <w:rsid w:val="001968A5"/>
    <w:rsid w:val="00196AA1"/>
    <w:rsid w:val="00196C49"/>
    <w:rsid w:val="00196D7F"/>
    <w:rsid w:val="00196E36"/>
    <w:rsid w:val="001971A4"/>
    <w:rsid w:val="0019751C"/>
    <w:rsid w:val="00197AD9"/>
    <w:rsid w:val="00197D19"/>
    <w:rsid w:val="00197DB5"/>
    <w:rsid w:val="00197F02"/>
    <w:rsid w:val="00197F40"/>
    <w:rsid w:val="001A0083"/>
    <w:rsid w:val="001A0090"/>
    <w:rsid w:val="001A022D"/>
    <w:rsid w:val="001A024F"/>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5BC"/>
    <w:rsid w:val="001A460D"/>
    <w:rsid w:val="001A4877"/>
    <w:rsid w:val="001A4A0B"/>
    <w:rsid w:val="001A4EBF"/>
    <w:rsid w:val="001A52A6"/>
    <w:rsid w:val="001A5496"/>
    <w:rsid w:val="001A5595"/>
    <w:rsid w:val="001A55F7"/>
    <w:rsid w:val="001A570C"/>
    <w:rsid w:val="001A57B9"/>
    <w:rsid w:val="001A5C30"/>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35C"/>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63B"/>
    <w:rsid w:val="001B2750"/>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BD"/>
    <w:rsid w:val="001B3E0D"/>
    <w:rsid w:val="001B3EF9"/>
    <w:rsid w:val="001B40F1"/>
    <w:rsid w:val="001B42DC"/>
    <w:rsid w:val="001B43B1"/>
    <w:rsid w:val="001B4499"/>
    <w:rsid w:val="001B47A1"/>
    <w:rsid w:val="001B47AF"/>
    <w:rsid w:val="001B49F0"/>
    <w:rsid w:val="001B504D"/>
    <w:rsid w:val="001B5307"/>
    <w:rsid w:val="001B53EE"/>
    <w:rsid w:val="001B56F4"/>
    <w:rsid w:val="001B5918"/>
    <w:rsid w:val="001B5BA3"/>
    <w:rsid w:val="001B5CD4"/>
    <w:rsid w:val="001B64C1"/>
    <w:rsid w:val="001B66D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2C7"/>
    <w:rsid w:val="001C0850"/>
    <w:rsid w:val="001C0AB3"/>
    <w:rsid w:val="001C1461"/>
    <w:rsid w:val="001C15CC"/>
    <w:rsid w:val="001C167B"/>
    <w:rsid w:val="001C172A"/>
    <w:rsid w:val="001C1A12"/>
    <w:rsid w:val="001C1AE9"/>
    <w:rsid w:val="001C1B8B"/>
    <w:rsid w:val="001C1E53"/>
    <w:rsid w:val="001C2123"/>
    <w:rsid w:val="001C2145"/>
    <w:rsid w:val="001C255E"/>
    <w:rsid w:val="001C2695"/>
    <w:rsid w:val="001C2724"/>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BB"/>
    <w:rsid w:val="001C4F2E"/>
    <w:rsid w:val="001C4F89"/>
    <w:rsid w:val="001C50AB"/>
    <w:rsid w:val="001C516C"/>
    <w:rsid w:val="001C52A2"/>
    <w:rsid w:val="001C52D4"/>
    <w:rsid w:val="001C536A"/>
    <w:rsid w:val="001C5478"/>
    <w:rsid w:val="001C54F9"/>
    <w:rsid w:val="001C56EF"/>
    <w:rsid w:val="001C57B0"/>
    <w:rsid w:val="001C5849"/>
    <w:rsid w:val="001C58F9"/>
    <w:rsid w:val="001C5BED"/>
    <w:rsid w:val="001C5D25"/>
    <w:rsid w:val="001C6251"/>
    <w:rsid w:val="001C6412"/>
    <w:rsid w:val="001C660A"/>
    <w:rsid w:val="001C6732"/>
    <w:rsid w:val="001C6AAB"/>
    <w:rsid w:val="001C6AE0"/>
    <w:rsid w:val="001C6B50"/>
    <w:rsid w:val="001C6C55"/>
    <w:rsid w:val="001C6C94"/>
    <w:rsid w:val="001C70EB"/>
    <w:rsid w:val="001C7330"/>
    <w:rsid w:val="001C7368"/>
    <w:rsid w:val="001C778F"/>
    <w:rsid w:val="001C7909"/>
    <w:rsid w:val="001C7A23"/>
    <w:rsid w:val="001C7A82"/>
    <w:rsid w:val="001C7AE7"/>
    <w:rsid w:val="001C7C91"/>
    <w:rsid w:val="001C7E5E"/>
    <w:rsid w:val="001C7F13"/>
    <w:rsid w:val="001D0189"/>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1F0"/>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A4"/>
    <w:rsid w:val="001E0327"/>
    <w:rsid w:val="001E0334"/>
    <w:rsid w:val="001E0621"/>
    <w:rsid w:val="001E0666"/>
    <w:rsid w:val="001E080E"/>
    <w:rsid w:val="001E09DD"/>
    <w:rsid w:val="001E0B3E"/>
    <w:rsid w:val="001E0B9A"/>
    <w:rsid w:val="001E0C52"/>
    <w:rsid w:val="001E0C8D"/>
    <w:rsid w:val="001E0D6F"/>
    <w:rsid w:val="001E0FFD"/>
    <w:rsid w:val="001E1087"/>
    <w:rsid w:val="001E10CD"/>
    <w:rsid w:val="001E141A"/>
    <w:rsid w:val="001E145C"/>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FA"/>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A1"/>
    <w:rsid w:val="001E7815"/>
    <w:rsid w:val="001E78E7"/>
    <w:rsid w:val="001E7962"/>
    <w:rsid w:val="001E7ABB"/>
    <w:rsid w:val="001E7ACA"/>
    <w:rsid w:val="001E7CB2"/>
    <w:rsid w:val="001E7CBF"/>
    <w:rsid w:val="001E7CFD"/>
    <w:rsid w:val="001F00CF"/>
    <w:rsid w:val="001F0106"/>
    <w:rsid w:val="001F02AC"/>
    <w:rsid w:val="001F044D"/>
    <w:rsid w:val="001F0615"/>
    <w:rsid w:val="001F07D6"/>
    <w:rsid w:val="001F07F7"/>
    <w:rsid w:val="001F08D7"/>
    <w:rsid w:val="001F0958"/>
    <w:rsid w:val="001F0C50"/>
    <w:rsid w:val="001F126A"/>
    <w:rsid w:val="001F1352"/>
    <w:rsid w:val="001F137C"/>
    <w:rsid w:val="001F17AB"/>
    <w:rsid w:val="001F1B18"/>
    <w:rsid w:val="001F1D26"/>
    <w:rsid w:val="001F1E70"/>
    <w:rsid w:val="001F2135"/>
    <w:rsid w:val="001F2402"/>
    <w:rsid w:val="001F28AA"/>
    <w:rsid w:val="001F2AB7"/>
    <w:rsid w:val="001F2D08"/>
    <w:rsid w:val="001F3246"/>
    <w:rsid w:val="001F33F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C5"/>
    <w:rsid w:val="001F5191"/>
    <w:rsid w:val="001F5251"/>
    <w:rsid w:val="001F528F"/>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E"/>
    <w:rsid w:val="001F78C7"/>
    <w:rsid w:val="001F7959"/>
    <w:rsid w:val="001F7A9B"/>
    <w:rsid w:val="001F7D75"/>
    <w:rsid w:val="001F7E2B"/>
    <w:rsid w:val="00200443"/>
    <w:rsid w:val="0020047F"/>
    <w:rsid w:val="0020059F"/>
    <w:rsid w:val="002005BB"/>
    <w:rsid w:val="00200896"/>
    <w:rsid w:val="002008C8"/>
    <w:rsid w:val="00200E9B"/>
    <w:rsid w:val="00200FFD"/>
    <w:rsid w:val="00201195"/>
    <w:rsid w:val="00201220"/>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0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40"/>
    <w:rsid w:val="00207F97"/>
    <w:rsid w:val="002105B2"/>
    <w:rsid w:val="002105C3"/>
    <w:rsid w:val="0021063C"/>
    <w:rsid w:val="0021085B"/>
    <w:rsid w:val="00210A3A"/>
    <w:rsid w:val="00210C07"/>
    <w:rsid w:val="00210D7D"/>
    <w:rsid w:val="00210E93"/>
    <w:rsid w:val="00211392"/>
    <w:rsid w:val="002119AF"/>
    <w:rsid w:val="00211BE3"/>
    <w:rsid w:val="00211CF4"/>
    <w:rsid w:val="00211DA3"/>
    <w:rsid w:val="00211E81"/>
    <w:rsid w:val="00212379"/>
    <w:rsid w:val="002124C1"/>
    <w:rsid w:val="002125D6"/>
    <w:rsid w:val="00212B72"/>
    <w:rsid w:val="00212BA8"/>
    <w:rsid w:val="00212CA0"/>
    <w:rsid w:val="00212F0F"/>
    <w:rsid w:val="00213028"/>
    <w:rsid w:val="002130DE"/>
    <w:rsid w:val="002131C5"/>
    <w:rsid w:val="002138AB"/>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24"/>
    <w:rsid w:val="0021616D"/>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57"/>
    <w:rsid w:val="002202F6"/>
    <w:rsid w:val="002202FE"/>
    <w:rsid w:val="00220349"/>
    <w:rsid w:val="002203F9"/>
    <w:rsid w:val="00220562"/>
    <w:rsid w:val="0022057E"/>
    <w:rsid w:val="0022063E"/>
    <w:rsid w:val="00220796"/>
    <w:rsid w:val="002207A1"/>
    <w:rsid w:val="00220AAC"/>
    <w:rsid w:val="00220AC1"/>
    <w:rsid w:val="00220BEE"/>
    <w:rsid w:val="00220C2E"/>
    <w:rsid w:val="00220C35"/>
    <w:rsid w:val="00220D25"/>
    <w:rsid w:val="00220FA6"/>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66"/>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52"/>
    <w:rsid w:val="00230CB0"/>
    <w:rsid w:val="00230CFB"/>
    <w:rsid w:val="00230EA6"/>
    <w:rsid w:val="0023108B"/>
    <w:rsid w:val="0023109B"/>
    <w:rsid w:val="002313D6"/>
    <w:rsid w:val="0023145D"/>
    <w:rsid w:val="00231658"/>
    <w:rsid w:val="002316B7"/>
    <w:rsid w:val="0023181F"/>
    <w:rsid w:val="00231E6F"/>
    <w:rsid w:val="00231EA9"/>
    <w:rsid w:val="00231F45"/>
    <w:rsid w:val="00231F9E"/>
    <w:rsid w:val="00231FFD"/>
    <w:rsid w:val="00232100"/>
    <w:rsid w:val="0023249D"/>
    <w:rsid w:val="002324FB"/>
    <w:rsid w:val="0023250D"/>
    <w:rsid w:val="00232569"/>
    <w:rsid w:val="00232793"/>
    <w:rsid w:val="002327DD"/>
    <w:rsid w:val="0023295E"/>
    <w:rsid w:val="00232AC0"/>
    <w:rsid w:val="00232EAF"/>
    <w:rsid w:val="00232F5D"/>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D7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E3"/>
    <w:rsid w:val="002371F0"/>
    <w:rsid w:val="00237712"/>
    <w:rsid w:val="00237B33"/>
    <w:rsid w:val="00237C8B"/>
    <w:rsid w:val="00237DF5"/>
    <w:rsid w:val="00237E9C"/>
    <w:rsid w:val="00237FAD"/>
    <w:rsid w:val="00240071"/>
    <w:rsid w:val="00240189"/>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6B"/>
    <w:rsid w:val="00243085"/>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E19"/>
    <w:rsid w:val="0025118E"/>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64"/>
    <w:rsid w:val="002527A2"/>
    <w:rsid w:val="002527B3"/>
    <w:rsid w:val="0025298E"/>
    <w:rsid w:val="00252DF4"/>
    <w:rsid w:val="00252E4C"/>
    <w:rsid w:val="00252F1B"/>
    <w:rsid w:val="00252F1D"/>
    <w:rsid w:val="00252F21"/>
    <w:rsid w:val="002531AA"/>
    <w:rsid w:val="0025371C"/>
    <w:rsid w:val="0025374F"/>
    <w:rsid w:val="00253AA7"/>
    <w:rsid w:val="00253CA5"/>
    <w:rsid w:val="00253F9B"/>
    <w:rsid w:val="002540B5"/>
    <w:rsid w:val="002543A7"/>
    <w:rsid w:val="00254481"/>
    <w:rsid w:val="00254854"/>
    <w:rsid w:val="00254AEF"/>
    <w:rsid w:val="00254DFD"/>
    <w:rsid w:val="00254E22"/>
    <w:rsid w:val="00254EFD"/>
    <w:rsid w:val="0025510B"/>
    <w:rsid w:val="002553A1"/>
    <w:rsid w:val="00255507"/>
    <w:rsid w:val="002557F8"/>
    <w:rsid w:val="002558CE"/>
    <w:rsid w:val="00255909"/>
    <w:rsid w:val="00255A1F"/>
    <w:rsid w:val="00255AFF"/>
    <w:rsid w:val="00255C30"/>
    <w:rsid w:val="00255DB7"/>
    <w:rsid w:val="00256234"/>
    <w:rsid w:val="00256587"/>
    <w:rsid w:val="002565FB"/>
    <w:rsid w:val="0025662A"/>
    <w:rsid w:val="00256B21"/>
    <w:rsid w:val="00256DC3"/>
    <w:rsid w:val="00256FCA"/>
    <w:rsid w:val="002570CA"/>
    <w:rsid w:val="002570DD"/>
    <w:rsid w:val="0025735E"/>
    <w:rsid w:val="002574CA"/>
    <w:rsid w:val="00257615"/>
    <w:rsid w:val="0025784D"/>
    <w:rsid w:val="0025796D"/>
    <w:rsid w:val="00257BBD"/>
    <w:rsid w:val="00257EAF"/>
    <w:rsid w:val="00257EC6"/>
    <w:rsid w:val="00257ED6"/>
    <w:rsid w:val="002601B4"/>
    <w:rsid w:val="00260201"/>
    <w:rsid w:val="0026037B"/>
    <w:rsid w:val="002604FD"/>
    <w:rsid w:val="002605E4"/>
    <w:rsid w:val="002606CB"/>
    <w:rsid w:val="00260C7F"/>
    <w:rsid w:val="00260CD6"/>
    <w:rsid w:val="0026110D"/>
    <w:rsid w:val="002615F1"/>
    <w:rsid w:val="00261A56"/>
    <w:rsid w:val="00261B80"/>
    <w:rsid w:val="00261DE7"/>
    <w:rsid w:val="00261E8A"/>
    <w:rsid w:val="0026227A"/>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5C0"/>
    <w:rsid w:val="00264704"/>
    <w:rsid w:val="00264782"/>
    <w:rsid w:val="00264900"/>
    <w:rsid w:val="00264B24"/>
    <w:rsid w:val="00264B40"/>
    <w:rsid w:val="00264B60"/>
    <w:rsid w:val="00264CFA"/>
    <w:rsid w:val="002650FD"/>
    <w:rsid w:val="002654F2"/>
    <w:rsid w:val="00265791"/>
    <w:rsid w:val="00265EFB"/>
    <w:rsid w:val="00266784"/>
    <w:rsid w:val="002667BA"/>
    <w:rsid w:val="002668D0"/>
    <w:rsid w:val="00266A1C"/>
    <w:rsid w:val="00266BF6"/>
    <w:rsid w:val="00266F3A"/>
    <w:rsid w:val="0026712C"/>
    <w:rsid w:val="00267217"/>
    <w:rsid w:val="002673A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BA"/>
    <w:rsid w:val="00272537"/>
    <w:rsid w:val="002725F5"/>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5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23"/>
    <w:rsid w:val="00277E50"/>
    <w:rsid w:val="00277F3D"/>
    <w:rsid w:val="0028005D"/>
    <w:rsid w:val="00280076"/>
    <w:rsid w:val="0028015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C"/>
    <w:rsid w:val="002817EF"/>
    <w:rsid w:val="002817F1"/>
    <w:rsid w:val="00281898"/>
    <w:rsid w:val="00281CA3"/>
    <w:rsid w:val="00281D67"/>
    <w:rsid w:val="00281D8B"/>
    <w:rsid w:val="00281E86"/>
    <w:rsid w:val="00282298"/>
    <w:rsid w:val="00282390"/>
    <w:rsid w:val="002826C3"/>
    <w:rsid w:val="002828C2"/>
    <w:rsid w:val="00282F4A"/>
    <w:rsid w:val="00283031"/>
    <w:rsid w:val="002832A6"/>
    <w:rsid w:val="002834E4"/>
    <w:rsid w:val="002837B1"/>
    <w:rsid w:val="00283AA1"/>
    <w:rsid w:val="00283C48"/>
    <w:rsid w:val="00283D5E"/>
    <w:rsid w:val="00283D8A"/>
    <w:rsid w:val="00283E2E"/>
    <w:rsid w:val="00283ED2"/>
    <w:rsid w:val="00283FC0"/>
    <w:rsid w:val="0028404B"/>
    <w:rsid w:val="002841E6"/>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6A"/>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09"/>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D"/>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24"/>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45"/>
    <w:rsid w:val="002B5FB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A1"/>
    <w:rsid w:val="002C0BC7"/>
    <w:rsid w:val="002C0C93"/>
    <w:rsid w:val="002C0D61"/>
    <w:rsid w:val="002C0DAA"/>
    <w:rsid w:val="002C0EB8"/>
    <w:rsid w:val="002C0EF3"/>
    <w:rsid w:val="002C1208"/>
    <w:rsid w:val="002C12E0"/>
    <w:rsid w:val="002C1363"/>
    <w:rsid w:val="002C1515"/>
    <w:rsid w:val="002C191E"/>
    <w:rsid w:val="002C234D"/>
    <w:rsid w:val="002C26A1"/>
    <w:rsid w:val="002C28A2"/>
    <w:rsid w:val="002C29BA"/>
    <w:rsid w:val="002C2AC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56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6D"/>
    <w:rsid w:val="002D08C7"/>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BAD"/>
    <w:rsid w:val="002D2C1E"/>
    <w:rsid w:val="002D2D9F"/>
    <w:rsid w:val="002D2ECA"/>
    <w:rsid w:val="002D2EDC"/>
    <w:rsid w:val="002D32D9"/>
    <w:rsid w:val="002D32DB"/>
    <w:rsid w:val="002D3492"/>
    <w:rsid w:val="002D34C5"/>
    <w:rsid w:val="002D35AE"/>
    <w:rsid w:val="002D35E1"/>
    <w:rsid w:val="002D3617"/>
    <w:rsid w:val="002D36E6"/>
    <w:rsid w:val="002D38EE"/>
    <w:rsid w:val="002D39E6"/>
    <w:rsid w:val="002D3A4F"/>
    <w:rsid w:val="002D3C77"/>
    <w:rsid w:val="002D3D85"/>
    <w:rsid w:val="002D3D98"/>
    <w:rsid w:val="002D3E1F"/>
    <w:rsid w:val="002D3EC4"/>
    <w:rsid w:val="002D4101"/>
    <w:rsid w:val="002D42B7"/>
    <w:rsid w:val="002D4461"/>
    <w:rsid w:val="002D451D"/>
    <w:rsid w:val="002D480F"/>
    <w:rsid w:val="002D4A67"/>
    <w:rsid w:val="002D4A89"/>
    <w:rsid w:val="002D4EA0"/>
    <w:rsid w:val="002D556A"/>
    <w:rsid w:val="002D5656"/>
    <w:rsid w:val="002D573B"/>
    <w:rsid w:val="002D5B33"/>
    <w:rsid w:val="002D5B5C"/>
    <w:rsid w:val="002D5E24"/>
    <w:rsid w:val="002D60FC"/>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E1C"/>
    <w:rsid w:val="002E0044"/>
    <w:rsid w:val="002E00FB"/>
    <w:rsid w:val="002E0993"/>
    <w:rsid w:val="002E0A10"/>
    <w:rsid w:val="002E0B22"/>
    <w:rsid w:val="002E0C91"/>
    <w:rsid w:val="002E0D1D"/>
    <w:rsid w:val="002E0F87"/>
    <w:rsid w:val="002E0FE5"/>
    <w:rsid w:val="002E13CE"/>
    <w:rsid w:val="002E1429"/>
    <w:rsid w:val="002E1645"/>
    <w:rsid w:val="002E1797"/>
    <w:rsid w:val="002E18EA"/>
    <w:rsid w:val="002E1A4D"/>
    <w:rsid w:val="002E1AC7"/>
    <w:rsid w:val="002E1AE6"/>
    <w:rsid w:val="002E1AE9"/>
    <w:rsid w:val="002E1BAB"/>
    <w:rsid w:val="002E1BEB"/>
    <w:rsid w:val="002E1F4A"/>
    <w:rsid w:val="002E229A"/>
    <w:rsid w:val="002E2303"/>
    <w:rsid w:val="002E23F4"/>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A9"/>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713"/>
    <w:rsid w:val="002F4845"/>
    <w:rsid w:val="002F4A13"/>
    <w:rsid w:val="002F4E0A"/>
    <w:rsid w:val="002F526A"/>
    <w:rsid w:val="002F53B9"/>
    <w:rsid w:val="002F5704"/>
    <w:rsid w:val="002F571E"/>
    <w:rsid w:val="002F5C02"/>
    <w:rsid w:val="002F5CD4"/>
    <w:rsid w:val="002F5E41"/>
    <w:rsid w:val="002F5E52"/>
    <w:rsid w:val="002F5F34"/>
    <w:rsid w:val="002F5FDE"/>
    <w:rsid w:val="002F5FFC"/>
    <w:rsid w:val="002F608B"/>
    <w:rsid w:val="002F621F"/>
    <w:rsid w:val="002F633C"/>
    <w:rsid w:val="002F6369"/>
    <w:rsid w:val="002F656C"/>
    <w:rsid w:val="002F6691"/>
    <w:rsid w:val="002F6802"/>
    <w:rsid w:val="002F68F5"/>
    <w:rsid w:val="002F6D58"/>
    <w:rsid w:val="002F6DB0"/>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A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40"/>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692"/>
    <w:rsid w:val="003056CF"/>
    <w:rsid w:val="00305D0E"/>
    <w:rsid w:val="00305E67"/>
    <w:rsid w:val="00305FDE"/>
    <w:rsid w:val="0030622C"/>
    <w:rsid w:val="003062C6"/>
    <w:rsid w:val="0030638F"/>
    <w:rsid w:val="003064E8"/>
    <w:rsid w:val="0030654D"/>
    <w:rsid w:val="00306557"/>
    <w:rsid w:val="003065DE"/>
    <w:rsid w:val="003066CE"/>
    <w:rsid w:val="00306709"/>
    <w:rsid w:val="00306D9F"/>
    <w:rsid w:val="00306DA5"/>
    <w:rsid w:val="00306E6D"/>
    <w:rsid w:val="00306FC9"/>
    <w:rsid w:val="003070A7"/>
    <w:rsid w:val="0030730A"/>
    <w:rsid w:val="0030730E"/>
    <w:rsid w:val="00307877"/>
    <w:rsid w:val="0030792F"/>
    <w:rsid w:val="003079D0"/>
    <w:rsid w:val="00307A94"/>
    <w:rsid w:val="00307C74"/>
    <w:rsid w:val="00307F89"/>
    <w:rsid w:val="0031003F"/>
    <w:rsid w:val="00310638"/>
    <w:rsid w:val="00310741"/>
    <w:rsid w:val="003107D5"/>
    <w:rsid w:val="003113D7"/>
    <w:rsid w:val="003114A8"/>
    <w:rsid w:val="003115F6"/>
    <w:rsid w:val="0031161C"/>
    <w:rsid w:val="0031186E"/>
    <w:rsid w:val="00311A19"/>
    <w:rsid w:val="00311B0A"/>
    <w:rsid w:val="00311CFC"/>
    <w:rsid w:val="00311DC1"/>
    <w:rsid w:val="00311E6B"/>
    <w:rsid w:val="003122CD"/>
    <w:rsid w:val="003126D4"/>
    <w:rsid w:val="00312730"/>
    <w:rsid w:val="003127FE"/>
    <w:rsid w:val="00312A61"/>
    <w:rsid w:val="00312D00"/>
    <w:rsid w:val="00312D2C"/>
    <w:rsid w:val="00312DBE"/>
    <w:rsid w:val="00312DCA"/>
    <w:rsid w:val="00312FCD"/>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8A5"/>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10"/>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5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45"/>
    <w:rsid w:val="003275CB"/>
    <w:rsid w:val="003278B6"/>
    <w:rsid w:val="00327A72"/>
    <w:rsid w:val="00327C96"/>
    <w:rsid w:val="00327F45"/>
    <w:rsid w:val="00327FE1"/>
    <w:rsid w:val="0033004E"/>
    <w:rsid w:val="0033016A"/>
    <w:rsid w:val="003301B9"/>
    <w:rsid w:val="003301C3"/>
    <w:rsid w:val="00330B18"/>
    <w:rsid w:val="00330D71"/>
    <w:rsid w:val="003315DC"/>
    <w:rsid w:val="00331758"/>
    <w:rsid w:val="00331916"/>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AB"/>
    <w:rsid w:val="00334FC3"/>
    <w:rsid w:val="0033524C"/>
    <w:rsid w:val="003354C8"/>
    <w:rsid w:val="00335800"/>
    <w:rsid w:val="00335849"/>
    <w:rsid w:val="003358B3"/>
    <w:rsid w:val="003359B9"/>
    <w:rsid w:val="00335C2F"/>
    <w:rsid w:val="00335C95"/>
    <w:rsid w:val="00335E3C"/>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3C5"/>
    <w:rsid w:val="0034060B"/>
    <w:rsid w:val="0034065D"/>
    <w:rsid w:val="00340718"/>
    <w:rsid w:val="00340888"/>
    <w:rsid w:val="00340B47"/>
    <w:rsid w:val="00340BDC"/>
    <w:rsid w:val="00340F1F"/>
    <w:rsid w:val="00341185"/>
    <w:rsid w:val="00341740"/>
    <w:rsid w:val="0034179B"/>
    <w:rsid w:val="00341A17"/>
    <w:rsid w:val="00341A8B"/>
    <w:rsid w:val="00341CFB"/>
    <w:rsid w:val="00341E81"/>
    <w:rsid w:val="00342094"/>
    <w:rsid w:val="003421D1"/>
    <w:rsid w:val="0034225D"/>
    <w:rsid w:val="003425FB"/>
    <w:rsid w:val="003426DD"/>
    <w:rsid w:val="00342785"/>
    <w:rsid w:val="003428E8"/>
    <w:rsid w:val="00342B67"/>
    <w:rsid w:val="00342C1D"/>
    <w:rsid w:val="00343098"/>
    <w:rsid w:val="00343555"/>
    <w:rsid w:val="00343567"/>
    <w:rsid w:val="003435AD"/>
    <w:rsid w:val="0034379F"/>
    <w:rsid w:val="0034386E"/>
    <w:rsid w:val="00343CB8"/>
    <w:rsid w:val="00343CCD"/>
    <w:rsid w:val="00343F1C"/>
    <w:rsid w:val="00344001"/>
    <w:rsid w:val="0034434F"/>
    <w:rsid w:val="00344415"/>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61"/>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2D"/>
    <w:rsid w:val="003561DF"/>
    <w:rsid w:val="00356233"/>
    <w:rsid w:val="0035651B"/>
    <w:rsid w:val="00356734"/>
    <w:rsid w:val="00356C97"/>
    <w:rsid w:val="00356CB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FB"/>
    <w:rsid w:val="00361B86"/>
    <w:rsid w:val="00361D07"/>
    <w:rsid w:val="00361E23"/>
    <w:rsid w:val="00361E8C"/>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43"/>
    <w:rsid w:val="00363886"/>
    <w:rsid w:val="003648EB"/>
    <w:rsid w:val="00364CF8"/>
    <w:rsid w:val="00364D55"/>
    <w:rsid w:val="00364DBC"/>
    <w:rsid w:val="00364E75"/>
    <w:rsid w:val="00364EE4"/>
    <w:rsid w:val="00365073"/>
    <w:rsid w:val="003650DB"/>
    <w:rsid w:val="003650E4"/>
    <w:rsid w:val="00365318"/>
    <w:rsid w:val="003655F7"/>
    <w:rsid w:val="0036565E"/>
    <w:rsid w:val="00365666"/>
    <w:rsid w:val="0036579A"/>
    <w:rsid w:val="003657E7"/>
    <w:rsid w:val="00365B55"/>
    <w:rsid w:val="00365B63"/>
    <w:rsid w:val="00365C15"/>
    <w:rsid w:val="00366029"/>
    <w:rsid w:val="0036658D"/>
    <w:rsid w:val="00366A6D"/>
    <w:rsid w:val="00366B27"/>
    <w:rsid w:val="00366CB0"/>
    <w:rsid w:val="00366DE1"/>
    <w:rsid w:val="00366E81"/>
    <w:rsid w:val="003671D8"/>
    <w:rsid w:val="00367792"/>
    <w:rsid w:val="0036786B"/>
    <w:rsid w:val="00367A78"/>
    <w:rsid w:val="00367E4E"/>
    <w:rsid w:val="00367FC6"/>
    <w:rsid w:val="00370001"/>
    <w:rsid w:val="00370045"/>
    <w:rsid w:val="003705E0"/>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63"/>
    <w:rsid w:val="003718C3"/>
    <w:rsid w:val="00371B5B"/>
    <w:rsid w:val="00371BB8"/>
    <w:rsid w:val="00371D92"/>
    <w:rsid w:val="00371DE5"/>
    <w:rsid w:val="00371E3E"/>
    <w:rsid w:val="00371EF8"/>
    <w:rsid w:val="003720D2"/>
    <w:rsid w:val="00372165"/>
    <w:rsid w:val="003723CB"/>
    <w:rsid w:val="0037249A"/>
    <w:rsid w:val="003725BC"/>
    <w:rsid w:val="003729BC"/>
    <w:rsid w:val="00372A01"/>
    <w:rsid w:val="0037317F"/>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83"/>
    <w:rsid w:val="0037499B"/>
    <w:rsid w:val="003749F9"/>
    <w:rsid w:val="00374B83"/>
    <w:rsid w:val="00374C20"/>
    <w:rsid w:val="00374E21"/>
    <w:rsid w:val="00374FB2"/>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EE"/>
    <w:rsid w:val="003769B4"/>
    <w:rsid w:val="00376A4B"/>
    <w:rsid w:val="00376B06"/>
    <w:rsid w:val="00376BFD"/>
    <w:rsid w:val="00376C7C"/>
    <w:rsid w:val="00376DAC"/>
    <w:rsid w:val="00376DE3"/>
    <w:rsid w:val="00376E80"/>
    <w:rsid w:val="00376FB2"/>
    <w:rsid w:val="00377703"/>
    <w:rsid w:val="00377AA4"/>
    <w:rsid w:val="00377AC7"/>
    <w:rsid w:val="00377C0B"/>
    <w:rsid w:val="00377DE5"/>
    <w:rsid w:val="00377E36"/>
    <w:rsid w:val="00377F4C"/>
    <w:rsid w:val="00377F7E"/>
    <w:rsid w:val="00380483"/>
    <w:rsid w:val="00380501"/>
    <w:rsid w:val="0038054E"/>
    <w:rsid w:val="00380689"/>
    <w:rsid w:val="00380837"/>
    <w:rsid w:val="00380873"/>
    <w:rsid w:val="003808E4"/>
    <w:rsid w:val="00380906"/>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2FFA"/>
    <w:rsid w:val="003834F9"/>
    <w:rsid w:val="0038369C"/>
    <w:rsid w:val="00383D1B"/>
    <w:rsid w:val="00383D65"/>
    <w:rsid w:val="00383D69"/>
    <w:rsid w:val="00383E08"/>
    <w:rsid w:val="00384368"/>
    <w:rsid w:val="003844D1"/>
    <w:rsid w:val="00384595"/>
    <w:rsid w:val="00384652"/>
    <w:rsid w:val="00384959"/>
    <w:rsid w:val="00384B20"/>
    <w:rsid w:val="00384BD4"/>
    <w:rsid w:val="00384F33"/>
    <w:rsid w:val="0038520A"/>
    <w:rsid w:val="00385227"/>
    <w:rsid w:val="00385392"/>
    <w:rsid w:val="0038560D"/>
    <w:rsid w:val="00385718"/>
    <w:rsid w:val="00385720"/>
    <w:rsid w:val="00385BE1"/>
    <w:rsid w:val="00385C05"/>
    <w:rsid w:val="00385DB2"/>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ED"/>
    <w:rsid w:val="00387CD7"/>
    <w:rsid w:val="00390019"/>
    <w:rsid w:val="0039043F"/>
    <w:rsid w:val="003908E7"/>
    <w:rsid w:val="00390A07"/>
    <w:rsid w:val="00390AB5"/>
    <w:rsid w:val="00390C2B"/>
    <w:rsid w:val="00390E48"/>
    <w:rsid w:val="00390FD1"/>
    <w:rsid w:val="00391086"/>
    <w:rsid w:val="0039118A"/>
    <w:rsid w:val="0039132D"/>
    <w:rsid w:val="00391638"/>
    <w:rsid w:val="00391699"/>
    <w:rsid w:val="003917E3"/>
    <w:rsid w:val="00391851"/>
    <w:rsid w:val="003919F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F"/>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5F"/>
    <w:rsid w:val="00396ADA"/>
    <w:rsid w:val="00396B79"/>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B6"/>
    <w:rsid w:val="003A0FFF"/>
    <w:rsid w:val="003A10D5"/>
    <w:rsid w:val="003A1113"/>
    <w:rsid w:val="003A1194"/>
    <w:rsid w:val="003A1452"/>
    <w:rsid w:val="003A150B"/>
    <w:rsid w:val="003A17C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C2"/>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D4"/>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FC5"/>
    <w:rsid w:val="003B00AE"/>
    <w:rsid w:val="003B0306"/>
    <w:rsid w:val="003B0365"/>
    <w:rsid w:val="003B07AC"/>
    <w:rsid w:val="003B08E8"/>
    <w:rsid w:val="003B09EC"/>
    <w:rsid w:val="003B0B19"/>
    <w:rsid w:val="003B0CA6"/>
    <w:rsid w:val="003B0D83"/>
    <w:rsid w:val="003B0D96"/>
    <w:rsid w:val="003B0D9A"/>
    <w:rsid w:val="003B0E65"/>
    <w:rsid w:val="003B0EF6"/>
    <w:rsid w:val="003B0FFF"/>
    <w:rsid w:val="003B121F"/>
    <w:rsid w:val="003B122B"/>
    <w:rsid w:val="003B126E"/>
    <w:rsid w:val="003B1A0F"/>
    <w:rsid w:val="003B1AC0"/>
    <w:rsid w:val="003B1B69"/>
    <w:rsid w:val="003B1D6F"/>
    <w:rsid w:val="003B1FE6"/>
    <w:rsid w:val="003B2035"/>
    <w:rsid w:val="003B2168"/>
    <w:rsid w:val="003B21DA"/>
    <w:rsid w:val="003B223B"/>
    <w:rsid w:val="003B2502"/>
    <w:rsid w:val="003B2664"/>
    <w:rsid w:val="003B27CC"/>
    <w:rsid w:val="003B2ACD"/>
    <w:rsid w:val="003B2B15"/>
    <w:rsid w:val="003B2CF2"/>
    <w:rsid w:val="003B2F05"/>
    <w:rsid w:val="003B2F16"/>
    <w:rsid w:val="003B2F25"/>
    <w:rsid w:val="003B3002"/>
    <w:rsid w:val="003B30AB"/>
    <w:rsid w:val="003B389E"/>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3"/>
    <w:rsid w:val="003C0915"/>
    <w:rsid w:val="003C0D7F"/>
    <w:rsid w:val="003C0E4E"/>
    <w:rsid w:val="003C12A0"/>
    <w:rsid w:val="003C1550"/>
    <w:rsid w:val="003C159E"/>
    <w:rsid w:val="003C169B"/>
    <w:rsid w:val="003C19B8"/>
    <w:rsid w:val="003C19E0"/>
    <w:rsid w:val="003C1CAF"/>
    <w:rsid w:val="003C2121"/>
    <w:rsid w:val="003C23D6"/>
    <w:rsid w:val="003C23E4"/>
    <w:rsid w:val="003C2415"/>
    <w:rsid w:val="003C248A"/>
    <w:rsid w:val="003C25D3"/>
    <w:rsid w:val="003C264D"/>
    <w:rsid w:val="003C2A7B"/>
    <w:rsid w:val="003C2B3C"/>
    <w:rsid w:val="003C2B6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D"/>
    <w:rsid w:val="003C5FC9"/>
    <w:rsid w:val="003C6594"/>
    <w:rsid w:val="003C66FA"/>
    <w:rsid w:val="003C67CC"/>
    <w:rsid w:val="003C6A20"/>
    <w:rsid w:val="003C6C32"/>
    <w:rsid w:val="003C7242"/>
    <w:rsid w:val="003C7310"/>
    <w:rsid w:val="003C754C"/>
    <w:rsid w:val="003C7759"/>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10"/>
    <w:rsid w:val="003D3861"/>
    <w:rsid w:val="003D38C7"/>
    <w:rsid w:val="003D3981"/>
    <w:rsid w:val="003D3CD3"/>
    <w:rsid w:val="003D3CF9"/>
    <w:rsid w:val="003D40F5"/>
    <w:rsid w:val="003D414E"/>
    <w:rsid w:val="003D423A"/>
    <w:rsid w:val="003D42C0"/>
    <w:rsid w:val="003D43D3"/>
    <w:rsid w:val="003D4462"/>
    <w:rsid w:val="003D488D"/>
    <w:rsid w:val="003D4906"/>
    <w:rsid w:val="003D4A70"/>
    <w:rsid w:val="003D4A82"/>
    <w:rsid w:val="003D4B0B"/>
    <w:rsid w:val="003D4BAB"/>
    <w:rsid w:val="003D4BC2"/>
    <w:rsid w:val="003D4E5F"/>
    <w:rsid w:val="003D51E5"/>
    <w:rsid w:val="003D52F9"/>
    <w:rsid w:val="003D575F"/>
    <w:rsid w:val="003D5875"/>
    <w:rsid w:val="003D58D6"/>
    <w:rsid w:val="003D59FB"/>
    <w:rsid w:val="003D5AE6"/>
    <w:rsid w:val="003D5B7D"/>
    <w:rsid w:val="003D5DEC"/>
    <w:rsid w:val="003D5FE3"/>
    <w:rsid w:val="003D63C0"/>
    <w:rsid w:val="003D6498"/>
    <w:rsid w:val="003D6899"/>
    <w:rsid w:val="003D6B8C"/>
    <w:rsid w:val="003D6C7D"/>
    <w:rsid w:val="003D71A1"/>
    <w:rsid w:val="003D7368"/>
    <w:rsid w:val="003D7589"/>
    <w:rsid w:val="003D775F"/>
    <w:rsid w:val="003D7A34"/>
    <w:rsid w:val="003D7A93"/>
    <w:rsid w:val="003D7AB7"/>
    <w:rsid w:val="003D7AF8"/>
    <w:rsid w:val="003D7B7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1FB8"/>
    <w:rsid w:val="003E21A8"/>
    <w:rsid w:val="003E22EF"/>
    <w:rsid w:val="003E2554"/>
    <w:rsid w:val="003E26FC"/>
    <w:rsid w:val="003E281C"/>
    <w:rsid w:val="003E292E"/>
    <w:rsid w:val="003E2A2E"/>
    <w:rsid w:val="003E2B3B"/>
    <w:rsid w:val="003E2B91"/>
    <w:rsid w:val="003E2D06"/>
    <w:rsid w:val="003E2D6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89"/>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5ECE"/>
    <w:rsid w:val="003E60A3"/>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9B6"/>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46"/>
    <w:rsid w:val="003F380E"/>
    <w:rsid w:val="003F3847"/>
    <w:rsid w:val="003F3888"/>
    <w:rsid w:val="003F3DC8"/>
    <w:rsid w:val="003F3DD4"/>
    <w:rsid w:val="003F3F77"/>
    <w:rsid w:val="003F42BF"/>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0E"/>
    <w:rsid w:val="003F78D1"/>
    <w:rsid w:val="003F7AB6"/>
    <w:rsid w:val="003F7C83"/>
    <w:rsid w:val="003F7D52"/>
    <w:rsid w:val="003F7EAC"/>
    <w:rsid w:val="003F7F50"/>
    <w:rsid w:val="00400054"/>
    <w:rsid w:val="0040014D"/>
    <w:rsid w:val="0040015A"/>
    <w:rsid w:val="004001A6"/>
    <w:rsid w:val="0040035C"/>
    <w:rsid w:val="004003FA"/>
    <w:rsid w:val="0040040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16"/>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5BE"/>
    <w:rsid w:val="004065EF"/>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EF5"/>
    <w:rsid w:val="00410F08"/>
    <w:rsid w:val="004111AB"/>
    <w:rsid w:val="004112C2"/>
    <w:rsid w:val="0041152A"/>
    <w:rsid w:val="004117C1"/>
    <w:rsid w:val="004117CB"/>
    <w:rsid w:val="00411897"/>
    <w:rsid w:val="004118CE"/>
    <w:rsid w:val="004119DC"/>
    <w:rsid w:val="004119FE"/>
    <w:rsid w:val="00411C38"/>
    <w:rsid w:val="00411E61"/>
    <w:rsid w:val="00411EE0"/>
    <w:rsid w:val="00411F0E"/>
    <w:rsid w:val="00412018"/>
    <w:rsid w:val="0041230E"/>
    <w:rsid w:val="00412548"/>
    <w:rsid w:val="00412715"/>
    <w:rsid w:val="00412768"/>
    <w:rsid w:val="0041294E"/>
    <w:rsid w:val="00412CAE"/>
    <w:rsid w:val="0041333F"/>
    <w:rsid w:val="00413352"/>
    <w:rsid w:val="0041350D"/>
    <w:rsid w:val="00413546"/>
    <w:rsid w:val="00413562"/>
    <w:rsid w:val="004137C5"/>
    <w:rsid w:val="00413AD8"/>
    <w:rsid w:val="00413CEA"/>
    <w:rsid w:val="00413FF3"/>
    <w:rsid w:val="0041402C"/>
    <w:rsid w:val="00414146"/>
    <w:rsid w:val="00414511"/>
    <w:rsid w:val="00414A6F"/>
    <w:rsid w:val="00414AEE"/>
    <w:rsid w:val="00414B79"/>
    <w:rsid w:val="00414C26"/>
    <w:rsid w:val="00414C3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00"/>
    <w:rsid w:val="0041700F"/>
    <w:rsid w:val="0041721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63"/>
    <w:rsid w:val="0042301A"/>
    <w:rsid w:val="00423101"/>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3B3"/>
    <w:rsid w:val="004244C4"/>
    <w:rsid w:val="00424855"/>
    <w:rsid w:val="00424975"/>
    <w:rsid w:val="00424A5B"/>
    <w:rsid w:val="00424BC4"/>
    <w:rsid w:val="00424D09"/>
    <w:rsid w:val="00424DB7"/>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5FD"/>
    <w:rsid w:val="004266D1"/>
    <w:rsid w:val="00426707"/>
    <w:rsid w:val="0042670D"/>
    <w:rsid w:val="00426B3D"/>
    <w:rsid w:val="00426B64"/>
    <w:rsid w:val="00426D3F"/>
    <w:rsid w:val="00426F2B"/>
    <w:rsid w:val="00426F88"/>
    <w:rsid w:val="004270A2"/>
    <w:rsid w:val="004272F1"/>
    <w:rsid w:val="00427334"/>
    <w:rsid w:val="00427411"/>
    <w:rsid w:val="004279F1"/>
    <w:rsid w:val="00427ADF"/>
    <w:rsid w:val="00427BC9"/>
    <w:rsid w:val="00427C7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6B"/>
    <w:rsid w:val="00432EBF"/>
    <w:rsid w:val="00432F69"/>
    <w:rsid w:val="00433018"/>
    <w:rsid w:val="004332BB"/>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E1"/>
    <w:rsid w:val="00435F99"/>
    <w:rsid w:val="00436013"/>
    <w:rsid w:val="004364B0"/>
    <w:rsid w:val="004365B7"/>
    <w:rsid w:val="0043666B"/>
    <w:rsid w:val="0043689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9E"/>
    <w:rsid w:val="004406C1"/>
    <w:rsid w:val="004408D1"/>
    <w:rsid w:val="00440DD7"/>
    <w:rsid w:val="00440DED"/>
    <w:rsid w:val="00440EC0"/>
    <w:rsid w:val="00440F5D"/>
    <w:rsid w:val="00441030"/>
    <w:rsid w:val="00441405"/>
    <w:rsid w:val="00441490"/>
    <w:rsid w:val="00441AAC"/>
    <w:rsid w:val="00441B3D"/>
    <w:rsid w:val="00441BFB"/>
    <w:rsid w:val="0044216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A61"/>
    <w:rsid w:val="00443B3F"/>
    <w:rsid w:val="00443B9B"/>
    <w:rsid w:val="00443BD1"/>
    <w:rsid w:val="004442F1"/>
    <w:rsid w:val="0044440B"/>
    <w:rsid w:val="00444522"/>
    <w:rsid w:val="0044472F"/>
    <w:rsid w:val="00444783"/>
    <w:rsid w:val="00444C59"/>
    <w:rsid w:val="00444ED1"/>
    <w:rsid w:val="00444F4D"/>
    <w:rsid w:val="00444FC6"/>
    <w:rsid w:val="0044506C"/>
    <w:rsid w:val="00445422"/>
    <w:rsid w:val="0044563B"/>
    <w:rsid w:val="004457C8"/>
    <w:rsid w:val="004457EE"/>
    <w:rsid w:val="00445937"/>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F8"/>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98"/>
    <w:rsid w:val="00451A83"/>
    <w:rsid w:val="00451C22"/>
    <w:rsid w:val="00451DAF"/>
    <w:rsid w:val="004521F6"/>
    <w:rsid w:val="00452281"/>
    <w:rsid w:val="00452299"/>
    <w:rsid w:val="00452363"/>
    <w:rsid w:val="004524A6"/>
    <w:rsid w:val="0045298E"/>
    <w:rsid w:val="00452A61"/>
    <w:rsid w:val="00452A6C"/>
    <w:rsid w:val="00452A98"/>
    <w:rsid w:val="00452BB8"/>
    <w:rsid w:val="00452CDE"/>
    <w:rsid w:val="00452D66"/>
    <w:rsid w:val="00452D68"/>
    <w:rsid w:val="00452F19"/>
    <w:rsid w:val="00453050"/>
    <w:rsid w:val="00453126"/>
    <w:rsid w:val="004531F7"/>
    <w:rsid w:val="00453259"/>
    <w:rsid w:val="00453811"/>
    <w:rsid w:val="00453E11"/>
    <w:rsid w:val="00453E33"/>
    <w:rsid w:val="00453F3E"/>
    <w:rsid w:val="00454330"/>
    <w:rsid w:val="00454349"/>
    <w:rsid w:val="0045438B"/>
    <w:rsid w:val="0045446D"/>
    <w:rsid w:val="004545E4"/>
    <w:rsid w:val="004546D5"/>
    <w:rsid w:val="004546EB"/>
    <w:rsid w:val="0045475C"/>
    <w:rsid w:val="004548F0"/>
    <w:rsid w:val="00454CF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43"/>
    <w:rsid w:val="00457393"/>
    <w:rsid w:val="0045745E"/>
    <w:rsid w:val="00457560"/>
    <w:rsid w:val="0045782B"/>
    <w:rsid w:val="00457BD8"/>
    <w:rsid w:val="00457D39"/>
    <w:rsid w:val="00457F6E"/>
    <w:rsid w:val="00457F79"/>
    <w:rsid w:val="00460089"/>
    <w:rsid w:val="00460158"/>
    <w:rsid w:val="00460601"/>
    <w:rsid w:val="00460657"/>
    <w:rsid w:val="00460C5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AE"/>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AB"/>
    <w:rsid w:val="004730D6"/>
    <w:rsid w:val="0047351A"/>
    <w:rsid w:val="004736AF"/>
    <w:rsid w:val="00473B52"/>
    <w:rsid w:val="00473BCA"/>
    <w:rsid w:val="00473DDD"/>
    <w:rsid w:val="00473E75"/>
    <w:rsid w:val="00473F03"/>
    <w:rsid w:val="00473F20"/>
    <w:rsid w:val="00473F99"/>
    <w:rsid w:val="00474059"/>
    <w:rsid w:val="00474153"/>
    <w:rsid w:val="004741B0"/>
    <w:rsid w:val="004741C4"/>
    <w:rsid w:val="004741ED"/>
    <w:rsid w:val="00474489"/>
    <w:rsid w:val="00474494"/>
    <w:rsid w:val="004747C0"/>
    <w:rsid w:val="00474901"/>
    <w:rsid w:val="004749B1"/>
    <w:rsid w:val="00474D4D"/>
    <w:rsid w:val="00474DB4"/>
    <w:rsid w:val="00474F7A"/>
    <w:rsid w:val="00475106"/>
    <w:rsid w:val="004755A4"/>
    <w:rsid w:val="004755B2"/>
    <w:rsid w:val="00475607"/>
    <w:rsid w:val="0047562F"/>
    <w:rsid w:val="004759D6"/>
    <w:rsid w:val="00475B73"/>
    <w:rsid w:val="00475DDF"/>
    <w:rsid w:val="00475EB7"/>
    <w:rsid w:val="00475EF9"/>
    <w:rsid w:val="00475FB1"/>
    <w:rsid w:val="004760A4"/>
    <w:rsid w:val="004760DD"/>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24"/>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1D"/>
    <w:rsid w:val="00483B99"/>
    <w:rsid w:val="00483CE8"/>
    <w:rsid w:val="00483CED"/>
    <w:rsid w:val="00483EA7"/>
    <w:rsid w:val="00484475"/>
    <w:rsid w:val="004844DB"/>
    <w:rsid w:val="00484762"/>
    <w:rsid w:val="0048479B"/>
    <w:rsid w:val="00484B12"/>
    <w:rsid w:val="00484B2D"/>
    <w:rsid w:val="00484B3E"/>
    <w:rsid w:val="00484D0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3"/>
    <w:rsid w:val="00490CE2"/>
    <w:rsid w:val="00490EAF"/>
    <w:rsid w:val="00490F7C"/>
    <w:rsid w:val="004910E9"/>
    <w:rsid w:val="00491173"/>
    <w:rsid w:val="004912A2"/>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8EF"/>
    <w:rsid w:val="00492C42"/>
    <w:rsid w:val="00492C7F"/>
    <w:rsid w:val="00492CBA"/>
    <w:rsid w:val="00492E55"/>
    <w:rsid w:val="004931DB"/>
    <w:rsid w:val="00493278"/>
    <w:rsid w:val="0049334B"/>
    <w:rsid w:val="004933AD"/>
    <w:rsid w:val="004936C0"/>
    <w:rsid w:val="0049379C"/>
    <w:rsid w:val="00493956"/>
    <w:rsid w:val="00493D30"/>
    <w:rsid w:val="00493F7B"/>
    <w:rsid w:val="004940F6"/>
    <w:rsid w:val="004941FC"/>
    <w:rsid w:val="00494240"/>
    <w:rsid w:val="004942E4"/>
    <w:rsid w:val="00494333"/>
    <w:rsid w:val="00494904"/>
    <w:rsid w:val="004949B4"/>
    <w:rsid w:val="00494AD2"/>
    <w:rsid w:val="00494C2E"/>
    <w:rsid w:val="00494EF5"/>
    <w:rsid w:val="00495188"/>
    <w:rsid w:val="0049534C"/>
    <w:rsid w:val="00495397"/>
    <w:rsid w:val="0049547B"/>
    <w:rsid w:val="004958F4"/>
    <w:rsid w:val="0049590E"/>
    <w:rsid w:val="00495930"/>
    <w:rsid w:val="00495A40"/>
    <w:rsid w:val="00495A52"/>
    <w:rsid w:val="00495B6C"/>
    <w:rsid w:val="00495DC4"/>
    <w:rsid w:val="00495FA6"/>
    <w:rsid w:val="0049656B"/>
    <w:rsid w:val="0049674B"/>
    <w:rsid w:val="00496981"/>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6F"/>
    <w:rsid w:val="004A1636"/>
    <w:rsid w:val="004A1AB4"/>
    <w:rsid w:val="004A1C93"/>
    <w:rsid w:val="004A1F90"/>
    <w:rsid w:val="004A24C2"/>
    <w:rsid w:val="004A2583"/>
    <w:rsid w:val="004A273A"/>
    <w:rsid w:val="004A27FC"/>
    <w:rsid w:val="004A2810"/>
    <w:rsid w:val="004A2945"/>
    <w:rsid w:val="004A2C49"/>
    <w:rsid w:val="004A30A1"/>
    <w:rsid w:val="004A30E8"/>
    <w:rsid w:val="004A321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B2C"/>
    <w:rsid w:val="004B1D68"/>
    <w:rsid w:val="004B1FD7"/>
    <w:rsid w:val="004B2764"/>
    <w:rsid w:val="004B2C16"/>
    <w:rsid w:val="004B2C7A"/>
    <w:rsid w:val="004B2EF7"/>
    <w:rsid w:val="004B2FC6"/>
    <w:rsid w:val="004B350E"/>
    <w:rsid w:val="004B3630"/>
    <w:rsid w:val="004B3872"/>
    <w:rsid w:val="004B38B9"/>
    <w:rsid w:val="004B39DB"/>
    <w:rsid w:val="004B3B99"/>
    <w:rsid w:val="004B3D57"/>
    <w:rsid w:val="004B4245"/>
    <w:rsid w:val="004B42B4"/>
    <w:rsid w:val="004B460C"/>
    <w:rsid w:val="004B488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F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4C"/>
    <w:rsid w:val="004C2F53"/>
    <w:rsid w:val="004C2F6C"/>
    <w:rsid w:val="004C306D"/>
    <w:rsid w:val="004C3202"/>
    <w:rsid w:val="004C325D"/>
    <w:rsid w:val="004C3317"/>
    <w:rsid w:val="004C36AD"/>
    <w:rsid w:val="004C36B4"/>
    <w:rsid w:val="004C38ED"/>
    <w:rsid w:val="004C3976"/>
    <w:rsid w:val="004C39EC"/>
    <w:rsid w:val="004C3AC3"/>
    <w:rsid w:val="004C3D67"/>
    <w:rsid w:val="004C3D8B"/>
    <w:rsid w:val="004C3DB9"/>
    <w:rsid w:val="004C3DCE"/>
    <w:rsid w:val="004C3F4B"/>
    <w:rsid w:val="004C4082"/>
    <w:rsid w:val="004C40CF"/>
    <w:rsid w:val="004C43B8"/>
    <w:rsid w:val="004C43C3"/>
    <w:rsid w:val="004C470C"/>
    <w:rsid w:val="004C4864"/>
    <w:rsid w:val="004C486E"/>
    <w:rsid w:val="004C4A2C"/>
    <w:rsid w:val="004C4A30"/>
    <w:rsid w:val="004C4AE7"/>
    <w:rsid w:val="004C4BCC"/>
    <w:rsid w:val="004C4D68"/>
    <w:rsid w:val="004C4D88"/>
    <w:rsid w:val="004C508A"/>
    <w:rsid w:val="004C50AA"/>
    <w:rsid w:val="004C51EB"/>
    <w:rsid w:val="004C52F4"/>
    <w:rsid w:val="004C53B3"/>
    <w:rsid w:val="004C5438"/>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73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3A"/>
    <w:rsid w:val="004D49B1"/>
    <w:rsid w:val="004D4C89"/>
    <w:rsid w:val="004D4F45"/>
    <w:rsid w:val="004D5082"/>
    <w:rsid w:val="004D526C"/>
    <w:rsid w:val="004D52F3"/>
    <w:rsid w:val="004D543A"/>
    <w:rsid w:val="004D543C"/>
    <w:rsid w:val="004D5590"/>
    <w:rsid w:val="004D55D0"/>
    <w:rsid w:val="004D5633"/>
    <w:rsid w:val="004D57ED"/>
    <w:rsid w:val="004D598D"/>
    <w:rsid w:val="004D5BC2"/>
    <w:rsid w:val="004D5BE8"/>
    <w:rsid w:val="004D5E46"/>
    <w:rsid w:val="004D6210"/>
    <w:rsid w:val="004D64B2"/>
    <w:rsid w:val="004D66C9"/>
    <w:rsid w:val="004D66D9"/>
    <w:rsid w:val="004D6765"/>
    <w:rsid w:val="004D6B60"/>
    <w:rsid w:val="004D6FC1"/>
    <w:rsid w:val="004D712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B43"/>
    <w:rsid w:val="004E0D8B"/>
    <w:rsid w:val="004E1045"/>
    <w:rsid w:val="004E10CE"/>
    <w:rsid w:val="004E1201"/>
    <w:rsid w:val="004E16E4"/>
    <w:rsid w:val="004E19C3"/>
    <w:rsid w:val="004E1CA9"/>
    <w:rsid w:val="004E1D7B"/>
    <w:rsid w:val="004E1FF2"/>
    <w:rsid w:val="004E239B"/>
    <w:rsid w:val="004E2740"/>
    <w:rsid w:val="004E2772"/>
    <w:rsid w:val="004E27E3"/>
    <w:rsid w:val="004E2808"/>
    <w:rsid w:val="004E2DF0"/>
    <w:rsid w:val="004E2E27"/>
    <w:rsid w:val="004E2EAE"/>
    <w:rsid w:val="004E31D9"/>
    <w:rsid w:val="004E3204"/>
    <w:rsid w:val="004E33EE"/>
    <w:rsid w:val="004E35AA"/>
    <w:rsid w:val="004E37D4"/>
    <w:rsid w:val="004E382C"/>
    <w:rsid w:val="004E39D3"/>
    <w:rsid w:val="004E3CDE"/>
    <w:rsid w:val="004E3DA8"/>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0A"/>
    <w:rsid w:val="004E75E3"/>
    <w:rsid w:val="004E7627"/>
    <w:rsid w:val="004E7761"/>
    <w:rsid w:val="004E79D9"/>
    <w:rsid w:val="004E7A13"/>
    <w:rsid w:val="004E7ADD"/>
    <w:rsid w:val="004E7D16"/>
    <w:rsid w:val="004E7D65"/>
    <w:rsid w:val="004E7E0B"/>
    <w:rsid w:val="004F0319"/>
    <w:rsid w:val="004F0731"/>
    <w:rsid w:val="004F0747"/>
    <w:rsid w:val="004F0ACD"/>
    <w:rsid w:val="004F0CEF"/>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81D"/>
    <w:rsid w:val="004F292C"/>
    <w:rsid w:val="004F2A6D"/>
    <w:rsid w:val="004F2BAB"/>
    <w:rsid w:val="004F2BDE"/>
    <w:rsid w:val="004F2C23"/>
    <w:rsid w:val="004F2D9A"/>
    <w:rsid w:val="004F2FE5"/>
    <w:rsid w:val="004F31F3"/>
    <w:rsid w:val="004F3230"/>
    <w:rsid w:val="004F3261"/>
    <w:rsid w:val="004F3352"/>
    <w:rsid w:val="004F3644"/>
    <w:rsid w:val="004F374E"/>
    <w:rsid w:val="004F3783"/>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9"/>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2A"/>
    <w:rsid w:val="00505A38"/>
    <w:rsid w:val="00505A79"/>
    <w:rsid w:val="00505AA5"/>
    <w:rsid w:val="00505B78"/>
    <w:rsid w:val="00505D60"/>
    <w:rsid w:val="00506015"/>
    <w:rsid w:val="00506167"/>
    <w:rsid w:val="005061B4"/>
    <w:rsid w:val="005063C6"/>
    <w:rsid w:val="005064D8"/>
    <w:rsid w:val="005065FC"/>
    <w:rsid w:val="00506763"/>
    <w:rsid w:val="00506780"/>
    <w:rsid w:val="0050693D"/>
    <w:rsid w:val="00506AB1"/>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A3"/>
    <w:rsid w:val="00510C64"/>
    <w:rsid w:val="005110C6"/>
    <w:rsid w:val="00511373"/>
    <w:rsid w:val="0051150C"/>
    <w:rsid w:val="0051152D"/>
    <w:rsid w:val="00511773"/>
    <w:rsid w:val="00511991"/>
    <w:rsid w:val="00511B2D"/>
    <w:rsid w:val="00511BAD"/>
    <w:rsid w:val="00511C30"/>
    <w:rsid w:val="00511F0E"/>
    <w:rsid w:val="005120CB"/>
    <w:rsid w:val="005122EC"/>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9"/>
    <w:rsid w:val="005135BD"/>
    <w:rsid w:val="005135E3"/>
    <w:rsid w:val="005135E5"/>
    <w:rsid w:val="005139BE"/>
    <w:rsid w:val="00513B7A"/>
    <w:rsid w:val="00513CC8"/>
    <w:rsid w:val="00514436"/>
    <w:rsid w:val="005145E2"/>
    <w:rsid w:val="0051484B"/>
    <w:rsid w:val="00514A01"/>
    <w:rsid w:val="00514A8A"/>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30"/>
    <w:rsid w:val="00521851"/>
    <w:rsid w:val="0052192E"/>
    <w:rsid w:val="0052203D"/>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2"/>
    <w:rsid w:val="0052698C"/>
    <w:rsid w:val="00526B6B"/>
    <w:rsid w:val="00526C8F"/>
    <w:rsid w:val="005270DF"/>
    <w:rsid w:val="00527393"/>
    <w:rsid w:val="005275CB"/>
    <w:rsid w:val="005276BF"/>
    <w:rsid w:val="00527726"/>
    <w:rsid w:val="00527739"/>
    <w:rsid w:val="00527825"/>
    <w:rsid w:val="00527B13"/>
    <w:rsid w:val="00527DF6"/>
    <w:rsid w:val="00530095"/>
    <w:rsid w:val="00530183"/>
    <w:rsid w:val="00530578"/>
    <w:rsid w:val="00530842"/>
    <w:rsid w:val="0053094C"/>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47"/>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3E"/>
    <w:rsid w:val="005353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03"/>
    <w:rsid w:val="00536DA3"/>
    <w:rsid w:val="00536F86"/>
    <w:rsid w:val="005375E9"/>
    <w:rsid w:val="005378E0"/>
    <w:rsid w:val="00537AD7"/>
    <w:rsid w:val="00537EEA"/>
    <w:rsid w:val="00537FDC"/>
    <w:rsid w:val="00540049"/>
    <w:rsid w:val="00540256"/>
    <w:rsid w:val="0054028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729"/>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F4"/>
    <w:rsid w:val="00543DE6"/>
    <w:rsid w:val="00543DF4"/>
    <w:rsid w:val="00543F80"/>
    <w:rsid w:val="0054402D"/>
    <w:rsid w:val="00544325"/>
    <w:rsid w:val="005446DB"/>
    <w:rsid w:val="0054492F"/>
    <w:rsid w:val="00544BD5"/>
    <w:rsid w:val="00544C4D"/>
    <w:rsid w:val="00544CA2"/>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580"/>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355"/>
    <w:rsid w:val="00554519"/>
    <w:rsid w:val="00554554"/>
    <w:rsid w:val="005545D3"/>
    <w:rsid w:val="00554643"/>
    <w:rsid w:val="005546F8"/>
    <w:rsid w:val="00554735"/>
    <w:rsid w:val="005548AC"/>
    <w:rsid w:val="00554FE7"/>
    <w:rsid w:val="0055508D"/>
    <w:rsid w:val="005550F2"/>
    <w:rsid w:val="00555341"/>
    <w:rsid w:val="0055579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9C"/>
    <w:rsid w:val="00556DB7"/>
    <w:rsid w:val="00556E9E"/>
    <w:rsid w:val="005571A1"/>
    <w:rsid w:val="00557648"/>
    <w:rsid w:val="005577C4"/>
    <w:rsid w:val="0055791F"/>
    <w:rsid w:val="00557D30"/>
    <w:rsid w:val="00560344"/>
    <w:rsid w:val="005603D9"/>
    <w:rsid w:val="00560420"/>
    <w:rsid w:val="0056044E"/>
    <w:rsid w:val="0056055F"/>
    <w:rsid w:val="005607CA"/>
    <w:rsid w:val="005608DB"/>
    <w:rsid w:val="00561001"/>
    <w:rsid w:val="00561038"/>
    <w:rsid w:val="00561075"/>
    <w:rsid w:val="005611A8"/>
    <w:rsid w:val="0056126D"/>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D1"/>
    <w:rsid w:val="00564D95"/>
    <w:rsid w:val="0056501B"/>
    <w:rsid w:val="0056505B"/>
    <w:rsid w:val="005650B5"/>
    <w:rsid w:val="00565288"/>
    <w:rsid w:val="00565359"/>
    <w:rsid w:val="00565577"/>
    <w:rsid w:val="0056585F"/>
    <w:rsid w:val="005658E6"/>
    <w:rsid w:val="00565904"/>
    <w:rsid w:val="00565AB3"/>
    <w:rsid w:val="00566005"/>
    <w:rsid w:val="0056601C"/>
    <w:rsid w:val="00566244"/>
    <w:rsid w:val="00566418"/>
    <w:rsid w:val="005664C2"/>
    <w:rsid w:val="005664DD"/>
    <w:rsid w:val="00566532"/>
    <w:rsid w:val="0056663D"/>
    <w:rsid w:val="005668B5"/>
    <w:rsid w:val="00566ADD"/>
    <w:rsid w:val="00566D9F"/>
    <w:rsid w:val="00566EFD"/>
    <w:rsid w:val="00566FBD"/>
    <w:rsid w:val="00567211"/>
    <w:rsid w:val="005672DB"/>
    <w:rsid w:val="00567674"/>
    <w:rsid w:val="00567826"/>
    <w:rsid w:val="00567C2A"/>
    <w:rsid w:val="00567C4F"/>
    <w:rsid w:val="00567DAA"/>
    <w:rsid w:val="00567EDB"/>
    <w:rsid w:val="00567F2D"/>
    <w:rsid w:val="00570154"/>
    <w:rsid w:val="00570707"/>
    <w:rsid w:val="00570896"/>
    <w:rsid w:val="005708B3"/>
    <w:rsid w:val="00570FA3"/>
    <w:rsid w:val="00571152"/>
    <w:rsid w:val="005715E8"/>
    <w:rsid w:val="005717D2"/>
    <w:rsid w:val="00571987"/>
    <w:rsid w:val="00571C53"/>
    <w:rsid w:val="00571C5B"/>
    <w:rsid w:val="00571FD3"/>
    <w:rsid w:val="00572088"/>
    <w:rsid w:val="0057212C"/>
    <w:rsid w:val="005727DF"/>
    <w:rsid w:val="00572859"/>
    <w:rsid w:val="005728DA"/>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AB"/>
    <w:rsid w:val="00575315"/>
    <w:rsid w:val="00575378"/>
    <w:rsid w:val="00575506"/>
    <w:rsid w:val="00575AEB"/>
    <w:rsid w:val="00575B05"/>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69"/>
    <w:rsid w:val="0057777F"/>
    <w:rsid w:val="005779CF"/>
    <w:rsid w:val="00577B59"/>
    <w:rsid w:val="00577BEE"/>
    <w:rsid w:val="00577DD8"/>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61"/>
    <w:rsid w:val="00581D8F"/>
    <w:rsid w:val="00581E63"/>
    <w:rsid w:val="00581F59"/>
    <w:rsid w:val="0058203C"/>
    <w:rsid w:val="00582196"/>
    <w:rsid w:val="00582577"/>
    <w:rsid w:val="005825F2"/>
    <w:rsid w:val="005826D5"/>
    <w:rsid w:val="005828E1"/>
    <w:rsid w:val="00582989"/>
    <w:rsid w:val="00582A72"/>
    <w:rsid w:val="00582D1C"/>
    <w:rsid w:val="00582F90"/>
    <w:rsid w:val="00582FF1"/>
    <w:rsid w:val="00583074"/>
    <w:rsid w:val="0058342B"/>
    <w:rsid w:val="0058361D"/>
    <w:rsid w:val="005839EF"/>
    <w:rsid w:val="005839F0"/>
    <w:rsid w:val="00583E24"/>
    <w:rsid w:val="00584267"/>
    <w:rsid w:val="00584368"/>
    <w:rsid w:val="005845B8"/>
    <w:rsid w:val="005845EF"/>
    <w:rsid w:val="00584865"/>
    <w:rsid w:val="00584A55"/>
    <w:rsid w:val="00584D9D"/>
    <w:rsid w:val="00584EAC"/>
    <w:rsid w:val="005853C7"/>
    <w:rsid w:val="00585427"/>
    <w:rsid w:val="0058555E"/>
    <w:rsid w:val="0058561C"/>
    <w:rsid w:val="005856FA"/>
    <w:rsid w:val="00585846"/>
    <w:rsid w:val="00585CE1"/>
    <w:rsid w:val="00585D4C"/>
    <w:rsid w:val="00585D87"/>
    <w:rsid w:val="00585DE7"/>
    <w:rsid w:val="00585ECD"/>
    <w:rsid w:val="005863A7"/>
    <w:rsid w:val="005864DF"/>
    <w:rsid w:val="00586571"/>
    <w:rsid w:val="005865DE"/>
    <w:rsid w:val="005865EA"/>
    <w:rsid w:val="00586614"/>
    <w:rsid w:val="005866D5"/>
    <w:rsid w:val="00586D23"/>
    <w:rsid w:val="00586D58"/>
    <w:rsid w:val="00586D72"/>
    <w:rsid w:val="00586F1B"/>
    <w:rsid w:val="0058716D"/>
    <w:rsid w:val="0058773E"/>
    <w:rsid w:val="0058788A"/>
    <w:rsid w:val="00587A4C"/>
    <w:rsid w:val="00587A6C"/>
    <w:rsid w:val="005900BF"/>
    <w:rsid w:val="005902D0"/>
    <w:rsid w:val="0059050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FF"/>
    <w:rsid w:val="00594506"/>
    <w:rsid w:val="00594523"/>
    <w:rsid w:val="005947B9"/>
    <w:rsid w:val="00594B0A"/>
    <w:rsid w:val="00594DAE"/>
    <w:rsid w:val="00594EA3"/>
    <w:rsid w:val="00594F05"/>
    <w:rsid w:val="00595335"/>
    <w:rsid w:val="00595416"/>
    <w:rsid w:val="00595436"/>
    <w:rsid w:val="0059548B"/>
    <w:rsid w:val="005955B7"/>
    <w:rsid w:val="00595632"/>
    <w:rsid w:val="00595682"/>
    <w:rsid w:val="00595729"/>
    <w:rsid w:val="00595AAA"/>
    <w:rsid w:val="00595C20"/>
    <w:rsid w:val="00596072"/>
    <w:rsid w:val="005962A8"/>
    <w:rsid w:val="0059658D"/>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6"/>
    <w:rsid w:val="00597637"/>
    <w:rsid w:val="005977E7"/>
    <w:rsid w:val="00597817"/>
    <w:rsid w:val="00597B38"/>
    <w:rsid w:val="00597BF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9"/>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69"/>
    <w:rsid w:val="005A6AD0"/>
    <w:rsid w:val="005A6D88"/>
    <w:rsid w:val="005A6DC0"/>
    <w:rsid w:val="005A6EC5"/>
    <w:rsid w:val="005A6FAD"/>
    <w:rsid w:val="005A7050"/>
    <w:rsid w:val="005A7369"/>
    <w:rsid w:val="005A7536"/>
    <w:rsid w:val="005A75E9"/>
    <w:rsid w:val="005A7D06"/>
    <w:rsid w:val="005A7D7A"/>
    <w:rsid w:val="005A7E7E"/>
    <w:rsid w:val="005A7F16"/>
    <w:rsid w:val="005B0002"/>
    <w:rsid w:val="005B007D"/>
    <w:rsid w:val="005B00E7"/>
    <w:rsid w:val="005B02E6"/>
    <w:rsid w:val="005B03D8"/>
    <w:rsid w:val="005B0464"/>
    <w:rsid w:val="005B0730"/>
    <w:rsid w:val="005B0789"/>
    <w:rsid w:val="005B0DC3"/>
    <w:rsid w:val="005B0EA7"/>
    <w:rsid w:val="005B11F1"/>
    <w:rsid w:val="005B16B2"/>
    <w:rsid w:val="005B180E"/>
    <w:rsid w:val="005B1BBF"/>
    <w:rsid w:val="005B1D63"/>
    <w:rsid w:val="005B1ECB"/>
    <w:rsid w:val="005B20D5"/>
    <w:rsid w:val="005B225B"/>
    <w:rsid w:val="005B2331"/>
    <w:rsid w:val="005B27DB"/>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E9"/>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F2"/>
    <w:rsid w:val="005C0C8D"/>
    <w:rsid w:val="005C0D6F"/>
    <w:rsid w:val="005C0E2C"/>
    <w:rsid w:val="005C0F0C"/>
    <w:rsid w:val="005C10E6"/>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09D"/>
    <w:rsid w:val="005C4125"/>
    <w:rsid w:val="005C4719"/>
    <w:rsid w:val="005C4A16"/>
    <w:rsid w:val="005C4A32"/>
    <w:rsid w:val="005C4BC1"/>
    <w:rsid w:val="005C4D3D"/>
    <w:rsid w:val="005C4F4B"/>
    <w:rsid w:val="005C508E"/>
    <w:rsid w:val="005C54D3"/>
    <w:rsid w:val="005C5540"/>
    <w:rsid w:val="005C5719"/>
    <w:rsid w:val="005C58BB"/>
    <w:rsid w:val="005C5911"/>
    <w:rsid w:val="005C5944"/>
    <w:rsid w:val="005C5A89"/>
    <w:rsid w:val="005C5B2A"/>
    <w:rsid w:val="005C5E5C"/>
    <w:rsid w:val="005C63CC"/>
    <w:rsid w:val="005C64CC"/>
    <w:rsid w:val="005C65F6"/>
    <w:rsid w:val="005C668A"/>
    <w:rsid w:val="005C68F2"/>
    <w:rsid w:val="005C6B27"/>
    <w:rsid w:val="005C6B7E"/>
    <w:rsid w:val="005C6BF1"/>
    <w:rsid w:val="005C710E"/>
    <w:rsid w:val="005C737F"/>
    <w:rsid w:val="005C7384"/>
    <w:rsid w:val="005C73EA"/>
    <w:rsid w:val="005C740B"/>
    <w:rsid w:val="005C7456"/>
    <w:rsid w:val="005C76C6"/>
    <w:rsid w:val="005C7811"/>
    <w:rsid w:val="005C7C45"/>
    <w:rsid w:val="005C7F60"/>
    <w:rsid w:val="005D0079"/>
    <w:rsid w:val="005D02EF"/>
    <w:rsid w:val="005D032D"/>
    <w:rsid w:val="005D0456"/>
    <w:rsid w:val="005D04B0"/>
    <w:rsid w:val="005D0859"/>
    <w:rsid w:val="005D088A"/>
    <w:rsid w:val="005D0980"/>
    <w:rsid w:val="005D10FC"/>
    <w:rsid w:val="005D13D0"/>
    <w:rsid w:val="005D15F9"/>
    <w:rsid w:val="005D1785"/>
    <w:rsid w:val="005D1BD8"/>
    <w:rsid w:val="005D1CE6"/>
    <w:rsid w:val="005D2006"/>
    <w:rsid w:val="005D2030"/>
    <w:rsid w:val="005D23E7"/>
    <w:rsid w:val="005D24D1"/>
    <w:rsid w:val="005D266D"/>
    <w:rsid w:val="005D2975"/>
    <w:rsid w:val="005D2AB7"/>
    <w:rsid w:val="005D2B16"/>
    <w:rsid w:val="005D2CCA"/>
    <w:rsid w:val="005D2DE0"/>
    <w:rsid w:val="005D2FFC"/>
    <w:rsid w:val="005D3091"/>
    <w:rsid w:val="005D3143"/>
    <w:rsid w:val="005D336D"/>
    <w:rsid w:val="005D33A1"/>
    <w:rsid w:val="005D35FD"/>
    <w:rsid w:val="005D362F"/>
    <w:rsid w:val="005D36A2"/>
    <w:rsid w:val="005D3772"/>
    <w:rsid w:val="005D3842"/>
    <w:rsid w:val="005D396D"/>
    <w:rsid w:val="005D3A16"/>
    <w:rsid w:val="005D3BC1"/>
    <w:rsid w:val="005D3CD2"/>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9E"/>
    <w:rsid w:val="005D621E"/>
    <w:rsid w:val="005D6354"/>
    <w:rsid w:val="005D6638"/>
    <w:rsid w:val="005D6848"/>
    <w:rsid w:val="005D68CE"/>
    <w:rsid w:val="005D6B1F"/>
    <w:rsid w:val="005D6B9A"/>
    <w:rsid w:val="005D6BF0"/>
    <w:rsid w:val="005D6C7D"/>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79"/>
    <w:rsid w:val="005E019B"/>
    <w:rsid w:val="005E0B26"/>
    <w:rsid w:val="005E0F35"/>
    <w:rsid w:val="005E1590"/>
    <w:rsid w:val="005E1749"/>
    <w:rsid w:val="005E1848"/>
    <w:rsid w:val="005E1921"/>
    <w:rsid w:val="005E1950"/>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60"/>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2F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AB"/>
    <w:rsid w:val="005F6C2C"/>
    <w:rsid w:val="005F6E40"/>
    <w:rsid w:val="005F6EFA"/>
    <w:rsid w:val="005F6FA9"/>
    <w:rsid w:val="005F7011"/>
    <w:rsid w:val="005F70F0"/>
    <w:rsid w:val="005F71A9"/>
    <w:rsid w:val="005F72F4"/>
    <w:rsid w:val="005F741B"/>
    <w:rsid w:val="005F74FA"/>
    <w:rsid w:val="005F754A"/>
    <w:rsid w:val="005F7602"/>
    <w:rsid w:val="005F7682"/>
    <w:rsid w:val="005F7CBF"/>
    <w:rsid w:val="005F7E87"/>
    <w:rsid w:val="005F7E9E"/>
    <w:rsid w:val="005F7ED5"/>
    <w:rsid w:val="00600076"/>
    <w:rsid w:val="0060009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E8"/>
    <w:rsid w:val="00601D67"/>
    <w:rsid w:val="00602023"/>
    <w:rsid w:val="00602032"/>
    <w:rsid w:val="00602117"/>
    <w:rsid w:val="006022CD"/>
    <w:rsid w:val="00602768"/>
    <w:rsid w:val="00602B23"/>
    <w:rsid w:val="00602B37"/>
    <w:rsid w:val="00602C9A"/>
    <w:rsid w:val="00602E2A"/>
    <w:rsid w:val="00602EDC"/>
    <w:rsid w:val="00602F1C"/>
    <w:rsid w:val="0060305E"/>
    <w:rsid w:val="00603072"/>
    <w:rsid w:val="00603113"/>
    <w:rsid w:val="006032B0"/>
    <w:rsid w:val="006034D6"/>
    <w:rsid w:val="0060376B"/>
    <w:rsid w:val="00603963"/>
    <w:rsid w:val="00603A39"/>
    <w:rsid w:val="00604125"/>
    <w:rsid w:val="006043FC"/>
    <w:rsid w:val="006046C4"/>
    <w:rsid w:val="00604734"/>
    <w:rsid w:val="00604770"/>
    <w:rsid w:val="00604AD6"/>
    <w:rsid w:val="00604D09"/>
    <w:rsid w:val="00604EDD"/>
    <w:rsid w:val="00604FBF"/>
    <w:rsid w:val="0060537C"/>
    <w:rsid w:val="0060559C"/>
    <w:rsid w:val="006055A9"/>
    <w:rsid w:val="00605641"/>
    <w:rsid w:val="00605732"/>
    <w:rsid w:val="006057D9"/>
    <w:rsid w:val="006057E4"/>
    <w:rsid w:val="00605830"/>
    <w:rsid w:val="00605BC7"/>
    <w:rsid w:val="00605DB1"/>
    <w:rsid w:val="00605ECA"/>
    <w:rsid w:val="0060616F"/>
    <w:rsid w:val="00606237"/>
    <w:rsid w:val="00606291"/>
    <w:rsid w:val="006062CD"/>
    <w:rsid w:val="006064E1"/>
    <w:rsid w:val="006068A4"/>
    <w:rsid w:val="006069C7"/>
    <w:rsid w:val="00606A66"/>
    <w:rsid w:val="00606B46"/>
    <w:rsid w:val="00606E3F"/>
    <w:rsid w:val="00606E9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1DB"/>
    <w:rsid w:val="006114E4"/>
    <w:rsid w:val="00611605"/>
    <w:rsid w:val="00611A40"/>
    <w:rsid w:val="00611E5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9F7"/>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E"/>
    <w:rsid w:val="0062105C"/>
    <w:rsid w:val="00621521"/>
    <w:rsid w:val="00621625"/>
    <w:rsid w:val="00621680"/>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8E"/>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6A2"/>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7A"/>
    <w:rsid w:val="00630B19"/>
    <w:rsid w:val="00630BC2"/>
    <w:rsid w:val="00630BFE"/>
    <w:rsid w:val="00630C59"/>
    <w:rsid w:val="00630D89"/>
    <w:rsid w:val="00630E1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81"/>
    <w:rsid w:val="0063330C"/>
    <w:rsid w:val="006333DF"/>
    <w:rsid w:val="006334E6"/>
    <w:rsid w:val="00633542"/>
    <w:rsid w:val="0063373C"/>
    <w:rsid w:val="00633BAA"/>
    <w:rsid w:val="00633C1F"/>
    <w:rsid w:val="00633D22"/>
    <w:rsid w:val="00634723"/>
    <w:rsid w:val="00634764"/>
    <w:rsid w:val="006347EB"/>
    <w:rsid w:val="00634AFC"/>
    <w:rsid w:val="00634B07"/>
    <w:rsid w:val="00634DB9"/>
    <w:rsid w:val="00635428"/>
    <w:rsid w:val="00635674"/>
    <w:rsid w:val="00635835"/>
    <w:rsid w:val="00635D96"/>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86"/>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59"/>
    <w:rsid w:val="00644CBB"/>
    <w:rsid w:val="00644D6E"/>
    <w:rsid w:val="00644EBD"/>
    <w:rsid w:val="00645218"/>
    <w:rsid w:val="0064573F"/>
    <w:rsid w:val="00645AE4"/>
    <w:rsid w:val="006461D1"/>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BD"/>
    <w:rsid w:val="00647B94"/>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8F"/>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5FE"/>
    <w:rsid w:val="006548E9"/>
    <w:rsid w:val="00654916"/>
    <w:rsid w:val="00654BFE"/>
    <w:rsid w:val="00654F6E"/>
    <w:rsid w:val="00655003"/>
    <w:rsid w:val="00655022"/>
    <w:rsid w:val="00655198"/>
    <w:rsid w:val="0065569D"/>
    <w:rsid w:val="006556CF"/>
    <w:rsid w:val="0065577D"/>
    <w:rsid w:val="006557DC"/>
    <w:rsid w:val="006559E7"/>
    <w:rsid w:val="00655CC6"/>
    <w:rsid w:val="00655CF6"/>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CB"/>
    <w:rsid w:val="00660E35"/>
    <w:rsid w:val="00660EF8"/>
    <w:rsid w:val="00661191"/>
    <w:rsid w:val="00661197"/>
    <w:rsid w:val="0066119E"/>
    <w:rsid w:val="006612D1"/>
    <w:rsid w:val="0066138A"/>
    <w:rsid w:val="00661452"/>
    <w:rsid w:val="0066157A"/>
    <w:rsid w:val="0066162F"/>
    <w:rsid w:val="006618D4"/>
    <w:rsid w:val="006619A4"/>
    <w:rsid w:val="0066214F"/>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86"/>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E5"/>
    <w:rsid w:val="00671824"/>
    <w:rsid w:val="00671A0D"/>
    <w:rsid w:val="00671AEA"/>
    <w:rsid w:val="00671B24"/>
    <w:rsid w:val="00671C19"/>
    <w:rsid w:val="006722AE"/>
    <w:rsid w:val="006723AC"/>
    <w:rsid w:val="006724BA"/>
    <w:rsid w:val="00672639"/>
    <w:rsid w:val="0067267B"/>
    <w:rsid w:val="0067288A"/>
    <w:rsid w:val="00672913"/>
    <w:rsid w:val="00672D2B"/>
    <w:rsid w:val="00672D84"/>
    <w:rsid w:val="00672E7D"/>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8A"/>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EB"/>
    <w:rsid w:val="006819FC"/>
    <w:rsid w:val="00681C86"/>
    <w:rsid w:val="00681E57"/>
    <w:rsid w:val="0068228A"/>
    <w:rsid w:val="0068237F"/>
    <w:rsid w:val="0068240B"/>
    <w:rsid w:val="00682C75"/>
    <w:rsid w:val="00683044"/>
    <w:rsid w:val="00683238"/>
    <w:rsid w:val="0068325D"/>
    <w:rsid w:val="00683471"/>
    <w:rsid w:val="006834EA"/>
    <w:rsid w:val="006834FA"/>
    <w:rsid w:val="006835A5"/>
    <w:rsid w:val="0068374C"/>
    <w:rsid w:val="006839F5"/>
    <w:rsid w:val="00683C9D"/>
    <w:rsid w:val="0068454A"/>
    <w:rsid w:val="00684ACD"/>
    <w:rsid w:val="00684B8F"/>
    <w:rsid w:val="0068514E"/>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06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78"/>
    <w:rsid w:val="006929B9"/>
    <w:rsid w:val="006929F5"/>
    <w:rsid w:val="00692B5F"/>
    <w:rsid w:val="00692FB1"/>
    <w:rsid w:val="00693341"/>
    <w:rsid w:val="00693424"/>
    <w:rsid w:val="006934BC"/>
    <w:rsid w:val="0069386D"/>
    <w:rsid w:val="006939B2"/>
    <w:rsid w:val="00693C4A"/>
    <w:rsid w:val="00693D53"/>
    <w:rsid w:val="00693DFA"/>
    <w:rsid w:val="0069402D"/>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B8"/>
    <w:rsid w:val="006977F0"/>
    <w:rsid w:val="006979DB"/>
    <w:rsid w:val="00697E29"/>
    <w:rsid w:val="00697F7C"/>
    <w:rsid w:val="006A007C"/>
    <w:rsid w:val="006A01B6"/>
    <w:rsid w:val="006A0343"/>
    <w:rsid w:val="006A0563"/>
    <w:rsid w:val="006A05C5"/>
    <w:rsid w:val="006A05E1"/>
    <w:rsid w:val="006A06F9"/>
    <w:rsid w:val="006A0713"/>
    <w:rsid w:val="006A0896"/>
    <w:rsid w:val="006A09C9"/>
    <w:rsid w:val="006A0BFF"/>
    <w:rsid w:val="006A0D1A"/>
    <w:rsid w:val="006A0F69"/>
    <w:rsid w:val="006A121A"/>
    <w:rsid w:val="006A15AB"/>
    <w:rsid w:val="006A16C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1E7"/>
    <w:rsid w:val="006A42B7"/>
    <w:rsid w:val="006A440E"/>
    <w:rsid w:val="006A4510"/>
    <w:rsid w:val="006A4732"/>
    <w:rsid w:val="006A474E"/>
    <w:rsid w:val="006A492C"/>
    <w:rsid w:val="006A4ECD"/>
    <w:rsid w:val="006A50D4"/>
    <w:rsid w:val="006A50FD"/>
    <w:rsid w:val="006A560E"/>
    <w:rsid w:val="006A56AF"/>
    <w:rsid w:val="006A572F"/>
    <w:rsid w:val="006A59DB"/>
    <w:rsid w:val="006A5E79"/>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6D"/>
    <w:rsid w:val="006B0473"/>
    <w:rsid w:val="006B0474"/>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DF"/>
    <w:rsid w:val="006B23E0"/>
    <w:rsid w:val="006B24F7"/>
    <w:rsid w:val="006B260E"/>
    <w:rsid w:val="006B261E"/>
    <w:rsid w:val="006B29B7"/>
    <w:rsid w:val="006B29C5"/>
    <w:rsid w:val="006B29D5"/>
    <w:rsid w:val="006B2DC8"/>
    <w:rsid w:val="006B3054"/>
    <w:rsid w:val="006B36B9"/>
    <w:rsid w:val="006B37B0"/>
    <w:rsid w:val="006B3809"/>
    <w:rsid w:val="006B398D"/>
    <w:rsid w:val="006B3B6C"/>
    <w:rsid w:val="006B3D55"/>
    <w:rsid w:val="006B3F75"/>
    <w:rsid w:val="006B4499"/>
    <w:rsid w:val="006B45BB"/>
    <w:rsid w:val="006B48A6"/>
    <w:rsid w:val="006B49A8"/>
    <w:rsid w:val="006B49DF"/>
    <w:rsid w:val="006B4CAE"/>
    <w:rsid w:val="006B4E36"/>
    <w:rsid w:val="006B4FD1"/>
    <w:rsid w:val="006B53C2"/>
    <w:rsid w:val="006B53C9"/>
    <w:rsid w:val="006B5575"/>
    <w:rsid w:val="006B5619"/>
    <w:rsid w:val="006B5624"/>
    <w:rsid w:val="006B58D8"/>
    <w:rsid w:val="006B5A24"/>
    <w:rsid w:val="006B5A86"/>
    <w:rsid w:val="006B6020"/>
    <w:rsid w:val="006B6064"/>
    <w:rsid w:val="006B6074"/>
    <w:rsid w:val="006B61BE"/>
    <w:rsid w:val="006B624F"/>
    <w:rsid w:val="006B627F"/>
    <w:rsid w:val="006B63E5"/>
    <w:rsid w:val="006B666A"/>
    <w:rsid w:val="006B6902"/>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1A"/>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CF3"/>
    <w:rsid w:val="006C2D2F"/>
    <w:rsid w:val="006C32F8"/>
    <w:rsid w:val="006C335A"/>
    <w:rsid w:val="006C363F"/>
    <w:rsid w:val="006C3912"/>
    <w:rsid w:val="006C3ACC"/>
    <w:rsid w:val="006C3D37"/>
    <w:rsid w:val="006C3ED5"/>
    <w:rsid w:val="006C42C2"/>
    <w:rsid w:val="006C43D5"/>
    <w:rsid w:val="006C44AB"/>
    <w:rsid w:val="006C44F0"/>
    <w:rsid w:val="006C453E"/>
    <w:rsid w:val="006C4765"/>
    <w:rsid w:val="006C4872"/>
    <w:rsid w:val="006C4980"/>
    <w:rsid w:val="006C4BAE"/>
    <w:rsid w:val="006C4C23"/>
    <w:rsid w:val="006C4E50"/>
    <w:rsid w:val="006C4E9A"/>
    <w:rsid w:val="006C512C"/>
    <w:rsid w:val="006C52A4"/>
    <w:rsid w:val="006C55E2"/>
    <w:rsid w:val="006C5614"/>
    <w:rsid w:val="006C57DE"/>
    <w:rsid w:val="006C58ED"/>
    <w:rsid w:val="006C5E1A"/>
    <w:rsid w:val="006C5F02"/>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D1"/>
    <w:rsid w:val="006C79CE"/>
    <w:rsid w:val="006C7DF9"/>
    <w:rsid w:val="006D0352"/>
    <w:rsid w:val="006D0914"/>
    <w:rsid w:val="006D0A56"/>
    <w:rsid w:val="006D0C43"/>
    <w:rsid w:val="006D0E75"/>
    <w:rsid w:val="006D0F2A"/>
    <w:rsid w:val="006D0F2C"/>
    <w:rsid w:val="006D0FE9"/>
    <w:rsid w:val="006D1130"/>
    <w:rsid w:val="006D15BE"/>
    <w:rsid w:val="006D1725"/>
    <w:rsid w:val="006D191A"/>
    <w:rsid w:val="006D1935"/>
    <w:rsid w:val="006D19C7"/>
    <w:rsid w:val="006D19FF"/>
    <w:rsid w:val="006D1A74"/>
    <w:rsid w:val="006D1D65"/>
    <w:rsid w:val="006D1E43"/>
    <w:rsid w:val="006D20DB"/>
    <w:rsid w:val="006D21DA"/>
    <w:rsid w:val="006D2615"/>
    <w:rsid w:val="006D2631"/>
    <w:rsid w:val="006D29B4"/>
    <w:rsid w:val="006D2A8E"/>
    <w:rsid w:val="006D2B4E"/>
    <w:rsid w:val="006D2C8A"/>
    <w:rsid w:val="006D2EF2"/>
    <w:rsid w:val="006D3042"/>
    <w:rsid w:val="006D30DF"/>
    <w:rsid w:val="006D342A"/>
    <w:rsid w:val="006D34DF"/>
    <w:rsid w:val="006D3817"/>
    <w:rsid w:val="006D38A7"/>
    <w:rsid w:val="006D3A97"/>
    <w:rsid w:val="006D3B23"/>
    <w:rsid w:val="006D3BF5"/>
    <w:rsid w:val="006D3CA6"/>
    <w:rsid w:val="006D42C5"/>
    <w:rsid w:val="006D455A"/>
    <w:rsid w:val="006D4588"/>
    <w:rsid w:val="006D45C8"/>
    <w:rsid w:val="006D476E"/>
    <w:rsid w:val="006D4A83"/>
    <w:rsid w:val="006D4D79"/>
    <w:rsid w:val="006D4DD2"/>
    <w:rsid w:val="006D4E72"/>
    <w:rsid w:val="006D4E86"/>
    <w:rsid w:val="006D5150"/>
    <w:rsid w:val="006D5889"/>
    <w:rsid w:val="006D5DE2"/>
    <w:rsid w:val="006D5EB1"/>
    <w:rsid w:val="006D6063"/>
    <w:rsid w:val="006D60F1"/>
    <w:rsid w:val="006D6246"/>
    <w:rsid w:val="006D6267"/>
    <w:rsid w:val="006D62A6"/>
    <w:rsid w:val="006D6390"/>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2"/>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3"/>
    <w:rsid w:val="006E61F1"/>
    <w:rsid w:val="006E650E"/>
    <w:rsid w:val="006E6590"/>
    <w:rsid w:val="006E65D7"/>
    <w:rsid w:val="006E6602"/>
    <w:rsid w:val="006E665D"/>
    <w:rsid w:val="006E6661"/>
    <w:rsid w:val="006E6877"/>
    <w:rsid w:val="006E697D"/>
    <w:rsid w:val="006E6AA9"/>
    <w:rsid w:val="006E6C24"/>
    <w:rsid w:val="006E6C36"/>
    <w:rsid w:val="006E7119"/>
    <w:rsid w:val="006E71CA"/>
    <w:rsid w:val="006E73A5"/>
    <w:rsid w:val="006E7684"/>
    <w:rsid w:val="006E7802"/>
    <w:rsid w:val="006E78AF"/>
    <w:rsid w:val="006E7C40"/>
    <w:rsid w:val="006F003B"/>
    <w:rsid w:val="006F00E8"/>
    <w:rsid w:val="006F0106"/>
    <w:rsid w:val="006F0193"/>
    <w:rsid w:val="006F01EE"/>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01"/>
    <w:rsid w:val="006F220D"/>
    <w:rsid w:val="006F276D"/>
    <w:rsid w:val="006F2962"/>
    <w:rsid w:val="006F296E"/>
    <w:rsid w:val="006F2A88"/>
    <w:rsid w:val="006F2DB7"/>
    <w:rsid w:val="006F2EB4"/>
    <w:rsid w:val="006F301E"/>
    <w:rsid w:val="006F339C"/>
    <w:rsid w:val="006F3761"/>
    <w:rsid w:val="006F3826"/>
    <w:rsid w:val="006F38DB"/>
    <w:rsid w:val="006F3AAE"/>
    <w:rsid w:val="006F3CB4"/>
    <w:rsid w:val="006F3FE5"/>
    <w:rsid w:val="006F417F"/>
    <w:rsid w:val="006F431D"/>
    <w:rsid w:val="006F436F"/>
    <w:rsid w:val="006F449A"/>
    <w:rsid w:val="006F4568"/>
    <w:rsid w:val="006F4576"/>
    <w:rsid w:val="006F464B"/>
    <w:rsid w:val="006F4A1B"/>
    <w:rsid w:val="006F4BBD"/>
    <w:rsid w:val="006F4D37"/>
    <w:rsid w:val="006F5283"/>
    <w:rsid w:val="006F53B5"/>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6F75"/>
    <w:rsid w:val="006F71FE"/>
    <w:rsid w:val="006F725F"/>
    <w:rsid w:val="006F7365"/>
    <w:rsid w:val="006F7423"/>
    <w:rsid w:val="006F7586"/>
    <w:rsid w:val="006F772D"/>
    <w:rsid w:val="006F78B8"/>
    <w:rsid w:val="006F7B25"/>
    <w:rsid w:val="006F7F88"/>
    <w:rsid w:val="0070019A"/>
    <w:rsid w:val="007001F0"/>
    <w:rsid w:val="00700261"/>
    <w:rsid w:val="00700390"/>
    <w:rsid w:val="007003B6"/>
    <w:rsid w:val="00700474"/>
    <w:rsid w:val="00700477"/>
    <w:rsid w:val="007004F7"/>
    <w:rsid w:val="00700514"/>
    <w:rsid w:val="00700567"/>
    <w:rsid w:val="00700788"/>
    <w:rsid w:val="007007DB"/>
    <w:rsid w:val="0070094E"/>
    <w:rsid w:val="00700B3A"/>
    <w:rsid w:val="00700C0B"/>
    <w:rsid w:val="00700E2A"/>
    <w:rsid w:val="00700F49"/>
    <w:rsid w:val="00700F53"/>
    <w:rsid w:val="00701108"/>
    <w:rsid w:val="007012FE"/>
    <w:rsid w:val="007013AD"/>
    <w:rsid w:val="00701675"/>
    <w:rsid w:val="0070179D"/>
    <w:rsid w:val="00701852"/>
    <w:rsid w:val="00702107"/>
    <w:rsid w:val="007025C2"/>
    <w:rsid w:val="007025F4"/>
    <w:rsid w:val="007026DA"/>
    <w:rsid w:val="007026F3"/>
    <w:rsid w:val="007028AC"/>
    <w:rsid w:val="00702926"/>
    <w:rsid w:val="00702B46"/>
    <w:rsid w:val="00702EC6"/>
    <w:rsid w:val="0070331E"/>
    <w:rsid w:val="007037AA"/>
    <w:rsid w:val="00703821"/>
    <w:rsid w:val="007038D3"/>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62"/>
    <w:rsid w:val="007059BB"/>
    <w:rsid w:val="00705A2C"/>
    <w:rsid w:val="00705AC9"/>
    <w:rsid w:val="00705B8F"/>
    <w:rsid w:val="00705C10"/>
    <w:rsid w:val="00705C3F"/>
    <w:rsid w:val="00705C65"/>
    <w:rsid w:val="00705E8D"/>
    <w:rsid w:val="00705F1B"/>
    <w:rsid w:val="0070605C"/>
    <w:rsid w:val="007061B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5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D25"/>
    <w:rsid w:val="00712ECA"/>
    <w:rsid w:val="00712EDE"/>
    <w:rsid w:val="0071356C"/>
    <w:rsid w:val="00713704"/>
    <w:rsid w:val="007137A2"/>
    <w:rsid w:val="00713962"/>
    <w:rsid w:val="0071398F"/>
    <w:rsid w:val="00713D24"/>
    <w:rsid w:val="00713DC1"/>
    <w:rsid w:val="00713DEE"/>
    <w:rsid w:val="007141CD"/>
    <w:rsid w:val="0071423F"/>
    <w:rsid w:val="007142B6"/>
    <w:rsid w:val="007144E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B79"/>
    <w:rsid w:val="00717C56"/>
    <w:rsid w:val="00717FD4"/>
    <w:rsid w:val="00720033"/>
    <w:rsid w:val="0072003A"/>
    <w:rsid w:val="0072008E"/>
    <w:rsid w:val="007200B6"/>
    <w:rsid w:val="007203CC"/>
    <w:rsid w:val="0072048E"/>
    <w:rsid w:val="0072076D"/>
    <w:rsid w:val="007207C8"/>
    <w:rsid w:val="007207E9"/>
    <w:rsid w:val="00720AB1"/>
    <w:rsid w:val="00720C4C"/>
    <w:rsid w:val="00720E64"/>
    <w:rsid w:val="00720E87"/>
    <w:rsid w:val="00720EED"/>
    <w:rsid w:val="00720F2B"/>
    <w:rsid w:val="0072110E"/>
    <w:rsid w:val="0072118B"/>
    <w:rsid w:val="007212AB"/>
    <w:rsid w:val="007212F3"/>
    <w:rsid w:val="00721431"/>
    <w:rsid w:val="0072161D"/>
    <w:rsid w:val="00721725"/>
    <w:rsid w:val="0072174B"/>
    <w:rsid w:val="00721779"/>
    <w:rsid w:val="00721C43"/>
    <w:rsid w:val="00721C65"/>
    <w:rsid w:val="00721C80"/>
    <w:rsid w:val="0072231C"/>
    <w:rsid w:val="0072236A"/>
    <w:rsid w:val="00722838"/>
    <w:rsid w:val="00722864"/>
    <w:rsid w:val="00722BB4"/>
    <w:rsid w:val="00722BBD"/>
    <w:rsid w:val="00722F27"/>
    <w:rsid w:val="00723202"/>
    <w:rsid w:val="0072320A"/>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38"/>
    <w:rsid w:val="00724EFD"/>
    <w:rsid w:val="007252FC"/>
    <w:rsid w:val="007253BD"/>
    <w:rsid w:val="00725452"/>
    <w:rsid w:val="00725531"/>
    <w:rsid w:val="00725A67"/>
    <w:rsid w:val="00725AC0"/>
    <w:rsid w:val="00725B37"/>
    <w:rsid w:val="00725B57"/>
    <w:rsid w:val="00725D05"/>
    <w:rsid w:val="00725FA5"/>
    <w:rsid w:val="0072605A"/>
    <w:rsid w:val="00726137"/>
    <w:rsid w:val="00726173"/>
    <w:rsid w:val="007261B7"/>
    <w:rsid w:val="00726646"/>
    <w:rsid w:val="00726A09"/>
    <w:rsid w:val="00726ACE"/>
    <w:rsid w:val="00726B6E"/>
    <w:rsid w:val="00726F74"/>
    <w:rsid w:val="00727520"/>
    <w:rsid w:val="00727552"/>
    <w:rsid w:val="00727685"/>
    <w:rsid w:val="007278B1"/>
    <w:rsid w:val="007279B8"/>
    <w:rsid w:val="007279FC"/>
    <w:rsid w:val="00727AE6"/>
    <w:rsid w:val="00727BEE"/>
    <w:rsid w:val="00727DD8"/>
    <w:rsid w:val="0073000A"/>
    <w:rsid w:val="007300F6"/>
    <w:rsid w:val="0073016A"/>
    <w:rsid w:val="007301A7"/>
    <w:rsid w:val="007302D2"/>
    <w:rsid w:val="007307C9"/>
    <w:rsid w:val="00730A14"/>
    <w:rsid w:val="00730BB1"/>
    <w:rsid w:val="00730D35"/>
    <w:rsid w:val="00730DFE"/>
    <w:rsid w:val="00730F0E"/>
    <w:rsid w:val="00730FCE"/>
    <w:rsid w:val="007312F7"/>
    <w:rsid w:val="007313C9"/>
    <w:rsid w:val="0073141F"/>
    <w:rsid w:val="00731485"/>
    <w:rsid w:val="007315B1"/>
    <w:rsid w:val="00731615"/>
    <w:rsid w:val="007316A1"/>
    <w:rsid w:val="00731A45"/>
    <w:rsid w:val="00731A7C"/>
    <w:rsid w:val="00731C3C"/>
    <w:rsid w:val="00731D06"/>
    <w:rsid w:val="00731D9B"/>
    <w:rsid w:val="00731EF3"/>
    <w:rsid w:val="00732414"/>
    <w:rsid w:val="0073246A"/>
    <w:rsid w:val="0073259C"/>
    <w:rsid w:val="007325A8"/>
    <w:rsid w:val="007327A2"/>
    <w:rsid w:val="007328A0"/>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5"/>
    <w:rsid w:val="00740A2B"/>
    <w:rsid w:val="00740A8B"/>
    <w:rsid w:val="00740D80"/>
    <w:rsid w:val="00740F1F"/>
    <w:rsid w:val="00740F28"/>
    <w:rsid w:val="00741013"/>
    <w:rsid w:val="007412D5"/>
    <w:rsid w:val="0074143C"/>
    <w:rsid w:val="0074151E"/>
    <w:rsid w:val="007418CD"/>
    <w:rsid w:val="007419EE"/>
    <w:rsid w:val="00741A5E"/>
    <w:rsid w:val="00741CCC"/>
    <w:rsid w:val="00742141"/>
    <w:rsid w:val="0074221D"/>
    <w:rsid w:val="0074224C"/>
    <w:rsid w:val="00742252"/>
    <w:rsid w:val="0074228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5B"/>
    <w:rsid w:val="00745083"/>
    <w:rsid w:val="007451F9"/>
    <w:rsid w:val="00745AA2"/>
    <w:rsid w:val="00745BE5"/>
    <w:rsid w:val="00745D3B"/>
    <w:rsid w:val="00745DE8"/>
    <w:rsid w:val="00746050"/>
    <w:rsid w:val="0074616B"/>
    <w:rsid w:val="007461B4"/>
    <w:rsid w:val="007462B2"/>
    <w:rsid w:val="007462DA"/>
    <w:rsid w:val="007463BF"/>
    <w:rsid w:val="007465E4"/>
    <w:rsid w:val="007466BB"/>
    <w:rsid w:val="00746830"/>
    <w:rsid w:val="0074692D"/>
    <w:rsid w:val="00746985"/>
    <w:rsid w:val="00746BBE"/>
    <w:rsid w:val="00746C3A"/>
    <w:rsid w:val="00746CFB"/>
    <w:rsid w:val="00746FCE"/>
    <w:rsid w:val="00747030"/>
    <w:rsid w:val="007473E7"/>
    <w:rsid w:val="00747411"/>
    <w:rsid w:val="007479EB"/>
    <w:rsid w:val="00747CF9"/>
    <w:rsid w:val="00747F2A"/>
    <w:rsid w:val="007500D3"/>
    <w:rsid w:val="00750376"/>
    <w:rsid w:val="00750408"/>
    <w:rsid w:val="00750915"/>
    <w:rsid w:val="00750B21"/>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6D0"/>
    <w:rsid w:val="00752757"/>
    <w:rsid w:val="00752C38"/>
    <w:rsid w:val="00752E6D"/>
    <w:rsid w:val="00752EC9"/>
    <w:rsid w:val="00752FEA"/>
    <w:rsid w:val="007530B3"/>
    <w:rsid w:val="007532EF"/>
    <w:rsid w:val="00753453"/>
    <w:rsid w:val="00753646"/>
    <w:rsid w:val="00753976"/>
    <w:rsid w:val="007539A9"/>
    <w:rsid w:val="00753A77"/>
    <w:rsid w:val="00753AC1"/>
    <w:rsid w:val="00753B72"/>
    <w:rsid w:val="00753BBC"/>
    <w:rsid w:val="00753EC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4F"/>
    <w:rsid w:val="00760258"/>
    <w:rsid w:val="007602C9"/>
    <w:rsid w:val="00760644"/>
    <w:rsid w:val="00760816"/>
    <w:rsid w:val="00760C0D"/>
    <w:rsid w:val="00760E97"/>
    <w:rsid w:val="00760FB1"/>
    <w:rsid w:val="0076128B"/>
    <w:rsid w:val="007612CA"/>
    <w:rsid w:val="00761924"/>
    <w:rsid w:val="00761A15"/>
    <w:rsid w:val="00761A4D"/>
    <w:rsid w:val="00761ADD"/>
    <w:rsid w:val="00761DFA"/>
    <w:rsid w:val="00761E2D"/>
    <w:rsid w:val="00761EA7"/>
    <w:rsid w:val="00762346"/>
    <w:rsid w:val="0076237D"/>
    <w:rsid w:val="007623CF"/>
    <w:rsid w:val="0076249C"/>
    <w:rsid w:val="00762547"/>
    <w:rsid w:val="007628B8"/>
    <w:rsid w:val="00762B1E"/>
    <w:rsid w:val="00762B2A"/>
    <w:rsid w:val="00762D3A"/>
    <w:rsid w:val="00762D8E"/>
    <w:rsid w:val="00762DDF"/>
    <w:rsid w:val="00762F49"/>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7C"/>
    <w:rsid w:val="00767563"/>
    <w:rsid w:val="007677FF"/>
    <w:rsid w:val="00767818"/>
    <w:rsid w:val="00767B17"/>
    <w:rsid w:val="00767C00"/>
    <w:rsid w:val="00767C58"/>
    <w:rsid w:val="00767CC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90"/>
    <w:rsid w:val="00773B3F"/>
    <w:rsid w:val="00773C34"/>
    <w:rsid w:val="00773E05"/>
    <w:rsid w:val="00773F38"/>
    <w:rsid w:val="007742C6"/>
    <w:rsid w:val="0077433D"/>
    <w:rsid w:val="0077449C"/>
    <w:rsid w:val="007744B2"/>
    <w:rsid w:val="0077455A"/>
    <w:rsid w:val="0077459A"/>
    <w:rsid w:val="007745FD"/>
    <w:rsid w:val="007748DD"/>
    <w:rsid w:val="007749EF"/>
    <w:rsid w:val="00774F3D"/>
    <w:rsid w:val="00775263"/>
    <w:rsid w:val="0077554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4"/>
    <w:rsid w:val="0078100C"/>
    <w:rsid w:val="00781160"/>
    <w:rsid w:val="0078131D"/>
    <w:rsid w:val="007813C8"/>
    <w:rsid w:val="00781582"/>
    <w:rsid w:val="00781860"/>
    <w:rsid w:val="00781942"/>
    <w:rsid w:val="00781AEB"/>
    <w:rsid w:val="00781CF8"/>
    <w:rsid w:val="00781DDE"/>
    <w:rsid w:val="00782139"/>
    <w:rsid w:val="007824B9"/>
    <w:rsid w:val="007825CD"/>
    <w:rsid w:val="0078268E"/>
    <w:rsid w:val="007827F5"/>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10"/>
    <w:rsid w:val="00784E3B"/>
    <w:rsid w:val="00784F26"/>
    <w:rsid w:val="00784F60"/>
    <w:rsid w:val="0078509D"/>
    <w:rsid w:val="00785759"/>
    <w:rsid w:val="00785928"/>
    <w:rsid w:val="00785B54"/>
    <w:rsid w:val="007860AA"/>
    <w:rsid w:val="0078616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16"/>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CF"/>
    <w:rsid w:val="0079278D"/>
    <w:rsid w:val="007927F3"/>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74"/>
    <w:rsid w:val="00795EE5"/>
    <w:rsid w:val="00795F87"/>
    <w:rsid w:val="007961C9"/>
    <w:rsid w:val="00796337"/>
    <w:rsid w:val="00796383"/>
    <w:rsid w:val="007964B2"/>
    <w:rsid w:val="007964DB"/>
    <w:rsid w:val="00796729"/>
    <w:rsid w:val="007967B9"/>
    <w:rsid w:val="007967D0"/>
    <w:rsid w:val="00796858"/>
    <w:rsid w:val="00796AB3"/>
    <w:rsid w:val="00796ADE"/>
    <w:rsid w:val="00796B09"/>
    <w:rsid w:val="00796BEB"/>
    <w:rsid w:val="00796E3D"/>
    <w:rsid w:val="00797121"/>
    <w:rsid w:val="0079766C"/>
    <w:rsid w:val="007976C5"/>
    <w:rsid w:val="00797773"/>
    <w:rsid w:val="00797A33"/>
    <w:rsid w:val="00797C4B"/>
    <w:rsid w:val="00797DF7"/>
    <w:rsid w:val="007A0004"/>
    <w:rsid w:val="007A019B"/>
    <w:rsid w:val="007A0367"/>
    <w:rsid w:val="007A04BC"/>
    <w:rsid w:val="007A0599"/>
    <w:rsid w:val="007A07B0"/>
    <w:rsid w:val="007A082D"/>
    <w:rsid w:val="007A08DE"/>
    <w:rsid w:val="007A0C4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8"/>
    <w:rsid w:val="007A2ECA"/>
    <w:rsid w:val="007A3003"/>
    <w:rsid w:val="007A31D2"/>
    <w:rsid w:val="007A35D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7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D"/>
    <w:rsid w:val="007B1284"/>
    <w:rsid w:val="007B14CF"/>
    <w:rsid w:val="007B1B00"/>
    <w:rsid w:val="007B1F40"/>
    <w:rsid w:val="007B20E8"/>
    <w:rsid w:val="007B2795"/>
    <w:rsid w:val="007B28C6"/>
    <w:rsid w:val="007B29A5"/>
    <w:rsid w:val="007B2C29"/>
    <w:rsid w:val="007B2C41"/>
    <w:rsid w:val="007B2CD9"/>
    <w:rsid w:val="007B2D32"/>
    <w:rsid w:val="007B2E4F"/>
    <w:rsid w:val="007B2E5A"/>
    <w:rsid w:val="007B2FE5"/>
    <w:rsid w:val="007B3324"/>
    <w:rsid w:val="007B3391"/>
    <w:rsid w:val="007B3654"/>
    <w:rsid w:val="007B36A2"/>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BC"/>
    <w:rsid w:val="007B5DBD"/>
    <w:rsid w:val="007B623F"/>
    <w:rsid w:val="007B6302"/>
    <w:rsid w:val="007B6428"/>
    <w:rsid w:val="007B6601"/>
    <w:rsid w:val="007B6623"/>
    <w:rsid w:val="007B6739"/>
    <w:rsid w:val="007B6853"/>
    <w:rsid w:val="007B6874"/>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7E"/>
    <w:rsid w:val="007C0D6C"/>
    <w:rsid w:val="007C0DC3"/>
    <w:rsid w:val="007C1117"/>
    <w:rsid w:val="007C1443"/>
    <w:rsid w:val="007C156D"/>
    <w:rsid w:val="007C1981"/>
    <w:rsid w:val="007C1ADC"/>
    <w:rsid w:val="007C1D85"/>
    <w:rsid w:val="007C1EBE"/>
    <w:rsid w:val="007C1FEA"/>
    <w:rsid w:val="007C212C"/>
    <w:rsid w:val="007C235B"/>
    <w:rsid w:val="007C25C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ED"/>
    <w:rsid w:val="007C5D1D"/>
    <w:rsid w:val="007C5DE1"/>
    <w:rsid w:val="007C5F5F"/>
    <w:rsid w:val="007C5F9F"/>
    <w:rsid w:val="007C6407"/>
    <w:rsid w:val="007C6835"/>
    <w:rsid w:val="007C688F"/>
    <w:rsid w:val="007C68D6"/>
    <w:rsid w:val="007C6E24"/>
    <w:rsid w:val="007C71AA"/>
    <w:rsid w:val="007C7359"/>
    <w:rsid w:val="007C7402"/>
    <w:rsid w:val="007C7907"/>
    <w:rsid w:val="007C796E"/>
    <w:rsid w:val="007C7B60"/>
    <w:rsid w:val="007C7CD2"/>
    <w:rsid w:val="007C7CE3"/>
    <w:rsid w:val="007C7D88"/>
    <w:rsid w:val="007C7E38"/>
    <w:rsid w:val="007C7E6D"/>
    <w:rsid w:val="007C7E94"/>
    <w:rsid w:val="007C7FCD"/>
    <w:rsid w:val="007D02F6"/>
    <w:rsid w:val="007D061C"/>
    <w:rsid w:val="007D06D8"/>
    <w:rsid w:val="007D083A"/>
    <w:rsid w:val="007D08BF"/>
    <w:rsid w:val="007D0955"/>
    <w:rsid w:val="007D0D37"/>
    <w:rsid w:val="007D0EAF"/>
    <w:rsid w:val="007D0F65"/>
    <w:rsid w:val="007D0F9D"/>
    <w:rsid w:val="007D1532"/>
    <w:rsid w:val="007D18E0"/>
    <w:rsid w:val="007D1947"/>
    <w:rsid w:val="007D1A2C"/>
    <w:rsid w:val="007D1E0D"/>
    <w:rsid w:val="007D1ECB"/>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FE"/>
    <w:rsid w:val="007D4527"/>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EE"/>
    <w:rsid w:val="007D67D4"/>
    <w:rsid w:val="007D67D5"/>
    <w:rsid w:val="007D6A25"/>
    <w:rsid w:val="007D6ADF"/>
    <w:rsid w:val="007D6EB6"/>
    <w:rsid w:val="007D7001"/>
    <w:rsid w:val="007D736D"/>
    <w:rsid w:val="007D7649"/>
    <w:rsid w:val="007D76B6"/>
    <w:rsid w:val="007D7717"/>
    <w:rsid w:val="007D7A89"/>
    <w:rsid w:val="007D7B16"/>
    <w:rsid w:val="007D7C51"/>
    <w:rsid w:val="007D7D39"/>
    <w:rsid w:val="007D7DC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512"/>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9C"/>
    <w:rsid w:val="007E4AAA"/>
    <w:rsid w:val="007E4F14"/>
    <w:rsid w:val="007E5284"/>
    <w:rsid w:val="007E52B4"/>
    <w:rsid w:val="007E53A0"/>
    <w:rsid w:val="007E5E24"/>
    <w:rsid w:val="007E5F1A"/>
    <w:rsid w:val="007E60DE"/>
    <w:rsid w:val="007E6261"/>
    <w:rsid w:val="007E63F7"/>
    <w:rsid w:val="007E6521"/>
    <w:rsid w:val="007E69B0"/>
    <w:rsid w:val="007E6A2A"/>
    <w:rsid w:val="007E6D4F"/>
    <w:rsid w:val="007E6DCC"/>
    <w:rsid w:val="007E6DD5"/>
    <w:rsid w:val="007E6F84"/>
    <w:rsid w:val="007E72DD"/>
    <w:rsid w:val="007E747A"/>
    <w:rsid w:val="007E750A"/>
    <w:rsid w:val="007E761A"/>
    <w:rsid w:val="007E7AD7"/>
    <w:rsid w:val="007E7B4B"/>
    <w:rsid w:val="007E7DF4"/>
    <w:rsid w:val="007E7ED3"/>
    <w:rsid w:val="007E7EE2"/>
    <w:rsid w:val="007E7F95"/>
    <w:rsid w:val="007F02BA"/>
    <w:rsid w:val="007F0358"/>
    <w:rsid w:val="007F06ED"/>
    <w:rsid w:val="007F075E"/>
    <w:rsid w:val="007F07AE"/>
    <w:rsid w:val="007F08B3"/>
    <w:rsid w:val="007F09FA"/>
    <w:rsid w:val="007F0C35"/>
    <w:rsid w:val="007F0C6A"/>
    <w:rsid w:val="007F0D85"/>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3B"/>
    <w:rsid w:val="007F4A41"/>
    <w:rsid w:val="007F4AC6"/>
    <w:rsid w:val="007F4B3B"/>
    <w:rsid w:val="007F4B4A"/>
    <w:rsid w:val="007F4B5E"/>
    <w:rsid w:val="007F4E0E"/>
    <w:rsid w:val="007F4E9D"/>
    <w:rsid w:val="007F5150"/>
    <w:rsid w:val="007F5174"/>
    <w:rsid w:val="007F51F7"/>
    <w:rsid w:val="007F5834"/>
    <w:rsid w:val="007F5C0C"/>
    <w:rsid w:val="007F5D71"/>
    <w:rsid w:val="007F5FAB"/>
    <w:rsid w:val="007F615C"/>
    <w:rsid w:val="007F653B"/>
    <w:rsid w:val="007F67A8"/>
    <w:rsid w:val="007F6A69"/>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3"/>
    <w:rsid w:val="00801A51"/>
    <w:rsid w:val="0080222C"/>
    <w:rsid w:val="00802339"/>
    <w:rsid w:val="008023E5"/>
    <w:rsid w:val="008026A4"/>
    <w:rsid w:val="00802830"/>
    <w:rsid w:val="008029A1"/>
    <w:rsid w:val="00802B8B"/>
    <w:rsid w:val="0080325D"/>
    <w:rsid w:val="0080334E"/>
    <w:rsid w:val="008038CC"/>
    <w:rsid w:val="008039CC"/>
    <w:rsid w:val="00803B2B"/>
    <w:rsid w:val="00803CC7"/>
    <w:rsid w:val="00803D9B"/>
    <w:rsid w:val="00803E1E"/>
    <w:rsid w:val="00803E48"/>
    <w:rsid w:val="00804306"/>
    <w:rsid w:val="0080435F"/>
    <w:rsid w:val="008044AF"/>
    <w:rsid w:val="008044C1"/>
    <w:rsid w:val="008044FA"/>
    <w:rsid w:val="008045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C78"/>
    <w:rsid w:val="00806DDE"/>
    <w:rsid w:val="00806F4D"/>
    <w:rsid w:val="00806FBD"/>
    <w:rsid w:val="00807183"/>
    <w:rsid w:val="0080721C"/>
    <w:rsid w:val="008073FA"/>
    <w:rsid w:val="00807499"/>
    <w:rsid w:val="008074C5"/>
    <w:rsid w:val="00807525"/>
    <w:rsid w:val="00807544"/>
    <w:rsid w:val="008075F7"/>
    <w:rsid w:val="008077D5"/>
    <w:rsid w:val="00807869"/>
    <w:rsid w:val="008078BF"/>
    <w:rsid w:val="00807A30"/>
    <w:rsid w:val="00807AD1"/>
    <w:rsid w:val="00807C9A"/>
    <w:rsid w:val="00807CCE"/>
    <w:rsid w:val="00807CF5"/>
    <w:rsid w:val="00807DD3"/>
    <w:rsid w:val="00807DFC"/>
    <w:rsid w:val="0081011F"/>
    <w:rsid w:val="00810315"/>
    <w:rsid w:val="008104D7"/>
    <w:rsid w:val="008105FC"/>
    <w:rsid w:val="0081080D"/>
    <w:rsid w:val="00810866"/>
    <w:rsid w:val="008108B4"/>
    <w:rsid w:val="00810B04"/>
    <w:rsid w:val="00810D22"/>
    <w:rsid w:val="00810DA6"/>
    <w:rsid w:val="00810E17"/>
    <w:rsid w:val="00810E1B"/>
    <w:rsid w:val="00810EC1"/>
    <w:rsid w:val="00810F98"/>
    <w:rsid w:val="00811002"/>
    <w:rsid w:val="00811055"/>
    <w:rsid w:val="008110A2"/>
    <w:rsid w:val="00811290"/>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8E"/>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1D"/>
    <w:rsid w:val="0081733D"/>
    <w:rsid w:val="0081734E"/>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9DE"/>
    <w:rsid w:val="00821B21"/>
    <w:rsid w:val="00821BF7"/>
    <w:rsid w:val="00821C3B"/>
    <w:rsid w:val="00821CA9"/>
    <w:rsid w:val="00821CFD"/>
    <w:rsid w:val="00822412"/>
    <w:rsid w:val="008226A5"/>
    <w:rsid w:val="00822A9E"/>
    <w:rsid w:val="00822C21"/>
    <w:rsid w:val="00822C7F"/>
    <w:rsid w:val="00822E76"/>
    <w:rsid w:val="008231A8"/>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8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5DD"/>
    <w:rsid w:val="008279E9"/>
    <w:rsid w:val="00827F5D"/>
    <w:rsid w:val="008300DC"/>
    <w:rsid w:val="00830300"/>
    <w:rsid w:val="00830623"/>
    <w:rsid w:val="0083080E"/>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FA"/>
    <w:rsid w:val="00835ECD"/>
    <w:rsid w:val="00835F94"/>
    <w:rsid w:val="00836851"/>
    <w:rsid w:val="00836A60"/>
    <w:rsid w:val="00836A6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2D"/>
    <w:rsid w:val="00840D72"/>
    <w:rsid w:val="00840E81"/>
    <w:rsid w:val="00840FB1"/>
    <w:rsid w:val="008410E4"/>
    <w:rsid w:val="008411A0"/>
    <w:rsid w:val="0084158E"/>
    <w:rsid w:val="008417C2"/>
    <w:rsid w:val="00841801"/>
    <w:rsid w:val="00841877"/>
    <w:rsid w:val="008418D2"/>
    <w:rsid w:val="00841959"/>
    <w:rsid w:val="00841A42"/>
    <w:rsid w:val="00841AF3"/>
    <w:rsid w:val="00841B0F"/>
    <w:rsid w:val="00841B5F"/>
    <w:rsid w:val="00841B7A"/>
    <w:rsid w:val="00841DC3"/>
    <w:rsid w:val="00841F2E"/>
    <w:rsid w:val="00842042"/>
    <w:rsid w:val="0084226B"/>
    <w:rsid w:val="00842291"/>
    <w:rsid w:val="008424D2"/>
    <w:rsid w:val="0084260F"/>
    <w:rsid w:val="00842611"/>
    <w:rsid w:val="00842861"/>
    <w:rsid w:val="00842988"/>
    <w:rsid w:val="00842EB4"/>
    <w:rsid w:val="00843072"/>
    <w:rsid w:val="00843248"/>
    <w:rsid w:val="008433FD"/>
    <w:rsid w:val="008434E0"/>
    <w:rsid w:val="00843564"/>
    <w:rsid w:val="008436DB"/>
    <w:rsid w:val="00843B22"/>
    <w:rsid w:val="00843C08"/>
    <w:rsid w:val="00843C1B"/>
    <w:rsid w:val="00843EED"/>
    <w:rsid w:val="00843FB9"/>
    <w:rsid w:val="0084415C"/>
    <w:rsid w:val="00844428"/>
    <w:rsid w:val="0084476C"/>
    <w:rsid w:val="00844A39"/>
    <w:rsid w:val="0084509D"/>
    <w:rsid w:val="00845240"/>
    <w:rsid w:val="0084534E"/>
    <w:rsid w:val="00845604"/>
    <w:rsid w:val="00845C18"/>
    <w:rsid w:val="00845D51"/>
    <w:rsid w:val="00845D5A"/>
    <w:rsid w:val="008462D7"/>
    <w:rsid w:val="008463D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2C"/>
    <w:rsid w:val="008527C5"/>
    <w:rsid w:val="00852842"/>
    <w:rsid w:val="0085291D"/>
    <w:rsid w:val="00852A85"/>
    <w:rsid w:val="00852E6D"/>
    <w:rsid w:val="00852EA6"/>
    <w:rsid w:val="00852F47"/>
    <w:rsid w:val="00852F5D"/>
    <w:rsid w:val="0085329A"/>
    <w:rsid w:val="00853515"/>
    <w:rsid w:val="008536A0"/>
    <w:rsid w:val="00853858"/>
    <w:rsid w:val="0085385B"/>
    <w:rsid w:val="008539BA"/>
    <w:rsid w:val="00853A25"/>
    <w:rsid w:val="00853A4A"/>
    <w:rsid w:val="00853C8C"/>
    <w:rsid w:val="00853D1D"/>
    <w:rsid w:val="00853D2C"/>
    <w:rsid w:val="00853DCF"/>
    <w:rsid w:val="00853F87"/>
    <w:rsid w:val="00853F94"/>
    <w:rsid w:val="008540C6"/>
    <w:rsid w:val="008540ED"/>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15"/>
    <w:rsid w:val="00855B2B"/>
    <w:rsid w:val="00855C17"/>
    <w:rsid w:val="00855E10"/>
    <w:rsid w:val="00856039"/>
    <w:rsid w:val="00856261"/>
    <w:rsid w:val="008563F8"/>
    <w:rsid w:val="00856445"/>
    <w:rsid w:val="008564A8"/>
    <w:rsid w:val="00856753"/>
    <w:rsid w:val="008568E5"/>
    <w:rsid w:val="00856A89"/>
    <w:rsid w:val="0085742E"/>
    <w:rsid w:val="00857749"/>
    <w:rsid w:val="00857882"/>
    <w:rsid w:val="00857889"/>
    <w:rsid w:val="0085793E"/>
    <w:rsid w:val="00857AF5"/>
    <w:rsid w:val="00857F5A"/>
    <w:rsid w:val="008600D4"/>
    <w:rsid w:val="00860211"/>
    <w:rsid w:val="00860418"/>
    <w:rsid w:val="008604D4"/>
    <w:rsid w:val="00860614"/>
    <w:rsid w:val="0086081D"/>
    <w:rsid w:val="008609E1"/>
    <w:rsid w:val="00860AE9"/>
    <w:rsid w:val="00860BD7"/>
    <w:rsid w:val="00860CF0"/>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26"/>
    <w:rsid w:val="008638CC"/>
    <w:rsid w:val="00863BBD"/>
    <w:rsid w:val="00863C9D"/>
    <w:rsid w:val="008645B9"/>
    <w:rsid w:val="00864762"/>
    <w:rsid w:val="008647B1"/>
    <w:rsid w:val="0086493E"/>
    <w:rsid w:val="00864C3E"/>
    <w:rsid w:val="00864D1E"/>
    <w:rsid w:val="00864D9A"/>
    <w:rsid w:val="00864E70"/>
    <w:rsid w:val="0086509F"/>
    <w:rsid w:val="00865414"/>
    <w:rsid w:val="0086543F"/>
    <w:rsid w:val="008656C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2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CF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F7"/>
    <w:rsid w:val="00885633"/>
    <w:rsid w:val="00885811"/>
    <w:rsid w:val="00885D46"/>
    <w:rsid w:val="00885D73"/>
    <w:rsid w:val="00885EB7"/>
    <w:rsid w:val="00885F02"/>
    <w:rsid w:val="008861C6"/>
    <w:rsid w:val="0088631A"/>
    <w:rsid w:val="008864F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4F1"/>
    <w:rsid w:val="00892554"/>
    <w:rsid w:val="008927ED"/>
    <w:rsid w:val="0089297A"/>
    <w:rsid w:val="00892A3A"/>
    <w:rsid w:val="00892A8C"/>
    <w:rsid w:val="00892DD0"/>
    <w:rsid w:val="00892DDB"/>
    <w:rsid w:val="00892F17"/>
    <w:rsid w:val="00893391"/>
    <w:rsid w:val="008933EB"/>
    <w:rsid w:val="00893435"/>
    <w:rsid w:val="00893470"/>
    <w:rsid w:val="008938DF"/>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BE"/>
    <w:rsid w:val="008955B1"/>
    <w:rsid w:val="00895B87"/>
    <w:rsid w:val="00895BD8"/>
    <w:rsid w:val="00896127"/>
    <w:rsid w:val="00896206"/>
    <w:rsid w:val="008968C2"/>
    <w:rsid w:val="00896964"/>
    <w:rsid w:val="00896BFE"/>
    <w:rsid w:val="00896C9E"/>
    <w:rsid w:val="00896D12"/>
    <w:rsid w:val="008972B0"/>
    <w:rsid w:val="0089742E"/>
    <w:rsid w:val="0089762D"/>
    <w:rsid w:val="008978F0"/>
    <w:rsid w:val="008979A2"/>
    <w:rsid w:val="00897CD7"/>
    <w:rsid w:val="008A0463"/>
    <w:rsid w:val="008A04C8"/>
    <w:rsid w:val="008A069D"/>
    <w:rsid w:val="008A0767"/>
    <w:rsid w:val="008A0B3C"/>
    <w:rsid w:val="008A0F40"/>
    <w:rsid w:val="008A198E"/>
    <w:rsid w:val="008A1BAB"/>
    <w:rsid w:val="008A1C80"/>
    <w:rsid w:val="008A1CC1"/>
    <w:rsid w:val="008A1E23"/>
    <w:rsid w:val="008A237E"/>
    <w:rsid w:val="008A2407"/>
    <w:rsid w:val="008A242B"/>
    <w:rsid w:val="008A25CA"/>
    <w:rsid w:val="008A25FF"/>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1B"/>
    <w:rsid w:val="008A4796"/>
    <w:rsid w:val="008A4A77"/>
    <w:rsid w:val="008A4B7E"/>
    <w:rsid w:val="008A4D9A"/>
    <w:rsid w:val="008A4EB4"/>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906"/>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9D"/>
    <w:rsid w:val="008B3CD3"/>
    <w:rsid w:val="008B3EB4"/>
    <w:rsid w:val="008B3EE8"/>
    <w:rsid w:val="008B400F"/>
    <w:rsid w:val="008B4139"/>
    <w:rsid w:val="008B41F0"/>
    <w:rsid w:val="008B42B2"/>
    <w:rsid w:val="008B439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3B5"/>
    <w:rsid w:val="008C0435"/>
    <w:rsid w:val="008C052B"/>
    <w:rsid w:val="008C058F"/>
    <w:rsid w:val="008C08C8"/>
    <w:rsid w:val="008C08EE"/>
    <w:rsid w:val="008C0967"/>
    <w:rsid w:val="008C0A33"/>
    <w:rsid w:val="008C0B66"/>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ED"/>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28"/>
    <w:rsid w:val="008D0C7A"/>
    <w:rsid w:val="008D0DEB"/>
    <w:rsid w:val="008D0F99"/>
    <w:rsid w:val="008D1172"/>
    <w:rsid w:val="008D11C8"/>
    <w:rsid w:val="008D11DF"/>
    <w:rsid w:val="008D1358"/>
    <w:rsid w:val="008D19C5"/>
    <w:rsid w:val="008D19F7"/>
    <w:rsid w:val="008D1AA5"/>
    <w:rsid w:val="008D1B24"/>
    <w:rsid w:val="008D1B57"/>
    <w:rsid w:val="008D1B8D"/>
    <w:rsid w:val="008D1BF7"/>
    <w:rsid w:val="008D1C7B"/>
    <w:rsid w:val="008D1DAE"/>
    <w:rsid w:val="008D1F24"/>
    <w:rsid w:val="008D208D"/>
    <w:rsid w:val="008D216F"/>
    <w:rsid w:val="008D242A"/>
    <w:rsid w:val="008D24ED"/>
    <w:rsid w:val="008D2845"/>
    <w:rsid w:val="008D2A8B"/>
    <w:rsid w:val="008D2CC8"/>
    <w:rsid w:val="008D2E4C"/>
    <w:rsid w:val="008D2F10"/>
    <w:rsid w:val="008D33F2"/>
    <w:rsid w:val="008D3421"/>
    <w:rsid w:val="008D365B"/>
    <w:rsid w:val="008D373D"/>
    <w:rsid w:val="008D3761"/>
    <w:rsid w:val="008D37EB"/>
    <w:rsid w:val="008D3907"/>
    <w:rsid w:val="008D3E2A"/>
    <w:rsid w:val="008D3E9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7"/>
    <w:rsid w:val="008D74A9"/>
    <w:rsid w:val="008D74B5"/>
    <w:rsid w:val="008D7582"/>
    <w:rsid w:val="008D7609"/>
    <w:rsid w:val="008D765C"/>
    <w:rsid w:val="008D7A32"/>
    <w:rsid w:val="008D7B67"/>
    <w:rsid w:val="008D7BAB"/>
    <w:rsid w:val="008D7C14"/>
    <w:rsid w:val="008D7D28"/>
    <w:rsid w:val="008D7E86"/>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3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0"/>
    <w:rsid w:val="008E4D8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8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E8"/>
    <w:rsid w:val="008F2218"/>
    <w:rsid w:val="008F22A6"/>
    <w:rsid w:val="008F2342"/>
    <w:rsid w:val="008F23EF"/>
    <w:rsid w:val="008F245D"/>
    <w:rsid w:val="008F24D9"/>
    <w:rsid w:val="008F25AF"/>
    <w:rsid w:val="008F2700"/>
    <w:rsid w:val="008F271E"/>
    <w:rsid w:val="008F2982"/>
    <w:rsid w:val="008F298A"/>
    <w:rsid w:val="008F2A75"/>
    <w:rsid w:val="008F2DCE"/>
    <w:rsid w:val="008F2F30"/>
    <w:rsid w:val="008F334F"/>
    <w:rsid w:val="008F3A24"/>
    <w:rsid w:val="008F3CB2"/>
    <w:rsid w:val="008F3DCB"/>
    <w:rsid w:val="008F40F9"/>
    <w:rsid w:val="008F420A"/>
    <w:rsid w:val="008F433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97"/>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34"/>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0"/>
    <w:rsid w:val="00911DB0"/>
    <w:rsid w:val="00911E9A"/>
    <w:rsid w:val="00911F43"/>
    <w:rsid w:val="009121A7"/>
    <w:rsid w:val="00912218"/>
    <w:rsid w:val="009125E8"/>
    <w:rsid w:val="0091271A"/>
    <w:rsid w:val="0091285C"/>
    <w:rsid w:val="00912C4A"/>
    <w:rsid w:val="00912E79"/>
    <w:rsid w:val="00913077"/>
    <w:rsid w:val="00913340"/>
    <w:rsid w:val="0091334E"/>
    <w:rsid w:val="0091366F"/>
    <w:rsid w:val="009137E6"/>
    <w:rsid w:val="009138AF"/>
    <w:rsid w:val="00913AB1"/>
    <w:rsid w:val="00913F2E"/>
    <w:rsid w:val="00913FB0"/>
    <w:rsid w:val="00914315"/>
    <w:rsid w:val="00914434"/>
    <w:rsid w:val="00914541"/>
    <w:rsid w:val="00914ADC"/>
    <w:rsid w:val="00914B9E"/>
    <w:rsid w:val="00914C92"/>
    <w:rsid w:val="00914CBD"/>
    <w:rsid w:val="00914CD6"/>
    <w:rsid w:val="00914E6A"/>
    <w:rsid w:val="0091511B"/>
    <w:rsid w:val="009152B4"/>
    <w:rsid w:val="00915818"/>
    <w:rsid w:val="00915A84"/>
    <w:rsid w:val="00915CA8"/>
    <w:rsid w:val="0091609D"/>
    <w:rsid w:val="009160C5"/>
    <w:rsid w:val="0091610E"/>
    <w:rsid w:val="0091658E"/>
    <w:rsid w:val="0091667B"/>
    <w:rsid w:val="00916843"/>
    <w:rsid w:val="009168CA"/>
    <w:rsid w:val="00916F01"/>
    <w:rsid w:val="009170BD"/>
    <w:rsid w:val="009170C8"/>
    <w:rsid w:val="009170E8"/>
    <w:rsid w:val="00917156"/>
    <w:rsid w:val="0091717B"/>
    <w:rsid w:val="00917314"/>
    <w:rsid w:val="009173D9"/>
    <w:rsid w:val="00917463"/>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C46"/>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B2"/>
    <w:rsid w:val="009228FA"/>
    <w:rsid w:val="00922A06"/>
    <w:rsid w:val="00922A94"/>
    <w:rsid w:val="00922AA6"/>
    <w:rsid w:val="00922BE5"/>
    <w:rsid w:val="00922C9F"/>
    <w:rsid w:val="00923034"/>
    <w:rsid w:val="009231DA"/>
    <w:rsid w:val="00923234"/>
    <w:rsid w:val="00923763"/>
    <w:rsid w:val="00923842"/>
    <w:rsid w:val="009238E8"/>
    <w:rsid w:val="009239EC"/>
    <w:rsid w:val="00923C11"/>
    <w:rsid w:val="00923CC7"/>
    <w:rsid w:val="00923CEE"/>
    <w:rsid w:val="00923DA7"/>
    <w:rsid w:val="009245BA"/>
    <w:rsid w:val="009245BB"/>
    <w:rsid w:val="00924790"/>
    <w:rsid w:val="00924837"/>
    <w:rsid w:val="00924A63"/>
    <w:rsid w:val="00924C62"/>
    <w:rsid w:val="00924CB4"/>
    <w:rsid w:val="00924CE3"/>
    <w:rsid w:val="00924CE5"/>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8B"/>
    <w:rsid w:val="00927C90"/>
    <w:rsid w:val="00927D1E"/>
    <w:rsid w:val="009302D1"/>
    <w:rsid w:val="009306F9"/>
    <w:rsid w:val="009309B4"/>
    <w:rsid w:val="00930A9B"/>
    <w:rsid w:val="00930B8B"/>
    <w:rsid w:val="00930C4E"/>
    <w:rsid w:val="00930CDA"/>
    <w:rsid w:val="00930D43"/>
    <w:rsid w:val="00930EA4"/>
    <w:rsid w:val="00930FF5"/>
    <w:rsid w:val="009311EF"/>
    <w:rsid w:val="0093136E"/>
    <w:rsid w:val="00931419"/>
    <w:rsid w:val="0093179A"/>
    <w:rsid w:val="0093196E"/>
    <w:rsid w:val="0093198C"/>
    <w:rsid w:val="0093253B"/>
    <w:rsid w:val="0093265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6AD"/>
    <w:rsid w:val="009368BB"/>
    <w:rsid w:val="00936C6B"/>
    <w:rsid w:val="00936D9E"/>
    <w:rsid w:val="00936F91"/>
    <w:rsid w:val="00937052"/>
    <w:rsid w:val="009373B9"/>
    <w:rsid w:val="0093746C"/>
    <w:rsid w:val="00937644"/>
    <w:rsid w:val="00937B39"/>
    <w:rsid w:val="009400EF"/>
    <w:rsid w:val="009401D0"/>
    <w:rsid w:val="00940263"/>
    <w:rsid w:val="009403C7"/>
    <w:rsid w:val="00940474"/>
    <w:rsid w:val="009404F9"/>
    <w:rsid w:val="00940666"/>
    <w:rsid w:val="009408EC"/>
    <w:rsid w:val="00940AEC"/>
    <w:rsid w:val="00940B98"/>
    <w:rsid w:val="00940BB6"/>
    <w:rsid w:val="00940BF4"/>
    <w:rsid w:val="00940C98"/>
    <w:rsid w:val="00940D3C"/>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86"/>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6E9"/>
    <w:rsid w:val="00950706"/>
    <w:rsid w:val="009508D2"/>
    <w:rsid w:val="00950A6C"/>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B1"/>
    <w:rsid w:val="00952FDE"/>
    <w:rsid w:val="00952FF7"/>
    <w:rsid w:val="009533F0"/>
    <w:rsid w:val="0095370F"/>
    <w:rsid w:val="00953740"/>
    <w:rsid w:val="009538E8"/>
    <w:rsid w:val="00953904"/>
    <w:rsid w:val="00953A28"/>
    <w:rsid w:val="00953B34"/>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B"/>
    <w:rsid w:val="0095634D"/>
    <w:rsid w:val="00956636"/>
    <w:rsid w:val="0095674C"/>
    <w:rsid w:val="00956C12"/>
    <w:rsid w:val="00956DAB"/>
    <w:rsid w:val="009576B3"/>
    <w:rsid w:val="00957747"/>
    <w:rsid w:val="009577BA"/>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76"/>
    <w:rsid w:val="00961E94"/>
    <w:rsid w:val="0096204D"/>
    <w:rsid w:val="009620AB"/>
    <w:rsid w:val="009623CA"/>
    <w:rsid w:val="009628ED"/>
    <w:rsid w:val="0096292A"/>
    <w:rsid w:val="00962995"/>
    <w:rsid w:val="0096299A"/>
    <w:rsid w:val="00962B1A"/>
    <w:rsid w:val="00962B51"/>
    <w:rsid w:val="00962CD6"/>
    <w:rsid w:val="009632EE"/>
    <w:rsid w:val="009634DD"/>
    <w:rsid w:val="00963547"/>
    <w:rsid w:val="009636E9"/>
    <w:rsid w:val="00963705"/>
    <w:rsid w:val="00963710"/>
    <w:rsid w:val="009637A9"/>
    <w:rsid w:val="00963872"/>
    <w:rsid w:val="00963C5A"/>
    <w:rsid w:val="00963F36"/>
    <w:rsid w:val="00964197"/>
    <w:rsid w:val="00964293"/>
    <w:rsid w:val="0096481A"/>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95F"/>
    <w:rsid w:val="00970ACC"/>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74"/>
    <w:rsid w:val="009733B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7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171"/>
    <w:rsid w:val="009821E1"/>
    <w:rsid w:val="0098229E"/>
    <w:rsid w:val="00982649"/>
    <w:rsid w:val="009827D6"/>
    <w:rsid w:val="009828C1"/>
    <w:rsid w:val="00982AB7"/>
    <w:rsid w:val="00982C2F"/>
    <w:rsid w:val="00982DF1"/>
    <w:rsid w:val="00982E88"/>
    <w:rsid w:val="00982EDC"/>
    <w:rsid w:val="009836AB"/>
    <w:rsid w:val="009836C3"/>
    <w:rsid w:val="009836F3"/>
    <w:rsid w:val="009839ED"/>
    <w:rsid w:val="00983DF4"/>
    <w:rsid w:val="009840B2"/>
    <w:rsid w:val="009841EB"/>
    <w:rsid w:val="009843D2"/>
    <w:rsid w:val="0098446D"/>
    <w:rsid w:val="009846CB"/>
    <w:rsid w:val="00984798"/>
    <w:rsid w:val="00984B72"/>
    <w:rsid w:val="00984D78"/>
    <w:rsid w:val="00984DB4"/>
    <w:rsid w:val="00984E85"/>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6A"/>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D3"/>
    <w:rsid w:val="00993493"/>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8E7"/>
    <w:rsid w:val="00994A61"/>
    <w:rsid w:val="00994DB3"/>
    <w:rsid w:val="00994DD0"/>
    <w:rsid w:val="00994E02"/>
    <w:rsid w:val="00994FD4"/>
    <w:rsid w:val="009950C1"/>
    <w:rsid w:val="00995298"/>
    <w:rsid w:val="00995304"/>
    <w:rsid w:val="009955C8"/>
    <w:rsid w:val="00995606"/>
    <w:rsid w:val="0099565E"/>
    <w:rsid w:val="009956B6"/>
    <w:rsid w:val="0099573D"/>
    <w:rsid w:val="009958F2"/>
    <w:rsid w:val="0099592B"/>
    <w:rsid w:val="00995CA2"/>
    <w:rsid w:val="00995D76"/>
    <w:rsid w:val="00995DA0"/>
    <w:rsid w:val="00995E4A"/>
    <w:rsid w:val="00995F58"/>
    <w:rsid w:val="00995FFF"/>
    <w:rsid w:val="0099605A"/>
    <w:rsid w:val="009962BB"/>
    <w:rsid w:val="009963B2"/>
    <w:rsid w:val="0099643D"/>
    <w:rsid w:val="0099688E"/>
    <w:rsid w:val="009969CA"/>
    <w:rsid w:val="0099708C"/>
    <w:rsid w:val="0099709E"/>
    <w:rsid w:val="00997308"/>
    <w:rsid w:val="0099735C"/>
    <w:rsid w:val="00997395"/>
    <w:rsid w:val="00997495"/>
    <w:rsid w:val="0099762E"/>
    <w:rsid w:val="0099780B"/>
    <w:rsid w:val="0099785E"/>
    <w:rsid w:val="00997AC8"/>
    <w:rsid w:val="00997E5D"/>
    <w:rsid w:val="009A021D"/>
    <w:rsid w:val="009A04C9"/>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8D"/>
    <w:rsid w:val="009A5D2A"/>
    <w:rsid w:val="009A5E2B"/>
    <w:rsid w:val="009A62D2"/>
    <w:rsid w:val="009A6737"/>
    <w:rsid w:val="009A6B12"/>
    <w:rsid w:val="009A6E3E"/>
    <w:rsid w:val="009A715B"/>
    <w:rsid w:val="009A720E"/>
    <w:rsid w:val="009A72D1"/>
    <w:rsid w:val="009A73D5"/>
    <w:rsid w:val="009A7630"/>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4C"/>
    <w:rsid w:val="009B2084"/>
    <w:rsid w:val="009B21D9"/>
    <w:rsid w:val="009B233A"/>
    <w:rsid w:val="009B24F6"/>
    <w:rsid w:val="009B264A"/>
    <w:rsid w:val="009B2773"/>
    <w:rsid w:val="009B27D5"/>
    <w:rsid w:val="009B2981"/>
    <w:rsid w:val="009B2A33"/>
    <w:rsid w:val="009B2B63"/>
    <w:rsid w:val="009B2F2F"/>
    <w:rsid w:val="009B33F8"/>
    <w:rsid w:val="009B3411"/>
    <w:rsid w:val="009B36C6"/>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B8"/>
    <w:rsid w:val="009B64BE"/>
    <w:rsid w:val="009B67A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DFE"/>
    <w:rsid w:val="009C1FBB"/>
    <w:rsid w:val="009C1FCE"/>
    <w:rsid w:val="009C2579"/>
    <w:rsid w:val="009C25D7"/>
    <w:rsid w:val="009C2819"/>
    <w:rsid w:val="009C2AD3"/>
    <w:rsid w:val="009C2E42"/>
    <w:rsid w:val="009C3097"/>
    <w:rsid w:val="009C32A3"/>
    <w:rsid w:val="009C3482"/>
    <w:rsid w:val="009C3486"/>
    <w:rsid w:val="009C3875"/>
    <w:rsid w:val="009C3CF4"/>
    <w:rsid w:val="009C3CFE"/>
    <w:rsid w:val="009C3EA4"/>
    <w:rsid w:val="009C406A"/>
    <w:rsid w:val="009C418A"/>
    <w:rsid w:val="009C42EE"/>
    <w:rsid w:val="009C44CD"/>
    <w:rsid w:val="009C45C5"/>
    <w:rsid w:val="009C45EF"/>
    <w:rsid w:val="009C49DA"/>
    <w:rsid w:val="009C4B2A"/>
    <w:rsid w:val="009C4C3A"/>
    <w:rsid w:val="009C4CA4"/>
    <w:rsid w:val="009C504B"/>
    <w:rsid w:val="009C51B7"/>
    <w:rsid w:val="009C51EC"/>
    <w:rsid w:val="009C5292"/>
    <w:rsid w:val="009C53B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2E"/>
    <w:rsid w:val="009C6CAF"/>
    <w:rsid w:val="009C6CBB"/>
    <w:rsid w:val="009C6EF6"/>
    <w:rsid w:val="009C6F46"/>
    <w:rsid w:val="009C71EE"/>
    <w:rsid w:val="009C72A1"/>
    <w:rsid w:val="009C72D8"/>
    <w:rsid w:val="009C72E6"/>
    <w:rsid w:val="009C7423"/>
    <w:rsid w:val="009C75A3"/>
    <w:rsid w:val="009C78A0"/>
    <w:rsid w:val="009C7C37"/>
    <w:rsid w:val="009D0003"/>
    <w:rsid w:val="009D0248"/>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B6"/>
    <w:rsid w:val="009D27AC"/>
    <w:rsid w:val="009D2A80"/>
    <w:rsid w:val="009D2B5A"/>
    <w:rsid w:val="009D2B8F"/>
    <w:rsid w:val="009D2C18"/>
    <w:rsid w:val="009D2C19"/>
    <w:rsid w:val="009D2C8A"/>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13C"/>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96"/>
    <w:rsid w:val="009E2533"/>
    <w:rsid w:val="009E25AA"/>
    <w:rsid w:val="009E267A"/>
    <w:rsid w:val="009E2709"/>
    <w:rsid w:val="009E271E"/>
    <w:rsid w:val="009E28FB"/>
    <w:rsid w:val="009E302B"/>
    <w:rsid w:val="009E3533"/>
    <w:rsid w:val="009E398D"/>
    <w:rsid w:val="009E39AA"/>
    <w:rsid w:val="009E4A6A"/>
    <w:rsid w:val="009E4EF7"/>
    <w:rsid w:val="009E505E"/>
    <w:rsid w:val="009E51F0"/>
    <w:rsid w:val="009E53B0"/>
    <w:rsid w:val="009E5427"/>
    <w:rsid w:val="009E5506"/>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D0C"/>
    <w:rsid w:val="009F1E22"/>
    <w:rsid w:val="009F2076"/>
    <w:rsid w:val="009F2295"/>
    <w:rsid w:val="009F2467"/>
    <w:rsid w:val="009F297A"/>
    <w:rsid w:val="009F2B85"/>
    <w:rsid w:val="009F302A"/>
    <w:rsid w:val="009F3032"/>
    <w:rsid w:val="009F31A7"/>
    <w:rsid w:val="009F33DC"/>
    <w:rsid w:val="009F3821"/>
    <w:rsid w:val="009F3920"/>
    <w:rsid w:val="009F3948"/>
    <w:rsid w:val="009F3A1F"/>
    <w:rsid w:val="009F3DB3"/>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6F"/>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4C6"/>
    <w:rsid w:val="009F761D"/>
    <w:rsid w:val="009F7866"/>
    <w:rsid w:val="009F7902"/>
    <w:rsid w:val="00A00029"/>
    <w:rsid w:val="00A000E8"/>
    <w:rsid w:val="00A00524"/>
    <w:rsid w:val="00A00581"/>
    <w:rsid w:val="00A007BC"/>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F6"/>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A0"/>
    <w:rsid w:val="00A102D1"/>
    <w:rsid w:val="00A1031F"/>
    <w:rsid w:val="00A10528"/>
    <w:rsid w:val="00A108F7"/>
    <w:rsid w:val="00A10914"/>
    <w:rsid w:val="00A10A9E"/>
    <w:rsid w:val="00A10CD3"/>
    <w:rsid w:val="00A10D24"/>
    <w:rsid w:val="00A10F73"/>
    <w:rsid w:val="00A1137A"/>
    <w:rsid w:val="00A113F3"/>
    <w:rsid w:val="00A115BF"/>
    <w:rsid w:val="00A11657"/>
    <w:rsid w:val="00A11863"/>
    <w:rsid w:val="00A118FA"/>
    <w:rsid w:val="00A1197B"/>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89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725"/>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7F9"/>
    <w:rsid w:val="00A2180C"/>
    <w:rsid w:val="00A21940"/>
    <w:rsid w:val="00A219A3"/>
    <w:rsid w:val="00A21B27"/>
    <w:rsid w:val="00A21CAE"/>
    <w:rsid w:val="00A21E42"/>
    <w:rsid w:val="00A21E7F"/>
    <w:rsid w:val="00A2236B"/>
    <w:rsid w:val="00A22866"/>
    <w:rsid w:val="00A22DDE"/>
    <w:rsid w:val="00A23076"/>
    <w:rsid w:val="00A23117"/>
    <w:rsid w:val="00A238DC"/>
    <w:rsid w:val="00A239B8"/>
    <w:rsid w:val="00A23CA3"/>
    <w:rsid w:val="00A23D26"/>
    <w:rsid w:val="00A23E58"/>
    <w:rsid w:val="00A23E66"/>
    <w:rsid w:val="00A2429F"/>
    <w:rsid w:val="00A2433D"/>
    <w:rsid w:val="00A2433E"/>
    <w:rsid w:val="00A24445"/>
    <w:rsid w:val="00A24549"/>
    <w:rsid w:val="00A2467C"/>
    <w:rsid w:val="00A246C6"/>
    <w:rsid w:val="00A24820"/>
    <w:rsid w:val="00A2491F"/>
    <w:rsid w:val="00A24AA4"/>
    <w:rsid w:val="00A24C10"/>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5E"/>
    <w:rsid w:val="00A2628B"/>
    <w:rsid w:val="00A2656A"/>
    <w:rsid w:val="00A26617"/>
    <w:rsid w:val="00A266AD"/>
    <w:rsid w:val="00A26739"/>
    <w:rsid w:val="00A267BC"/>
    <w:rsid w:val="00A268AF"/>
    <w:rsid w:val="00A269EB"/>
    <w:rsid w:val="00A26A06"/>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53"/>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71"/>
    <w:rsid w:val="00A373C2"/>
    <w:rsid w:val="00A3758E"/>
    <w:rsid w:val="00A375F3"/>
    <w:rsid w:val="00A37608"/>
    <w:rsid w:val="00A37636"/>
    <w:rsid w:val="00A37707"/>
    <w:rsid w:val="00A37A89"/>
    <w:rsid w:val="00A37C61"/>
    <w:rsid w:val="00A37E45"/>
    <w:rsid w:val="00A40110"/>
    <w:rsid w:val="00A40405"/>
    <w:rsid w:val="00A40430"/>
    <w:rsid w:val="00A404E3"/>
    <w:rsid w:val="00A40558"/>
    <w:rsid w:val="00A40914"/>
    <w:rsid w:val="00A40AB2"/>
    <w:rsid w:val="00A40AED"/>
    <w:rsid w:val="00A40B5C"/>
    <w:rsid w:val="00A40BE8"/>
    <w:rsid w:val="00A40C65"/>
    <w:rsid w:val="00A40DFC"/>
    <w:rsid w:val="00A41273"/>
    <w:rsid w:val="00A415E6"/>
    <w:rsid w:val="00A41676"/>
    <w:rsid w:val="00A4189F"/>
    <w:rsid w:val="00A41AB4"/>
    <w:rsid w:val="00A41D04"/>
    <w:rsid w:val="00A41D6D"/>
    <w:rsid w:val="00A41EFA"/>
    <w:rsid w:val="00A4208F"/>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E8"/>
    <w:rsid w:val="00A4459E"/>
    <w:rsid w:val="00A44732"/>
    <w:rsid w:val="00A44789"/>
    <w:rsid w:val="00A44897"/>
    <w:rsid w:val="00A449CD"/>
    <w:rsid w:val="00A44A0E"/>
    <w:rsid w:val="00A44B68"/>
    <w:rsid w:val="00A452EA"/>
    <w:rsid w:val="00A4538D"/>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03"/>
    <w:rsid w:val="00A50B6E"/>
    <w:rsid w:val="00A50BEE"/>
    <w:rsid w:val="00A50C46"/>
    <w:rsid w:val="00A50D15"/>
    <w:rsid w:val="00A50F5C"/>
    <w:rsid w:val="00A50FC2"/>
    <w:rsid w:val="00A510E3"/>
    <w:rsid w:val="00A514E9"/>
    <w:rsid w:val="00A5162C"/>
    <w:rsid w:val="00A51CC0"/>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05"/>
    <w:rsid w:val="00A5356F"/>
    <w:rsid w:val="00A53B53"/>
    <w:rsid w:val="00A53D3C"/>
    <w:rsid w:val="00A53FA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84"/>
    <w:rsid w:val="00A604CB"/>
    <w:rsid w:val="00A60626"/>
    <w:rsid w:val="00A606DD"/>
    <w:rsid w:val="00A60707"/>
    <w:rsid w:val="00A608BC"/>
    <w:rsid w:val="00A608F4"/>
    <w:rsid w:val="00A60920"/>
    <w:rsid w:val="00A60AB1"/>
    <w:rsid w:val="00A60ACC"/>
    <w:rsid w:val="00A60D21"/>
    <w:rsid w:val="00A60FAF"/>
    <w:rsid w:val="00A610FF"/>
    <w:rsid w:val="00A6134C"/>
    <w:rsid w:val="00A615E1"/>
    <w:rsid w:val="00A61ACE"/>
    <w:rsid w:val="00A61D2A"/>
    <w:rsid w:val="00A61E85"/>
    <w:rsid w:val="00A6211A"/>
    <w:rsid w:val="00A621A1"/>
    <w:rsid w:val="00A6223A"/>
    <w:rsid w:val="00A623EF"/>
    <w:rsid w:val="00A62684"/>
    <w:rsid w:val="00A62695"/>
    <w:rsid w:val="00A627CD"/>
    <w:rsid w:val="00A6281D"/>
    <w:rsid w:val="00A628D9"/>
    <w:rsid w:val="00A62AB9"/>
    <w:rsid w:val="00A62ACB"/>
    <w:rsid w:val="00A632E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DE"/>
    <w:rsid w:val="00A66596"/>
    <w:rsid w:val="00A666C2"/>
    <w:rsid w:val="00A666FC"/>
    <w:rsid w:val="00A667C4"/>
    <w:rsid w:val="00A66B88"/>
    <w:rsid w:val="00A66CB2"/>
    <w:rsid w:val="00A66DDD"/>
    <w:rsid w:val="00A66F83"/>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1FD7"/>
    <w:rsid w:val="00A72194"/>
    <w:rsid w:val="00A72306"/>
    <w:rsid w:val="00A725AA"/>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2F6"/>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CD"/>
    <w:rsid w:val="00A775FD"/>
    <w:rsid w:val="00A77784"/>
    <w:rsid w:val="00A77807"/>
    <w:rsid w:val="00A77993"/>
    <w:rsid w:val="00A77B8E"/>
    <w:rsid w:val="00A80272"/>
    <w:rsid w:val="00A804D4"/>
    <w:rsid w:val="00A805DE"/>
    <w:rsid w:val="00A80976"/>
    <w:rsid w:val="00A809FD"/>
    <w:rsid w:val="00A80D5E"/>
    <w:rsid w:val="00A80D6F"/>
    <w:rsid w:val="00A80EE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502"/>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42"/>
    <w:rsid w:val="00A85A79"/>
    <w:rsid w:val="00A85B24"/>
    <w:rsid w:val="00A85D22"/>
    <w:rsid w:val="00A85DB8"/>
    <w:rsid w:val="00A85DDA"/>
    <w:rsid w:val="00A85E33"/>
    <w:rsid w:val="00A860B6"/>
    <w:rsid w:val="00A86101"/>
    <w:rsid w:val="00A8616B"/>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9"/>
    <w:rsid w:val="00A90DEA"/>
    <w:rsid w:val="00A90E34"/>
    <w:rsid w:val="00A90E6B"/>
    <w:rsid w:val="00A90E85"/>
    <w:rsid w:val="00A90FA1"/>
    <w:rsid w:val="00A90FA4"/>
    <w:rsid w:val="00A91174"/>
    <w:rsid w:val="00A9165D"/>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86"/>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9E"/>
    <w:rsid w:val="00AA089A"/>
    <w:rsid w:val="00AA09A4"/>
    <w:rsid w:val="00AA0A27"/>
    <w:rsid w:val="00AA0AA9"/>
    <w:rsid w:val="00AA11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98"/>
    <w:rsid w:val="00AB26B5"/>
    <w:rsid w:val="00AB2E6E"/>
    <w:rsid w:val="00AB2EC7"/>
    <w:rsid w:val="00AB2FA7"/>
    <w:rsid w:val="00AB303F"/>
    <w:rsid w:val="00AB3097"/>
    <w:rsid w:val="00AB3197"/>
    <w:rsid w:val="00AB31EB"/>
    <w:rsid w:val="00AB32D3"/>
    <w:rsid w:val="00AB338F"/>
    <w:rsid w:val="00AB348C"/>
    <w:rsid w:val="00AB34BD"/>
    <w:rsid w:val="00AB3566"/>
    <w:rsid w:val="00AB36B0"/>
    <w:rsid w:val="00AB38F7"/>
    <w:rsid w:val="00AB3957"/>
    <w:rsid w:val="00AB3A06"/>
    <w:rsid w:val="00AB3AAE"/>
    <w:rsid w:val="00AB3B39"/>
    <w:rsid w:val="00AB3B93"/>
    <w:rsid w:val="00AB3D53"/>
    <w:rsid w:val="00AB3E6E"/>
    <w:rsid w:val="00AB4283"/>
    <w:rsid w:val="00AB462E"/>
    <w:rsid w:val="00AB4A81"/>
    <w:rsid w:val="00AB4B02"/>
    <w:rsid w:val="00AB4BA3"/>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6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42"/>
    <w:rsid w:val="00AC511C"/>
    <w:rsid w:val="00AC5357"/>
    <w:rsid w:val="00AC566A"/>
    <w:rsid w:val="00AC5DDE"/>
    <w:rsid w:val="00AC5F08"/>
    <w:rsid w:val="00AC614A"/>
    <w:rsid w:val="00AC62E4"/>
    <w:rsid w:val="00AC62F8"/>
    <w:rsid w:val="00AC649D"/>
    <w:rsid w:val="00AC64A3"/>
    <w:rsid w:val="00AC652D"/>
    <w:rsid w:val="00AC6845"/>
    <w:rsid w:val="00AC6A5A"/>
    <w:rsid w:val="00AC6A9B"/>
    <w:rsid w:val="00AC6CA4"/>
    <w:rsid w:val="00AC6F2E"/>
    <w:rsid w:val="00AC6F50"/>
    <w:rsid w:val="00AC7115"/>
    <w:rsid w:val="00AC7282"/>
    <w:rsid w:val="00AC736F"/>
    <w:rsid w:val="00AC756F"/>
    <w:rsid w:val="00AC7694"/>
    <w:rsid w:val="00AC7D08"/>
    <w:rsid w:val="00AC7DAA"/>
    <w:rsid w:val="00AD0099"/>
    <w:rsid w:val="00AD0135"/>
    <w:rsid w:val="00AD06E3"/>
    <w:rsid w:val="00AD0AF2"/>
    <w:rsid w:val="00AD0D6E"/>
    <w:rsid w:val="00AD0F8B"/>
    <w:rsid w:val="00AD1124"/>
    <w:rsid w:val="00AD1174"/>
    <w:rsid w:val="00AD133D"/>
    <w:rsid w:val="00AD176A"/>
    <w:rsid w:val="00AD1808"/>
    <w:rsid w:val="00AD19BD"/>
    <w:rsid w:val="00AD1AFF"/>
    <w:rsid w:val="00AD209C"/>
    <w:rsid w:val="00AD235D"/>
    <w:rsid w:val="00AD238E"/>
    <w:rsid w:val="00AD2668"/>
    <w:rsid w:val="00AD26C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90B"/>
    <w:rsid w:val="00AD7A28"/>
    <w:rsid w:val="00AD7B41"/>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DF6"/>
    <w:rsid w:val="00AE2E60"/>
    <w:rsid w:val="00AE3058"/>
    <w:rsid w:val="00AE3310"/>
    <w:rsid w:val="00AE354F"/>
    <w:rsid w:val="00AE37A1"/>
    <w:rsid w:val="00AE3956"/>
    <w:rsid w:val="00AE3A4F"/>
    <w:rsid w:val="00AE3D5E"/>
    <w:rsid w:val="00AE3D85"/>
    <w:rsid w:val="00AE41EF"/>
    <w:rsid w:val="00AE4703"/>
    <w:rsid w:val="00AE48CD"/>
    <w:rsid w:val="00AE4BF3"/>
    <w:rsid w:val="00AE4F3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3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73"/>
    <w:rsid w:val="00AF0606"/>
    <w:rsid w:val="00AF0607"/>
    <w:rsid w:val="00AF067A"/>
    <w:rsid w:val="00AF0924"/>
    <w:rsid w:val="00AF0B8F"/>
    <w:rsid w:val="00AF0C0E"/>
    <w:rsid w:val="00AF0F53"/>
    <w:rsid w:val="00AF14AA"/>
    <w:rsid w:val="00AF15AF"/>
    <w:rsid w:val="00AF1672"/>
    <w:rsid w:val="00AF1CF7"/>
    <w:rsid w:val="00AF1EB2"/>
    <w:rsid w:val="00AF2164"/>
    <w:rsid w:val="00AF2325"/>
    <w:rsid w:val="00AF23C9"/>
    <w:rsid w:val="00AF2572"/>
    <w:rsid w:val="00AF276D"/>
    <w:rsid w:val="00AF27F4"/>
    <w:rsid w:val="00AF284F"/>
    <w:rsid w:val="00AF299B"/>
    <w:rsid w:val="00AF2F95"/>
    <w:rsid w:val="00AF303A"/>
    <w:rsid w:val="00AF32EB"/>
    <w:rsid w:val="00AF333E"/>
    <w:rsid w:val="00AF37FA"/>
    <w:rsid w:val="00AF38BE"/>
    <w:rsid w:val="00AF3928"/>
    <w:rsid w:val="00AF3B06"/>
    <w:rsid w:val="00AF3C4D"/>
    <w:rsid w:val="00AF3D18"/>
    <w:rsid w:val="00AF40A0"/>
    <w:rsid w:val="00AF44F8"/>
    <w:rsid w:val="00AF4514"/>
    <w:rsid w:val="00AF46B4"/>
    <w:rsid w:val="00AF46C4"/>
    <w:rsid w:val="00AF46C7"/>
    <w:rsid w:val="00AF4717"/>
    <w:rsid w:val="00AF4956"/>
    <w:rsid w:val="00AF4BD4"/>
    <w:rsid w:val="00AF53A4"/>
    <w:rsid w:val="00AF5798"/>
    <w:rsid w:val="00AF5959"/>
    <w:rsid w:val="00AF5C7C"/>
    <w:rsid w:val="00AF5CC9"/>
    <w:rsid w:val="00AF5D6D"/>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65A"/>
    <w:rsid w:val="00B02BFB"/>
    <w:rsid w:val="00B030F8"/>
    <w:rsid w:val="00B03106"/>
    <w:rsid w:val="00B03253"/>
    <w:rsid w:val="00B0332F"/>
    <w:rsid w:val="00B03895"/>
    <w:rsid w:val="00B03904"/>
    <w:rsid w:val="00B0393E"/>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D5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D7"/>
    <w:rsid w:val="00B1246F"/>
    <w:rsid w:val="00B12729"/>
    <w:rsid w:val="00B12B30"/>
    <w:rsid w:val="00B12DED"/>
    <w:rsid w:val="00B131F1"/>
    <w:rsid w:val="00B13222"/>
    <w:rsid w:val="00B1367D"/>
    <w:rsid w:val="00B1379E"/>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1"/>
    <w:rsid w:val="00B15B78"/>
    <w:rsid w:val="00B15D1D"/>
    <w:rsid w:val="00B162EC"/>
    <w:rsid w:val="00B164F7"/>
    <w:rsid w:val="00B1659A"/>
    <w:rsid w:val="00B16620"/>
    <w:rsid w:val="00B167B4"/>
    <w:rsid w:val="00B16888"/>
    <w:rsid w:val="00B169BE"/>
    <w:rsid w:val="00B16B21"/>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F1F"/>
    <w:rsid w:val="00B21170"/>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C84"/>
    <w:rsid w:val="00B23D98"/>
    <w:rsid w:val="00B23DCC"/>
    <w:rsid w:val="00B23F89"/>
    <w:rsid w:val="00B2413F"/>
    <w:rsid w:val="00B241EE"/>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E2"/>
    <w:rsid w:val="00B27586"/>
    <w:rsid w:val="00B2775D"/>
    <w:rsid w:val="00B279A8"/>
    <w:rsid w:val="00B27AD2"/>
    <w:rsid w:val="00B27BB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6D"/>
    <w:rsid w:val="00B31FDF"/>
    <w:rsid w:val="00B3227B"/>
    <w:rsid w:val="00B322F9"/>
    <w:rsid w:val="00B3235B"/>
    <w:rsid w:val="00B3261B"/>
    <w:rsid w:val="00B32629"/>
    <w:rsid w:val="00B3269A"/>
    <w:rsid w:val="00B3279D"/>
    <w:rsid w:val="00B32AA8"/>
    <w:rsid w:val="00B32BB0"/>
    <w:rsid w:val="00B33185"/>
    <w:rsid w:val="00B33196"/>
    <w:rsid w:val="00B331B4"/>
    <w:rsid w:val="00B33226"/>
    <w:rsid w:val="00B3334F"/>
    <w:rsid w:val="00B333C6"/>
    <w:rsid w:val="00B34035"/>
    <w:rsid w:val="00B340D9"/>
    <w:rsid w:val="00B341E3"/>
    <w:rsid w:val="00B3449D"/>
    <w:rsid w:val="00B34511"/>
    <w:rsid w:val="00B34768"/>
    <w:rsid w:val="00B34929"/>
    <w:rsid w:val="00B34B78"/>
    <w:rsid w:val="00B34BD6"/>
    <w:rsid w:val="00B34D6A"/>
    <w:rsid w:val="00B34F23"/>
    <w:rsid w:val="00B34F3A"/>
    <w:rsid w:val="00B35083"/>
    <w:rsid w:val="00B35337"/>
    <w:rsid w:val="00B35589"/>
    <w:rsid w:val="00B35799"/>
    <w:rsid w:val="00B357D5"/>
    <w:rsid w:val="00B357EA"/>
    <w:rsid w:val="00B35A02"/>
    <w:rsid w:val="00B35C09"/>
    <w:rsid w:val="00B35FBF"/>
    <w:rsid w:val="00B36331"/>
    <w:rsid w:val="00B36604"/>
    <w:rsid w:val="00B36817"/>
    <w:rsid w:val="00B36A04"/>
    <w:rsid w:val="00B36D32"/>
    <w:rsid w:val="00B3722B"/>
    <w:rsid w:val="00B372CF"/>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477"/>
    <w:rsid w:val="00B42562"/>
    <w:rsid w:val="00B4264F"/>
    <w:rsid w:val="00B42975"/>
    <w:rsid w:val="00B42ADD"/>
    <w:rsid w:val="00B430FF"/>
    <w:rsid w:val="00B4319D"/>
    <w:rsid w:val="00B44310"/>
    <w:rsid w:val="00B443C7"/>
    <w:rsid w:val="00B44697"/>
    <w:rsid w:val="00B446B0"/>
    <w:rsid w:val="00B446CA"/>
    <w:rsid w:val="00B447CE"/>
    <w:rsid w:val="00B447D6"/>
    <w:rsid w:val="00B4488D"/>
    <w:rsid w:val="00B449E8"/>
    <w:rsid w:val="00B44A29"/>
    <w:rsid w:val="00B44A4E"/>
    <w:rsid w:val="00B44AAD"/>
    <w:rsid w:val="00B44BCD"/>
    <w:rsid w:val="00B44D2A"/>
    <w:rsid w:val="00B44F0C"/>
    <w:rsid w:val="00B45037"/>
    <w:rsid w:val="00B4536F"/>
    <w:rsid w:val="00B453FF"/>
    <w:rsid w:val="00B456C2"/>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38"/>
    <w:rsid w:val="00B541B5"/>
    <w:rsid w:val="00B542EB"/>
    <w:rsid w:val="00B54566"/>
    <w:rsid w:val="00B546C4"/>
    <w:rsid w:val="00B547E1"/>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0D"/>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C8E"/>
    <w:rsid w:val="00B64D0E"/>
    <w:rsid w:val="00B654E9"/>
    <w:rsid w:val="00B65616"/>
    <w:rsid w:val="00B656C5"/>
    <w:rsid w:val="00B656FE"/>
    <w:rsid w:val="00B65A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E0"/>
    <w:rsid w:val="00B71188"/>
    <w:rsid w:val="00B71267"/>
    <w:rsid w:val="00B7136E"/>
    <w:rsid w:val="00B714AC"/>
    <w:rsid w:val="00B7153E"/>
    <w:rsid w:val="00B71628"/>
    <w:rsid w:val="00B716A9"/>
    <w:rsid w:val="00B71770"/>
    <w:rsid w:val="00B71881"/>
    <w:rsid w:val="00B71BFD"/>
    <w:rsid w:val="00B71E52"/>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76"/>
    <w:rsid w:val="00B73D9B"/>
    <w:rsid w:val="00B740DB"/>
    <w:rsid w:val="00B742AD"/>
    <w:rsid w:val="00B74331"/>
    <w:rsid w:val="00B7438F"/>
    <w:rsid w:val="00B7452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D9"/>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70"/>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7E4"/>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32"/>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B"/>
    <w:rsid w:val="00B953FA"/>
    <w:rsid w:val="00B95AB0"/>
    <w:rsid w:val="00B95C70"/>
    <w:rsid w:val="00B95D79"/>
    <w:rsid w:val="00B95DBF"/>
    <w:rsid w:val="00B95E24"/>
    <w:rsid w:val="00B96224"/>
    <w:rsid w:val="00B9626C"/>
    <w:rsid w:val="00B962F3"/>
    <w:rsid w:val="00B96418"/>
    <w:rsid w:val="00B9649D"/>
    <w:rsid w:val="00B96C70"/>
    <w:rsid w:val="00B96CD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9"/>
    <w:rsid w:val="00BA04CC"/>
    <w:rsid w:val="00BA0564"/>
    <w:rsid w:val="00BA070E"/>
    <w:rsid w:val="00BA083E"/>
    <w:rsid w:val="00BA08F2"/>
    <w:rsid w:val="00BA0A5E"/>
    <w:rsid w:val="00BA0BB1"/>
    <w:rsid w:val="00BA0D70"/>
    <w:rsid w:val="00BA0E24"/>
    <w:rsid w:val="00BA1112"/>
    <w:rsid w:val="00BA1297"/>
    <w:rsid w:val="00BA12C3"/>
    <w:rsid w:val="00BA1432"/>
    <w:rsid w:val="00BA15B9"/>
    <w:rsid w:val="00BA1857"/>
    <w:rsid w:val="00BA1913"/>
    <w:rsid w:val="00BA198C"/>
    <w:rsid w:val="00BA1AD6"/>
    <w:rsid w:val="00BA1C33"/>
    <w:rsid w:val="00BA1DA0"/>
    <w:rsid w:val="00BA1DF1"/>
    <w:rsid w:val="00BA1F19"/>
    <w:rsid w:val="00BA1FBE"/>
    <w:rsid w:val="00BA20CC"/>
    <w:rsid w:val="00BA23F6"/>
    <w:rsid w:val="00BA242D"/>
    <w:rsid w:val="00BA246A"/>
    <w:rsid w:val="00BA27FC"/>
    <w:rsid w:val="00BA28A0"/>
    <w:rsid w:val="00BA2CE6"/>
    <w:rsid w:val="00BA3271"/>
    <w:rsid w:val="00BA36BF"/>
    <w:rsid w:val="00BA3A40"/>
    <w:rsid w:val="00BA3D9A"/>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0C"/>
    <w:rsid w:val="00BA6C68"/>
    <w:rsid w:val="00BA7008"/>
    <w:rsid w:val="00BA7068"/>
    <w:rsid w:val="00BA71B4"/>
    <w:rsid w:val="00BA7218"/>
    <w:rsid w:val="00BA72BD"/>
    <w:rsid w:val="00BA73E5"/>
    <w:rsid w:val="00BA73F4"/>
    <w:rsid w:val="00BA74E2"/>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F4"/>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6DB"/>
    <w:rsid w:val="00BB7DAA"/>
    <w:rsid w:val="00BB7EEF"/>
    <w:rsid w:val="00BB7F93"/>
    <w:rsid w:val="00BC0005"/>
    <w:rsid w:val="00BC001B"/>
    <w:rsid w:val="00BC003D"/>
    <w:rsid w:val="00BC02EA"/>
    <w:rsid w:val="00BC0561"/>
    <w:rsid w:val="00BC0766"/>
    <w:rsid w:val="00BC082A"/>
    <w:rsid w:val="00BC0B24"/>
    <w:rsid w:val="00BC0D5C"/>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47"/>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9A2"/>
    <w:rsid w:val="00BC6C1B"/>
    <w:rsid w:val="00BC703D"/>
    <w:rsid w:val="00BC721C"/>
    <w:rsid w:val="00BC7362"/>
    <w:rsid w:val="00BC75DF"/>
    <w:rsid w:val="00BC7825"/>
    <w:rsid w:val="00BC7915"/>
    <w:rsid w:val="00BC79A7"/>
    <w:rsid w:val="00BC7A40"/>
    <w:rsid w:val="00BC7AE1"/>
    <w:rsid w:val="00BC7C4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23"/>
    <w:rsid w:val="00BD2C5F"/>
    <w:rsid w:val="00BD2D35"/>
    <w:rsid w:val="00BD2E77"/>
    <w:rsid w:val="00BD309C"/>
    <w:rsid w:val="00BD30CC"/>
    <w:rsid w:val="00BD32B6"/>
    <w:rsid w:val="00BD340A"/>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1E"/>
    <w:rsid w:val="00BD6552"/>
    <w:rsid w:val="00BD65DA"/>
    <w:rsid w:val="00BD66D6"/>
    <w:rsid w:val="00BD68EA"/>
    <w:rsid w:val="00BD6BDA"/>
    <w:rsid w:val="00BD6CD9"/>
    <w:rsid w:val="00BD6D6D"/>
    <w:rsid w:val="00BD7023"/>
    <w:rsid w:val="00BD720C"/>
    <w:rsid w:val="00BD7317"/>
    <w:rsid w:val="00BD732A"/>
    <w:rsid w:val="00BD7F8E"/>
    <w:rsid w:val="00BE02B3"/>
    <w:rsid w:val="00BE04D0"/>
    <w:rsid w:val="00BE050B"/>
    <w:rsid w:val="00BE0590"/>
    <w:rsid w:val="00BE080D"/>
    <w:rsid w:val="00BE0AB8"/>
    <w:rsid w:val="00BE0E8B"/>
    <w:rsid w:val="00BE0FB8"/>
    <w:rsid w:val="00BE1377"/>
    <w:rsid w:val="00BE13D8"/>
    <w:rsid w:val="00BE14A0"/>
    <w:rsid w:val="00BE16F2"/>
    <w:rsid w:val="00BE1866"/>
    <w:rsid w:val="00BE19F0"/>
    <w:rsid w:val="00BE1CBA"/>
    <w:rsid w:val="00BE1D5A"/>
    <w:rsid w:val="00BE1E31"/>
    <w:rsid w:val="00BE1EAA"/>
    <w:rsid w:val="00BE1F26"/>
    <w:rsid w:val="00BE21BC"/>
    <w:rsid w:val="00BE21BD"/>
    <w:rsid w:val="00BE2249"/>
    <w:rsid w:val="00BE23D5"/>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A3"/>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C7"/>
    <w:rsid w:val="00BF0DAE"/>
    <w:rsid w:val="00BF0F34"/>
    <w:rsid w:val="00BF0FA8"/>
    <w:rsid w:val="00BF10B7"/>
    <w:rsid w:val="00BF114E"/>
    <w:rsid w:val="00BF1401"/>
    <w:rsid w:val="00BF1480"/>
    <w:rsid w:val="00BF1651"/>
    <w:rsid w:val="00BF1A35"/>
    <w:rsid w:val="00BF1BD7"/>
    <w:rsid w:val="00BF1CA3"/>
    <w:rsid w:val="00BF1CAC"/>
    <w:rsid w:val="00BF1D73"/>
    <w:rsid w:val="00BF20C2"/>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B"/>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1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AE"/>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E5"/>
    <w:rsid w:val="00C05E55"/>
    <w:rsid w:val="00C0606C"/>
    <w:rsid w:val="00C063D9"/>
    <w:rsid w:val="00C06408"/>
    <w:rsid w:val="00C06416"/>
    <w:rsid w:val="00C064A7"/>
    <w:rsid w:val="00C06508"/>
    <w:rsid w:val="00C066D3"/>
    <w:rsid w:val="00C06CC9"/>
    <w:rsid w:val="00C06CFA"/>
    <w:rsid w:val="00C06F4D"/>
    <w:rsid w:val="00C0719D"/>
    <w:rsid w:val="00C07481"/>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E"/>
    <w:rsid w:val="00C138F3"/>
    <w:rsid w:val="00C13C45"/>
    <w:rsid w:val="00C13CAC"/>
    <w:rsid w:val="00C13DD6"/>
    <w:rsid w:val="00C13F6C"/>
    <w:rsid w:val="00C13F9E"/>
    <w:rsid w:val="00C1413C"/>
    <w:rsid w:val="00C143A3"/>
    <w:rsid w:val="00C14479"/>
    <w:rsid w:val="00C144BD"/>
    <w:rsid w:val="00C145AF"/>
    <w:rsid w:val="00C14A4D"/>
    <w:rsid w:val="00C14AE3"/>
    <w:rsid w:val="00C14B86"/>
    <w:rsid w:val="00C14E0D"/>
    <w:rsid w:val="00C14FE6"/>
    <w:rsid w:val="00C14FF4"/>
    <w:rsid w:val="00C150F4"/>
    <w:rsid w:val="00C152F2"/>
    <w:rsid w:val="00C15354"/>
    <w:rsid w:val="00C153EC"/>
    <w:rsid w:val="00C1563D"/>
    <w:rsid w:val="00C15775"/>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1D7"/>
    <w:rsid w:val="00C203E8"/>
    <w:rsid w:val="00C206A9"/>
    <w:rsid w:val="00C20794"/>
    <w:rsid w:val="00C2081E"/>
    <w:rsid w:val="00C20C68"/>
    <w:rsid w:val="00C20CE6"/>
    <w:rsid w:val="00C20D4D"/>
    <w:rsid w:val="00C2107D"/>
    <w:rsid w:val="00C2123D"/>
    <w:rsid w:val="00C2156B"/>
    <w:rsid w:val="00C21875"/>
    <w:rsid w:val="00C21AE1"/>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26"/>
    <w:rsid w:val="00C26018"/>
    <w:rsid w:val="00C267F3"/>
    <w:rsid w:val="00C2684E"/>
    <w:rsid w:val="00C26B1C"/>
    <w:rsid w:val="00C26B48"/>
    <w:rsid w:val="00C26BBA"/>
    <w:rsid w:val="00C26BE9"/>
    <w:rsid w:val="00C26D6D"/>
    <w:rsid w:val="00C26E34"/>
    <w:rsid w:val="00C26FE7"/>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01"/>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6F0"/>
    <w:rsid w:val="00C33C65"/>
    <w:rsid w:val="00C33CAC"/>
    <w:rsid w:val="00C33D2E"/>
    <w:rsid w:val="00C33D57"/>
    <w:rsid w:val="00C34157"/>
    <w:rsid w:val="00C34406"/>
    <w:rsid w:val="00C34540"/>
    <w:rsid w:val="00C3457D"/>
    <w:rsid w:val="00C3459C"/>
    <w:rsid w:val="00C34721"/>
    <w:rsid w:val="00C3494C"/>
    <w:rsid w:val="00C34AA6"/>
    <w:rsid w:val="00C34ADF"/>
    <w:rsid w:val="00C34B1A"/>
    <w:rsid w:val="00C34B49"/>
    <w:rsid w:val="00C34BC4"/>
    <w:rsid w:val="00C3517E"/>
    <w:rsid w:val="00C35312"/>
    <w:rsid w:val="00C35335"/>
    <w:rsid w:val="00C35562"/>
    <w:rsid w:val="00C3571B"/>
    <w:rsid w:val="00C35744"/>
    <w:rsid w:val="00C35A5F"/>
    <w:rsid w:val="00C35AA4"/>
    <w:rsid w:val="00C35B2C"/>
    <w:rsid w:val="00C35D8E"/>
    <w:rsid w:val="00C35E70"/>
    <w:rsid w:val="00C360CA"/>
    <w:rsid w:val="00C36143"/>
    <w:rsid w:val="00C361B3"/>
    <w:rsid w:val="00C361FF"/>
    <w:rsid w:val="00C3626B"/>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B4"/>
    <w:rsid w:val="00C40E4D"/>
    <w:rsid w:val="00C40E78"/>
    <w:rsid w:val="00C412CD"/>
    <w:rsid w:val="00C41407"/>
    <w:rsid w:val="00C41557"/>
    <w:rsid w:val="00C41A77"/>
    <w:rsid w:val="00C41F9B"/>
    <w:rsid w:val="00C429B4"/>
    <w:rsid w:val="00C42A62"/>
    <w:rsid w:val="00C42B80"/>
    <w:rsid w:val="00C42DE1"/>
    <w:rsid w:val="00C4304A"/>
    <w:rsid w:val="00C430C6"/>
    <w:rsid w:val="00C43ADE"/>
    <w:rsid w:val="00C445BE"/>
    <w:rsid w:val="00C44609"/>
    <w:rsid w:val="00C44C50"/>
    <w:rsid w:val="00C44C6E"/>
    <w:rsid w:val="00C45349"/>
    <w:rsid w:val="00C45685"/>
    <w:rsid w:val="00C45910"/>
    <w:rsid w:val="00C45914"/>
    <w:rsid w:val="00C459BA"/>
    <w:rsid w:val="00C45A3D"/>
    <w:rsid w:val="00C45A88"/>
    <w:rsid w:val="00C45C64"/>
    <w:rsid w:val="00C45C88"/>
    <w:rsid w:val="00C45F13"/>
    <w:rsid w:val="00C45FDB"/>
    <w:rsid w:val="00C46284"/>
    <w:rsid w:val="00C462A6"/>
    <w:rsid w:val="00C4632B"/>
    <w:rsid w:val="00C464FC"/>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A2A"/>
    <w:rsid w:val="00C51E31"/>
    <w:rsid w:val="00C51E7E"/>
    <w:rsid w:val="00C5219E"/>
    <w:rsid w:val="00C52399"/>
    <w:rsid w:val="00C5258C"/>
    <w:rsid w:val="00C525DD"/>
    <w:rsid w:val="00C52734"/>
    <w:rsid w:val="00C5277F"/>
    <w:rsid w:val="00C527B1"/>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0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C4"/>
    <w:rsid w:val="00C57BE1"/>
    <w:rsid w:val="00C57F1F"/>
    <w:rsid w:val="00C60013"/>
    <w:rsid w:val="00C60015"/>
    <w:rsid w:val="00C60042"/>
    <w:rsid w:val="00C60720"/>
    <w:rsid w:val="00C6091C"/>
    <w:rsid w:val="00C60E2E"/>
    <w:rsid w:val="00C610D2"/>
    <w:rsid w:val="00C61270"/>
    <w:rsid w:val="00C6144E"/>
    <w:rsid w:val="00C618C7"/>
    <w:rsid w:val="00C61CEA"/>
    <w:rsid w:val="00C61F29"/>
    <w:rsid w:val="00C61FD1"/>
    <w:rsid w:val="00C62006"/>
    <w:rsid w:val="00C62015"/>
    <w:rsid w:val="00C62710"/>
    <w:rsid w:val="00C6283E"/>
    <w:rsid w:val="00C62C6C"/>
    <w:rsid w:val="00C63336"/>
    <w:rsid w:val="00C63370"/>
    <w:rsid w:val="00C6360E"/>
    <w:rsid w:val="00C636BA"/>
    <w:rsid w:val="00C638E0"/>
    <w:rsid w:val="00C63D71"/>
    <w:rsid w:val="00C63DEE"/>
    <w:rsid w:val="00C63EE7"/>
    <w:rsid w:val="00C63F9C"/>
    <w:rsid w:val="00C64232"/>
    <w:rsid w:val="00C6452E"/>
    <w:rsid w:val="00C645FE"/>
    <w:rsid w:val="00C64994"/>
    <w:rsid w:val="00C64E9E"/>
    <w:rsid w:val="00C64FAE"/>
    <w:rsid w:val="00C65012"/>
    <w:rsid w:val="00C653A3"/>
    <w:rsid w:val="00C6549F"/>
    <w:rsid w:val="00C65635"/>
    <w:rsid w:val="00C6572B"/>
    <w:rsid w:val="00C65838"/>
    <w:rsid w:val="00C65A2C"/>
    <w:rsid w:val="00C65BFD"/>
    <w:rsid w:val="00C65E23"/>
    <w:rsid w:val="00C65EA3"/>
    <w:rsid w:val="00C65FCA"/>
    <w:rsid w:val="00C6609F"/>
    <w:rsid w:val="00C6633B"/>
    <w:rsid w:val="00C66392"/>
    <w:rsid w:val="00C667C4"/>
    <w:rsid w:val="00C6681D"/>
    <w:rsid w:val="00C66B29"/>
    <w:rsid w:val="00C6703C"/>
    <w:rsid w:val="00C67120"/>
    <w:rsid w:val="00C6742F"/>
    <w:rsid w:val="00C675F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62"/>
    <w:rsid w:val="00C73DCD"/>
    <w:rsid w:val="00C73EA6"/>
    <w:rsid w:val="00C7426B"/>
    <w:rsid w:val="00C745C6"/>
    <w:rsid w:val="00C74CEA"/>
    <w:rsid w:val="00C74CEC"/>
    <w:rsid w:val="00C74EBE"/>
    <w:rsid w:val="00C75199"/>
    <w:rsid w:val="00C751DF"/>
    <w:rsid w:val="00C753CF"/>
    <w:rsid w:val="00C75657"/>
    <w:rsid w:val="00C75782"/>
    <w:rsid w:val="00C759F3"/>
    <w:rsid w:val="00C75A9D"/>
    <w:rsid w:val="00C75AA9"/>
    <w:rsid w:val="00C75CE8"/>
    <w:rsid w:val="00C7614A"/>
    <w:rsid w:val="00C761D5"/>
    <w:rsid w:val="00C764D9"/>
    <w:rsid w:val="00C76585"/>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8"/>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9D3"/>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3D"/>
    <w:rsid w:val="00C8675E"/>
    <w:rsid w:val="00C86873"/>
    <w:rsid w:val="00C86BAA"/>
    <w:rsid w:val="00C86BFF"/>
    <w:rsid w:val="00C87057"/>
    <w:rsid w:val="00C87269"/>
    <w:rsid w:val="00C8731E"/>
    <w:rsid w:val="00C87522"/>
    <w:rsid w:val="00C87603"/>
    <w:rsid w:val="00C8768C"/>
    <w:rsid w:val="00C8771A"/>
    <w:rsid w:val="00C87783"/>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55"/>
    <w:rsid w:val="00C923BD"/>
    <w:rsid w:val="00C92928"/>
    <w:rsid w:val="00C929FE"/>
    <w:rsid w:val="00C92AB4"/>
    <w:rsid w:val="00C92B19"/>
    <w:rsid w:val="00C92E1B"/>
    <w:rsid w:val="00C93049"/>
    <w:rsid w:val="00C93472"/>
    <w:rsid w:val="00C934C9"/>
    <w:rsid w:val="00C934E0"/>
    <w:rsid w:val="00C93744"/>
    <w:rsid w:val="00C939B2"/>
    <w:rsid w:val="00C93E06"/>
    <w:rsid w:val="00C93F31"/>
    <w:rsid w:val="00C943BE"/>
    <w:rsid w:val="00C944AD"/>
    <w:rsid w:val="00C946A2"/>
    <w:rsid w:val="00C947DE"/>
    <w:rsid w:val="00C948A8"/>
    <w:rsid w:val="00C94C5C"/>
    <w:rsid w:val="00C94C94"/>
    <w:rsid w:val="00C94D4D"/>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F0"/>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42"/>
    <w:rsid w:val="00CA16B4"/>
    <w:rsid w:val="00CA17E9"/>
    <w:rsid w:val="00CA1851"/>
    <w:rsid w:val="00CA189C"/>
    <w:rsid w:val="00CA18FF"/>
    <w:rsid w:val="00CA1C56"/>
    <w:rsid w:val="00CA1FE9"/>
    <w:rsid w:val="00CA22DA"/>
    <w:rsid w:val="00CA25C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3A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93"/>
    <w:rsid w:val="00CA7F93"/>
    <w:rsid w:val="00CB0135"/>
    <w:rsid w:val="00CB0198"/>
    <w:rsid w:val="00CB02C7"/>
    <w:rsid w:val="00CB04A5"/>
    <w:rsid w:val="00CB07F8"/>
    <w:rsid w:val="00CB089C"/>
    <w:rsid w:val="00CB097B"/>
    <w:rsid w:val="00CB09E4"/>
    <w:rsid w:val="00CB0A99"/>
    <w:rsid w:val="00CB0C7B"/>
    <w:rsid w:val="00CB0C84"/>
    <w:rsid w:val="00CB111C"/>
    <w:rsid w:val="00CB1291"/>
    <w:rsid w:val="00CB15FD"/>
    <w:rsid w:val="00CB174A"/>
    <w:rsid w:val="00CB18B5"/>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C6"/>
    <w:rsid w:val="00CB43D6"/>
    <w:rsid w:val="00CB4435"/>
    <w:rsid w:val="00CB4473"/>
    <w:rsid w:val="00CB45A5"/>
    <w:rsid w:val="00CB45FC"/>
    <w:rsid w:val="00CB4653"/>
    <w:rsid w:val="00CB470B"/>
    <w:rsid w:val="00CB4741"/>
    <w:rsid w:val="00CB47FD"/>
    <w:rsid w:val="00CB4897"/>
    <w:rsid w:val="00CB48B8"/>
    <w:rsid w:val="00CB4939"/>
    <w:rsid w:val="00CB4F23"/>
    <w:rsid w:val="00CB5364"/>
    <w:rsid w:val="00CB548D"/>
    <w:rsid w:val="00CB551A"/>
    <w:rsid w:val="00CB565E"/>
    <w:rsid w:val="00CB5661"/>
    <w:rsid w:val="00CB5689"/>
    <w:rsid w:val="00CB5A2F"/>
    <w:rsid w:val="00CB5AFE"/>
    <w:rsid w:val="00CB5B23"/>
    <w:rsid w:val="00CB5CA0"/>
    <w:rsid w:val="00CB5E12"/>
    <w:rsid w:val="00CB6036"/>
    <w:rsid w:val="00CB6416"/>
    <w:rsid w:val="00CB65C6"/>
    <w:rsid w:val="00CB669C"/>
    <w:rsid w:val="00CB6778"/>
    <w:rsid w:val="00CB69AA"/>
    <w:rsid w:val="00CB6A34"/>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65"/>
    <w:rsid w:val="00CC11C7"/>
    <w:rsid w:val="00CC11D8"/>
    <w:rsid w:val="00CC1212"/>
    <w:rsid w:val="00CC1293"/>
    <w:rsid w:val="00CC15FC"/>
    <w:rsid w:val="00CC171B"/>
    <w:rsid w:val="00CC176E"/>
    <w:rsid w:val="00CC18DD"/>
    <w:rsid w:val="00CC1DBF"/>
    <w:rsid w:val="00CC1DCC"/>
    <w:rsid w:val="00CC1E69"/>
    <w:rsid w:val="00CC1EC6"/>
    <w:rsid w:val="00CC1EF8"/>
    <w:rsid w:val="00CC212F"/>
    <w:rsid w:val="00CC21F4"/>
    <w:rsid w:val="00CC2382"/>
    <w:rsid w:val="00CC250B"/>
    <w:rsid w:val="00CC259B"/>
    <w:rsid w:val="00CC2701"/>
    <w:rsid w:val="00CC293A"/>
    <w:rsid w:val="00CC2A27"/>
    <w:rsid w:val="00CC2B28"/>
    <w:rsid w:val="00CC2DC0"/>
    <w:rsid w:val="00CC2E12"/>
    <w:rsid w:val="00CC2E8A"/>
    <w:rsid w:val="00CC3229"/>
    <w:rsid w:val="00CC3237"/>
    <w:rsid w:val="00CC32E7"/>
    <w:rsid w:val="00CC35A9"/>
    <w:rsid w:val="00CC36DC"/>
    <w:rsid w:val="00CC3B57"/>
    <w:rsid w:val="00CC3CA8"/>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61"/>
    <w:rsid w:val="00CD69E7"/>
    <w:rsid w:val="00CD6A76"/>
    <w:rsid w:val="00CD6D39"/>
    <w:rsid w:val="00CD6EAC"/>
    <w:rsid w:val="00CD6F01"/>
    <w:rsid w:val="00CD73DB"/>
    <w:rsid w:val="00CD7575"/>
    <w:rsid w:val="00CD767C"/>
    <w:rsid w:val="00CD7F16"/>
    <w:rsid w:val="00CE0296"/>
    <w:rsid w:val="00CE0318"/>
    <w:rsid w:val="00CE03FE"/>
    <w:rsid w:val="00CE099E"/>
    <w:rsid w:val="00CE0A97"/>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71"/>
    <w:rsid w:val="00CE3BA8"/>
    <w:rsid w:val="00CE40C0"/>
    <w:rsid w:val="00CE4281"/>
    <w:rsid w:val="00CE4747"/>
    <w:rsid w:val="00CE4793"/>
    <w:rsid w:val="00CE4A80"/>
    <w:rsid w:val="00CE4B35"/>
    <w:rsid w:val="00CE4D23"/>
    <w:rsid w:val="00CE4E1C"/>
    <w:rsid w:val="00CE4FB1"/>
    <w:rsid w:val="00CE4FDC"/>
    <w:rsid w:val="00CE5425"/>
    <w:rsid w:val="00CE5438"/>
    <w:rsid w:val="00CE5502"/>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7E9"/>
    <w:rsid w:val="00CE7853"/>
    <w:rsid w:val="00CE7A7D"/>
    <w:rsid w:val="00CE7B20"/>
    <w:rsid w:val="00CF020F"/>
    <w:rsid w:val="00CF0422"/>
    <w:rsid w:val="00CF088D"/>
    <w:rsid w:val="00CF0C9C"/>
    <w:rsid w:val="00CF0DF1"/>
    <w:rsid w:val="00CF0F49"/>
    <w:rsid w:val="00CF130A"/>
    <w:rsid w:val="00CF13AF"/>
    <w:rsid w:val="00CF1441"/>
    <w:rsid w:val="00CF16A3"/>
    <w:rsid w:val="00CF1B11"/>
    <w:rsid w:val="00CF1BDA"/>
    <w:rsid w:val="00CF1C34"/>
    <w:rsid w:val="00CF1D86"/>
    <w:rsid w:val="00CF2564"/>
    <w:rsid w:val="00CF2AE6"/>
    <w:rsid w:val="00CF2C1B"/>
    <w:rsid w:val="00CF304C"/>
    <w:rsid w:val="00CF393C"/>
    <w:rsid w:val="00CF3C43"/>
    <w:rsid w:val="00CF3C57"/>
    <w:rsid w:val="00CF3CD9"/>
    <w:rsid w:val="00CF404F"/>
    <w:rsid w:val="00CF414C"/>
    <w:rsid w:val="00CF4219"/>
    <w:rsid w:val="00CF44C8"/>
    <w:rsid w:val="00CF4656"/>
    <w:rsid w:val="00CF4FA6"/>
    <w:rsid w:val="00CF4FBE"/>
    <w:rsid w:val="00CF5018"/>
    <w:rsid w:val="00CF5257"/>
    <w:rsid w:val="00CF52CF"/>
    <w:rsid w:val="00CF53CD"/>
    <w:rsid w:val="00CF5502"/>
    <w:rsid w:val="00CF55E0"/>
    <w:rsid w:val="00CF56F9"/>
    <w:rsid w:val="00CF5739"/>
    <w:rsid w:val="00CF5772"/>
    <w:rsid w:val="00CF59FB"/>
    <w:rsid w:val="00CF5DBF"/>
    <w:rsid w:val="00CF5EEA"/>
    <w:rsid w:val="00CF6081"/>
    <w:rsid w:val="00CF60CE"/>
    <w:rsid w:val="00CF61C1"/>
    <w:rsid w:val="00CF62E7"/>
    <w:rsid w:val="00CF635E"/>
    <w:rsid w:val="00CF63C0"/>
    <w:rsid w:val="00CF660A"/>
    <w:rsid w:val="00CF669A"/>
    <w:rsid w:val="00CF66A1"/>
    <w:rsid w:val="00CF7036"/>
    <w:rsid w:val="00CF7137"/>
    <w:rsid w:val="00CF74E3"/>
    <w:rsid w:val="00CF76C2"/>
    <w:rsid w:val="00CF7AFF"/>
    <w:rsid w:val="00CF7CDC"/>
    <w:rsid w:val="00CF7D53"/>
    <w:rsid w:val="00CF7E65"/>
    <w:rsid w:val="00D0041B"/>
    <w:rsid w:val="00D00C21"/>
    <w:rsid w:val="00D00FD7"/>
    <w:rsid w:val="00D0107C"/>
    <w:rsid w:val="00D0109D"/>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74"/>
    <w:rsid w:val="00D037CD"/>
    <w:rsid w:val="00D03C34"/>
    <w:rsid w:val="00D03E4B"/>
    <w:rsid w:val="00D03F84"/>
    <w:rsid w:val="00D0427B"/>
    <w:rsid w:val="00D044A7"/>
    <w:rsid w:val="00D04958"/>
    <w:rsid w:val="00D04C5A"/>
    <w:rsid w:val="00D04D28"/>
    <w:rsid w:val="00D04E55"/>
    <w:rsid w:val="00D04EA9"/>
    <w:rsid w:val="00D050C6"/>
    <w:rsid w:val="00D050DA"/>
    <w:rsid w:val="00D054F5"/>
    <w:rsid w:val="00D05C42"/>
    <w:rsid w:val="00D05C71"/>
    <w:rsid w:val="00D05CC7"/>
    <w:rsid w:val="00D05FFF"/>
    <w:rsid w:val="00D06236"/>
    <w:rsid w:val="00D063FC"/>
    <w:rsid w:val="00D0652C"/>
    <w:rsid w:val="00D06785"/>
    <w:rsid w:val="00D067B2"/>
    <w:rsid w:val="00D0688E"/>
    <w:rsid w:val="00D06A3B"/>
    <w:rsid w:val="00D06C03"/>
    <w:rsid w:val="00D06ED5"/>
    <w:rsid w:val="00D06EED"/>
    <w:rsid w:val="00D0734A"/>
    <w:rsid w:val="00D0734B"/>
    <w:rsid w:val="00D073A2"/>
    <w:rsid w:val="00D0763B"/>
    <w:rsid w:val="00D07EB3"/>
    <w:rsid w:val="00D1008B"/>
    <w:rsid w:val="00D10096"/>
    <w:rsid w:val="00D100B1"/>
    <w:rsid w:val="00D1050F"/>
    <w:rsid w:val="00D10632"/>
    <w:rsid w:val="00D106A0"/>
    <w:rsid w:val="00D10784"/>
    <w:rsid w:val="00D10D36"/>
    <w:rsid w:val="00D10D3B"/>
    <w:rsid w:val="00D10DD2"/>
    <w:rsid w:val="00D10EEB"/>
    <w:rsid w:val="00D10FBC"/>
    <w:rsid w:val="00D111D2"/>
    <w:rsid w:val="00D11473"/>
    <w:rsid w:val="00D118D6"/>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26"/>
    <w:rsid w:val="00D12999"/>
    <w:rsid w:val="00D12C55"/>
    <w:rsid w:val="00D12D74"/>
    <w:rsid w:val="00D12F06"/>
    <w:rsid w:val="00D12F2B"/>
    <w:rsid w:val="00D12FB8"/>
    <w:rsid w:val="00D12FFF"/>
    <w:rsid w:val="00D1331E"/>
    <w:rsid w:val="00D1340B"/>
    <w:rsid w:val="00D1349E"/>
    <w:rsid w:val="00D134A3"/>
    <w:rsid w:val="00D13852"/>
    <w:rsid w:val="00D13863"/>
    <w:rsid w:val="00D13BD5"/>
    <w:rsid w:val="00D13C7C"/>
    <w:rsid w:val="00D13D5B"/>
    <w:rsid w:val="00D13FC6"/>
    <w:rsid w:val="00D1425E"/>
    <w:rsid w:val="00D14453"/>
    <w:rsid w:val="00D14564"/>
    <w:rsid w:val="00D14879"/>
    <w:rsid w:val="00D14B41"/>
    <w:rsid w:val="00D14B54"/>
    <w:rsid w:val="00D14CF3"/>
    <w:rsid w:val="00D14E1E"/>
    <w:rsid w:val="00D14E2E"/>
    <w:rsid w:val="00D14EAD"/>
    <w:rsid w:val="00D14FAA"/>
    <w:rsid w:val="00D1520A"/>
    <w:rsid w:val="00D1542D"/>
    <w:rsid w:val="00D15649"/>
    <w:rsid w:val="00D1577A"/>
    <w:rsid w:val="00D159B6"/>
    <w:rsid w:val="00D15E36"/>
    <w:rsid w:val="00D15FC0"/>
    <w:rsid w:val="00D1615C"/>
    <w:rsid w:val="00D1617C"/>
    <w:rsid w:val="00D16892"/>
    <w:rsid w:val="00D16980"/>
    <w:rsid w:val="00D16A8A"/>
    <w:rsid w:val="00D16B4C"/>
    <w:rsid w:val="00D16D96"/>
    <w:rsid w:val="00D16DEF"/>
    <w:rsid w:val="00D16E9B"/>
    <w:rsid w:val="00D16F3C"/>
    <w:rsid w:val="00D170A4"/>
    <w:rsid w:val="00D17481"/>
    <w:rsid w:val="00D1765E"/>
    <w:rsid w:val="00D17F1B"/>
    <w:rsid w:val="00D200DF"/>
    <w:rsid w:val="00D201F4"/>
    <w:rsid w:val="00D2024B"/>
    <w:rsid w:val="00D205E9"/>
    <w:rsid w:val="00D2088D"/>
    <w:rsid w:val="00D20B6B"/>
    <w:rsid w:val="00D20BBA"/>
    <w:rsid w:val="00D20DEF"/>
    <w:rsid w:val="00D20F98"/>
    <w:rsid w:val="00D2119C"/>
    <w:rsid w:val="00D21543"/>
    <w:rsid w:val="00D21602"/>
    <w:rsid w:val="00D2162E"/>
    <w:rsid w:val="00D2196D"/>
    <w:rsid w:val="00D219EA"/>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22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5B"/>
    <w:rsid w:val="00D3057A"/>
    <w:rsid w:val="00D305D6"/>
    <w:rsid w:val="00D306CB"/>
    <w:rsid w:val="00D307D3"/>
    <w:rsid w:val="00D307EB"/>
    <w:rsid w:val="00D30A1A"/>
    <w:rsid w:val="00D30AD4"/>
    <w:rsid w:val="00D30BCC"/>
    <w:rsid w:val="00D30DCD"/>
    <w:rsid w:val="00D3130C"/>
    <w:rsid w:val="00D3136C"/>
    <w:rsid w:val="00D3153D"/>
    <w:rsid w:val="00D316E5"/>
    <w:rsid w:val="00D31A9A"/>
    <w:rsid w:val="00D31B26"/>
    <w:rsid w:val="00D31BE0"/>
    <w:rsid w:val="00D32202"/>
    <w:rsid w:val="00D323F7"/>
    <w:rsid w:val="00D325F8"/>
    <w:rsid w:val="00D32609"/>
    <w:rsid w:val="00D326E7"/>
    <w:rsid w:val="00D328D7"/>
    <w:rsid w:val="00D3316C"/>
    <w:rsid w:val="00D332B5"/>
    <w:rsid w:val="00D33523"/>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8A"/>
    <w:rsid w:val="00D3648B"/>
    <w:rsid w:val="00D36624"/>
    <w:rsid w:val="00D36D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08"/>
    <w:rsid w:val="00D4168F"/>
    <w:rsid w:val="00D41691"/>
    <w:rsid w:val="00D418E0"/>
    <w:rsid w:val="00D4194B"/>
    <w:rsid w:val="00D419E2"/>
    <w:rsid w:val="00D419F8"/>
    <w:rsid w:val="00D41B77"/>
    <w:rsid w:val="00D41DC9"/>
    <w:rsid w:val="00D4205D"/>
    <w:rsid w:val="00D420B7"/>
    <w:rsid w:val="00D42163"/>
    <w:rsid w:val="00D4252D"/>
    <w:rsid w:val="00D42685"/>
    <w:rsid w:val="00D42902"/>
    <w:rsid w:val="00D4299C"/>
    <w:rsid w:val="00D42A22"/>
    <w:rsid w:val="00D42AE4"/>
    <w:rsid w:val="00D42B1F"/>
    <w:rsid w:val="00D42FC8"/>
    <w:rsid w:val="00D43152"/>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F7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F4"/>
    <w:rsid w:val="00D46AF0"/>
    <w:rsid w:val="00D46C04"/>
    <w:rsid w:val="00D46C89"/>
    <w:rsid w:val="00D46F5B"/>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CA"/>
    <w:rsid w:val="00D571C2"/>
    <w:rsid w:val="00D5731B"/>
    <w:rsid w:val="00D5731F"/>
    <w:rsid w:val="00D577B2"/>
    <w:rsid w:val="00D57867"/>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4F"/>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2C"/>
    <w:rsid w:val="00D648B8"/>
    <w:rsid w:val="00D6530A"/>
    <w:rsid w:val="00D653FD"/>
    <w:rsid w:val="00D654C2"/>
    <w:rsid w:val="00D65504"/>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07"/>
    <w:rsid w:val="00D66EE3"/>
    <w:rsid w:val="00D67254"/>
    <w:rsid w:val="00D67324"/>
    <w:rsid w:val="00D673EA"/>
    <w:rsid w:val="00D67509"/>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47"/>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AC"/>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D2"/>
    <w:rsid w:val="00D75ABA"/>
    <w:rsid w:val="00D75C4A"/>
    <w:rsid w:val="00D75CFB"/>
    <w:rsid w:val="00D75D63"/>
    <w:rsid w:val="00D75E1A"/>
    <w:rsid w:val="00D75F48"/>
    <w:rsid w:val="00D75F99"/>
    <w:rsid w:val="00D75FF0"/>
    <w:rsid w:val="00D76103"/>
    <w:rsid w:val="00D762C0"/>
    <w:rsid w:val="00D7635C"/>
    <w:rsid w:val="00D764E3"/>
    <w:rsid w:val="00D764F2"/>
    <w:rsid w:val="00D76689"/>
    <w:rsid w:val="00D766F0"/>
    <w:rsid w:val="00D76702"/>
    <w:rsid w:val="00D7687B"/>
    <w:rsid w:val="00D769FC"/>
    <w:rsid w:val="00D76A03"/>
    <w:rsid w:val="00D76A0A"/>
    <w:rsid w:val="00D76B19"/>
    <w:rsid w:val="00D76B1B"/>
    <w:rsid w:val="00D77194"/>
    <w:rsid w:val="00D771AA"/>
    <w:rsid w:val="00D7724A"/>
    <w:rsid w:val="00D7764C"/>
    <w:rsid w:val="00D776DA"/>
    <w:rsid w:val="00D77781"/>
    <w:rsid w:val="00D777CF"/>
    <w:rsid w:val="00D77AE4"/>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8E"/>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9A"/>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7A"/>
    <w:rsid w:val="00D916CC"/>
    <w:rsid w:val="00D916ED"/>
    <w:rsid w:val="00D91761"/>
    <w:rsid w:val="00D91768"/>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40"/>
    <w:rsid w:val="00D94234"/>
    <w:rsid w:val="00D944D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CD"/>
    <w:rsid w:val="00D95E0F"/>
    <w:rsid w:val="00D96183"/>
    <w:rsid w:val="00D961EC"/>
    <w:rsid w:val="00D96346"/>
    <w:rsid w:val="00D96872"/>
    <w:rsid w:val="00D968CE"/>
    <w:rsid w:val="00D96A13"/>
    <w:rsid w:val="00D96B03"/>
    <w:rsid w:val="00D96BCE"/>
    <w:rsid w:val="00D96C8D"/>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0AE"/>
    <w:rsid w:val="00DA018D"/>
    <w:rsid w:val="00DA0259"/>
    <w:rsid w:val="00DA03CC"/>
    <w:rsid w:val="00DA0D1C"/>
    <w:rsid w:val="00DA0E54"/>
    <w:rsid w:val="00DA10E1"/>
    <w:rsid w:val="00DA12B1"/>
    <w:rsid w:val="00DA1766"/>
    <w:rsid w:val="00DA19D4"/>
    <w:rsid w:val="00DA1A57"/>
    <w:rsid w:val="00DA1DB2"/>
    <w:rsid w:val="00DA1F46"/>
    <w:rsid w:val="00DA1FE5"/>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A37"/>
    <w:rsid w:val="00DA4B10"/>
    <w:rsid w:val="00DA4D04"/>
    <w:rsid w:val="00DA4E8A"/>
    <w:rsid w:val="00DA517E"/>
    <w:rsid w:val="00DA52B8"/>
    <w:rsid w:val="00DA53BC"/>
    <w:rsid w:val="00DA53CC"/>
    <w:rsid w:val="00DA5593"/>
    <w:rsid w:val="00DA55FB"/>
    <w:rsid w:val="00DA5796"/>
    <w:rsid w:val="00DA58FB"/>
    <w:rsid w:val="00DA59BE"/>
    <w:rsid w:val="00DA5A6E"/>
    <w:rsid w:val="00DA5D0E"/>
    <w:rsid w:val="00DA5D33"/>
    <w:rsid w:val="00DA5E8D"/>
    <w:rsid w:val="00DA6059"/>
    <w:rsid w:val="00DA609E"/>
    <w:rsid w:val="00DA651E"/>
    <w:rsid w:val="00DA670F"/>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ACF"/>
    <w:rsid w:val="00DB341E"/>
    <w:rsid w:val="00DB34E0"/>
    <w:rsid w:val="00DB3623"/>
    <w:rsid w:val="00DB367D"/>
    <w:rsid w:val="00DB399C"/>
    <w:rsid w:val="00DB3C3F"/>
    <w:rsid w:val="00DB41C2"/>
    <w:rsid w:val="00DB4261"/>
    <w:rsid w:val="00DB442F"/>
    <w:rsid w:val="00DB472B"/>
    <w:rsid w:val="00DB47E8"/>
    <w:rsid w:val="00DB492D"/>
    <w:rsid w:val="00DB49D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D71"/>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93"/>
    <w:rsid w:val="00DC3261"/>
    <w:rsid w:val="00DC3406"/>
    <w:rsid w:val="00DC3536"/>
    <w:rsid w:val="00DC38A7"/>
    <w:rsid w:val="00DC3AE7"/>
    <w:rsid w:val="00DC400F"/>
    <w:rsid w:val="00DC4088"/>
    <w:rsid w:val="00DC4174"/>
    <w:rsid w:val="00DC4572"/>
    <w:rsid w:val="00DC49D5"/>
    <w:rsid w:val="00DC4AFB"/>
    <w:rsid w:val="00DC4B12"/>
    <w:rsid w:val="00DC4BE5"/>
    <w:rsid w:val="00DC4CA1"/>
    <w:rsid w:val="00DC4F15"/>
    <w:rsid w:val="00DC4F38"/>
    <w:rsid w:val="00DC4F9B"/>
    <w:rsid w:val="00DC500E"/>
    <w:rsid w:val="00DC53E8"/>
    <w:rsid w:val="00DC54CE"/>
    <w:rsid w:val="00DC55DD"/>
    <w:rsid w:val="00DC5651"/>
    <w:rsid w:val="00DC5BF7"/>
    <w:rsid w:val="00DC5C3B"/>
    <w:rsid w:val="00DC5D7B"/>
    <w:rsid w:val="00DC5ED1"/>
    <w:rsid w:val="00DC6038"/>
    <w:rsid w:val="00DC618E"/>
    <w:rsid w:val="00DC665F"/>
    <w:rsid w:val="00DC681A"/>
    <w:rsid w:val="00DC6B04"/>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F"/>
    <w:rsid w:val="00DD0F33"/>
    <w:rsid w:val="00DD1009"/>
    <w:rsid w:val="00DD1146"/>
    <w:rsid w:val="00DD1378"/>
    <w:rsid w:val="00DD140A"/>
    <w:rsid w:val="00DD148E"/>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A0F"/>
    <w:rsid w:val="00DD2B15"/>
    <w:rsid w:val="00DD2B95"/>
    <w:rsid w:val="00DD2DA0"/>
    <w:rsid w:val="00DD2E2C"/>
    <w:rsid w:val="00DD2E3D"/>
    <w:rsid w:val="00DD2F9A"/>
    <w:rsid w:val="00DD3134"/>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6A"/>
    <w:rsid w:val="00DD5D7A"/>
    <w:rsid w:val="00DD5D9E"/>
    <w:rsid w:val="00DD6558"/>
    <w:rsid w:val="00DD6731"/>
    <w:rsid w:val="00DD6A2A"/>
    <w:rsid w:val="00DD6B9D"/>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75"/>
    <w:rsid w:val="00DE23FF"/>
    <w:rsid w:val="00DE249D"/>
    <w:rsid w:val="00DE25ED"/>
    <w:rsid w:val="00DE2804"/>
    <w:rsid w:val="00DE2AC1"/>
    <w:rsid w:val="00DE2C76"/>
    <w:rsid w:val="00DE2CEF"/>
    <w:rsid w:val="00DE2D73"/>
    <w:rsid w:val="00DE2F65"/>
    <w:rsid w:val="00DE31EA"/>
    <w:rsid w:val="00DE3265"/>
    <w:rsid w:val="00DE35D3"/>
    <w:rsid w:val="00DE36D4"/>
    <w:rsid w:val="00DE38E4"/>
    <w:rsid w:val="00DE3A0B"/>
    <w:rsid w:val="00DE3A3A"/>
    <w:rsid w:val="00DE3F06"/>
    <w:rsid w:val="00DE418E"/>
    <w:rsid w:val="00DE4552"/>
    <w:rsid w:val="00DE4720"/>
    <w:rsid w:val="00DE48A4"/>
    <w:rsid w:val="00DE4B9F"/>
    <w:rsid w:val="00DE4C0C"/>
    <w:rsid w:val="00DE4EA3"/>
    <w:rsid w:val="00DE502D"/>
    <w:rsid w:val="00DE5388"/>
    <w:rsid w:val="00DE5518"/>
    <w:rsid w:val="00DE55FC"/>
    <w:rsid w:val="00DE57C4"/>
    <w:rsid w:val="00DE5B92"/>
    <w:rsid w:val="00DE6392"/>
    <w:rsid w:val="00DE6674"/>
    <w:rsid w:val="00DE6796"/>
    <w:rsid w:val="00DE6844"/>
    <w:rsid w:val="00DE6D82"/>
    <w:rsid w:val="00DE6D9D"/>
    <w:rsid w:val="00DE6E69"/>
    <w:rsid w:val="00DE6EEA"/>
    <w:rsid w:val="00DE6EEB"/>
    <w:rsid w:val="00DE6EED"/>
    <w:rsid w:val="00DE6EF2"/>
    <w:rsid w:val="00DE7847"/>
    <w:rsid w:val="00DE784C"/>
    <w:rsid w:val="00DE7880"/>
    <w:rsid w:val="00DE7A26"/>
    <w:rsid w:val="00DE7A51"/>
    <w:rsid w:val="00DE7D39"/>
    <w:rsid w:val="00DF05C8"/>
    <w:rsid w:val="00DF0768"/>
    <w:rsid w:val="00DF0C29"/>
    <w:rsid w:val="00DF0C96"/>
    <w:rsid w:val="00DF0FD9"/>
    <w:rsid w:val="00DF119B"/>
    <w:rsid w:val="00DF15B0"/>
    <w:rsid w:val="00DF1795"/>
    <w:rsid w:val="00DF1A59"/>
    <w:rsid w:val="00DF1AED"/>
    <w:rsid w:val="00DF1CEE"/>
    <w:rsid w:val="00DF1EBE"/>
    <w:rsid w:val="00DF1ED7"/>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2E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D1B"/>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88"/>
    <w:rsid w:val="00E000F4"/>
    <w:rsid w:val="00E001E5"/>
    <w:rsid w:val="00E0084F"/>
    <w:rsid w:val="00E00A8A"/>
    <w:rsid w:val="00E00ACA"/>
    <w:rsid w:val="00E00C4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BBA"/>
    <w:rsid w:val="00E02CFC"/>
    <w:rsid w:val="00E02F7C"/>
    <w:rsid w:val="00E02FDB"/>
    <w:rsid w:val="00E03026"/>
    <w:rsid w:val="00E03260"/>
    <w:rsid w:val="00E0341D"/>
    <w:rsid w:val="00E035FD"/>
    <w:rsid w:val="00E038B9"/>
    <w:rsid w:val="00E03977"/>
    <w:rsid w:val="00E03F34"/>
    <w:rsid w:val="00E045C3"/>
    <w:rsid w:val="00E048FF"/>
    <w:rsid w:val="00E04AB7"/>
    <w:rsid w:val="00E05064"/>
    <w:rsid w:val="00E050EF"/>
    <w:rsid w:val="00E05400"/>
    <w:rsid w:val="00E0556C"/>
    <w:rsid w:val="00E0559B"/>
    <w:rsid w:val="00E05789"/>
    <w:rsid w:val="00E059DD"/>
    <w:rsid w:val="00E05A4D"/>
    <w:rsid w:val="00E05AC4"/>
    <w:rsid w:val="00E05E9E"/>
    <w:rsid w:val="00E06073"/>
    <w:rsid w:val="00E06096"/>
    <w:rsid w:val="00E060E3"/>
    <w:rsid w:val="00E06402"/>
    <w:rsid w:val="00E064D9"/>
    <w:rsid w:val="00E06708"/>
    <w:rsid w:val="00E06971"/>
    <w:rsid w:val="00E06B00"/>
    <w:rsid w:val="00E06F85"/>
    <w:rsid w:val="00E07354"/>
    <w:rsid w:val="00E074FB"/>
    <w:rsid w:val="00E076FC"/>
    <w:rsid w:val="00E07897"/>
    <w:rsid w:val="00E07ACC"/>
    <w:rsid w:val="00E07B1B"/>
    <w:rsid w:val="00E07C91"/>
    <w:rsid w:val="00E07D0C"/>
    <w:rsid w:val="00E1056D"/>
    <w:rsid w:val="00E106E8"/>
    <w:rsid w:val="00E10788"/>
    <w:rsid w:val="00E109C4"/>
    <w:rsid w:val="00E10C6A"/>
    <w:rsid w:val="00E10D28"/>
    <w:rsid w:val="00E10F98"/>
    <w:rsid w:val="00E110A4"/>
    <w:rsid w:val="00E11213"/>
    <w:rsid w:val="00E115D7"/>
    <w:rsid w:val="00E11835"/>
    <w:rsid w:val="00E11877"/>
    <w:rsid w:val="00E1194D"/>
    <w:rsid w:val="00E11A77"/>
    <w:rsid w:val="00E11D5A"/>
    <w:rsid w:val="00E11D68"/>
    <w:rsid w:val="00E120C9"/>
    <w:rsid w:val="00E122E3"/>
    <w:rsid w:val="00E1238F"/>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11"/>
    <w:rsid w:val="00E14756"/>
    <w:rsid w:val="00E14C91"/>
    <w:rsid w:val="00E14C98"/>
    <w:rsid w:val="00E14F41"/>
    <w:rsid w:val="00E1562D"/>
    <w:rsid w:val="00E1598D"/>
    <w:rsid w:val="00E159AC"/>
    <w:rsid w:val="00E16030"/>
    <w:rsid w:val="00E16175"/>
    <w:rsid w:val="00E163CF"/>
    <w:rsid w:val="00E16862"/>
    <w:rsid w:val="00E16868"/>
    <w:rsid w:val="00E16869"/>
    <w:rsid w:val="00E16B51"/>
    <w:rsid w:val="00E16D8A"/>
    <w:rsid w:val="00E16E34"/>
    <w:rsid w:val="00E16EEE"/>
    <w:rsid w:val="00E16F52"/>
    <w:rsid w:val="00E173C1"/>
    <w:rsid w:val="00E174E6"/>
    <w:rsid w:val="00E17990"/>
    <w:rsid w:val="00E17C3D"/>
    <w:rsid w:val="00E17C9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A8"/>
    <w:rsid w:val="00E23B7A"/>
    <w:rsid w:val="00E23ED8"/>
    <w:rsid w:val="00E2408E"/>
    <w:rsid w:val="00E2427C"/>
    <w:rsid w:val="00E24295"/>
    <w:rsid w:val="00E242D5"/>
    <w:rsid w:val="00E242EA"/>
    <w:rsid w:val="00E24406"/>
    <w:rsid w:val="00E24443"/>
    <w:rsid w:val="00E24649"/>
    <w:rsid w:val="00E24836"/>
    <w:rsid w:val="00E24BDE"/>
    <w:rsid w:val="00E24D87"/>
    <w:rsid w:val="00E24E19"/>
    <w:rsid w:val="00E25005"/>
    <w:rsid w:val="00E252D9"/>
    <w:rsid w:val="00E255C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9"/>
    <w:rsid w:val="00E270D0"/>
    <w:rsid w:val="00E2718A"/>
    <w:rsid w:val="00E271A7"/>
    <w:rsid w:val="00E27289"/>
    <w:rsid w:val="00E27383"/>
    <w:rsid w:val="00E27426"/>
    <w:rsid w:val="00E276B7"/>
    <w:rsid w:val="00E277D4"/>
    <w:rsid w:val="00E27B37"/>
    <w:rsid w:val="00E27BE4"/>
    <w:rsid w:val="00E27D57"/>
    <w:rsid w:val="00E27DF1"/>
    <w:rsid w:val="00E27F45"/>
    <w:rsid w:val="00E27FD1"/>
    <w:rsid w:val="00E3018C"/>
    <w:rsid w:val="00E3071A"/>
    <w:rsid w:val="00E307DD"/>
    <w:rsid w:val="00E30807"/>
    <w:rsid w:val="00E3084D"/>
    <w:rsid w:val="00E30867"/>
    <w:rsid w:val="00E30890"/>
    <w:rsid w:val="00E309DB"/>
    <w:rsid w:val="00E30A35"/>
    <w:rsid w:val="00E30B56"/>
    <w:rsid w:val="00E30CCD"/>
    <w:rsid w:val="00E30D14"/>
    <w:rsid w:val="00E30F5C"/>
    <w:rsid w:val="00E312F5"/>
    <w:rsid w:val="00E31342"/>
    <w:rsid w:val="00E315F7"/>
    <w:rsid w:val="00E31665"/>
    <w:rsid w:val="00E318BE"/>
    <w:rsid w:val="00E318F4"/>
    <w:rsid w:val="00E318F9"/>
    <w:rsid w:val="00E3198C"/>
    <w:rsid w:val="00E31995"/>
    <w:rsid w:val="00E319AE"/>
    <w:rsid w:val="00E31DAA"/>
    <w:rsid w:val="00E326A7"/>
    <w:rsid w:val="00E3275F"/>
    <w:rsid w:val="00E3279C"/>
    <w:rsid w:val="00E327F0"/>
    <w:rsid w:val="00E32970"/>
    <w:rsid w:val="00E32B0C"/>
    <w:rsid w:val="00E32BBD"/>
    <w:rsid w:val="00E32C82"/>
    <w:rsid w:val="00E32CB2"/>
    <w:rsid w:val="00E32EC7"/>
    <w:rsid w:val="00E3305C"/>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92"/>
    <w:rsid w:val="00E363D7"/>
    <w:rsid w:val="00E36682"/>
    <w:rsid w:val="00E36870"/>
    <w:rsid w:val="00E36894"/>
    <w:rsid w:val="00E37049"/>
    <w:rsid w:val="00E3708D"/>
    <w:rsid w:val="00E372B6"/>
    <w:rsid w:val="00E3754A"/>
    <w:rsid w:val="00E3754C"/>
    <w:rsid w:val="00E37B1A"/>
    <w:rsid w:val="00E37B6D"/>
    <w:rsid w:val="00E37D0A"/>
    <w:rsid w:val="00E37FD7"/>
    <w:rsid w:val="00E4006C"/>
    <w:rsid w:val="00E400DC"/>
    <w:rsid w:val="00E4011E"/>
    <w:rsid w:val="00E4020A"/>
    <w:rsid w:val="00E40299"/>
    <w:rsid w:val="00E405E9"/>
    <w:rsid w:val="00E40774"/>
    <w:rsid w:val="00E40B32"/>
    <w:rsid w:val="00E40BEC"/>
    <w:rsid w:val="00E4118D"/>
    <w:rsid w:val="00E41208"/>
    <w:rsid w:val="00E4139D"/>
    <w:rsid w:val="00E4140B"/>
    <w:rsid w:val="00E4147A"/>
    <w:rsid w:val="00E41485"/>
    <w:rsid w:val="00E414F4"/>
    <w:rsid w:val="00E41658"/>
    <w:rsid w:val="00E41B4A"/>
    <w:rsid w:val="00E41BF4"/>
    <w:rsid w:val="00E4222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C0"/>
    <w:rsid w:val="00E44540"/>
    <w:rsid w:val="00E4469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8A"/>
    <w:rsid w:val="00E458D8"/>
    <w:rsid w:val="00E45C9E"/>
    <w:rsid w:val="00E46075"/>
    <w:rsid w:val="00E4608C"/>
    <w:rsid w:val="00E46393"/>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93"/>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15"/>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109"/>
    <w:rsid w:val="00E54308"/>
    <w:rsid w:val="00E54498"/>
    <w:rsid w:val="00E5456F"/>
    <w:rsid w:val="00E5468D"/>
    <w:rsid w:val="00E546B4"/>
    <w:rsid w:val="00E54756"/>
    <w:rsid w:val="00E54A9B"/>
    <w:rsid w:val="00E54CB1"/>
    <w:rsid w:val="00E54E0A"/>
    <w:rsid w:val="00E5503D"/>
    <w:rsid w:val="00E55056"/>
    <w:rsid w:val="00E55079"/>
    <w:rsid w:val="00E553C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61"/>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AF"/>
    <w:rsid w:val="00E65E3D"/>
    <w:rsid w:val="00E65E62"/>
    <w:rsid w:val="00E65EF6"/>
    <w:rsid w:val="00E65EFA"/>
    <w:rsid w:val="00E65EFE"/>
    <w:rsid w:val="00E65FFE"/>
    <w:rsid w:val="00E66064"/>
    <w:rsid w:val="00E66293"/>
    <w:rsid w:val="00E66479"/>
    <w:rsid w:val="00E667BE"/>
    <w:rsid w:val="00E667E3"/>
    <w:rsid w:val="00E669C1"/>
    <w:rsid w:val="00E66E5F"/>
    <w:rsid w:val="00E670A6"/>
    <w:rsid w:val="00E673CC"/>
    <w:rsid w:val="00E673DD"/>
    <w:rsid w:val="00E674AE"/>
    <w:rsid w:val="00E67716"/>
    <w:rsid w:val="00E67893"/>
    <w:rsid w:val="00E67AD0"/>
    <w:rsid w:val="00E67C1F"/>
    <w:rsid w:val="00E67CF6"/>
    <w:rsid w:val="00E67D1E"/>
    <w:rsid w:val="00E67E12"/>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AF"/>
    <w:rsid w:val="00E7302C"/>
    <w:rsid w:val="00E7321E"/>
    <w:rsid w:val="00E7330F"/>
    <w:rsid w:val="00E7334E"/>
    <w:rsid w:val="00E73637"/>
    <w:rsid w:val="00E7366C"/>
    <w:rsid w:val="00E738C6"/>
    <w:rsid w:val="00E739D4"/>
    <w:rsid w:val="00E73A47"/>
    <w:rsid w:val="00E73BA1"/>
    <w:rsid w:val="00E73C20"/>
    <w:rsid w:val="00E73EC9"/>
    <w:rsid w:val="00E740BE"/>
    <w:rsid w:val="00E741AD"/>
    <w:rsid w:val="00E7426C"/>
    <w:rsid w:val="00E74287"/>
    <w:rsid w:val="00E742C9"/>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85"/>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AF8"/>
    <w:rsid w:val="00E77D78"/>
    <w:rsid w:val="00E77EB8"/>
    <w:rsid w:val="00E803F4"/>
    <w:rsid w:val="00E80409"/>
    <w:rsid w:val="00E80536"/>
    <w:rsid w:val="00E805F0"/>
    <w:rsid w:val="00E80C1B"/>
    <w:rsid w:val="00E80D88"/>
    <w:rsid w:val="00E80EA1"/>
    <w:rsid w:val="00E80F72"/>
    <w:rsid w:val="00E81056"/>
    <w:rsid w:val="00E810B2"/>
    <w:rsid w:val="00E8118B"/>
    <w:rsid w:val="00E81272"/>
    <w:rsid w:val="00E814FD"/>
    <w:rsid w:val="00E81542"/>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C3"/>
    <w:rsid w:val="00E83482"/>
    <w:rsid w:val="00E835BD"/>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07C"/>
    <w:rsid w:val="00E86246"/>
    <w:rsid w:val="00E86506"/>
    <w:rsid w:val="00E865C4"/>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433"/>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BCF"/>
    <w:rsid w:val="00EA0CC9"/>
    <w:rsid w:val="00EA0E29"/>
    <w:rsid w:val="00EA0E9D"/>
    <w:rsid w:val="00EA10A1"/>
    <w:rsid w:val="00EA14F4"/>
    <w:rsid w:val="00EA17C0"/>
    <w:rsid w:val="00EA1A59"/>
    <w:rsid w:val="00EA1BA3"/>
    <w:rsid w:val="00EA1CF1"/>
    <w:rsid w:val="00EA1D0F"/>
    <w:rsid w:val="00EA1DA6"/>
    <w:rsid w:val="00EA1DB6"/>
    <w:rsid w:val="00EA1FC5"/>
    <w:rsid w:val="00EA219F"/>
    <w:rsid w:val="00EA22C2"/>
    <w:rsid w:val="00EA23E6"/>
    <w:rsid w:val="00EA25D3"/>
    <w:rsid w:val="00EA2618"/>
    <w:rsid w:val="00EA2665"/>
    <w:rsid w:val="00EA2893"/>
    <w:rsid w:val="00EA289B"/>
    <w:rsid w:val="00EA29D9"/>
    <w:rsid w:val="00EA2A3E"/>
    <w:rsid w:val="00EA2B7F"/>
    <w:rsid w:val="00EA2F8C"/>
    <w:rsid w:val="00EA3110"/>
    <w:rsid w:val="00EA32C4"/>
    <w:rsid w:val="00EA342F"/>
    <w:rsid w:val="00EA3887"/>
    <w:rsid w:val="00EA3D1F"/>
    <w:rsid w:val="00EA40E5"/>
    <w:rsid w:val="00EA45BC"/>
    <w:rsid w:val="00EA4706"/>
    <w:rsid w:val="00EA48BB"/>
    <w:rsid w:val="00EA4C3E"/>
    <w:rsid w:val="00EA4D16"/>
    <w:rsid w:val="00EA4D25"/>
    <w:rsid w:val="00EA4D2D"/>
    <w:rsid w:val="00EA5086"/>
    <w:rsid w:val="00EA520F"/>
    <w:rsid w:val="00EA5376"/>
    <w:rsid w:val="00EA53E7"/>
    <w:rsid w:val="00EA54AB"/>
    <w:rsid w:val="00EA558C"/>
    <w:rsid w:val="00EA55F5"/>
    <w:rsid w:val="00EA57D1"/>
    <w:rsid w:val="00EA590C"/>
    <w:rsid w:val="00EA59CC"/>
    <w:rsid w:val="00EA5A10"/>
    <w:rsid w:val="00EA5D9E"/>
    <w:rsid w:val="00EA5F56"/>
    <w:rsid w:val="00EA5F76"/>
    <w:rsid w:val="00EA5FC8"/>
    <w:rsid w:val="00EA6422"/>
    <w:rsid w:val="00EA66B2"/>
    <w:rsid w:val="00EA67F5"/>
    <w:rsid w:val="00EA6D06"/>
    <w:rsid w:val="00EA736E"/>
    <w:rsid w:val="00EA7648"/>
    <w:rsid w:val="00EA7934"/>
    <w:rsid w:val="00EA7F07"/>
    <w:rsid w:val="00EA7FC3"/>
    <w:rsid w:val="00EB0190"/>
    <w:rsid w:val="00EB02A1"/>
    <w:rsid w:val="00EB0500"/>
    <w:rsid w:val="00EB07BC"/>
    <w:rsid w:val="00EB0A07"/>
    <w:rsid w:val="00EB0A0A"/>
    <w:rsid w:val="00EB0ABF"/>
    <w:rsid w:val="00EB0B7E"/>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D9"/>
    <w:rsid w:val="00EC0801"/>
    <w:rsid w:val="00EC0CB5"/>
    <w:rsid w:val="00EC1046"/>
    <w:rsid w:val="00EC10C6"/>
    <w:rsid w:val="00EC10E0"/>
    <w:rsid w:val="00EC1172"/>
    <w:rsid w:val="00EC1494"/>
    <w:rsid w:val="00EC1572"/>
    <w:rsid w:val="00EC158A"/>
    <w:rsid w:val="00EC1743"/>
    <w:rsid w:val="00EC17D1"/>
    <w:rsid w:val="00EC1993"/>
    <w:rsid w:val="00EC19AE"/>
    <w:rsid w:val="00EC1C53"/>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71"/>
    <w:rsid w:val="00EC4108"/>
    <w:rsid w:val="00EC4425"/>
    <w:rsid w:val="00EC4463"/>
    <w:rsid w:val="00EC458F"/>
    <w:rsid w:val="00EC48C1"/>
    <w:rsid w:val="00EC4ACF"/>
    <w:rsid w:val="00EC4C8A"/>
    <w:rsid w:val="00EC4D4A"/>
    <w:rsid w:val="00EC4F39"/>
    <w:rsid w:val="00EC4FD7"/>
    <w:rsid w:val="00EC5014"/>
    <w:rsid w:val="00EC501F"/>
    <w:rsid w:val="00EC519A"/>
    <w:rsid w:val="00EC5250"/>
    <w:rsid w:val="00EC53D5"/>
    <w:rsid w:val="00EC552B"/>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04"/>
    <w:rsid w:val="00EC730A"/>
    <w:rsid w:val="00EC7380"/>
    <w:rsid w:val="00EC76E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88"/>
    <w:rsid w:val="00ED187E"/>
    <w:rsid w:val="00ED19A1"/>
    <w:rsid w:val="00ED2146"/>
    <w:rsid w:val="00ED21DF"/>
    <w:rsid w:val="00ED2759"/>
    <w:rsid w:val="00ED2DCB"/>
    <w:rsid w:val="00ED3131"/>
    <w:rsid w:val="00ED34D6"/>
    <w:rsid w:val="00ED3555"/>
    <w:rsid w:val="00ED3658"/>
    <w:rsid w:val="00ED36CB"/>
    <w:rsid w:val="00ED386C"/>
    <w:rsid w:val="00ED388D"/>
    <w:rsid w:val="00ED3A9A"/>
    <w:rsid w:val="00ED3F2C"/>
    <w:rsid w:val="00ED444C"/>
    <w:rsid w:val="00ED46BE"/>
    <w:rsid w:val="00ED4813"/>
    <w:rsid w:val="00ED4861"/>
    <w:rsid w:val="00ED48C7"/>
    <w:rsid w:val="00ED4AD4"/>
    <w:rsid w:val="00ED4E49"/>
    <w:rsid w:val="00ED4FC8"/>
    <w:rsid w:val="00ED5054"/>
    <w:rsid w:val="00ED527B"/>
    <w:rsid w:val="00ED531F"/>
    <w:rsid w:val="00ED5489"/>
    <w:rsid w:val="00ED5619"/>
    <w:rsid w:val="00ED58A4"/>
    <w:rsid w:val="00ED5955"/>
    <w:rsid w:val="00ED5C2E"/>
    <w:rsid w:val="00ED6057"/>
    <w:rsid w:val="00ED6102"/>
    <w:rsid w:val="00ED612A"/>
    <w:rsid w:val="00ED626F"/>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98"/>
    <w:rsid w:val="00EE08D8"/>
    <w:rsid w:val="00EE0949"/>
    <w:rsid w:val="00EE09CC"/>
    <w:rsid w:val="00EE0A9A"/>
    <w:rsid w:val="00EE0BFC"/>
    <w:rsid w:val="00EE0C0F"/>
    <w:rsid w:val="00EE0DE3"/>
    <w:rsid w:val="00EE0EE6"/>
    <w:rsid w:val="00EE0F57"/>
    <w:rsid w:val="00EE0FB2"/>
    <w:rsid w:val="00EE124F"/>
    <w:rsid w:val="00EE1498"/>
    <w:rsid w:val="00EE18CA"/>
    <w:rsid w:val="00EE1AB9"/>
    <w:rsid w:val="00EE1D28"/>
    <w:rsid w:val="00EE1D80"/>
    <w:rsid w:val="00EE1E3E"/>
    <w:rsid w:val="00EE2314"/>
    <w:rsid w:val="00EE244C"/>
    <w:rsid w:val="00EE244E"/>
    <w:rsid w:val="00EE25AA"/>
    <w:rsid w:val="00EE25CE"/>
    <w:rsid w:val="00EE26EA"/>
    <w:rsid w:val="00EE2991"/>
    <w:rsid w:val="00EE2A50"/>
    <w:rsid w:val="00EE2D64"/>
    <w:rsid w:val="00EE2DAA"/>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E67"/>
    <w:rsid w:val="00EE6104"/>
    <w:rsid w:val="00EE6500"/>
    <w:rsid w:val="00EE661A"/>
    <w:rsid w:val="00EE6898"/>
    <w:rsid w:val="00EE6984"/>
    <w:rsid w:val="00EE69A4"/>
    <w:rsid w:val="00EE6C8E"/>
    <w:rsid w:val="00EE71D1"/>
    <w:rsid w:val="00EE7277"/>
    <w:rsid w:val="00EE7804"/>
    <w:rsid w:val="00EE78C0"/>
    <w:rsid w:val="00EE7A4F"/>
    <w:rsid w:val="00EE7C07"/>
    <w:rsid w:val="00EE7CCF"/>
    <w:rsid w:val="00EE7D09"/>
    <w:rsid w:val="00EE7D7C"/>
    <w:rsid w:val="00EE7DE0"/>
    <w:rsid w:val="00EE7EE6"/>
    <w:rsid w:val="00EF04DF"/>
    <w:rsid w:val="00EF0539"/>
    <w:rsid w:val="00EF0559"/>
    <w:rsid w:val="00EF086C"/>
    <w:rsid w:val="00EF0B24"/>
    <w:rsid w:val="00EF0DF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D72"/>
    <w:rsid w:val="00EF2EEA"/>
    <w:rsid w:val="00EF2FF5"/>
    <w:rsid w:val="00EF3042"/>
    <w:rsid w:val="00EF325A"/>
    <w:rsid w:val="00EF32EF"/>
    <w:rsid w:val="00EF3821"/>
    <w:rsid w:val="00EF3AFF"/>
    <w:rsid w:val="00EF3C24"/>
    <w:rsid w:val="00EF3F75"/>
    <w:rsid w:val="00EF3FAA"/>
    <w:rsid w:val="00EF409D"/>
    <w:rsid w:val="00EF4185"/>
    <w:rsid w:val="00EF421E"/>
    <w:rsid w:val="00EF4329"/>
    <w:rsid w:val="00EF46B3"/>
    <w:rsid w:val="00EF46CF"/>
    <w:rsid w:val="00EF4717"/>
    <w:rsid w:val="00EF482C"/>
    <w:rsid w:val="00EF4A02"/>
    <w:rsid w:val="00EF4CD2"/>
    <w:rsid w:val="00EF4E7D"/>
    <w:rsid w:val="00EF4ED8"/>
    <w:rsid w:val="00EF4FE3"/>
    <w:rsid w:val="00EF5016"/>
    <w:rsid w:val="00EF51F9"/>
    <w:rsid w:val="00EF5200"/>
    <w:rsid w:val="00EF5211"/>
    <w:rsid w:val="00EF548C"/>
    <w:rsid w:val="00EF565C"/>
    <w:rsid w:val="00EF58B7"/>
    <w:rsid w:val="00EF5AD7"/>
    <w:rsid w:val="00EF5B31"/>
    <w:rsid w:val="00EF5BE3"/>
    <w:rsid w:val="00EF5C38"/>
    <w:rsid w:val="00EF5FA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BE7"/>
    <w:rsid w:val="00F06C2C"/>
    <w:rsid w:val="00F06DA4"/>
    <w:rsid w:val="00F06FCA"/>
    <w:rsid w:val="00F07D4F"/>
    <w:rsid w:val="00F07DC2"/>
    <w:rsid w:val="00F07F24"/>
    <w:rsid w:val="00F07F33"/>
    <w:rsid w:val="00F10609"/>
    <w:rsid w:val="00F10634"/>
    <w:rsid w:val="00F1090C"/>
    <w:rsid w:val="00F10AE7"/>
    <w:rsid w:val="00F1100F"/>
    <w:rsid w:val="00F11146"/>
    <w:rsid w:val="00F1124B"/>
    <w:rsid w:val="00F112E7"/>
    <w:rsid w:val="00F11433"/>
    <w:rsid w:val="00F11529"/>
    <w:rsid w:val="00F11641"/>
    <w:rsid w:val="00F11664"/>
    <w:rsid w:val="00F1175E"/>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B7D"/>
    <w:rsid w:val="00F13E1C"/>
    <w:rsid w:val="00F14006"/>
    <w:rsid w:val="00F1400E"/>
    <w:rsid w:val="00F140AD"/>
    <w:rsid w:val="00F1429C"/>
    <w:rsid w:val="00F142D6"/>
    <w:rsid w:val="00F148A4"/>
    <w:rsid w:val="00F14B2E"/>
    <w:rsid w:val="00F14B4F"/>
    <w:rsid w:val="00F14FEB"/>
    <w:rsid w:val="00F15089"/>
    <w:rsid w:val="00F150C1"/>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5BB"/>
    <w:rsid w:val="00F176A5"/>
    <w:rsid w:val="00F17AB4"/>
    <w:rsid w:val="00F17DD5"/>
    <w:rsid w:val="00F17DD9"/>
    <w:rsid w:val="00F17E0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77"/>
    <w:rsid w:val="00F2398D"/>
    <w:rsid w:val="00F23B3F"/>
    <w:rsid w:val="00F23EB1"/>
    <w:rsid w:val="00F242C5"/>
    <w:rsid w:val="00F243DE"/>
    <w:rsid w:val="00F245D5"/>
    <w:rsid w:val="00F24667"/>
    <w:rsid w:val="00F2478B"/>
    <w:rsid w:val="00F24859"/>
    <w:rsid w:val="00F249AD"/>
    <w:rsid w:val="00F24A05"/>
    <w:rsid w:val="00F24A64"/>
    <w:rsid w:val="00F24E55"/>
    <w:rsid w:val="00F24EF4"/>
    <w:rsid w:val="00F25063"/>
    <w:rsid w:val="00F250A4"/>
    <w:rsid w:val="00F25172"/>
    <w:rsid w:val="00F251F3"/>
    <w:rsid w:val="00F2536A"/>
    <w:rsid w:val="00F2537F"/>
    <w:rsid w:val="00F25605"/>
    <w:rsid w:val="00F25EF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1"/>
    <w:rsid w:val="00F30378"/>
    <w:rsid w:val="00F305C5"/>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659"/>
    <w:rsid w:val="00F33822"/>
    <w:rsid w:val="00F33BDC"/>
    <w:rsid w:val="00F33C9E"/>
    <w:rsid w:val="00F3425B"/>
    <w:rsid w:val="00F3474F"/>
    <w:rsid w:val="00F34916"/>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2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68"/>
    <w:rsid w:val="00F429BA"/>
    <w:rsid w:val="00F42A8E"/>
    <w:rsid w:val="00F42B99"/>
    <w:rsid w:val="00F42B9E"/>
    <w:rsid w:val="00F42D65"/>
    <w:rsid w:val="00F42F41"/>
    <w:rsid w:val="00F42F6E"/>
    <w:rsid w:val="00F42FAF"/>
    <w:rsid w:val="00F430AE"/>
    <w:rsid w:val="00F432F0"/>
    <w:rsid w:val="00F4356D"/>
    <w:rsid w:val="00F43581"/>
    <w:rsid w:val="00F435F9"/>
    <w:rsid w:val="00F43650"/>
    <w:rsid w:val="00F439A4"/>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DA"/>
    <w:rsid w:val="00F460E8"/>
    <w:rsid w:val="00F461BD"/>
    <w:rsid w:val="00F461C7"/>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679"/>
    <w:rsid w:val="00F51915"/>
    <w:rsid w:val="00F51B80"/>
    <w:rsid w:val="00F51B96"/>
    <w:rsid w:val="00F524C4"/>
    <w:rsid w:val="00F52537"/>
    <w:rsid w:val="00F5286F"/>
    <w:rsid w:val="00F528A3"/>
    <w:rsid w:val="00F52A68"/>
    <w:rsid w:val="00F52BE5"/>
    <w:rsid w:val="00F52C26"/>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7B6"/>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95"/>
    <w:rsid w:val="00F5793F"/>
    <w:rsid w:val="00F57CD5"/>
    <w:rsid w:val="00F57E89"/>
    <w:rsid w:val="00F60209"/>
    <w:rsid w:val="00F60475"/>
    <w:rsid w:val="00F607BC"/>
    <w:rsid w:val="00F60920"/>
    <w:rsid w:val="00F6092D"/>
    <w:rsid w:val="00F60B8A"/>
    <w:rsid w:val="00F60D10"/>
    <w:rsid w:val="00F60D79"/>
    <w:rsid w:val="00F60F8D"/>
    <w:rsid w:val="00F61186"/>
    <w:rsid w:val="00F611F2"/>
    <w:rsid w:val="00F614F4"/>
    <w:rsid w:val="00F6150B"/>
    <w:rsid w:val="00F61533"/>
    <w:rsid w:val="00F615A6"/>
    <w:rsid w:val="00F615EE"/>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8"/>
    <w:rsid w:val="00F635F9"/>
    <w:rsid w:val="00F6369D"/>
    <w:rsid w:val="00F646A3"/>
    <w:rsid w:val="00F646A8"/>
    <w:rsid w:val="00F647C1"/>
    <w:rsid w:val="00F6499E"/>
    <w:rsid w:val="00F649F3"/>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E2"/>
    <w:rsid w:val="00F66E23"/>
    <w:rsid w:val="00F66ED4"/>
    <w:rsid w:val="00F66FB8"/>
    <w:rsid w:val="00F67256"/>
    <w:rsid w:val="00F674DB"/>
    <w:rsid w:val="00F67590"/>
    <w:rsid w:val="00F6772B"/>
    <w:rsid w:val="00F67A31"/>
    <w:rsid w:val="00F67D86"/>
    <w:rsid w:val="00F67E1F"/>
    <w:rsid w:val="00F67EDB"/>
    <w:rsid w:val="00F702BE"/>
    <w:rsid w:val="00F702E8"/>
    <w:rsid w:val="00F7090E"/>
    <w:rsid w:val="00F70D58"/>
    <w:rsid w:val="00F70DEE"/>
    <w:rsid w:val="00F70EF1"/>
    <w:rsid w:val="00F70FAD"/>
    <w:rsid w:val="00F711AF"/>
    <w:rsid w:val="00F711B2"/>
    <w:rsid w:val="00F7120C"/>
    <w:rsid w:val="00F712EE"/>
    <w:rsid w:val="00F71383"/>
    <w:rsid w:val="00F714A8"/>
    <w:rsid w:val="00F716BF"/>
    <w:rsid w:val="00F7170C"/>
    <w:rsid w:val="00F71753"/>
    <w:rsid w:val="00F72054"/>
    <w:rsid w:val="00F72086"/>
    <w:rsid w:val="00F721FA"/>
    <w:rsid w:val="00F7226B"/>
    <w:rsid w:val="00F7257C"/>
    <w:rsid w:val="00F728DC"/>
    <w:rsid w:val="00F72A45"/>
    <w:rsid w:val="00F72B77"/>
    <w:rsid w:val="00F72C7E"/>
    <w:rsid w:val="00F72E31"/>
    <w:rsid w:val="00F73078"/>
    <w:rsid w:val="00F73194"/>
    <w:rsid w:val="00F7324A"/>
    <w:rsid w:val="00F7342F"/>
    <w:rsid w:val="00F7347B"/>
    <w:rsid w:val="00F73720"/>
    <w:rsid w:val="00F737C0"/>
    <w:rsid w:val="00F7384E"/>
    <w:rsid w:val="00F738A5"/>
    <w:rsid w:val="00F73A9B"/>
    <w:rsid w:val="00F73C94"/>
    <w:rsid w:val="00F73FBA"/>
    <w:rsid w:val="00F743D0"/>
    <w:rsid w:val="00F7448A"/>
    <w:rsid w:val="00F7473A"/>
    <w:rsid w:val="00F747BE"/>
    <w:rsid w:val="00F749BA"/>
    <w:rsid w:val="00F74EFA"/>
    <w:rsid w:val="00F74FD2"/>
    <w:rsid w:val="00F754A0"/>
    <w:rsid w:val="00F7577D"/>
    <w:rsid w:val="00F757D2"/>
    <w:rsid w:val="00F759C3"/>
    <w:rsid w:val="00F75C87"/>
    <w:rsid w:val="00F75DBB"/>
    <w:rsid w:val="00F75E80"/>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B6"/>
    <w:rsid w:val="00F77ED3"/>
    <w:rsid w:val="00F80287"/>
    <w:rsid w:val="00F802E1"/>
    <w:rsid w:val="00F80343"/>
    <w:rsid w:val="00F80500"/>
    <w:rsid w:val="00F80728"/>
    <w:rsid w:val="00F807B3"/>
    <w:rsid w:val="00F80922"/>
    <w:rsid w:val="00F80933"/>
    <w:rsid w:val="00F811D4"/>
    <w:rsid w:val="00F811DC"/>
    <w:rsid w:val="00F811DF"/>
    <w:rsid w:val="00F812C1"/>
    <w:rsid w:val="00F814C5"/>
    <w:rsid w:val="00F816C7"/>
    <w:rsid w:val="00F818F5"/>
    <w:rsid w:val="00F819E8"/>
    <w:rsid w:val="00F81A73"/>
    <w:rsid w:val="00F81C01"/>
    <w:rsid w:val="00F81DC4"/>
    <w:rsid w:val="00F81DE1"/>
    <w:rsid w:val="00F81E1A"/>
    <w:rsid w:val="00F82160"/>
    <w:rsid w:val="00F826F3"/>
    <w:rsid w:val="00F82788"/>
    <w:rsid w:val="00F82807"/>
    <w:rsid w:val="00F82DFD"/>
    <w:rsid w:val="00F82E66"/>
    <w:rsid w:val="00F82EE8"/>
    <w:rsid w:val="00F83620"/>
    <w:rsid w:val="00F837A5"/>
    <w:rsid w:val="00F83D06"/>
    <w:rsid w:val="00F840F6"/>
    <w:rsid w:val="00F841AC"/>
    <w:rsid w:val="00F84229"/>
    <w:rsid w:val="00F843A8"/>
    <w:rsid w:val="00F84562"/>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26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EA"/>
    <w:rsid w:val="00F94214"/>
    <w:rsid w:val="00F943B5"/>
    <w:rsid w:val="00F9455B"/>
    <w:rsid w:val="00F94563"/>
    <w:rsid w:val="00F9483F"/>
    <w:rsid w:val="00F94D15"/>
    <w:rsid w:val="00F94D54"/>
    <w:rsid w:val="00F94D7B"/>
    <w:rsid w:val="00F94DD9"/>
    <w:rsid w:val="00F94EB8"/>
    <w:rsid w:val="00F95443"/>
    <w:rsid w:val="00F95532"/>
    <w:rsid w:val="00F95639"/>
    <w:rsid w:val="00F95A22"/>
    <w:rsid w:val="00F95C46"/>
    <w:rsid w:val="00F95C77"/>
    <w:rsid w:val="00F95E84"/>
    <w:rsid w:val="00F9644F"/>
    <w:rsid w:val="00F96876"/>
    <w:rsid w:val="00F96A5B"/>
    <w:rsid w:val="00F96B70"/>
    <w:rsid w:val="00F96E12"/>
    <w:rsid w:val="00F96FD4"/>
    <w:rsid w:val="00F9707B"/>
    <w:rsid w:val="00F971C5"/>
    <w:rsid w:val="00F97256"/>
    <w:rsid w:val="00F97765"/>
    <w:rsid w:val="00F9787F"/>
    <w:rsid w:val="00F97953"/>
    <w:rsid w:val="00F97A10"/>
    <w:rsid w:val="00F97AE2"/>
    <w:rsid w:val="00F97C3B"/>
    <w:rsid w:val="00F97F05"/>
    <w:rsid w:val="00FA04E5"/>
    <w:rsid w:val="00FA09A0"/>
    <w:rsid w:val="00FA09FA"/>
    <w:rsid w:val="00FA0CFA"/>
    <w:rsid w:val="00FA0F58"/>
    <w:rsid w:val="00FA10C2"/>
    <w:rsid w:val="00FA127F"/>
    <w:rsid w:val="00FA13FA"/>
    <w:rsid w:val="00FA16E6"/>
    <w:rsid w:val="00FA181C"/>
    <w:rsid w:val="00FA1B4D"/>
    <w:rsid w:val="00FA1BDF"/>
    <w:rsid w:val="00FA1E10"/>
    <w:rsid w:val="00FA1EE6"/>
    <w:rsid w:val="00FA1FB6"/>
    <w:rsid w:val="00FA214F"/>
    <w:rsid w:val="00FA2254"/>
    <w:rsid w:val="00FA2333"/>
    <w:rsid w:val="00FA272F"/>
    <w:rsid w:val="00FA277C"/>
    <w:rsid w:val="00FA2ACE"/>
    <w:rsid w:val="00FA3090"/>
    <w:rsid w:val="00FA30B6"/>
    <w:rsid w:val="00FA3264"/>
    <w:rsid w:val="00FA329E"/>
    <w:rsid w:val="00FA3306"/>
    <w:rsid w:val="00FA386C"/>
    <w:rsid w:val="00FA388F"/>
    <w:rsid w:val="00FA39DD"/>
    <w:rsid w:val="00FA3CB5"/>
    <w:rsid w:val="00FA3CDB"/>
    <w:rsid w:val="00FA400C"/>
    <w:rsid w:val="00FA4239"/>
    <w:rsid w:val="00FA4306"/>
    <w:rsid w:val="00FA43DB"/>
    <w:rsid w:val="00FA445F"/>
    <w:rsid w:val="00FA45D1"/>
    <w:rsid w:val="00FA465A"/>
    <w:rsid w:val="00FA46F9"/>
    <w:rsid w:val="00FA47A3"/>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83"/>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0F"/>
    <w:rsid w:val="00FB0C75"/>
    <w:rsid w:val="00FB0DD7"/>
    <w:rsid w:val="00FB0EBF"/>
    <w:rsid w:val="00FB103E"/>
    <w:rsid w:val="00FB11AF"/>
    <w:rsid w:val="00FB11E9"/>
    <w:rsid w:val="00FB128D"/>
    <w:rsid w:val="00FB14ED"/>
    <w:rsid w:val="00FB188E"/>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7A"/>
    <w:rsid w:val="00FB5189"/>
    <w:rsid w:val="00FB5361"/>
    <w:rsid w:val="00FB53E3"/>
    <w:rsid w:val="00FB5403"/>
    <w:rsid w:val="00FB541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6B"/>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82B"/>
    <w:rsid w:val="00FC4A36"/>
    <w:rsid w:val="00FC4AFD"/>
    <w:rsid w:val="00FC4B3F"/>
    <w:rsid w:val="00FC4BBC"/>
    <w:rsid w:val="00FC4C0C"/>
    <w:rsid w:val="00FC4CE8"/>
    <w:rsid w:val="00FC512C"/>
    <w:rsid w:val="00FC5197"/>
    <w:rsid w:val="00FC5321"/>
    <w:rsid w:val="00FC5585"/>
    <w:rsid w:val="00FC5633"/>
    <w:rsid w:val="00FC5A77"/>
    <w:rsid w:val="00FC5CB2"/>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1A"/>
    <w:rsid w:val="00FC7844"/>
    <w:rsid w:val="00FC792E"/>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6"/>
    <w:rsid w:val="00FD1CF7"/>
    <w:rsid w:val="00FD1D2F"/>
    <w:rsid w:val="00FD1EB5"/>
    <w:rsid w:val="00FD22E2"/>
    <w:rsid w:val="00FD236F"/>
    <w:rsid w:val="00FD249D"/>
    <w:rsid w:val="00FD28E0"/>
    <w:rsid w:val="00FD294E"/>
    <w:rsid w:val="00FD2B1F"/>
    <w:rsid w:val="00FD2FA9"/>
    <w:rsid w:val="00FD31AA"/>
    <w:rsid w:val="00FD3958"/>
    <w:rsid w:val="00FD39F1"/>
    <w:rsid w:val="00FD435A"/>
    <w:rsid w:val="00FD45B8"/>
    <w:rsid w:val="00FD4643"/>
    <w:rsid w:val="00FD47B7"/>
    <w:rsid w:val="00FD4B33"/>
    <w:rsid w:val="00FD4E0F"/>
    <w:rsid w:val="00FD4FA0"/>
    <w:rsid w:val="00FD4FDD"/>
    <w:rsid w:val="00FD5006"/>
    <w:rsid w:val="00FD51EA"/>
    <w:rsid w:val="00FD5484"/>
    <w:rsid w:val="00FD5672"/>
    <w:rsid w:val="00FD56D4"/>
    <w:rsid w:val="00FD570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75"/>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039"/>
    <w:rsid w:val="00FE414C"/>
    <w:rsid w:val="00FE4246"/>
    <w:rsid w:val="00FE43B0"/>
    <w:rsid w:val="00FE4415"/>
    <w:rsid w:val="00FE4486"/>
    <w:rsid w:val="00FE4653"/>
    <w:rsid w:val="00FE4832"/>
    <w:rsid w:val="00FE488D"/>
    <w:rsid w:val="00FE495D"/>
    <w:rsid w:val="00FE4A38"/>
    <w:rsid w:val="00FE4B29"/>
    <w:rsid w:val="00FE4BD1"/>
    <w:rsid w:val="00FE4E49"/>
    <w:rsid w:val="00FE4EF7"/>
    <w:rsid w:val="00FE4FFA"/>
    <w:rsid w:val="00FE522F"/>
    <w:rsid w:val="00FE5980"/>
    <w:rsid w:val="00FE5C69"/>
    <w:rsid w:val="00FE5DEF"/>
    <w:rsid w:val="00FE609C"/>
    <w:rsid w:val="00FE6230"/>
    <w:rsid w:val="00FE6468"/>
    <w:rsid w:val="00FE6646"/>
    <w:rsid w:val="00FE669B"/>
    <w:rsid w:val="00FE714D"/>
    <w:rsid w:val="00FE7352"/>
    <w:rsid w:val="00FE7D6A"/>
    <w:rsid w:val="00FF018D"/>
    <w:rsid w:val="00FF01B0"/>
    <w:rsid w:val="00FF029E"/>
    <w:rsid w:val="00FF034B"/>
    <w:rsid w:val="00FF0359"/>
    <w:rsid w:val="00FF039F"/>
    <w:rsid w:val="00FF03B0"/>
    <w:rsid w:val="00FF0403"/>
    <w:rsid w:val="00FF05A6"/>
    <w:rsid w:val="00FF0655"/>
    <w:rsid w:val="00FF0961"/>
    <w:rsid w:val="00FF09E3"/>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B4F4A"/>
    <w:rsid w:val="01D14F2B"/>
    <w:rsid w:val="021B645C"/>
    <w:rsid w:val="02FE031F"/>
    <w:rsid w:val="030406F3"/>
    <w:rsid w:val="03C76963"/>
    <w:rsid w:val="045C62E4"/>
    <w:rsid w:val="04654116"/>
    <w:rsid w:val="04704908"/>
    <w:rsid w:val="049C4C87"/>
    <w:rsid w:val="05303E6A"/>
    <w:rsid w:val="06CC5708"/>
    <w:rsid w:val="077F1687"/>
    <w:rsid w:val="078B7CA7"/>
    <w:rsid w:val="08762640"/>
    <w:rsid w:val="08F02CB9"/>
    <w:rsid w:val="090043EC"/>
    <w:rsid w:val="09041432"/>
    <w:rsid w:val="09374162"/>
    <w:rsid w:val="09C026BE"/>
    <w:rsid w:val="09C411E9"/>
    <w:rsid w:val="0A053D41"/>
    <w:rsid w:val="0A1755E4"/>
    <w:rsid w:val="0A2D2DDF"/>
    <w:rsid w:val="0A896223"/>
    <w:rsid w:val="0AA73E99"/>
    <w:rsid w:val="0AD1329D"/>
    <w:rsid w:val="0AF142C5"/>
    <w:rsid w:val="0B600839"/>
    <w:rsid w:val="0B660C1A"/>
    <w:rsid w:val="0BE81B6C"/>
    <w:rsid w:val="0C2C0A32"/>
    <w:rsid w:val="0C436DA2"/>
    <w:rsid w:val="0CAE0856"/>
    <w:rsid w:val="0D1B16BD"/>
    <w:rsid w:val="0D4F503A"/>
    <w:rsid w:val="0D6544CA"/>
    <w:rsid w:val="0D6E7E4F"/>
    <w:rsid w:val="0D9B3231"/>
    <w:rsid w:val="0E0907EB"/>
    <w:rsid w:val="0EA10303"/>
    <w:rsid w:val="0EE52393"/>
    <w:rsid w:val="0F18193B"/>
    <w:rsid w:val="0F761A3E"/>
    <w:rsid w:val="112E5814"/>
    <w:rsid w:val="11400B60"/>
    <w:rsid w:val="115D5F79"/>
    <w:rsid w:val="11A622AD"/>
    <w:rsid w:val="12204B8A"/>
    <w:rsid w:val="122D2087"/>
    <w:rsid w:val="123B689C"/>
    <w:rsid w:val="129238F2"/>
    <w:rsid w:val="13771DFE"/>
    <w:rsid w:val="13824654"/>
    <w:rsid w:val="13CD772C"/>
    <w:rsid w:val="13D06ED0"/>
    <w:rsid w:val="13F85AEA"/>
    <w:rsid w:val="14951E1C"/>
    <w:rsid w:val="14B51E14"/>
    <w:rsid w:val="15357807"/>
    <w:rsid w:val="15A041AF"/>
    <w:rsid w:val="15A20FDE"/>
    <w:rsid w:val="15AD5965"/>
    <w:rsid w:val="15FA0D82"/>
    <w:rsid w:val="163663AF"/>
    <w:rsid w:val="16646CBF"/>
    <w:rsid w:val="170D692B"/>
    <w:rsid w:val="17607AD3"/>
    <w:rsid w:val="17C14553"/>
    <w:rsid w:val="17F93E0B"/>
    <w:rsid w:val="18077F53"/>
    <w:rsid w:val="184A187D"/>
    <w:rsid w:val="1A0062D3"/>
    <w:rsid w:val="1AC26CC3"/>
    <w:rsid w:val="1B9403E7"/>
    <w:rsid w:val="1C455CA5"/>
    <w:rsid w:val="1C646BF6"/>
    <w:rsid w:val="1C672639"/>
    <w:rsid w:val="1CBF4223"/>
    <w:rsid w:val="1CD001DE"/>
    <w:rsid w:val="1D2C69D2"/>
    <w:rsid w:val="1DAC2A21"/>
    <w:rsid w:val="1DAD1554"/>
    <w:rsid w:val="1E03704A"/>
    <w:rsid w:val="210F1F2F"/>
    <w:rsid w:val="2296771B"/>
    <w:rsid w:val="229D44C2"/>
    <w:rsid w:val="22A20FA7"/>
    <w:rsid w:val="23660DB2"/>
    <w:rsid w:val="2399417D"/>
    <w:rsid w:val="239E00B4"/>
    <w:rsid w:val="243B4281"/>
    <w:rsid w:val="24496224"/>
    <w:rsid w:val="24D171E9"/>
    <w:rsid w:val="24E36A82"/>
    <w:rsid w:val="251E74A4"/>
    <w:rsid w:val="25494FD2"/>
    <w:rsid w:val="256E7B04"/>
    <w:rsid w:val="25B31EEB"/>
    <w:rsid w:val="26983C48"/>
    <w:rsid w:val="26A23F39"/>
    <w:rsid w:val="27843CE5"/>
    <w:rsid w:val="27AD6EC3"/>
    <w:rsid w:val="27F304AC"/>
    <w:rsid w:val="29300B62"/>
    <w:rsid w:val="2A232AD1"/>
    <w:rsid w:val="2B41760E"/>
    <w:rsid w:val="2B5605C8"/>
    <w:rsid w:val="2B6A3FD1"/>
    <w:rsid w:val="2BB5531A"/>
    <w:rsid w:val="2BB86A0D"/>
    <w:rsid w:val="2C2422F5"/>
    <w:rsid w:val="2C5745F3"/>
    <w:rsid w:val="2C9616C6"/>
    <w:rsid w:val="2CB96EF6"/>
    <w:rsid w:val="2D642184"/>
    <w:rsid w:val="2DAE691A"/>
    <w:rsid w:val="2DBE000D"/>
    <w:rsid w:val="2EC954AD"/>
    <w:rsid w:val="2F1A7D97"/>
    <w:rsid w:val="30473F4C"/>
    <w:rsid w:val="309D2676"/>
    <w:rsid w:val="32261603"/>
    <w:rsid w:val="32535DA8"/>
    <w:rsid w:val="327C3DF5"/>
    <w:rsid w:val="32A04679"/>
    <w:rsid w:val="32EB653A"/>
    <w:rsid w:val="32EB78DF"/>
    <w:rsid w:val="337D25D5"/>
    <w:rsid w:val="33E660E2"/>
    <w:rsid w:val="345A71A2"/>
    <w:rsid w:val="3508367E"/>
    <w:rsid w:val="356F23D4"/>
    <w:rsid w:val="35877747"/>
    <w:rsid w:val="375E4FFD"/>
    <w:rsid w:val="377A54BF"/>
    <w:rsid w:val="37AA1A6B"/>
    <w:rsid w:val="3845787B"/>
    <w:rsid w:val="38D86941"/>
    <w:rsid w:val="390F6E62"/>
    <w:rsid w:val="394E25D8"/>
    <w:rsid w:val="395835DE"/>
    <w:rsid w:val="39713E9F"/>
    <w:rsid w:val="39A8533F"/>
    <w:rsid w:val="39E210F9"/>
    <w:rsid w:val="3A323EF6"/>
    <w:rsid w:val="3A914FF9"/>
    <w:rsid w:val="3B6024D7"/>
    <w:rsid w:val="3B8E7AE0"/>
    <w:rsid w:val="3BAE5737"/>
    <w:rsid w:val="3BBA4C60"/>
    <w:rsid w:val="3BCB6780"/>
    <w:rsid w:val="3C5E4226"/>
    <w:rsid w:val="3C872BFA"/>
    <w:rsid w:val="3CB82C6E"/>
    <w:rsid w:val="3D511FBF"/>
    <w:rsid w:val="3E4F625D"/>
    <w:rsid w:val="3E9E5D88"/>
    <w:rsid w:val="3F204B9E"/>
    <w:rsid w:val="3F303FC2"/>
    <w:rsid w:val="3F457E81"/>
    <w:rsid w:val="3F966C0E"/>
    <w:rsid w:val="3F9C1DD4"/>
    <w:rsid w:val="3FAA4467"/>
    <w:rsid w:val="3FF5F3AE"/>
    <w:rsid w:val="400C6ED0"/>
    <w:rsid w:val="40481A6B"/>
    <w:rsid w:val="40CD028F"/>
    <w:rsid w:val="40CD4796"/>
    <w:rsid w:val="40D519B8"/>
    <w:rsid w:val="41084EDE"/>
    <w:rsid w:val="41642F23"/>
    <w:rsid w:val="41DD28D2"/>
    <w:rsid w:val="42002A64"/>
    <w:rsid w:val="42831D2D"/>
    <w:rsid w:val="42CD0A98"/>
    <w:rsid w:val="43086074"/>
    <w:rsid w:val="431A0C09"/>
    <w:rsid w:val="434B0B76"/>
    <w:rsid w:val="43CC07A5"/>
    <w:rsid w:val="43E66C7E"/>
    <w:rsid w:val="45343151"/>
    <w:rsid w:val="45486BFC"/>
    <w:rsid w:val="457D6BFE"/>
    <w:rsid w:val="463D1574"/>
    <w:rsid w:val="465B64BB"/>
    <w:rsid w:val="46CE59EE"/>
    <w:rsid w:val="46DE7A24"/>
    <w:rsid w:val="479F7ED9"/>
    <w:rsid w:val="47DC7F39"/>
    <w:rsid w:val="47F71E45"/>
    <w:rsid w:val="47F95F8C"/>
    <w:rsid w:val="480E2158"/>
    <w:rsid w:val="482968D7"/>
    <w:rsid w:val="48FC5DC9"/>
    <w:rsid w:val="499E6DEB"/>
    <w:rsid w:val="49A50198"/>
    <w:rsid w:val="49A80E58"/>
    <w:rsid w:val="4A4B2A2E"/>
    <w:rsid w:val="4A635600"/>
    <w:rsid w:val="4A8936D0"/>
    <w:rsid w:val="4A9A5643"/>
    <w:rsid w:val="4B262F78"/>
    <w:rsid w:val="4B65373A"/>
    <w:rsid w:val="4C1F5FB4"/>
    <w:rsid w:val="4D00163A"/>
    <w:rsid w:val="4D3A4384"/>
    <w:rsid w:val="4DAB5C9B"/>
    <w:rsid w:val="4DCF238A"/>
    <w:rsid w:val="4E622AC7"/>
    <w:rsid w:val="4EA8070C"/>
    <w:rsid w:val="4EC47A9D"/>
    <w:rsid w:val="4F0F5BE3"/>
    <w:rsid w:val="4F22401A"/>
    <w:rsid w:val="4F3D4C00"/>
    <w:rsid w:val="4F6A0467"/>
    <w:rsid w:val="4FB21777"/>
    <w:rsid w:val="4FD24935"/>
    <w:rsid w:val="50772144"/>
    <w:rsid w:val="50D43095"/>
    <w:rsid w:val="518D5397"/>
    <w:rsid w:val="51BA678C"/>
    <w:rsid w:val="51C5066C"/>
    <w:rsid w:val="51FF16B0"/>
    <w:rsid w:val="52422029"/>
    <w:rsid w:val="52860D64"/>
    <w:rsid w:val="52A03BD4"/>
    <w:rsid w:val="539B439B"/>
    <w:rsid w:val="54224ABC"/>
    <w:rsid w:val="542B4CD6"/>
    <w:rsid w:val="54492057"/>
    <w:rsid w:val="54BB2AC7"/>
    <w:rsid w:val="55040901"/>
    <w:rsid w:val="55046357"/>
    <w:rsid w:val="551E5284"/>
    <w:rsid w:val="55582AEC"/>
    <w:rsid w:val="562408F9"/>
    <w:rsid w:val="566B62A7"/>
    <w:rsid w:val="56DF05DE"/>
    <w:rsid w:val="572A7F10"/>
    <w:rsid w:val="57EE3633"/>
    <w:rsid w:val="57FC6189"/>
    <w:rsid w:val="58066460"/>
    <w:rsid w:val="582708F3"/>
    <w:rsid w:val="584317B3"/>
    <w:rsid w:val="591C15DD"/>
    <w:rsid w:val="592941F7"/>
    <w:rsid w:val="59AA595C"/>
    <w:rsid w:val="59C3740E"/>
    <w:rsid w:val="59FD7B5D"/>
    <w:rsid w:val="5A1030D6"/>
    <w:rsid w:val="5B686304"/>
    <w:rsid w:val="5BAE172B"/>
    <w:rsid w:val="5C6B34A4"/>
    <w:rsid w:val="5C710901"/>
    <w:rsid w:val="5D842A4E"/>
    <w:rsid w:val="5D9F5B7E"/>
    <w:rsid w:val="5E714CB3"/>
    <w:rsid w:val="5EA306D2"/>
    <w:rsid w:val="5EA41A33"/>
    <w:rsid w:val="5EFA0B7F"/>
    <w:rsid w:val="5F073306"/>
    <w:rsid w:val="5F117C07"/>
    <w:rsid w:val="5F5F73B9"/>
    <w:rsid w:val="5FA02BE6"/>
    <w:rsid w:val="5FBC44DA"/>
    <w:rsid w:val="60834225"/>
    <w:rsid w:val="60F66235"/>
    <w:rsid w:val="6112654C"/>
    <w:rsid w:val="61F602B1"/>
    <w:rsid w:val="6218388B"/>
    <w:rsid w:val="62871CDB"/>
    <w:rsid w:val="62CB3134"/>
    <w:rsid w:val="630A1CB0"/>
    <w:rsid w:val="6374664C"/>
    <w:rsid w:val="63CA3BC2"/>
    <w:rsid w:val="643A496A"/>
    <w:rsid w:val="646802C9"/>
    <w:rsid w:val="64FA22C8"/>
    <w:rsid w:val="651A1A20"/>
    <w:rsid w:val="65296839"/>
    <w:rsid w:val="65306AC8"/>
    <w:rsid w:val="659E659B"/>
    <w:rsid w:val="65DD3D54"/>
    <w:rsid w:val="672145BA"/>
    <w:rsid w:val="673C591C"/>
    <w:rsid w:val="67D85766"/>
    <w:rsid w:val="67DB7004"/>
    <w:rsid w:val="6838144E"/>
    <w:rsid w:val="68A5225E"/>
    <w:rsid w:val="68AA7398"/>
    <w:rsid w:val="690411A9"/>
    <w:rsid w:val="694560B4"/>
    <w:rsid w:val="69E833F2"/>
    <w:rsid w:val="6A34057B"/>
    <w:rsid w:val="6AB670DD"/>
    <w:rsid w:val="6AD77F57"/>
    <w:rsid w:val="6B0F395A"/>
    <w:rsid w:val="6B1A547D"/>
    <w:rsid w:val="6BD34BC2"/>
    <w:rsid w:val="6BE648F5"/>
    <w:rsid w:val="6C527275"/>
    <w:rsid w:val="6C6B75BB"/>
    <w:rsid w:val="6C7106A2"/>
    <w:rsid w:val="6C7A503E"/>
    <w:rsid w:val="6CFB4DC1"/>
    <w:rsid w:val="6D1D00CD"/>
    <w:rsid w:val="6E5B49FB"/>
    <w:rsid w:val="6EB54E9D"/>
    <w:rsid w:val="6ECC33D1"/>
    <w:rsid w:val="6F844859"/>
    <w:rsid w:val="6F932704"/>
    <w:rsid w:val="701F1F74"/>
    <w:rsid w:val="715D2F5F"/>
    <w:rsid w:val="72682045"/>
    <w:rsid w:val="742C597A"/>
    <w:rsid w:val="74B60BB9"/>
    <w:rsid w:val="750B0F29"/>
    <w:rsid w:val="759157D0"/>
    <w:rsid w:val="76F13F4E"/>
    <w:rsid w:val="76F61530"/>
    <w:rsid w:val="7701289B"/>
    <w:rsid w:val="77C05B28"/>
    <w:rsid w:val="77DE2D10"/>
    <w:rsid w:val="781A695E"/>
    <w:rsid w:val="7A1B0D74"/>
    <w:rsid w:val="7AEA5A84"/>
    <w:rsid w:val="7B0B15EF"/>
    <w:rsid w:val="7B81480D"/>
    <w:rsid w:val="7C1452F4"/>
    <w:rsid w:val="7C83508C"/>
    <w:rsid w:val="7D327E67"/>
    <w:rsid w:val="7D7E0C79"/>
    <w:rsid w:val="7E374B3D"/>
    <w:rsid w:val="7E6B0A7C"/>
    <w:rsid w:val="7F6E0A32"/>
    <w:rsid w:val="7F9F200D"/>
    <w:rsid w:val="7FFF05B1"/>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99"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5"/>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7"/>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559"/>
    <w:qFormat/>
    <w:uiPriority w:val="0"/>
    <w:pPr>
      <w:snapToGrid w:val="0"/>
      <w:spacing w:beforeLines="50" w:line="440" w:lineRule="exact"/>
      <w:ind w:left="108" w:firstLine="90" w:firstLineChars="32"/>
    </w:pPr>
    <w:rPr>
      <w:rFonts w:ascii="幼圆" w:eastAsia="幼圆"/>
      <w:b/>
      <w:sz w:val="32"/>
      <w:szCs w:val="32"/>
    </w:rPr>
  </w:style>
  <w:style w:type="paragraph" w:styleId="13">
    <w:name w:val="Normal Indent"/>
    <w:basedOn w:val="1"/>
    <w:link w:val="7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99"/>
    <w:pPr>
      <w:ind w:left="800" w:leftChars="800"/>
    </w:pPr>
  </w:style>
  <w:style w:type="paragraph" w:styleId="16">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17">
    <w:name w:val="Document Map"/>
    <w:basedOn w:val="1"/>
    <w:link w:val="80"/>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81"/>
    <w:qFormat/>
    <w:uiPriority w:val="0"/>
    <w:pPr>
      <w:jc w:val="left"/>
    </w:pPr>
  </w:style>
  <w:style w:type="paragraph" w:styleId="20">
    <w:name w:val="Body Text 3"/>
    <w:basedOn w:val="1"/>
    <w:link w:val="82"/>
    <w:qFormat/>
    <w:uiPriority w:val="99"/>
    <w:pPr>
      <w:spacing w:after="120"/>
    </w:pPr>
    <w:rPr>
      <w:sz w:val="16"/>
      <w:szCs w:val="16"/>
    </w:rPr>
  </w:style>
  <w:style w:type="paragraph" w:styleId="21">
    <w:name w:val="Body Text"/>
    <w:basedOn w:val="1"/>
    <w:link w:val="83"/>
    <w:qFormat/>
    <w:uiPriority w:val="0"/>
    <w:pPr>
      <w:tabs>
        <w:tab w:val="left" w:pos="567"/>
      </w:tabs>
      <w:spacing w:before="120" w:line="22" w:lineRule="atLeast"/>
    </w:pPr>
    <w:rPr>
      <w:rFonts w:ascii="宋体" w:hAnsi="宋体"/>
      <w:sz w:val="24"/>
    </w:rPr>
  </w:style>
  <w:style w:type="paragraph" w:styleId="22">
    <w:name w:val="Body Text Indent"/>
    <w:basedOn w:val="1"/>
    <w:link w:val="84"/>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99"/>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85"/>
    <w:qFormat/>
    <w:uiPriority w:val="99"/>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6"/>
    <w:qFormat/>
    <w:uiPriority w:val="99"/>
    <w:pPr>
      <w:ind w:left="100" w:leftChars="2500"/>
    </w:pPr>
    <w:rPr>
      <w:rFonts w:ascii="仿宋_GB2312" w:hAnsi="宋体" w:eastAsia="仿宋_GB2312"/>
      <w:color w:val="000000"/>
      <w:sz w:val="24"/>
    </w:rPr>
  </w:style>
  <w:style w:type="paragraph" w:styleId="31">
    <w:name w:val="Body Text Indent 2"/>
    <w:basedOn w:val="1"/>
    <w:link w:val="87"/>
    <w:qFormat/>
    <w:uiPriority w:val="99"/>
    <w:pPr>
      <w:ind w:firstLine="480" w:firstLineChars="200"/>
    </w:pPr>
    <w:rPr>
      <w:rFonts w:ascii="仿宋_GB2312" w:eastAsia="仿宋_GB2312"/>
      <w:sz w:val="24"/>
    </w:rPr>
  </w:style>
  <w:style w:type="paragraph" w:styleId="32">
    <w:name w:val="Balloon Text"/>
    <w:basedOn w:val="1"/>
    <w:link w:val="88"/>
    <w:qFormat/>
    <w:uiPriority w:val="0"/>
    <w:rPr>
      <w:sz w:val="18"/>
      <w:szCs w:val="18"/>
    </w:rPr>
  </w:style>
  <w:style w:type="paragraph" w:styleId="33">
    <w:name w:val="footer"/>
    <w:basedOn w:val="1"/>
    <w:next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qFormat/>
    <w:uiPriority w:val="99"/>
    <w:rPr>
      <w:rFonts w:ascii="Arial" w:hAnsi="Arial" w:cs="Arial" w:eastAsiaTheme="minorEastAsia"/>
      <w:kern w:val="1"/>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362"/>
    <w:qFormat/>
    <w:uiPriority w:val="11"/>
    <w:pPr>
      <w:widowControl/>
      <w:spacing w:after="60"/>
      <w:jc w:val="center"/>
      <w:outlineLvl w:val="1"/>
    </w:pPr>
    <w:rPr>
      <w:rFonts w:ascii="Cambria" w:hAnsi="Cambria"/>
      <w:kern w:val="0"/>
      <w:sz w:val="24"/>
    </w:rPr>
  </w:style>
  <w:style w:type="paragraph" w:styleId="39">
    <w:name w:val="List"/>
    <w:basedOn w:val="1"/>
    <w:qFormat/>
    <w:uiPriority w:val="99"/>
    <w:pPr>
      <w:adjustRightInd w:val="0"/>
      <w:spacing w:line="360" w:lineRule="atLeast"/>
      <w:ind w:left="420" w:hanging="420"/>
      <w:jc w:val="left"/>
    </w:pPr>
    <w:rPr>
      <w:rFonts w:ascii="宋体"/>
      <w:kern w:val="0"/>
      <w:sz w:val="24"/>
      <w:szCs w:val="20"/>
    </w:rPr>
  </w:style>
  <w:style w:type="paragraph" w:styleId="40">
    <w:name w:val="footnote text"/>
    <w:basedOn w:val="1"/>
    <w:next w:val="35"/>
    <w:unhideWhenUsed/>
    <w:qFormat/>
    <w:uiPriority w:val="99"/>
    <w:pPr>
      <w:snapToGrid w:val="0"/>
    </w:pPr>
    <w:rPr>
      <w:sz w:val="18"/>
      <w:szCs w:val="18"/>
    </w:rPr>
  </w:style>
  <w:style w:type="paragraph" w:styleId="41">
    <w:name w:val="toc 6"/>
    <w:basedOn w:val="1"/>
    <w:next w:val="1"/>
    <w:qFormat/>
    <w:uiPriority w:val="39"/>
    <w:pPr>
      <w:ind w:left="2100" w:leftChars="1000"/>
    </w:pPr>
  </w:style>
  <w:style w:type="paragraph" w:styleId="42">
    <w:name w:val="Body Text Indent 3"/>
    <w:basedOn w:val="1"/>
    <w:link w:val="9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39"/>
    <w:pPr>
      <w:ind w:left="3360" w:leftChars="1600"/>
    </w:pPr>
  </w:style>
  <w:style w:type="paragraph" w:styleId="45">
    <w:name w:val="Body Text 2"/>
    <w:basedOn w:val="1"/>
    <w:link w:val="307"/>
    <w:qFormat/>
    <w:uiPriority w:val="99"/>
    <w:pPr>
      <w:jc w:val="center"/>
    </w:pPr>
    <w:rPr>
      <w:rFonts w:eastAsia="黑体"/>
      <w:bCs/>
      <w:kern w:val="0"/>
      <w:sz w:val="24"/>
    </w:rPr>
  </w:style>
  <w:style w:type="paragraph" w:styleId="46">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rPr>
      <w:szCs w:val="20"/>
    </w:rPr>
  </w:style>
  <w:style w:type="paragraph" w:styleId="49">
    <w:name w:val="Title"/>
    <w:basedOn w:val="1"/>
    <w:link w:val="93"/>
    <w:qFormat/>
    <w:uiPriority w:val="99"/>
    <w:pPr>
      <w:jc w:val="center"/>
      <w:outlineLvl w:val="0"/>
    </w:pPr>
    <w:rPr>
      <w:b/>
      <w:sz w:val="32"/>
      <w:szCs w:val="20"/>
    </w:rPr>
  </w:style>
  <w:style w:type="paragraph" w:styleId="50">
    <w:name w:val="annotation subject"/>
    <w:basedOn w:val="19"/>
    <w:next w:val="19"/>
    <w:link w:val="94"/>
    <w:qFormat/>
    <w:uiPriority w:val="99"/>
    <w:rPr>
      <w:b/>
      <w:bCs/>
    </w:rPr>
  </w:style>
  <w:style w:type="paragraph" w:styleId="51">
    <w:name w:val="Body Text First Indent"/>
    <w:basedOn w:val="21"/>
    <w:link w:val="354"/>
    <w:qFormat/>
    <w:uiPriority w:val="0"/>
    <w:pPr>
      <w:tabs>
        <w:tab w:val="clear" w:pos="567"/>
      </w:tabs>
      <w:spacing w:before="0" w:after="120" w:line="240" w:lineRule="auto"/>
      <w:ind w:firstLine="420" w:firstLineChars="100"/>
    </w:pPr>
    <w:rPr>
      <w:rFonts w:ascii="Times New Roman" w:hAnsi="Times New Roman"/>
      <w:kern w:val="0"/>
      <w:sz w:val="20"/>
      <w:szCs w:val="20"/>
    </w:rPr>
  </w:style>
  <w:style w:type="paragraph" w:styleId="52">
    <w:name w:val="Body Text First Indent 2"/>
    <w:basedOn w:val="22"/>
    <w:link w:val="96"/>
    <w:qFormat/>
    <w:uiPriority w:val="0"/>
    <w:pPr>
      <w:spacing w:after="120" w:line="480" w:lineRule="exact"/>
      <w:ind w:left="420" w:leftChars="200" w:firstLine="420" w:firstLineChars="200"/>
    </w:pPr>
    <w:rPr>
      <w:szCs w:val="20"/>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0"/>
    <w:rPr>
      <w:color w:val="CC0033"/>
    </w:rPr>
  </w:style>
  <w:style w:type="character" w:styleId="61">
    <w:name w:val="HTML Definition"/>
    <w:qFormat/>
    <w:uiPriority w:val="0"/>
  </w:style>
  <w:style w:type="character" w:styleId="62">
    <w:name w:val="HTML Variable"/>
    <w:qFormat/>
    <w:uiPriority w:val="0"/>
  </w:style>
  <w:style w:type="character" w:styleId="63">
    <w:name w:val="Hyperlink"/>
    <w:qFormat/>
    <w:uiPriority w:val="99"/>
    <w:rPr>
      <w:color w:val="0000FF"/>
      <w:u w:val="single"/>
    </w:rPr>
  </w:style>
  <w:style w:type="character" w:styleId="64">
    <w:name w:val="HTML Code"/>
    <w:qFormat/>
    <w:uiPriority w:val="0"/>
    <w:rPr>
      <w:rFonts w:ascii="Courier New" w:hAnsi="Courier New" w:eastAsia="Courier New" w:cs="Courier New"/>
      <w:sz w:val="20"/>
    </w:rPr>
  </w:style>
  <w:style w:type="character" w:styleId="65">
    <w:name w:val="annotation reference"/>
    <w:qFormat/>
    <w:uiPriority w:val="99"/>
    <w:rPr>
      <w:sz w:val="21"/>
      <w:szCs w:val="21"/>
    </w:rPr>
  </w:style>
  <w:style w:type="character" w:styleId="66">
    <w:name w:val="HTML Cite"/>
    <w:qFormat/>
    <w:uiPriority w:val="0"/>
    <w:rPr>
      <w:i/>
      <w:iCs/>
    </w:rPr>
  </w:style>
  <w:style w:type="character" w:styleId="67">
    <w:name w:val="footnote reference"/>
    <w:qFormat/>
    <w:uiPriority w:val="0"/>
    <w:rPr>
      <w:vertAlign w:val="superscript"/>
    </w:rPr>
  </w:style>
  <w:style w:type="character" w:styleId="68">
    <w:name w:val="HTML Keyboard"/>
    <w:qFormat/>
    <w:uiPriority w:val="0"/>
    <w:rPr>
      <w:rFonts w:ascii="Courier New" w:hAnsi="Courier New" w:eastAsia="Courier New" w:cs="Courier New"/>
      <w:sz w:val="20"/>
    </w:rPr>
  </w:style>
  <w:style w:type="character" w:styleId="69">
    <w:name w:val="HTML Sample"/>
    <w:qFormat/>
    <w:uiPriority w:val="0"/>
    <w:rPr>
      <w:rFonts w:ascii="Courier New" w:hAnsi="Courier New" w:eastAsia="Courier New" w:cs="Courier New"/>
    </w:rPr>
  </w:style>
  <w:style w:type="character" w:customStyle="1" w:styleId="70">
    <w:name w:val="标题 1 字符4"/>
    <w:link w:val="2"/>
    <w:qFormat/>
    <w:uiPriority w:val="99"/>
    <w:rPr>
      <w:rFonts w:ascii="宋体"/>
      <w:b/>
      <w:kern w:val="44"/>
      <w:sz w:val="32"/>
    </w:rPr>
  </w:style>
  <w:style w:type="character" w:customStyle="1" w:styleId="71">
    <w:name w:val="标题 2 字符3"/>
    <w:link w:val="3"/>
    <w:qFormat/>
    <w:uiPriority w:val="9"/>
    <w:rPr>
      <w:rFonts w:ascii="Arial" w:hAnsi="Arial" w:eastAsia="黑体"/>
      <w:b/>
      <w:sz w:val="30"/>
      <w:lang w:val="en-US" w:eastAsia="zh-CN" w:bidi="ar-SA"/>
    </w:rPr>
  </w:style>
  <w:style w:type="character" w:customStyle="1" w:styleId="72">
    <w:name w:val="正文缩进 字符2"/>
    <w:link w:val="13"/>
    <w:qFormat/>
    <w:uiPriority w:val="99"/>
    <w:rPr>
      <w:rFonts w:ascii="宋体" w:eastAsia="宋体"/>
      <w:kern w:val="2"/>
      <w:sz w:val="24"/>
      <w:szCs w:val="24"/>
      <w:lang w:val="en-US" w:eastAsia="zh-CN" w:bidi="ar-SA"/>
    </w:rPr>
  </w:style>
  <w:style w:type="character" w:customStyle="1" w:styleId="73">
    <w:name w:val="标题 3 字符3"/>
    <w:link w:val="4"/>
    <w:qFormat/>
    <w:uiPriority w:val="99"/>
    <w:rPr>
      <w:rFonts w:ascii="宋体" w:eastAsia="宋体"/>
      <w:b/>
      <w:sz w:val="24"/>
      <w:u w:val="single"/>
      <w:lang w:val="en-US" w:eastAsia="zh-CN" w:bidi="ar-SA"/>
    </w:rPr>
  </w:style>
  <w:style w:type="character" w:customStyle="1" w:styleId="74">
    <w:name w:val="标题 4 字符3"/>
    <w:link w:val="5"/>
    <w:qFormat/>
    <w:uiPriority w:val="99"/>
    <w:rPr>
      <w:rFonts w:ascii="Arial" w:hAnsi="Arial" w:eastAsia="黑体"/>
      <w:b/>
      <w:sz w:val="28"/>
    </w:rPr>
  </w:style>
  <w:style w:type="character" w:customStyle="1" w:styleId="75">
    <w:name w:val="标题 5 字符3"/>
    <w:link w:val="6"/>
    <w:qFormat/>
    <w:uiPriority w:val="99"/>
    <w:rPr>
      <w:b/>
      <w:sz w:val="28"/>
    </w:rPr>
  </w:style>
  <w:style w:type="character" w:customStyle="1" w:styleId="76">
    <w:name w:val="标题 6 字符3"/>
    <w:link w:val="7"/>
    <w:qFormat/>
    <w:uiPriority w:val="99"/>
    <w:rPr>
      <w:rFonts w:ascii="Arial" w:hAnsi="Arial" w:eastAsia="黑体"/>
      <w:b/>
      <w:sz w:val="24"/>
    </w:rPr>
  </w:style>
  <w:style w:type="character" w:customStyle="1" w:styleId="77">
    <w:name w:val="标题 7 字符3"/>
    <w:link w:val="8"/>
    <w:qFormat/>
    <w:uiPriority w:val="99"/>
    <w:rPr>
      <w:b/>
      <w:sz w:val="24"/>
    </w:rPr>
  </w:style>
  <w:style w:type="character" w:customStyle="1" w:styleId="78">
    <w:name w:val="标题 8 字符3"/>
    <w:link w:val="9"/>
    <w:qFormat/>
    <w:uiPriority w:val="99"/>
    <w:rPr>
      <w:rFonts w:ascii="Arial" w:hAnsi="Arial" w:eastAsia="黑体"/>
      <w:sz w:val="24"/>
    </w:rPr>
  </w:style>
  <w:style w:type="character" w:customStyle="1" w:styleId="79">
    <w:name w:val="标题 9 字符3"/>
    <w:link w:val="10"/>
    <w:qFormat/>
    <w:uiPriority w:val="99"/>
    <w:rPr>
      <w:rFonts w:ascii="Arial" w:hAnsi="Arial" w:eastAsia="黑体"/>
      <w:sz w:val="21"/>
    </w:rPr>
  </w:style>
  <w:style w:type="character" w:customStyle="1" w:styleId="80">
    <w:name w:val="文档结构图 字符3"/>
    <w:link w:val="17"/>
    <w:qFormat/>
    <w:uiPriority w:val="99"/>
    <w:rPr>
      <w:kern w:val="2"/>
      <w:sz w:val="21"/>
      <w:szCs w:val="24"/>
      <w:shd w:val="clear" w:color="auto" w:fill="000080"/>
    </w:rPr>
  </w:style>
  <w:style w:type="character" w:customStyle="1" w:styleId="81">
    <w:name w:val="批注文字 字符4"/>
    <w:link w:val="19"/>
    <w:qFormat/>
    <w:uiPriority w:val="99"/>
    <w:rPr>
      <w:kern w:val="2"/>
      <w:sz w:val="21"/>
      <w:szCs w:val="24"/>
    </w:rPr>
  </w:style>
  <w:style w:type="character" w:customStyle="1" w:styleId="82">
    <w:name w:val="正文文本 3 字符3"/>
    <w:link w:val="20"/>
    <w:qFormat/>
    <w:uiPriority w:val="99"/>
    <w:rPr>
      <w:kern w:val="2"/>
      <w:sz w:val="16"/>
      <w:szCs w:val="16"/>
    </w:rPr>
  </w:style>
  <w:style w:type="character" w:customStyle="1" w:styleId="83">
    <w:name w:val="正文文本 字符3"/>
    <w:link w:val="21"/>
    <w:qFormat/>
    <w:uiPriority w:val="99"/>
    <w:rPr>
      <w:rFonts w:ascii="宋体" w:hAnsi="宋体"/>
      <w:kern w:val="2"/>
      <w:sz w:val="24"/>
      <w:szCs w:val="24"/>
    </w:rPr>
  </w:style>
  <w:style w:type="character" w:customStyle="1" w:styleId="84">
    <w:name w:val="正文文本缩进 字符3"/>
    <w:link w:val="22"/>
    <w:qFormat/>
    <w:uiPriority w:val="99"/>
    <w:rPr>
      <w:rFonts w:eastAsia="宋体"/>
      <w:kern w:val="2"/>
      <w:sz w:val="24"/>
      <w:szCs w:val="24"/>
      <w:lang w:val="en-US" w:eastAsia="zh-CN" w:bidi="ar-SA"/>
    </w:rPr>
  </w:style>
  <w:style w:type="character" w:customStyle="1" w:styleId="85">
    <w:name w:val="纯文本 字符4"/>
    <w:link w:val="28"/>
    <w:qFormat/>
    <w:uiPriority w:val="99"/>
    <w:rPr>
      <w:rFonts w:hint="eastAsia" w:ascii="宋体" w:hAnsi="Courier New" w:eastAsia="宋体" w:cs="宋体"/>
      <w:kern w:val="2"/>
      <w:sz w:val="21"/>
    </w:rPr>
  </w:style>
  <w:style w:type="character" w:customStyle="1" w:styleId="86">
    <w:name w:val="日期 字符3"/>
    <w:link w:val="30"/>
    <w:qFormat/>
    <w:uiPriority w:val="99"/>
    <w:rPr>
      <w:rFonts w:ascii="仿宋_GB2312" w:hAnsi="宋体" w:eastAsia="仿宋_GB2312"/>
      <w:color w:val="000000"/>
      <w:kern w:val="2"/>
      <w:sz w:val="24"/>
      <w:szCs w:val="24"/>
    </w:rPr>
  </w:style>
  <w:style w:type="character" w:customStyle="1" w:styleId="87">
    <w:name w:val="正文文本缩进 2 字符3"/>
    <w:link w:val="31"/>
    <w:qFormat/>
    <w:uiPriority w:val="99"/>
    <w:rPr>
      <w:rFonts w:ascii="仿宋_GB2312" w:eastAsia="仿宋_GB2312"/>
      <w:kern w:val="2"/>
      <w:sz w:val="24"/>
      <w:szCs w:val="24"/>
    </w:rPr>
  </w:style>
  <w:style w:type="character" w:customStyle="1" w:styleId="88">
    <w:name w:val="批注框文本 字符3"/>
    <w:link w:val="32"/>
    <w:qFormat/>
    <w:uiPriority w:val="0"/>
    <w:rPr>
      <w:kern w:val="2"/>
      <w:sz w:val="18"/>
      <w:szCs w:val="18"/>
    </w:rPr>
  </w:style>
  <w:style w:type="character" w:customStyle="1" w:styleId="89">
    <w:name w:val="页脚 字符4"/>
    <w:link w:val="33"/>
    <w:qFormat/>
    <w:uiPriority w:val="99"/>
    <w:rPr>
      <w:rFonts w:ascii="宋体" w:eastAsia="宋体"/>
      <w:sz w:val="18"/>
      <w:lang w:val="en-US" w:eastAsia="zh-CN" w:bidi="ar-SA"/>
    </w:rPr>
  </w:style>
  <w:style w:type="character" w:customStyle="1" w:styleId="90">
    <w:name w:val="页眉 字符4"/>
    <w:link w:val="35"/>
    <w:qFormat/>
    <w:uiPriority w:val="99"/>
    <w:rPr>
      <w:rFonts w:eastAsia="宋体"/>
      <w:kern w:val="2"/>
      <w:sz w:val="18"/>
      <w:szCs w:val="18"/>
      <w:lang w:val="en-US" w:eastAsia="zh-CN" w:bidi="ar-SA"/>
    </w:rPr>
  </w:style>
  <w:style w:type="character" w:customStyle="1" w:styleId="91">
    <w:name w:val="正文文本缩进 3 字符3"/>
    <w:link w:val="42"/>
    <w:qFormat/>
    <w:uiPriority w:val="99"/>
    <w:rPr>
      <w:rFonts w:ascii="宋体"/>
      <w:sz w:val="24"/>
    </w:rPr>
  </w:style>
  <w:style w:type="character" w:customStyle="1" w:styleId="92">
    <w:name w:val="HTML 预设格式 字符3"/>
    <w:link w:val="46"/>
    <w:qFormat/>
    <w:uiPriority w:val="0"/>
    <w:rPr>
      <w:rFonts w:ascii="宋体" w:hAnsi="宋体" w:cs="宋体"/>
      <w:sz w:val="24"/>
      <w:szCs w:val="24"/>
    </w:rPr>
  </w:style>
  <w:style w:type="character" w:customStyle="1" w:styleId="93">
    <w:name w:val="标题 字符4"/>
    <w:link w:val="49"/>
    <w:qFormat/>
    <w:uiPriority w:val="99"/>
    <w:rPr>
      <w:b/>
      <w:kern w:val="2"/>
      <w:sz w:val="32"/>
    </w:rPr>
  </w:style>
  <w:style w:type="character" w:customStyle="1" w:styleId="94">
    <w:name w:val="批注主题 字符3"/>
    <w:link w:val="50"/>
    <w:qFormat/>
    <w:uiPriority w:val="99"/>
    <w:rPr>
      <w:rFonts w:ascii="Times New Roman" w:hAnsi="Times New Roman" w:eastAsia="宋体" w:cs="Times New Roman"/>
      <w:b/>
      <w:bCs/>
      <w:kern w:val="2"/>
      <w:sz w:val="21"/>
      <w:szCs w:val="24"/>
      <w:lang w:val="en-US" w:eastAsia="zh-CN" w:bidi="ar-SA"/>
    </w:rPr>
  </w:style>
  <w:style w:type="character" w:customStyle="1" w:styleId="95">
    <w:name w:val="批注文字 字符"/>
    <w:qFormat/>
    <w:uiPriority w:val="0"/>
    <w:rPr>
      <w:rFonts w:ascii="Times New Roman" w:hAnsi="Times New Roman" w:eastAsia="宋体" w:cs="Times New Roman"/>
      <w:sz w:val="24"/>
      <w:lang w:val="en-US" w:eastAsia="zh-CN" w:bidi="ar-SA"/>
    </w:rPr>
  </w:style>
  <w:style w:type="character" w:customStyle="1" w:styleId="96">
    <w:name w:val="正文文本首行缩进 2 字符1"/>
    <w:link w:val="52"/>
    <w:qFormat/>
    <w:uiPriority w:val="0"/>
    <w:rPr>
      <w:rFonts w:eastAsia="宋体"/>
      <w:kern w:val="2"/>
      <w:sz w:val="24"/>
      <w:szCs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99"/>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3"/>
    <w:link w:val="112"/>
    <w:qFormat/>
    <w:uiPriority w:val="0"/>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 w:val="left" w:pos="11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 w:val="left" w:pos="1140"/>
      </w:tabs>
      <w:ind w:left="0" w:hanging="840"/>
      <w:outlineLvl w:val="1"/>
    </w:pPr>
  </w:style>
  <w:style w:type="paragraph" w:customStyle="1" w:styleId="12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ilvl w:val="0"/>
        <w:numId w:val="2"/>
      </w:numPr>
      <w:tabs>
        <w:tab w:val="left" w:pos="709"/>
      </w:tabs>
    </w:pPr>
  </w:style>
  <w:style w:type="paragraph" w:customStyle="1" w:styleId="126">
    <w:name w:val="项目编号1"/>
    <w:basedOn w:val="1"/>
    <w:qFormat/>
    <w:uiPriority w:val="0"/>
    <w:pPr>
      <w:tabs>
        <w:tab w:val="left" w:pos="709"/>
      </w:tabs>
      <w:spacing w:before="100" w:beforeAutospacing="1" w:after="100" w:afterAutospacing="1" w:line="360" w:lineRule="auto"/>
      <w:ind w:left="709" w:hanging="709"/>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 w:val="left" w:pos="1140"/>
        <w:tab w:val="left" w:pos="2100"/>
      </w:tabs>
      <w:ind w:left="0" w:hanging="840"/>
      <w:outlineLvl w:val="4"/>
    </w:pPr>
  </w:style>
  <w:style w:type="paragraph" w:customStyle="1" w:styleId="156">
    <w:name w:val="三级条标题"/>
    <w:basedOn w:val="118"/>
    <w:next w:val="1"/>
    <w:qFormat/>
    <w:uiPriority w:val="0"/>
    <w:pPr>
      <w:numPr>
        <w:ilvl w:val="3"/>
        <w:numId w:val="1"/>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3"/>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4"/>
      </w:numPr>
      <w:tabs>
        <w:tab w:val="left" w:pos="360"/>
      </w:tabs>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8"/>
    <w:qFormat/>
    <w:uiPriority w:val="0"/>
    <w:pPr>
      <w:spacing w:line="360" w:lineRule="auto"/>
      <w:jc w:val="center"/>
    </w:pPr>
    <w:rPr>
      <w:sz w:val="24"/>
    </w:rPr>
  </w:style>
  <w:style w:type="paragraph" w:customStyle="1" w:styleId="19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99"/>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5"/>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99"/>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next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3"/>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3"/>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0"/>
    <w:rPr>
      <w:rFonts w:ascii="Calibri" w:hAnsi="Calibri"/>
      <w:kern w:val="2"/>
      <w:sz w:val="21"/>
      <w:szCs w:val="22"/>
    </w:rPr>
  </w:style>
  <w:style w:type="paragraph" w:customStyle="1" w:styleId="241">
    <w:name w:val="_Style 345"/>
    <w:basedOn w:val="1"/>
    <w:next w:val="112"/>
    <w:link w:val="240"/>
    <w:qFormat/>
    <w:uiPriority w:val="0"/>
    <w:pPr>
      <w:ind w:firstLine="420" w:firstLineChars="200"/>
    </w:pPr>
    <w:rPr>
      <w:rFonts w:ascii="Calibri" w:hAnsi="Calibri"/>
      <w:szCs w:val="22"/>
    </w:rPr>
  </w:style>
  <w:style w:type="character" w:customStyle="1" w:styleId="242">
    <w:name w:val="页眉 Char"/>
    <w:qFormat/>
    <w:uiPriority w:val="99"/>
    <w:rPr>
      <w:rFonts w:eastAsia="宋体"/>
      <w:kern w:val="2"/>
      <w:sz w:val="18"/>
      <w:szCs w:val="18"/>
      <w:lang w:val="en-US" w:eastAsia="zh-CN" w:bidi="ar-SA"/>
    </w:rPr>
  </w:style>
  <w:style w:type="character" w:customStyle="1" w:styleId="243">
    <w:name w:val="标题 2 Char"/>
    <w:qFormat/>
    <w:uiPriority w:val="99"/>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99"/>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99"/>
    <w:rPr>
      <w:kern w:val="2"/>
      <w:sz w:val="21"/>
      <w:szCs w:val="24"/>
    </w:rPr>
  </w:style>
  <w:style w:type="character" w:customStyle="1" w:styleId="262">
    <w:name w:val="标题 Char"/>
    <w:qFormat/>
    <w:uiPriority w:val="99"/>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6">
    <w:name w:val="列表段落 字符1"/>
    <w:qFormat/>
    <w:uiPriority w:val="34"/>
    <w:rPr>
      <w:bCs/>
      <w:kern w:val="2"/>
      <w:sz w:val="21"/>
    </w:rPr>
  </w:style>
  <w:style w:type="paragraph" w:customStyle="1" w:styleId="267">
    <w:name w:val="样式 标题 1 + 四号 居中 段前: 12 磅 段后: 12 磅 行距: 单倍行距"/>
    <w:basedOn w:val="2"/>
    <w:qFormat/>
    <w:uiPriority w:val="0"/>
    <w:pPr>
      <w:autoSpaceDE/>
      <w:autoSpaceDN/>
      <w:spacing w:after="240" w:line="240" w:lineRule="auto"/>
      <w:textAlignment w:val="baseline"/>
    </w:pPr>
    <w:rPr>
      <w:rFonts w:ascii="Calibri" w:hAnsi="Calibri" w:cs="宋体"/>
      <w:bCs/>
      <w:sz w:val="28"/>
    </w:rPr>
  </w:style>
  <w:style w:type="paragraph" w:customStyle="1" w:styleId="26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6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0">
    <w:name w:val="cf01"/>
    <w:qFormat/>
    <w:uiPriority w:val="0"/>
    <w:rPr>
      <w:rFonts w:hint="eastAsia" w:ascii="Microsoft YaHei UI" w:hAnsi="Microsoft YaHei UI" w:eastAsia="Microsoft YaHei UI"/>
      <w:sz w:val="18"/>
      <w:szCs w:val="18"/>
    </w:rPr>
  </w:style>
  <w:style w:type="character" w:customStyle="1" w:styleId="271">
    <w:name w:val="cf11"/>
    <w:qFormat/>
    <w:uiPriority w:val="0"/>
    <w:rPr>
      <w:rFonts w:hint="eastAsia" w:ascii="Microsoft YaHei UI" w:hAnsi="Microsoft YaHei UI" w:eastAsia="Microsoft YaHei UI"/>
      <w:sz w:val="18"/>
      <w:szCs w:val="18"/>
    </w:rPr>
  </w:style>
  <w:style w:type="character" w:customStyle="1" w:styleId="272">
    <w:name w:val="cf21"/>
    <w:qFormat/>
    <w:uiPriority w:val="0"/>
    <w:rPr>
      <w:rFonts w:hint="eastAsia" w:ascii="Microsoft YaHei UI" w:hAnsi="Microsoft YaHei UI" w:eastAsia="Microsoft YaHei UI"/>
      <w:sz w:val="18"/>
      <w:szCs w:val="18"/>
      <w:shd w:val="clear" w:color="auto" w:fill="FFFF00"/>
    </w:rPr>
  </w:style>
  <w:style w:type="character" w:customStyle="1" w:styleId="273">
    <w:name w:val="textcontents"/>
    <w:qFormat/>
    <w:uiPriority w:val="0"/>
    <w:rPr>
      <w:rFonts w:cs="Times New Roman"/>
    </w:rPr>
  </w:style>
  <w:style w:type="character" w:customStyle="1" w:styleId="274">
    <w:name w:val="不明显参考1"/>
    <w:qFormat/>
    <w:uiPriority w:val="0"/>
    <w:rPr>
      <w:sz w:val="24"/>
      <w:szCs w:val="24"/>
      <w:u w:val="single"/>
    </w:rPr>
  </w:style>
  <w:style w:type="character" w:customStyle="1" w:styleId="275">
    <w:name w:val="表格内容 Char"/>
    <w:link w:val="276"/>
    <w:qFormat/>
    <w:uiPriority w:val="0"/>
    <w:rPr>
      <w:bCs/>
      <w:kern w:val="2"/>
      <w:sz w:val="21"/>
      <w:szCs w:val="21"/>
    </w:rPr>
  </w:style>
  <w:style w:type="paragraph" w:customStyle="1" w:styleId="276">
    <w:name w:val="表格内容"/>
    <w:basedOn w:val="1"/>
    <w:link w:val="275"/>
    <w:qFormat/>
    <w:uiPriority w:val="0"/>
    <w:pPr>
      <w:spacing w:line="300" w:lineRule="auto"/>
      <w:ind w:firstLine="50" w:firstLineChars="50"/>
      <w:jc w:val="left"/>
    </w:pPr>
    <w:rPr>
      <w:bCs/>
      <w:szCs w:val="21"/>
    </w:rPr>
  </w:style>
  <w:style w:type="character" w:customStyle="1" w:styleId="277">
    <w:name w:val="HTML 预设格式 Char1"/>
    <w:qFormat/>
    <w:uiPriority w:val="99"/>
    <w:rPr>
      <w:rFonts w:ascii="Courier New" w:hAnsi="Courier New" w:cs="Courier New"/>
      <w:kern w:val="2"/>
      <w:sz w:val="32"/>
      <w:szCs w:val="32"/>
    </w:rPr>
  </w:style>
  <w:style w:type="character" w:customStyle="1" w:styleId="278">
    <w:name w:val="明显强调1"/>
    <w:qFormat/>
    <w:uiPriority w:val="0"/>
    <w:rPr>
      <w:b/>
      <w:i/>
      <w:sz w:val="24"/>
      <w:szCs w:val="24"/>
      <w:u w:val="single"/>
    </w:rPr>
  </w:style>
  <w:style w:type="character" w:customStyle="1" w:styleId="279">
    <w:name w:val="补充说明 Char"/>
    <w:link w:val="280"/>
    <w:qFormat/>
    <w:uiPriority w:val="0"/>
    <w:rPr>
      <w:bCs/>
      <w:color w:val="000000"/>
      <w:kern w:val="2"/>
      <w:szCs w:val="18"/>
    </w:rPr>
  </w:style>
  <w:style w:type="paragraph" w:customStyle="1" w:styleId="280">
    <w:name w:val="补充说明"/>
    <w:basedOn w:val="112"/>
    <w:link w:val="279"/>
    <w:qFormat/>
    <w:uiPriority w:val="0"/>
    <w:pPr>
      <w:ind w:left="1080" w:firstLine="0" w:firstLineChars="0"/>
      <w:jc w:val="left"/>
    </w:pPr>
    <w:rPr>
      <w:rFonts w:ascii="Times New Roman" w:hAnsi="Times New Roman"/>
      <w:bCs/>
      <w:color w:val="000000"/>
      <w:sz w:val="20"/>
      <w:szCs w:val="18"/>
      <w:shd w:val="clear" w:color="auto" w:fill="FFFFFF"/>
    </w:rPr>
  </w:style>
  <w:style w:type="character" w:customStyle="1" w:styleId="281">
    <w:name w:val="引用 Char"/>
    <w:qFormat/>
    <w:uiPriority w:val="0"/>
    <w:rPr>
      <w:i/>
      <w:iCs/>
      <w:color w:val="404040"/>
      <w:kern w:val="2"/>
      <w:sz w:val="21"/>
    </w:rPr>
  </w:style>
  <w:style w:type="character" w:customStyle="1" w:styleId="282">
    <w:name w:val="正文文本缩进 2 Char"/>
    <w:qFormat/>
    <w:uiPriority w:val="99"/>
    <w:rPr>
      <w:kern w:val="2"/>
      <w:sz w:val="21"/>
    </w:rPr>
  </w:style>
  <w:style w:type="character" w:customStyle="1" w:styleId="283">
    <w:name w:val="标题 8 Char"/>
    <w:qFormat/>
    <w:uiPriority w:val="99"/>
    <w:rPr>
      <w:rFonts w:ascii="Arial" w:hAnsi="Arial" w:eastAsia="黑体"/>
      <w:sz w:val="24"/>
      <w:szCs w:val="24"/>
    </w:rPr>
  </w:style>
  <w:style w:type="character" w:customStyle="1" w:styleId="284">
    <w:name w:val="文档结构图 Char"/>
    <w:qFormat/>
    <w:uiPriority w:val="99"/>
    <w:rPr>
      <w:szCs w:val="24"/>
      <w:shd w:val="clear" w:color="auto" w:fill="000080"/>
    </w:rPr>
  </w:style>
  <w:style w:type="character" w:customStyle="1" w:styleId="285">
    <w:name w:val="font161"/>
    <w:qFormat/>
    <w:uiPriority w:val="99"/>
    <w:rPr>
      <w:b/>
      <w:bCs/>
      <w:sz w:val="32"/>
      <w:szCs w:val="32"/>
    </w:rPr>
  </w:style>
  <w:style w:type="character" w:customStyle="1" w:styleId="286">
    <w:name w:val="HTML 预设格式 Char"/>
    <w:qFormat/>
    <w:uiPriority w:val="99"/>
    <w:rPr>
      <w:rFonts w:ascii="宋体" w:hAnsi="宋体" w:cs="宋体"/>
      <w:sz w:val="24"/>
      <w:szCs w:val="24"/>
    </w:rPr>
  </w:style>
  <w:style w:type="character" w:customStyle="1" w:styleId="287">
    <w:name w:val="标题4 Char Char"/>
    <w:link w:val="288"/>
    <w:qFormat/>
    <w:uiPriority w:val="0"/>
    <w:rPr>
      <w:rFonts w:ascii="Arial" w:hAnsi="Arial"/>
      <w:b/>
      <w:bCs/>
      <w:sz w:val="24"/>
      <w:szCs w:val="32"/>
    </w:rPr>
  </w:style>
  <w:style w:type="paragraph" w:customStyle="1" w:styleId="288">
    <w:name w:val="标题4"/>
    <w:basedOn w:val="3"/>
    <w:next w:val="25"/>
    <w:link w:val="287"/>
    <w:qFormat/>
    <w:uiPriority w:val="0"/>
    <w:pPr>
      <w:autoSpaceDE/>
      <w:autoSpaceDN/>
      <w:adjustRightInd/>
      <w:spacing w:before="260" w:after="260" w:line="413" w:lineRule="auto"/>
      <w:jc w:val="both"/>
    </w:pPr>
    <w:rPr>
      <w:rFonts w:eastAsia="宋体"/>
      <w:bCs/>
      <w:sz w:val="24"/>
      <w:szCs w:val="32"/>
    </w:rPr>
  </w:style>
  <w:style w:type="character" w:customStyle="1" w:styleId="289">
    <w:name w:val="font41"/>
    <w:qFormat/>
    <w:uiPriority w:val="0"/>
    <w:rPr>
      <w:rFonts w:hint="eastAsia" w:ascii="宋体" w:hAnsi="宋体" w:eastAsia="宋体" w:cs="宋体"/>
      <w:color w:val="000000"/>
      <w:sz w:val="21"/>
      <w:szCs w:val="21"/>
    </w:rPr>
  </w:style>
  <w:style w:type="character" w:customStyle="1" w:styleId="290">
    <w:name w:val="正文文本 Char1"/>
    <w:qFormat/>
    <w:uiPriority w:val="0"/>
    <w:rPr>
      <w:rFonts w:ascii="Times New Roman" w:hAnsi="Times New Roman" w:eastAsia="宋体" w:cs="Times New Roman"/>
      <w:szCs w:val="20"/>
    </w:rPr>
  </w:style>
  <w:style w:type="character" w:customStyle="1" w:styleId="291">
    <w:name w:val="正文首行缩进 Char1"/>
    <w:basedOn w:val="292"/>
    <w:qFormat/>
    <w:uiPriority w:val="99"/>
    <w:rPr>
      <w:kern w:val="2"/>
      <w:sz w:val="21"/>
      <w:szCs w:val="24"/>
    </w:rPr>
  </w:style>
  <w:style w:type="character" w:customStyle="1" w:styleId="292">
    <w:name w:val="正文文本 Char2"/>
    <w:qFormat/>
    <w:uiPriority w:val="99"/>
    <w:rPr>
      <w:kern w:val="2"/>
      <w:sz w:val="21"/>
      <w:szCs w:val="24"/>
    </w:rPr>
  </w:style>
  <w:style w:type="character" w:customStyle="1" w:styleId="293">
    <w:name w:val="标题 6 Char"/>
    <w:qFormat/>
    <w:uiPriority w:val="99"/>
    <w:rPr>
      <w:rFonts w:ascii="Arial" w:hAnsi="Arial" w:eastAsia="黑体"/>
      <w:b/>
      <w:bCs/>
      <w:sz w:val="24"/>
      <w:szCs w:val="24"/>
    </w:rPr>
  </w:style>
  <w:style w:type="character" w:customStyle="1" w:styleId="294">
    <w:name w:val="Heading 2 Char"/>
    <w:qFormat/>
    <w:locked/>
    <w:uiPriority w:val="0"/>
    <w:rPr>
      <w:rFonts w:ascii="宋体" w:hAnsi="宋体" w:eastAsia="宋体" w:cs="Times New Roman"/>
      <w:kern w:val="0"/>
      <w:sz w:val="20"/>
      <w:szCs w:val="20"/>
    </w:rPr>
  </w:style>
  <w:style w:type="character" w:customStyle="1" w:styleId="295">
    <w:name w:val="sort1"/>
    <w:qFormat/>
    <w:uiPriority w:val="0"/>
    <w:rPr>
      <w:rFonts w:ascii="宋体" w:hAnsi="宋体" w:cs="Courier New"/>
      <w:sz w:val="32"/>
      <w:szCs w:val="32"/>
    </w:rPr>
  </w:style>
  <w:style w:type="character" w:customStyle="1" w:styleId="296">
    <w:name w:val="bds_nopic1"/>
    <w:qFormat/>
    <w:uiPriority w:val="0"/>
    <w:rPr>
      <w:rFonts w:ascii="宋体" w:hAnsi="宋体" w:cs="Courier New"/>
      <w:sz w:val="32"/>
      <w:szCs w:val="32"/>
    </w:rPr>
  </w:style>
  <w:style w:type="character" w:customStyle="1" w:styleId="297">
    <w:name w:val="标题 1 Char"/>
    <w:qFormat/>
    <w:uiPriority w:val="99"/>
    <w:rPr>
      <w:b/>
      <w:kern w:val="44"/>
      <w:sz w:val="44"/>
    </w:rPr>
  </w:style>
  <w:style w:type="character" w:customStyle="1" w:styleId="298">
    <w:name w:val="正文文本 Char"/>
    <w:qFormat/>
    <w:uiPriority w:val="99"/>
    <w:rPr>
      <w:rFonts w:eastAsia="宋体"/>
      <w:kern w:val="2"/>
      <w:sz w:val="21"/>
      <w:szCs w:val="24"/>
      <w:lang w:val="en-US" w:eastAsia="zh-CN" w:bidi="ar-SA"/>
    </w:rPr>
  </w:style>
  <w:style w:type="character" w:customStyle="1" w:styleId="299">
    <w:name w:val="正文文本缩进 3 Char"/>
    <w:qFormat/>
    <w:uiPriority w:val="99"/>
    <w:rPr>
      <w:kern w:val="2"/>
      <w:sz w:val="16"/>
      <w:szCs w:val="16"/>
    </w:rPr>
  </w:style>
  <w:style w:type="character" w:customStyle="1" w:styleId="300">
    <w:name w:val="批注文字 Char1"/>
    <w:semiHidden/>
    <w:qFormat/>
    <w:uiPriority w:val="99"/>
    <w:rPr>
      <w:rFonts w:cs="Times New Roman"/>
      <w:kern w:val="0"/>
      <w:sz w:val="24"/>
      <w:szCs w:val="24"/>
    </w:rPr>
  </w:style>
  <w:style w:type="character" w:customStyle="1" w:styleId="301">
    <w:name w:val="正文文本缩进 3 Char1"/>
    <w:qFormat/>
    <w:uiPriority w:val="0"/>
    <w:rPr>
      <w:rFonts w:cs="Times New Roman"/>
      <w:kern w:val="0"/>
      <w:sz w:val="16"/>
      <w:szCs w:val="16"/>
    </w:rPr>
  </w:style>
  <w:style w:type="character" w:customStyle="1" w:styleId="302">
    <w:name w:val="bds_more2"/>
    <w:qFormat/>
    <w:uiPriority w:val="0"/>
    <w:rPr>
      <w:rFonts w:ascii="宋体" w:hAnsi="宋体" w:cs="Courier New"/>
      <w:sz w:val="32"/>
      <w:szCs w:val="32"/>
    </w:rPr>
  </w:style>
  <w:style w:type="character" w:customStyle="1" w:styleId="303">
    <w:name w:val="页眉 Char1"/>
    <w:qFormat/>
    <w:uiPriority w:val="99"/>
    <w:rPr>
      <w:rFonts w:ascii="Times New Roman" w:hAnsi="Times New Roman" w:eastAsia="宋体" w:cs="Times New Roman"/>
      <w:sz w:val="18"/>
      <w:szCs w:val="18"/>
    </w:rPr>
  </w:style>
  <w:style w:type="character" w:customStyle="1" w:styleId="304">
    <w:name w:val="标题 9 Char"/>
    <w:qFormat/>
    <w:uiPriority w:val="99"/>
    <w:rPr>
      <w:rFonts w:ascii="Arial" w:hAnsi="Arial" w:eastAsia="黑体"/>
      <w:sz w:val="21"/>
      <w:szCs w:val="21"/>
    </w:rPr>
  </w:style>
  <w:style w:type="character" w:customStyle="1" w:styleId="305">
    <w:name w:val="批注框文本 Char1"/>
    <w:qFormat/>
    <w:uiPriority w:val="0"/>
    <w:rPr>
      <w:rFonts w:cs="Times New Roman"/>
      <w:kern w:val="0"/>
      <w:sz w:val="18"/>
      <w:szCs w:val="18"/>
    </w:rPr>
  </w:style>
  <w:style w:type="character" w:customStyle="1" w:styleId="306">
    <w:name w:val="正文文本 3 Char"/>
    <w:qFormat/>
    <w:uiPriority w:val="99"/>
    <w:rPr>
      <w:rFonts w:ascii="宋体"/>
      <w:kern w:val="2"/>
      <w:sz w:val="24"/>
    </w:rPr>
  </w:style>
  <w:style w:type="character" w:customStyle="1" w:styleId="307">
    <w:name w:val="正文文本 2 字符4"/>
    <w:link w:val="45"/>
    <w:qFormat/>
    <w:uiPriority w:val="99"/>
    <w:rPr>
      <w:rFonts w:eastAsia="黑体"/>
      <w:bCs/>
      <w:sz w:val="24"/>
      <w:szCs w:val="24"/>
    </w:rPr>
  </w:style>
  <w:style w:type="character" w:customStyle="1" w:styleId="308">
    <w:name w:val="bds_more1"/>
    <w:qFormat/>
    <w:uiPriority w:val="0"/>
    <w:rPr>
      <w:rFonts w:ascii="宋体" w:hAnsi="宋体" w:cs="Courier New"/>
      <w:sz w:val="32"/>
      <w:szCs w:val="32"/>
    </w:rPr>
  </w:style>
  <w:style w:type="character" w:customStyle="1" w:styleId="309">
    <w:name w:val="lemmatitleh12"/>
    <w:qFormat/>
    <w:uiPriority w:val="0"/>
    <w:rPr>
      <w:rFonts w:ascii="宋体" w:hAnsi="宋体" w:cs="Courier New"/>
      <w:sz w:val="32"/>
      <w:szCs w:val="32"/>
    </w:rPr>
  </w:style>
  <w:style w:type="character" w:customStyle="1" w:styleId="310">
    <w:name w:val="副标题 Char"/>
    <w:qFormat/>
    <w:uiPriority w:val="0"/>
    <w:rPr>
      <w:rFonts w:ascii="Calibri Light" w:hAnsi="Calibri Light" w:cs="Times New Roman"/>
      <w:b/>
      <w:bCs/>
      <w:kern w:val="28"/>
      <w:sz w:val="32"/>
      <w:szCs w:val="32"/>
    </w:rPr>
  </w:style>
  <w:style w:type="character" w:customStyle="1" w:styleId="311">
    <w:name w:val="plus"/>
    <w:qFormat/>
    <w:uiPriority w:val="0"/>
    <w:rPr>
      <w:b/>
      <w:vanish/>
      <w:color w:val="1F8DEF"/>
      <w:sz w:val="24"/>
      <w:szCs w:val="24"/>
    </w:rPr>
  </w:style>
  <w:style w:type="character" w:customStyle="1" w:styleId="312">
    <w:name w:val="页脚 Char1"/>
    <w:semiHidden/>
    <w:qFormat/>
    <w:uiPriority w:val="99"/>
    <w:rPr>
      <w:rFonts w:ascii="Times New Roman" w:hAnsi="Times New Roman" w:eastAsia="宋体" w:cs="Times New Roman"/>
      <w:sz w:val="18"/>
      <w:szCs w:val="18"/>
    </w:rPr>
  </w:style>
  <w:style w:type="character" w:customStyle="1" w:styleId="313">
    <w:name w:val="文档结构图 Char1"/>
    <w:qFormat/>
    <w:uiPriority w:val="0"/>
    <w:rPr>
      <w:rFonts w:ascii="Microsoft YaHei UI" w:eastAsia="Microsoft YaHei UI"/>
      <w:kern w:val="2"/>
      <w:sz w:val="18"/>
      <w:szCs w:val="18"/>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polysemyexp"/>
    <w:qFormat/>
    <w:uiPriority w:val="0"/>
    <w:rPr>
      <w:color w:val="AAAAAA"/>
      <w:sz w:val="18"/>
      <w:szCs w:val="18"/>
    </w:rPr>
  </w:style>
  <w:style w:type="character" w:customStyle="1" w:styleId="316">
    <w:name w:val="标题 5 Char"/>
    <w:qFormat/>
    <w:uiPriority w:val="99"/>
    <w:rPr>
      <w:b/>
    </w:rPr>
  </w:style>
  <w:style w:type="character" w:customStyle="1" w:styleId="317">
    <w:name w:val="明显参考1"/>
    <w:qFormat/>
    <w:uiPriority w:val="0"/>
    <w:rPr>
      <w:b/>
      <w:sz w:val="24"/>
      <w:u w:val="single"/>
    </w:rPr>
  </w:style>
  <w:style w:type="character" w:customStyle="1" w:styleId="318">
    <w:name w:val="正文文本 3 Char1"/>
    <w:qFormat/>
    <w:uiPriority w:val="0"/>
    <w:rPr>
      <w:rFonts w:cs="Times New Roman"/>
      <w:kern w:val="0"/>
      <w:sz w:val="16"/>
      <w:szCs w:val="16"/>
    </w:rPr>
  </w:style>
  <w:style w:type="character" w:customStyle="1" w:styleId="319">
    <w:name w:val="标题 Char1"/>
    <w:qFormat/>
    <w:uiPriority w:val="0"/>
    <w:rPr>
      <w:rFonts w:ascii="Cambria" w:hAnsi="Cambria" w:eastAsia="宋体" w:cs="Times New Roman"/>
      <w:b/>
      <w:bCs/>
      <w:kern w:val="0"/>
      <w:sz w:val="32"/>
      <w:szCs w:val="32"/>
    </w:rPr>
  </w:style>
  <w:style w:type="character" w:customStyle="1" w:styleId="320">
    <w:name w:val="polysemyred"/>
    <w:qFormat/>
    <w:uiPriority w:val="0"/>
    <w:rPr>
      <w:color w:val="FF6666"/>
      <w:sz w:val="18"/>
      <w:szCs w:val="18"/>
    </w:rPr>
  </w:style>
  <w:style w:type="character" w:customStyle="1" w:styleId="321">
    <w:name w:val="书籍标题1"/>
    <w:qFormat/>
    <w:uiPriority w:val="0"/>
    <w:rPr>
      <w:rFonts w:ascii="Cambria" w:hAnsi="Cambria" w:eastAsia="宋体"/>
      <w:b/>
      <w:i/>
      <w:sz w:val="24"/>
      <w:szCs w:val="24"/>
    </w:rPr>
  </w:style>
  <w:style w:type="character" w:customStyle="1" w:styleId="322">
    <w:name w:val="正文文本缩进 2 Char1"/>
    <w:qFormat/>
    <w:uiPriority w:val="0"/>
    <w:rPr>
      <w:rFonts w:cs="Times New Roman"/>
      <w:kern w:val="0"/>
      <w:sz w:val="24"/>
      <w:szCs w:val="24"/>
    </w:rPr>
  </w:style>
  <w:style w:type="character" w:customStyle="1" w:styleId="323">
    <w:name w:val="sidecatalog-index2"/>
    <w:qFormat/>
    <w:uiPriority w:val="0"/>
    <w:rPr>
      <w:rFonts w:ascii="arail" w:hAnsi="arail" w:eastAsia="arail" w:cs="arail"/>
      <w:color w:val="999999"/>
      <w:sz w:val="21"/>
      <w:szCs w:val="21"/>
    </w:rPr>
  </w:style>
  <w:style w:type="character" w:customStyle="1" w:styleId="324">
    <w:name w:val="标题5 Char Char"/>
    <w:link w:val="325"/>
    <w:qFormat/>
    <w:uiPriority w:val="0"/>
    <w:rPr>
      <w:rFonts w:ascii="Arial" w:hAnsi="Arial"/>
      <w:b/>
      <w:bCs/>
      <w:sz w:val="24"/>
      <w:szCs w:val="32"/>
    </w:rPr>
  </w:style>
  <w:style w:type="paragraph" w:customStyle="1" w:styleId="325">
    <w:name w:val="标题5"/>
    <w:basedOn w:val="4"/>
    <w:link w:val="324"/>
    <w:qFormat/>
    <w:uiPriority w:val="0"/>
    <w:pPr>
      <w:autoSpaceDE/>
      <w:autoSpaceDN/>
      <w:adjustRightInd/>
      <w:spacing w:before="260" w:after="260" w:line="413" w:lineRule="auto"/>
      <w:jc w:val="both"/>
    </w:pPr>
    <w:rPr>
      <w:rFonts w:ascii="Arial" w:hAnsi="Arial"/>
      <w:bCs/>
      <w:szCs w:val="32"/>
      <w:u w:val="none"/>
    </w:rPr>
  </w:style>
  <w:style w:type="character" w:customStyle="1" w:styleId="326">
    <w:name w:val="Char4"/>
    <w:qFormat/>
    <w:uiPriority w:val="0"/>
    <w:rPr>
      <w:rFonts w:ascii="宋体" w:hAnsi="Courier New" w:eastAsia="宋体"/>
      <w:kern w:val="2"/>
      <w:sz w:val="21"/>
      <w:lang w:val="en-US" w:eastAsia="zh-CN" w:bidi="ar-SA"/>
    </w:rPr>
  </w:style>
  <w:style w:type="character" w:customStyle="1" w:styleId="327">
    <w:name w:val="desc"/>
    <w:qFormat/>
    <w:uiPriority w:val="0"/>
    <w:rPr>
      <w:color w:val="000000"/>
      <w:sz w:val="18"/>
      <w:szCs w:val="18"/>
    </w:rPr>
  </w:style>
  <w:style w:type="character" w:customStyle="1" w:styleId="328">
    <w:name w:val="日期 Char"/>
    <w:qFormat/>
    <w:uiPriority w:val="99"/>
    <w:rPr>
      <w:kern w:val="2"/>
      <w:sz w:val="28"/>
    </w:rPr>
  </w:style>
  <w:style w:type="character" w:customStyle="1" w:styleId="329">
    <w:name w:val="标题 7 Char"/>
    <w:qFormat/>
    <w:uiPriority w:val="99"/>
    <w:rPr>
      <w:b/>
      <w:bCs/>
      <w:sz w:val="24"/>
      <w:szCs w:val="24"/>
    </w:rPr>
  </w:style>
  <w:style w:type="character" w:customStyle="1" w:styleId="330">
    <w:name w:val="日期 Char1"/>
    <w:qFormat/>
    <w:uiPriority w:val="0"/>
    <w:rPr>
      <w:rFonts w:cs="Times New Roman"/>
      <w:kern w:val="0"/>
      <w:sz w:val="24"/>
      <w:szCs w:val="24"/>
    </w:rPr>
  </w:style>
  <w:style w:type="character" w:customStyle="1" w:styleId="331">
    <w:name w:val="样式 粉红"/>
    <w:qFormat/>
    <w:uiPriority w:val="99"/>
    <w:rPr>
      <w:color w:val="auto"/>
      <w:u w:val="none"/>
    </w:rPr>
  </w:style>
  <w:style w:type="character" w:customStyle="1" w:styleId="332">
    <w:name w:val="正文文本 2 字符"/>
    <w:qFormat/>
    <w:locked/>
    <w:uiPriority w:val="0"/>
    <w:rPr>
      <w:rFonts w:ascii="Times New Roman" w:hAnsi="Times New Roman" w:eastAsia="黑体" w:cs="Times New Roman"/>
      <w:bCs/>
      <w:kern w:val="0"/>
      <w:sz w:val="24"/>
      <w:szCs w:val="24"/>
    </w:rPr>
  </w:style>
  <w:style w:type="character" w:customStyle="1" w:styleId="333">
    <w:name w:val="明显引用 Char"/>
    <w:qFormat/>
    <w:uiPriority w:val="0"/>
    <w:rPr>
      <w:i/>
      <w:iCs/>
      <w:color w:val="5B9BD5"/>
      <w:kern w:val="2"/>
      <w:sz w:val="21"/>
    </w:rPr>
  </w:style>
  <w:style w:type="character" w:customStyle="1" w:styleId="334">
    <w:name w:val="标题 4 Char"/>
    <w:qFormat/>
    <w:uiPriority w:val="99"/>
    <w:rPr>
      <w:rFonts w:ascii="Arial" w:hAnsi="Arial" w:eastAsia="黑体"/>
      <w:b/>
      <w:bCs/>
      <w:sz w:val="28"/>
      <w:szCs w:val="28"/>
    </w:rPr>
  </w:style>
  <w:style w:type="character" w:customStyle="1" w:styleId="335">
    <w:name w:val="纯文本 Char"/>
    <w:qFormat/>
    <w:uiPriority w:val="99"/>
    <w:rPr>
      <w:rFonts w:ascii="宋体" w:hAnsi="Courier New" w:cs="Courier New"/>
      <w:kern w:val="2"/>
      <w:sz w:val="21"/>
      <w:szCs w:val="21"/>
    </w:rPr>
  </w:style>
  <w:style w:type="character" w:customStyle="1" w:styleId="336">
    <w:name w:val="样式 正文缩进 + 首行缩进:  2 字符 Char"/>
    <w:link w:val="337"/>
    <w:qFormat/>
    <w:uiPriority w:val="0"/>
    <w:rPr>
      <w:rFonts w:cs="宋体"/>
      <w:kern w:val="2"/>
      <w:sz w:val="24"/>
    </w:rPr>
  </w:style>
  <w:style w:type="paragraph" w:customStyle="1" w:styleId="337">
    <w:name w:val="样式 正文缩进 + 首行缩进:  2 字符"/>
    <w:basedOn w:val="13"/>
    <w:link w:val="336"/>
    <w:qFormat/>
    <w:uiPriority w:val="0"/>
    <w:pPr>
      <w:autoSpaceDE/>
      <w:autoSpaceDN/>
      <w:adjustRightInd/>
      <w:spacing w:line="360" w:lineRule="auto"/>
      <w:ind w:firstLine="200" w:firstLineChars="200"/>
      <w:jc w:val="both"/>
    </w:pPr>
    <w:rPr>
      <w:rFonts w:ascii="Times New Roman" w:cs="宋体"/>
      <w:szCs w:val="20"/>
    </w:rPr>
  </w:style>
  <w:style w:type="character" w:customStyle="1" w:styleId="338">
    <w:name w:val="_正文段落 Char"/>
    <w:link w:val="339"/>
    <w:qFormat/>
    <w:uiPriority w:val="0"/>
    <w:rPr>
      <w:rFonts w:ascii="宋体" w:hAnsi="宋体"/>
      <w:sz w:val="24"/>
      <w:szCs w:val="24"/>
    </w:rPr>
  </w:style>
  <w:style w:type="paragraph" w:customStyle="1" w:styleId="339">
    <w:name w:val="_正文段落"/>
    <w:basedOn w:val="1"/>
    <w:link w:val="338"/>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340">
    <w:name w:val="sidecatalog-index1"/>
    <w:qFormat/>
    <w:uiPriority w:val="0"/>
    <w:rPr>
      <w:rFonts w:ascii="Arial" w:hAnsi="Arial" w:cs="Arial"/>
      <w:b/>
      <w:color w:val="999999"/>
      <w:sz w:val="21"/>
      <w:szCs w:val="21"/>
    </w:rPr>
  </w:style>
  <w:style w:type="character" w:customStyle="1" w:styleId="341">
    <w:name w:val="批注主题 Char"/>
    <w:qFormat/>
    <w:uiPriority w:val="99"/>
    <w:rPr>
      <w:b/>
      <w:bCs/>
      <w:kern w:val="2"/>
      <w:sz w:val="21"/>
      <w:szCs w:val="24"/>
    </w:rPr>
  </w:style>
  <w:style w:type="character" w:customStyle="1" w:styleId="342">
    <w:name w:val="批注框文本 Char"/>
    <w:qFormat/>
    <w:uiPriority w:val="0"/>
    <w:rPr>
      <w:kern w:val="2"/>
      <w:sz w:val="18"/>
      <w:szCs w:val="18"/>
    </w:rPr>
  </w:style>
  <w:style w:type="character" w:customStyle="1" w:styleId="343">
    <w:name w:val="标题 1 Char Char Char Char"/>
    <w:qFormat/>
    <w:uiPriority w:val="0"/>
    <w:rPr>
      <w:rFonts w:eastAsia="宋体"/>
      <w:b/>
      <w:bCs/>
      <w:kern w:val="44"/>
      <w:sz w:val="44"/>
      <w:szCs w:val="44"/>
      <w:lang w:val="en-US" w:eastAsia="zh-CN" w:bidi="ar-SA"/>
    </w:rPr>
  </w:style>
  <w:style w:type="character" w:customStyle="1" w:styleId="344">
    <w:name w:val="引用 字符3"/>
    <w:link w:val="345"/>
    <w:qFormat/>
    <w:uiPriority w:val="29"/>
    <w:rPr>
      <w:rFonts w:ascii="Calibri" w:hAnsi="Calibri"/>
      <w:i/>
      <w:sz w:val="24"/>
      <w:szCs w:val="24"/>
    </w:rPr>
  </w:style>
  <w:style w:type="paragraph" w:styleId="345">
    <w:name w:val="Quote"/>
    <w:basedOn w:val="1"/>
    <w:next w:val="1"/>
    <w:link w:val="344"/>
    <w:qFormat/>
    <w:uiPriority w:val="29"/>
    <w:pPr>
      <w:widowControl/>
      <w:jc w:val="left"/>
    </w:pPr>
    <w:rPr>
      <w:rFonts w:ascii="Calibri" w:hAnsi="Calibri"/>
      <w:i/>
      <w:kern w:val="0"/>
      <w:sz w:val="24"/>
    </w:rPr>
  </w:style>
  <w:style w:type="character" w:customStyle="1" w:styleId="346">
    <w:name w:val="纯文本 Char2"/>
    <w:qFormat/>
    <w:uiPriority w:val="0"/>
    <w:rPr>
      <w:rFonts w:ascii="宋体" w:hAnsi="Courier New"/>
      <w:kern w:val="2"/>
      <w:sz w:val="21"/>
    </w:rPr>
  </w:style>
  <w:style w:type="character" w:customStyle="1" w:styleId="347">
    <w:name w:val="Char Char2"/>
    <w:qFormat/>
    <w:uiPriority w:val="99"/>
    <w:rPr>
      <w:rFonts w:ascii="宋体" w:hAnsi="Courier New"/>
      <w:kern w:val="2"/>
      <w:sz w:val="21"/>
    </w:rPr>
  </w:style>
  <w:style w:type="character" w:customStyle="1" w:styleId="348">
    <w:name w:val="批注主题 Char1"/>
    <w:qFormat/>
    <w:uiPriority w:val="0"/>
    <w:rPr>
      <w:rFonts w:ascii="Times New Roman" w:hAnsi="Times New Roman" w:eastAsia="宋体" w:cs="Times New Roman"/>
      <w:b/>
      <w:bCs/>
      <w:kern w:val="2"/>
      <w:sz w:val="21"/>
      <w:szCs w:val="20"/>
    </w:rPr>
  </w:style>
  <w:style w:type="character" w:customStyle="1" w:styleId="349">
    <w:name w:val="正文文本 2 Char1"/>
    <w:qFormat/>
    <w:uiPriority w:val="0"/>
    <w:rPr>
      <w:rFonts w:cs="Times New Roman"/>
      <w:kern w:val="0"/>
      <w:sz w:val="24"/>
      <w:szCs w:val="24"/>
    </w:rPr>
  </w:style>
  <w:style w:type="character" w:customStyle="1" w:styleId="350">
    <w:name w:val="op-map-singlepoint-info-right"/>
    <w:basedOn w:val="56"/>
    <w:qFormat/>
    <w:uiPriority w:val="0"/>
  </w:style>
  <w:style w:type="character" w:customStyle="1" w:styleId="351">
    <w:name w:val="bds_more"/>
    <w:qFormat/>
    <w:uiPriority w:val="0"/>
    <w:rPr>
      <w:rFonts w:ascii="宋体" w:hAnsi="宋体" w:cs="Courier New"/>
      <w:sz w:val="32"/>
      <w:szCs w:val="32"/>
    </w:rPr>
  </w:style>
  <w:style w:type="character" w:customStyle="1" w:styleId="352">
    <w:name w:val="列出段落 Char1"/>
    <w:qFormat/>
    <w:uiPriority w:val="34"/>
    <w:rPr>
      <w:kern w:val="2"/>
      <w:sz w:val="21"/>
      <w:szCs w:val="24"/>
    </w:rPr>
  </w:style>
  <w:style w:type="character" w:customStyle="1" w:styleId="353">
    <w:name w:val="morelink-item"/>
    <w:qFormat/>
    <w:uiPriority w:val="0"/>
  </w:style>
  <w:style w:type="character" w:customStyle="1" w:styleId="354">
    <w:name w:val="正文文本首行缩进 字符2"/>
    <w:link w:val="51"/>
    <w:qFormat/>
    <w:uiPriority w:val="0"/>
  </w:style>
  <w:style w:type="character" w:customStyle="1" w:styleId="355">
    <w:name w:val="Char Char21"/>
    <w:qFormat/>
    <w:uiPriority w:val="99"/>
    <w:rPr>
      <w:rFonts w:ascii="Arial" w:hAnsi="Arial" w:eastAsia="黑体"/>
      <w:b/>
      <w:kern w:val="2"/>
      <w:sz w:val="32"/>
      <w:lang w:val="en-US" w:eastAsia="zh-CN"/>
    </w:rPr>
  </w:style>
  <w:style w:type="character" w:customStyle="1" w:styleId="356">
    <w:name w:val="sidecatalog-dot"/>
    <w:qFormat/>
    <w:uiPriority w:val="0"/>
    <w:rPr>
      <w:rFonts w:ascii="宋体" w:hAnsi="宋体" w:cs="Courier New"/>
      <w:sz w:val="32"/>
      <w:szCs w:val="32"/>
    </w:rPr>
  </w:style>
  <w:style w:type="character" w:customStyle="1" w:styleId="357">
    <w:name w:val="Char Char12"/>
    <w:qFormat/>
    <w:uiPriority w:val="99"/>
    <w:rPr>
      <w:rFonts w:eastAsia="宋体"/>
      <w:kern w:val="2"/>
      <w:sz w:val="24"/>
      <w:lang w:val="en-US" w:eastAsia="zh-CN"/>
    </w:rPr>
  </w:style>
  <w:style w:type="character" w:customStyle="1" w:styleId="358">
    <w:name w:val="bds_more3"/>
    <w:qFormat/>
    <w:uiPriority w:val="0"/>
    <w:rPr>
      <w:rFonts w:ascii="宋体" w:hAnsi="宋体" w:cs="Courier New"/>
      <w:sz w:val="32"/>
      <w:szCs w:val="32"/>
    </w:rPr>
  </w:style>
  <w:style w:type="character" w:customStyle="1" w:styleId="359">
    <w:name w:val="明显引用 字符3"/>
    <w:link w:val="360"/>
    <w:qFormat/>
    <w:uiPriority w:val="30"/>
    <w:rPr>
      <w:rFonts w:ascii="Calibri" w:hAnsi="Calibri"/>
      <w:b/>
      <w:i/>
      <w:sz w:val="24"/>
      <w:szCs w:val="22"/>
    </w:rPr>
  </w:style>
  <w:style w:type="paragraph" w:styleId="360">
    <w:name w:val="Intense Quote"/>
    <w:basedOn w:val="1"/>
    <w:next w:val="1"/>
    <w:link w:val="359"/>
    <w:qFormat/>
    <w:uiPriority w:val="30"/>
    <w:pPr>
      <w:widowControl/>
      <w:ind w:left="720" w:right="720"/>
      <w:jc w:val="left"/>
    </w:pPr>
    <w:rPr>
      <w:rFonts w:ascii="Calibri" w:hAnsi="Calibri"/>
      <w:b/>
      <w:i/>
      <w:kern w:val="0"/>
      <w:sz w:val="24"/>
      <w:szCs w:val="22"/>
    </w:rPr>
  </w:style>
  <w:style w:type="character" w:customStyle="1" w:styleId="361">
    <w:name w:val="不明显强调1"/>
    <w:qFormat/>
    <w:uiPriority w:val="0"/>
    <w:rPr>
      <w:i/>
      <w:color w:val="5A5A5A"/>
    </w:rPr>
  </w:style>
  <w:style w:type="character" w:customStyle="1" w:styleId="362">
    <w:name w:val="副标题 字符3"/>
    <w:link w:val="38"/>
    <w:qFormat/>
    <w:uiPriority w:val="11"/>
    <w:rPr>
      <w:rFonts w:ascii="Cambria" w:hAnsi="Cambria"/>
      <w:sz w:val="24"/>
      <w:szCs w:val="24"/>
    </w:rPr>
  </w:style>
  <w:style w:type="character" w:customStyle="1" w:styleId="363">
    <w:name w:val="bds_nopic"/>
    <w:qFormat/>
    <w:uiPriority w:val="0"/>
    <w:rPr>
      <w:rFonts w:ascii="宋体" w:hAnsi="宋体" w:cs="Courier New"/>
      <w:sz w:val="32"/>
      <w:szCs w:val="32"/>
    </w:rPr>
  </w:style>
  <w:style w:type="character" w:customStyle="1" w:styleId="364">
    <w:name w:val="sidecatalog-dot1"/>
    <w:qFormat/>
    <w:uiPriority w:val="0"/>
    <w:rPr>
      <w:rFonts w:ascii="宋体" w:hAnsi="宋体" w:cs="Courier New"/>
      <w:sz w:val="32"/>
      <w:szCs w:val="32"/>
    </w:rPr>
  </w:style>
  <w:style w:type="character" w:customStyle="1" w:styleId="365">
    <w:name w:val="sort"/>
    <w:qFormat/>
    <w:uiPriority w:val="0"/>
    <w:rPr>
      <w:color w:val="FFFFFF"/>
      <w:bdr w:val="single" w:color="auto" w:sz="24" w:space="0"/>
    </w:rPr>
  </w:style>
  <w:style w:type="character" w:customStyle="1" w:styleId="366">
    <w:name w:val="正文文本 2 字符1"/>
    <w:basedOn w:val="56"/>
    <w:qFormat/>
    <w:uiPriority w:val="0"/>
    <w:rPr>
      <w:kern w:val="2"/>
      <w:sz w:val="21"/>
      <w:szCs w:val="24"/>
    </w:rPr>
  </w:style>
  <w:style w:type="character" w:customStyle="1" w:styleId="367">
    <w:name w:val="副标题 字符"/>
    <w:basedOn w:val="56"/>
    <w:qFormat/>
    <w:uiPriority w:val="0"/>
    <w:rPr>
      <w:rFonts w:asciiTheme="minorHAnsi" w:hAnsiTheme="minorHAnsi" w:eastAsiaTheme="minorEastAsia" w:cstheme="minorBidi"/>
      <w:b/>
      <w:bCs/>
      <w:kern w:val="28"/>
      <w:sz w:val="32"/>
      <w:szCs w:val="32"/>
    </w:rPr>
  </w:style>
  <w:style w:type="paragraph" w:customStyle="1" w:styleId="368">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szCs w:val="20"/>
    </w:rPr>
  </w:style>
  <w:style w:type="paragraph" w:customStyle="1" w:styleId="369">
    <w:name w:val="Char Char Char Char2"/>
    <w:basedOn w:val="1"/>
    <w:qFormat/>
    <w:uiPriority w:val="99"/>
    <w:pPr>
      <w:widowControl/>
      <w:spacing w:after="160" w:line="240" w:lineRule="exact"/>
      <w:jc w:val="left"/>
    </w:pPr>
    <w:rPr>
      <w:szCs w:val="20"/>
    </w:rPr>
  </w:style>
  <w:style w:type="paragraph" w:customStyle="1" w:styleId="370">
    <w:name w:val="Content"/>
    <w:basedOn w:val="21"/>
    <w:qFormat/>
    <w:uiPriority w:val="0"/>
    <w:pPr>
      <w:tabs>
        <w:tab w:val="clear" w:pos="567"/>
      </w:tabs>
      <w:spacing w:before="0" w:line="360" w:lineRule="auto"/>
      <w:ind w:firstLine="480"/>
    </w:pPr>
    <w:rPr>
      <w:rFonts w:ascii="Times New Roman" w:hAnsi="Times New Roman" w:eastAsia="全真簡粗明"/>
      <w:snapToGrid w:val="0"/>
      <w:kern w:val="0"/>
      <w:szCs w:val="20"/>
      <w:lang w:eastAsia="zh-TW"/>
    </w:rPr>
  </w:style>
  <w:style w:type="paragraph" w:customStyle="1" w:styleId="371">
    <w:name w:val="_Style 8"/>
    <w:basedOn w:val="1"/>
    <w:qFormat/>
    <w:uiPriority w:val="0"/>
    <w:pPr>
      <w:tabs>
        <w:tab w:val="left" w:pos="360"/>
      </w:tabs>
    </w:pPr>
    <w:rPr>
      <w:sz w:val="24"/>
    </w:rPr>
  </w:style>
  <w:style w:type="paragraph" w:customStyle="1" w:styleId="372">
    <w:name w:val="0"/>
    <w:basedOn w:val="1"/>
    <w:qFormat/>
    <w:uiPriority w:val="0"/>
    <w:pPr>
      <w:widowControl/>
      <w:snapToGrid w:val="0"/>
    </w:pPr>
    <w:rPr>
      <w:kern w:val="0"/>
      <w:szCs w:val="21"/>
    </w:rPr>
  </w:style>
  <w:style w:type="paragraph" w:customStyle="1" w:styleId="373">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4">
    <w:name w:val="列出段落 Char Char"/>
    <w:basedOn w:val="1"/>
    <w:qFormat/>
    <w:uiPriority w:val="0"/>
    <w:pPr>
      <w:widowControl/>
      <w:spacing w:before="120" w:after="120" w:line="440" w:lineRule="atLeast"/>
      <w:ind w:firstLine="420" w:firstLineChars="200"/>
    </w:pPr>
    <w:rPr>
      <w:rFonts w:ascii="宋体" w:hAnsi="宋体" w:eastAsia="华文楷体"/>
      <w:sz w:val="24"/>
    </w:rPr>
  </w:style>
  <w:style w:type="paragraph" w:customStyle="1" w:styleId="375">
    <w:name w:val="Char12"/>
    <w:basedOn w:val="1"/>
    <w:qFormat/>
    <w:uiPriority w:val="99"/>
    <w:rPr>
      <w:rFonts w:ascii="Tahoma" w:hAnsi="Tahoma"/>
      <w:sz w:val="24"/>
      <w:szCs w:val="20"/>
    </w:rPr>
  </w:style>
  <w:style w:type="paragraph" w:customStyle="1" w:styleId="37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7">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78">
    <w:name w:val="TOC 标题1"/>
    <w:basedOn w:val="2"/>
    <w:next w:val="1"/>
    <w:qFormat/>
    <w:uiPriority w:val="99"/>
    <w:pPr>
      <w:keepLines w:val="0"/>
      <w:widowControl/>
      <w:autoSpaceDE/>
      <w:autoSpaceDN/>
      <w:adjustRightInd/>
      <w:spacing w:before="480" w:after="60" w:line="276" w:lineRule="auto"/>
      <w:jc w:val="left"/>
      <w:outlineLvl w:val="9"/>
    </w:pPr>
    <w:rPr>
      <w:rFonts w:ascii="Cambria" w:hAnsi="Cambria"/>
      <w:bCs/>
      <w:color w:val="365F91"/>
      <w:kern w:val="0"/>
      <w:sz w:val="28"/>
      <w:szCs w:val="28"/>
    </w:rPr>
  </w:style>
  <w:style w:type="paragraph" w:customStyle="1" w:styleId="379">
    <w:name w:val="WW-正文文本缩进 3"/>
    <w:basedOn w:val="1"/>
    <w:qFormat/>
    <w:uiPriority w:val="0"/>
    <w:pPr>
      <w:suppressAutoHyphens/>
      <w:ind w:firstLine="570"/>
    </w:pPr>
    <w:rPr>
      <w:rFonts w:ascii="仿宋_GB2312" w:hAnsi="仿宋_GB2312" w:eastAsia="仿宋_GB2312"/>
      <w:b/>
      <w:kern w:val="1"/>
      <w:sz w:val="24"/>
      <w:szCs w:val="20"/>
      <w:lang w:eastAsia="ar-SA"/>
    </w:rPr>
  </w:style>
  <w:style w:type="paragraph" w:customStyle="1" w:styleId="380">
    <w:name w:val="DA-正文"/>
    <w:basedOn w:val="1"/>
    <w:qFormat/>
    <w:uiPriority w:val="0"/>
    <w:pPr>
      <w:spacing w:line="360" w:lineRule="auto"/>
      <w:ind w:firstLine="200" w:firstLineChars="200"/>
      <w:jc w:val="left"/>
    </w:pPr>
    <w:rPr>
      <w:rFonts w:ascii="宋体" w:hAnsi="宋体"/>
      <w:kern w:val="0"/>
      <w:sz w:val="24"/>
      <w:szCs w:val="28"/>
      <w:lang w:bidi="en-US"/>
    </w:rPr>
  </w:style>
  <w:style w:type="paragraph" w:customStyle="1" w:styleId="381">
    <w:name w:val="zw"/>
    <w:basedOn w:val="1"/>
    <w:qFormat/>
    <w:uiPriority w:val="0"/>
    <w:pPr>
      <w:adjustRightInd w:val="0"/>
      <w:spacing w:line="360" w:lineRule="auto"/>
      <w:ind w:firstLine="482"/>
    </w:pPr>
    <w:rPr>
      <w:rFonts w:ascii="Arial Narrow" w:hAnsi="Arial Narrow" w:eastAsia="楷体_GB2312"/>
      <w:kern w:val="0"/>
      <w:sz w:val="24"/>
      <w:szCs w:val="20"/>
    </w:rPr>
  </w:style>
  <w:style w:type="paragraph" w:customStyle="1" w:styleId="382">
    <w:name w:val="Char Char Char Char Char Char Char Char Char Char Char Char"/>
    <w:basedOn w:val="1"/>
    <w:qFormat/>
    <w:uiPriority w:val="0"/>
    <w:rPr>
      <w:rFonts w:ascii="宋体" w:hAnsi="宋体" w:cs="Courier New"/>
      <w:sz w:val="32"/>
      <w:szCs w:val="32"/>
    </w:rPr>
  </w:style>
  <w:style w:type="paragraph" w:customStyle="1" w:styleId="383">
    <w:name w:val="P334"/>
    <w:basedOn w:val="1"/>
    <w:qFormat/>
    <w:uiPriority w:val="0"/>
    <w:pPr>
      <w:keepNext/>
      <w:spacing w:line="439" w:lineRule="exact"/>
      <w:ind w:left="1061" w:hanging="282"/>
    </w:pPr>
    <w:rPr>
      <w:rFonts w:ascii="宋体" w:hAnsi="宋体" w:cs="宋体"/>
      <w:kern w:val="0"/>
      <w:szCs w:val="20"/>
    </w:rPr>
  </w:style>
  <w:style w:type="paragraph" w:customStyle="1" w:styleId="384">
    <w:name w:val="纯文本1"/>
    <w:basedOn w:val="1"/>
    <w:qFormat/>
    <w:uiPriority w:val="0"/>
    <w:pPr>
      <w:adjustRightInd w:val="0"/>
      <w:textAlignment w:val="baseline"/>
    </w:pPr>
    <w:rPr>
      <w:rFonts w:ascii="宋体" w:hAnsi="Courier New" w:eastAsia="楷体_GB2312"/>
      <w:sz w:val="26"/>
      <w:szCs w:val="20"/>
    </w:rPr>
  </w:style>
  <w:style w:type="paragraph" w:customStyle="1" w:styleId="385">
    <w:name w:val="2"/>
    <w:basedOn w:val="1"/>
    <w:next w:val="22"/>
    <w:qFormat/>
    <w:uiPriority w:val="99"/>
    <w:pPr>
      <w:ind w:left="432"/>
    </w:pPr>
    <w:rPr>
      <w:szCs w:val="20"/>
    </w:rPr>
  </w:style>
  <w:style w:type="paragraph" w:customStyle="1" w:styleId="386">
    <w:name w:val="XW正文"/>
    <w:basedOn w:val="22"/>
    <w:qFormat/>
    <w:uiPriority w:val="99"/>
    <w:pPr>
      <w:adjustRightInd w:val="0"/>
      <w:snapToGrid w:val="0"/>
      <w:spacing w:line="300" w:lineRule="auto"/>
      <w:ind w:firstLine="520" w:firstLineChars="200"/>
      <w:jc w:val="left"/>
    </w:pPr>
    <w:rPr>
      <w:kern w:val="0"/>
    </w:rPr>
  </w:style>
  <w:style w:type="paragraph" w:customStyle="1" w:styleId="387">
    <w:name w:val="WW-纯文本"/>
    <w:basedOn w:val="1"/>
    <w:qFormat/>
    <w:uiPriority w:val="0"/>
    <w:pPr>
      <w:suppressAutoHyphens/>
    </w:pPr>
    <w:rPr>
      <w:rFonts w:ascii="宋体" w:hAnsi="宋体"/>
      <w:kern w:val="1"/>
      <w:szCs w:val="20"/>
      <w:lang w:eastAsia="ar-SA"/>
    </w:rPr>
  </w:style>
  <w:style w:type="paragraph" w:customStyle="1" w:styleId="388">
    <w:name w:val="P243"/>
    <w:basedOn w:val="1"/>
    <w:qFormat/>
    <w:uiPriority w:val="0"/>
    <w:pPr>
      <w:keepNext/>
      <w:spacing w:line="439" w:lineRule="exact"/>
    </w:pPr>
    <w:rPr>
      <w:kern w:val="0"/>
      <w:szCs w:val="20"/>
    </w:rPr>
  </w:style>
  <w:style w:type="paragraph" w:customStyle="1" w:styleId="3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0">
    <w:name w:val="金安桥正文"/>
    <w:basedOn w:val="22"/>
    <w:qFormat/>
    <w:uiPriority w:val="99"/>
    <w:pPr>
      <w:adjustRightInd w:val="0"/>
      <w:spacing w:line="300" w:lineRule="auto"/>
      <w:ind w:firstLine="200" w:firstLineChars="200"/>
      <w:jc w:val="left"/>
    </w:pPr>
    <w:rPr>
      <w:kern w:val="0"/>
      <w:szCs w:val="20"/>
    </w:rPr>
  </w:style>
  <w:style w:type="paragraph" w:customStyle="1" w:styleId="39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92">
    <w:name w:val="P333"/>
    <w:basedOn w:val="1"/>
    <w:qFormat/>
    <w:uiPriority w:val="0"/>
    <w:pPr>
      <w:keepNext/>
      <w:spacing w:line="439" w:lineRule="exact"/>
      <w:ind w:left="1061" w:hanging="282"/>
    </w:pPr>
    <w:rPr>
      <w:kern w:val="0"/>
      <w:szCs w:val="20"/>
    </w:rPr>
  </w:style>
  <w:style w:type="paragraph" w:customStyle="1" w:styleId="393">
    <w:name w:val="Char11"/>
    <w:basedOn w:val="1"/>
    <w:qFormat/>
    <w:uiPriority w:val="99"/>
    <w:rPr>
      <w:rFonts w:ascii="Tahoma" w:hAnsi="Tahoma"/>
      <w:sz w:val="24"/>
      <w:szCs w:val="20"/>
    </w:rPr>
  </w:style>
  <w:style w:type="paragraph" w:customStyle="1" w:styleId="394">
    <w:name w:val="_Style 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96">
    <w:name w:val="修订2"/>
    <w:qFormat/>
    <w:uiPriority w:val="99"/>
    <w:rPr>
      <w:rFonts w:ascii="Times New Roman" w:hAnsi="Times New Roman" w:eastAsia="宋体" w:cs="Times New Roman"/>
      <w:kern w:val="2"/>
      <w:sz w:val="21"/>
      <w:szCs w:val="24"/>
      <w:lang w:val="en-US" w:eastAsia="zh-CN" w:bidi="ar-SA"/>
    </w:rPr>
  </w:style>
  <w:style w:type="paragraph" w:customStyle="1" w:styleId="397">
    <w:name w:val="P332"/>
    <w:basedOn w:val="1"/>
    <w:qFormat/>
    <w:uiPriority w:val="0"/>
    <w:pPr>
      <w:keepNext/>
      <w:spacing w:line="439" w:lineRule="exact"/>
      <w:ind w:left="1057" w:hanging="420"/>
    </w:pPr>
    <w:rPr>
      <w:kern w:val="0"/>
      <w:szCs w:val="20"/>
    </w:rPr>
  </w:style>
  <w:style w:type="paragraph" w:customStyle="1" w:styleId="398">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3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00">
    <w:name w:val="明显引用 字符"/>
    <w:basedOn w:val="56"/>
    <w:qFormat/>
    <w:uiPriority w:val="99"/>
    <w:rPr>
      <w:i/>
      <w:iCs/>
      <w:color w:val="4472C4" w:themeColor="accent1"/>
      <w:kern w:val="2"/>
      <w:sz w:val="21"/>
      <w:szCs w:val="24"/>
      <w14:textFill>
        <w14:solidFill>
          <w14:schemeClr w14:val="accent1"/>
        </w14:solidFill>
      </w14:textFill>
    </w:rPr>
  </w:style>
  <w:style w:type="paragraph" w:customStyle="1" w:styleId="401">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Char Char Char Char"/>
    <w:basedOn w:val="1"/>
    <w:qFormat/>
    <w:uiPriority w:val="0"/>
    <w:pPr>
      <w:widowControl/>
      <w:spacing w:after="160" w:line="240" w:lineRule="exact"/>
      <w:jc w:val="left"/>
    </w:pPr>
    <w:rPr>
      <w:szCs w:val="20"/>
    </w:rPr>
  </w:style>
  <w:style w:type="character" w:customStyle="1" w:styleId="403">
    <w:name w:val="引用 字符"/>
    <w:basedOn w:val="56"/>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04">
    <w:name w:val="P331"/>
    <w:basedOn w:val="1"/>
    <w:qFormat/>
    <w:uiPriority w:val="0"/>
    <w:pPr>
      <w:keepNext/>
      <w:spacing w:line="439" w:lineRule="exact"/>
      <w:ind w:left="637"/>
    </w:pPr>
    <w:rPr>
      <w:rFonts w:ascii="宋体" w:hAnsi="宋体" w:cs="Calibri"/>
      <w:kern w:val="0"/>
      <w:szCs w:val="20"/>
    </w:rPr>
  </w:style>
  <w:style w:type="paragraph" w:customStyle="1" w:styleId="405">
    <w:name w:val="列表段落1"/>
    <w:basedOn w:val="1"/>
    <w:qFormat/>
    <w:uiPriority w:val="0"/>
    <w:pPr>
      <w:ind w:firstLine="420" w:firstLineChars="200"/>
    </w:pPr>
    <w:rPr>
      <w:rFonts w:ascii="Calibri" w:hAnsi="Calibri" w:cs="黑体"/>
    </w:rPr>
  </w:style>
  <w:style w:type="paragraph" w:customStyle="1" w:styleId="406">
    <w:name w:val="表格"/>
    <w:basedOn w:val="1"/>
    <w:qFormat/>
    <w:uiPriority w:val="99"/>
    <w:pPr>
      <w:jc w:val="center"/>
      <w:textAlignment w:val="center"/>
    </w:pPr>
    <w:rPr>
      <w:rFonts w:ascii="华文细黑" w:hAnsi="华文细黑"/>
      <w:kern w:val="0"/>
      <w:szCs w:val="20"/>
    </w:rPr>
  </w:style>
  <w:style w:type="paragraph" w:customStyle="1" w:styleId="40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8">
    <w:name w:val="[No paragraph style]"/>
    <w:qFormat/>
    <w:uiPriority w:val="0"/>
    <w:pPr>
      <w:autoSpaceDE w:val="0"/>
      <w:autoSpaceDN w:val="0"/>
      <w:adjustRightInd w:val="0"/>
      <w:spacing w:line="288" w:lineRule="auto"/>
      <w:textAlignment w:val="center"/>
    </w:pPr>
    <w:rPr>
      <w:rFonts w:ascii="Times New Roman" w:hAnsi="Times New Roman" w:eastAsia="宋体" w:cs="Times New Roman"/>
      <w:color w:val="000000"/>
      <w:sz w:val="24"/>
      <w:szCs w:val="24"/>
      <w:lang w:val="da-DK" w:eastAsia="da-DK" w:bidi="ar-SA"/>
    </w:rPr>
  </w:style>
  <w:style w:type="paragraph" w:customStyle="1" w:styleId="409">
    <w:name w:val="Char Char Char Char1"/>
    <w:basedOn w:val="1"/>
    <w:qFormat/>
    <w:uiPriority w:val="99"/>
    <w:pPr>
      <w:widowControl/>
      <w:spacing w:after="160" w:line="240" w:lineRule="exact"/>
      <w:jc w:val="left"/>
    </w:pPr>
    <w:rPr>
      <w:szCs w:val="20"/>
    </w:rPr>
  </w:style>
  <w:style w:type="paragraph" w:customStyle="1" w:styleId="410">
    <w:name w:val="P335"/>
    <w:basedOn w:val="1"/>
    <w:qFormat/>
    <w:uiPriority w:val="0"/>
    <w:pPr>
      <w:keepNext/>
      <w:spacing w:line="439" w:lineRule="exact"/>
      <w:ind w:left="1061" w:hanging="282"/>
    </w:pPr>
    <w:rPr>
      <w:kern w:val="0"/>
      <w:szCs w:val="20"/>
    </w:rPr>
  </w:style>
  <w:style w:type="paragraph" w:customStyle="1" w:styleId="411">
    <w:name w:val="Char Char Char3"/>
    <w:basedOn w:val="1"/>
    <w:qFormat/>
    <w:uiPriority w:val="0"/>
    <w:rPr>
      <w:rFonts w:ascii="Tahoma" w:hAnsi="Tahoma"/>
      <w:sz w:val="24"/>
      <w:szCs w:val="20"/>
    </w:rPr>
  </w:style>
  <w:style w:type="paragraph" w:customStyle="1" w:styleId="412">
    <w:name w:val="样式 标题 3 + (中文) 黑体 小四 非加粗 段前: 7.8 磅 段后: 0 磅 行距: 固定值 20 磅"/>
    <w:basedOn w:val="4"/>
    <w:link w:val="656"/>
    <w:qFormat/>
    <w:uiPriority w:val="0"/>
    <w:pPr>
      <w:autoSpaceDE/>
      <w:autoSpaceDN/>
      <w:adjustRightInd/>
      <w:spacing w:before="0" w:after="0" w:line="400" w:lineRule="exact"/>
      <w:ind w:firstLine="137" w:firstLineChars="49"/>
      <w:jc w:val="both"/>
    </w:pPr>
    <w:rPr>
      <w:rFonts w:ascii="黑体" w:hAnsi="宋体" w:eastAsia="黑体" w:cs="宋体"/>
      <w:b w:val="0"/>
      <w:kern w:val="2"/>
      <w:u w:val="none"/>
    </w:rPr>
  </w:style>
  <w:style w:type="paragraph" w:customStyle="1" w:styleId="413">
    <w:name w:val="样式1"/>
    <w:basedOn w:val="1"/>
    <w:qFormat/>
    <w:uiPriority w:val="99"/>
    <w:pPr>
      <w:numPr>
        <w:ilvl w:val="0"/>
        <w:numId w:val="7"/>
      </w:numPr>
      <w:adjustRightInd w:val="0"/>
      <w:textAlignment w:val="baseline"/>
    </w:pPr>
    <w:rPr>
      <w:rFonts w:ascii="宋体" w:hAnsi="宋体"/>
      <w:kern w:val="0"/>
      <w:szCs w:val="21"/>
    </w:rPr>
  </w:style>
  <w:style w:type="paragraph" w:customStyle="1" w:styleId="41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415">
    <w:name w:val="p17"/>
    <w:basedOn w:val="1"/>
    <w:qFormat/>
    <w:uiPriority w:val="99"/>
    <w:pPr>
      <w:widowControl/>
    </w:pPr>
    <w:rPr>
      <w:kern w:val="0"/>
      <w:szCs w:val="21"/>
    </w:rPr>
  </w:style>
  <w:style w:type="paragraph" w:customStyle="1" w:styleId="416">
    <w:name w:val="样式 标题 2 + Times New Roman 四号 非加粗 段前: 5 磅 段后: 0 磅 行距: 固定值 20..."/>
    <w:basedOn w:val="3"/>
    <w:link w:val="65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样式 仿宋_GB2312 三号1"/>
    <w:basedOn w:val="1"/>
    <w:qFormat/>
    <w:uiPriority w:val="0"/>
    <w:pPr>
      <w:widowControl/>
      <w:ind w:firstLine="622"/>
      <w:jc w:val="left"/>
    </w:pPr>
    <w:rPr>
      <w:rFonts w:eastAsia="仿宋_GB2312" w:cs="宋体"/>
      <w:kern w:val="0"/>
      <w:sz w:val="32"/>
      <w:szCs w:val="20"/>
    </w:rPr>
  </w:style>
  <w:style w:type="paragraph" w:customStyle="1" w:styleId="4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1">
    <w:name w:val="3"/>
    <w:basedOn w:val="1"/>
    <w:next w:val="20"/>
    <w:qFormat/>
    <w:uiPriority w:val="99"/>
    <w:rPr>
      <w:rFonts w:ascii="宋体"/>
      <w:sz w:val="24"/>
      <w:szCs w:val="20"/>
    </w:rPr>
  </w:style>
  <w:style w:type="character" w:customStyle="1" w:styleId="422">
    <w:name w:val="未处理的提及1"/>
    <w:unhideWhenUsed/>
    <w:qFormat/>
    <w:uiPriority w:val="99"/>
    <w:rPr>
      <w:color w:val="605E5C"/>
      <w:shd w:val="clear" w:color="auto" w:fill="E1DFDD"/>
    </w:rPr>
  </w:style>
  <w:style w:type="character" w:customStyle="1" w:styleId="423">
    <w:name w:val="标题 6 Char1"/>
    <w:qFormat/>
    <w:uiPriority w:val="0"/>
    <w:rPr>
      <w:rFonts w:ascii="Cambria" w:hAnsi="Cambria" w:eastAsia="宋体" w:cs="Times New Roman"/>
      <w:b/>
      <w:bCs/>
      <w:kern w:val="2"/>
      <w:sz w:val="24"/>
      <w:szCs w:val="24"/>
    </w:rPr>
  </w:style>
  <w:style w:type="paragraph" w:customStyle="1" w:styleId="424">
    <w:name w:val="项目符号列表"/>
    <w:qFormat/>
    <w:uiPriority w:val="0"/>
    <w:pPr>
      <w:spacing w:beforeLines="50" w:afterLines="50"/>
      <w:ind w:left="420" w:hanging="420"/>
    </w:pPr>
    <w:rPr>
      <w:rFonts w:ascii="Calibri" w:hAnsi="Calibri" w:eastAsia="宋体" w:cs="Times New Roman"/>
      <w:bCs/>
      <w:kern w:val="2"/>
      <w:sz w:val="21"/>
      <w:szCs w:val="22"/>
      <w:lang w:val="en-US" w:eastAsia="zh-CN" w:bidi="ar-SA"/>
    </w:rPr>
  </w:style>
  <w:style w:type="paragraph" w:customStyle="1" w:styleId="425">
    <w:name w:val="标题3"/>
    <w:basedOn w:val="3"/>
    <w:link w:val="426"/>
    <w:qFormat/>
    <w:uiPriority w:val="0"/>
    <w:pPr>
      <w:widowControl/>
      <w:autoSpaceDE/>
      <w:autoSpaceDN/>
      <w:adjustRightInd/>
      <w:spacing w:before="0" w:beforeLines="150" w:afterLines="100" w:line="240" w:lineRule="auto"/>
      <w:jc w:val="left"/>
    </w:pPr>
    <w:rPr>
      <w:rFonts w:ascii="宋体" w:hAnsi="宋体" w:eastAsia="宋体"/>
      <w:b w:val="0"/>
      <w:szCs w:val="26"/>
      <w:lang w:val="zh-CN" w:eastAsia="ja-JP"/>
    </w:rPr>
  </w:style>
  <w:style w:type="character" w:customStyle="1" w:styleId="426">
    <w:name w:val="标题3 Char"/>
    <w:link w:val="425"/>
    <w:qFormat/>
    <w:uiPriority w:val="0"/>
    <w:rPr>
      <w:rFonts w:ascii="宋体" w:hAnsi="宋体"/>
      <w:sz w:val="30"/>
      <w:szCs w:val="26"/>
      <w:lang w:val="zh-CN" w:eastAsia="ja-JP"/>
    </w:rPr>
  </w:style>
  <w:style w:type="character" w:customStyle="1" w:styleId="427">
    <w:name w:val="正文2 Char Char"/>
    <w:link w:val="428"/>
    <w:qFormat/>
    <w:locked/>
    <w:uiPriority w:val="0"/>
    <w:rPr>
      <w:kern w:val="2"/>
      <w:sz w:val="24"/>
    </w:rPr>
  </w:style>
  <w:style w:type="paragraph" w:customStyle="1" w:styleId="428">
    <w:name w:val="正文2"/>
    <w:basedOn w:val="1"/>
    <w:link w:val="427"/>
    <w:qFormat/>
    <w:uiPriority w:val="0"/>
    <w:pPr>
      <w:spacing w:before="156" w:line="360" w:lineRule="auto"/>
      <w:ind w:firstLine="510" w:firstLineChars="200"/>
    </w:pPr>
    <w:rPr>
      <w:sz w:val="24"/>
      <w:szCs w:val="20"/>
    </w:rPr>
  </w:style>
  <w:style w:type="character" w:customStyle="1" w:styleId="429">
    <w:name w:val="中文正文、 Char Char"/>
    <w:link w:val="430"/>
    <w:qFormat/>
    <w:uiPriority w:val="0"/>
    <w:rPr>
      <w:szCs w:val="21"/>
    </w:rPr>
  </w:style>
  <w:style w:type="paragraph" w:customStyle="1" w:styleId="430">
    <w:name w:val="中文正文、"/>
    <w:basedOn w:val="1"/>
    <w:link w:val="429"/>
    <w:qFormat/>
    <w:uiPriority w:val="0"/>
    <w:pPr>
      <w:spacing w:line="360" w:lineRule="auto"/>
      <w:ind w:firstLine="420" w:firstLineChars="200"/>
      <w:jc w:val="left"/>
    </w:pPr>
    <w:rPr>
      <w:kern w:val="0"/>
      <w:sz w:val="20"/>
      <w:szCs w:val="21"/>
    </w:rPr>
  </w:style>
  <w:style w:type="paragraph" w:customStyle="1" w:styleId="431">
    <w:name w:val="5"/>
    <w:basedOn w:val="1"/>
    <w:qFormat/>
    <w:uiPriority w:val="0"/>
    <w:rPr>
      <w:rFonts w:ascii="Tahoma" w:hAnsi="Tahoma"/>
      <w:sz w:val="24"/>
      <w:szCs w:val="20"/>
    </w:rPr>
  </w:style>
  <w:style w:type="character" w:customStyle="1" w:styleId="432">
    <w:name w:val="f14b1"/>
    <w:qFormat/>
    <w:uiPriority w:val="0"/>
    <w:rPr>
      <w:rFonts w:cs="Times New Roman"/>
      <w:b/>
      <w:bCs/>
      <w:sz w:val="21"/>
      <w:szCs w:val="21"/>
    </w:rPr>
  </w:style>
  <w:style w:type="character" w:customStyle="1" w:styleId="433">
    <w:name w:val="Date Char"/>
    <w:qFormat/>
    <w:locked/>
    <w:uiPriority w:val="0"/>
    <w:rPr>
      <w:rFonts w:eastAsia="宋体"/>
      <w:sz w:val="24"/>
    </w:rPr>
  </w:style>
  <w:style w:type="character" w:customStyle="1" w:styleId="434">
    <w:name w:val="样式3 Char Char"/>
    <w:link w:val="435"/>
    <w:qFormat/>
    <w:locked/>
    <w:uiPriority w:val="0"/>
    <w:rPr>
      <w:rFonts w:ascii="宋体" w:hAnsi="宋体" w:eastAsia="黑体"/>
      <w:sz w:val="36"/>
      <w:szCs w:val="36"/>
    </w:rPr>
  </w:style>
  <w:style w:type="paragraph" w:customStyle="1" w:styleId="435">
    <w:name w:val="样式3"/>
    <w:basedOn w:val="1"/>
    <w:link w:val="434"/>
    <w:qFormat/>
    <w:uiPriority w:val="0"/>
    <w:pPr>
      <w:spacing w:line="940" w:lineRule="exact"/>
      <w:jc w:val="center"/>
    </w:pPr>
    <w:rPr>
      <w:rFonts w:ascii="宋体" w:hAnsi="宋体" w:eastAsia="黑体"/>
      <w:kern w:val="0"/>
      <w:sz w:val="36"/>
      <w:szCs w:val="36"/>
    </w:rPr>
  </w:style>
  <w:style w:type="paragraph" w:customStyle="1" w:styleId="436">
    <w:name w:val="cntrt"/>
    <w:basedOn w:val="1"/>
    <w:qFormat/>
    <w:uiPriority w:val="0"/>
    <w:pPr>
      <w:widowControl/>
      <w:jc w:val="left"/>
    </w:pPr>
    <w:rPr>
      <w:rFonts w:ascii="Arial" w:hAnsi="Arial" w:cs="Arial"/>
      <w:kern w:val="0"/>
      <w:sz w:val="20"/>
      <w:szCs w:val="20"/>
      <w:lang w:val="en-AU"/>
    </w:rPr>
  </w:style>
  <w:style w:type="paragraph" w:customStyle="1" w:styleId="437">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38">
    <w:name w:val="默认段落字体 Para Char"/>
    <w:basedOn w:val="1"/>
    <w:qFormat/>
    <w:uiPriority w:val="0"/>
    <w:rPr>
      <w:szCs w:val="20"/>
    </w:rPr>
  </w:style>
  <w:style w:type="paragraph" w:customStyle="1" w:styleId="439">
    <w:name w:val="。"/>
    <w:basedOn w:val="1"/>
    <w:qFormat/>
    <w:uiPriority w:val="0"/>
    <w:pPr>
      <w:adjustRightInd w:val="0"/>
      <w:spacing w:line="360" w:lineRule="atLeast"/>
      <w:ind w:right="679"/>
      <w:jc w:val="left"/>
      <w:textAlignment w:val="baseline"/>
    </w:pPr>
    <w:rPr>
      <w:rFonts w:ascii="宋体"/>
      <w:sz w:val="24"/>
    </w:rPr>
  </w:style>
  <w:style w:type="paragraph" w:customStyle="1" w:styleId="44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441">
    <w:name w:val="缩进正文"/>
    <w:link w:val="442"/>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42">
    <w:name w:val="缩进正文 Char"/>
    <w:link w:val="441"/>
    <w:qFormat/>
    <w:locked/>
    <w:uiPriority w:val="0"/>
    <w:rPr>
      <w:rFonts w:ascii="宋体" w:hAnsi="宋体"/>
      <w:spacing w:val="30"/>
      <w:sz w:val="24"/>
      <w:szCs w:val="24"/>
      <w:lang w:val="en-GB"/>
    </w:rPr>
  </w:style>
  <w:style w:type="paragraph" w:customStyle="1" w:styleId="44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44">
    <w:name w:val="Char Char Char Char Char Char2 Char1"/>
    <w:basedOn w:val="1"/>
    <w:qFormat/>
    <w:uiPriority w:val="0"/>
    <w:pPr>
      <w:spacing w:line="360" w:lineRule="auto"/>
      <w:ind w:firstLine="200" w:firstLineChars="200"/>
    </w:pPr>
    <w:rPr>
      <w:rFonts w:ascii="宋体" w:hAnsi="宋体" w:cs="宋体"/>
      <w:sz w:val="24"/>
    </w:rPr>
  </w:style>
  <w:style w:type="character" w:customStyle="1" w:styleId="445">
    <w:name w:val="Char Char6"/>
    <w:qFormat/>
    <w:uiPriority w:val="0"/>
    <w:rPr>
      <w:rFonts w:eastAsia="宋体"/>
      <w:b/>
      <w:bCs/>
      <w:kern w:val="2"/>
      <w:sz w:val="32"/>
      <w:szCs w:val="32"/>
      <w:lang w:val="en-US" w:eastAsia="zh-CN" w:bidi="ar-SA"/>
    </w:rPr>
  </w:style>
  <w:style w:type="character" w:customStyle="1" w:styleId="446">
    <w:name w:val="apple-converted-space"/>
    <w:qFormat/>
    <w:uiPriority w:val="0"/>
  </w:style>
  <w:style w:type="paragraph" w:customStyle="1" w:styleId="447">
    <w:name w:val="4"/>
    <w:basedOn w:val="1"/>
    <w:qFormat/>
    <w:uiPriority w:val="0"/>
    <w:rPr>
      <w:rFonts w:ascii="Tahoma" w:hAnsi="Tahoma"/>
      <w:sz w:val="24"/>
      <w:szCs w:val="20"/>
    </w:rPr>
  </w:style>
  <w:style w:type="paragraph" w:customStyle="1" w:styleId="448">
    <w:name w:val="列出段落3"/>
    <w:basedOn w:val="1"/>
    <w:qFormat/>
    <w:uiPriority w:val="0"/>
    <w:pPr>
      <w:ind w:firstLine="420" w:firstLineChars="200"/>
    </w:pPr>
  </w:style>
  <w:style w:type="character" w:customStyle="1" w:styleId="449">
    <w:name w:val="Heading 3 Char"/>
    <w:qFormat/>
    <w:locked/>
    <w:uiPriority w:val="0"/>
    <w:rPr>
      <w:rFonts w:ascii="Cambria" w:hAnsi="Cambria" w:eastAsia="宋体" w:cs="Times New Roman"/>
      <w:b/>
      <w:bCs/>
      <w:color w:val="4F81BD"/>
      <w:kern w:val="0"/>
      <w:sz w:val="22"/>
      <w:lang w:eastAsia="en-US"/>
    </w:rPr>
  </w:style>
  <w:style w:type="paragraph" w:customStyle="1" w:styleId="450">
    <w:name w:val="列出段落4"/>
    <w:basedOn w:val="1"/>
    <w:qFormat/>
    <w:uiPriority w:val="0"/>
    <w:pPr>
      <w:ind w:firstLine="420" w:firstLineChars="200"/>
    </w:pPr>
  </w:style>
  <w:style w:type="character" w:customStyle="1" w:styleId="451">
    <w:name w:val="Heading 1 Char"/>
    <w:qFormat/>
    <w:locked/>
    <w:uiPriority w:val="0"/>
    <w:rPr>
      <w:rFonts w:ascii="Times New Roman" w:hAnsi="Times New Roman" w:eastAsia="宋体" w:cs="Times New Roman"/>
      <w:b/>
      <w:bCs/>
      <w:kern w:val="44"/>
      <w:sz w:val="44"/>
      <w:szCs w:val="44"/>
    </w:rPr>
  </w:style>
  <w:style w:type="paragraph" w:customStyle="1" w:styleId="452">
    <w:name w:val="样式 标题 2 + (西文) 方正书宋简体 (中文) 方正黑体简体 非加粗 黑色 行距: 固定值 15 磅1"/>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53">
    <w:name w:val="Char Char Char Char Char Char Char Char Char Char Char Char Char"/>
    <w:basedOn w:val="1"/>
    <w:qFormat/>
    <w:uiPriority w:val="0"/>
    <w:rPr>
      <w:rFonts w:ascii="仿宋_GB2312" w:eastAsia="仿宋_GB2312"/>
      <w:b/>
      <w:sz w:val="32"/>
      <w:szCs w:val="32"/>
    </w:rPr>
  </w:style>
  <w:style w:type="paragraph" w:customStyle="1" w:styleId="454">
    <w:name w:val="样式 标题 2 + (西文) 方正书宋简体 (中文) 方正黑体简体 非加粗 黑色 段前: 0 磅 段后: 0 磅 行..."/>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character" w:customStyle="1" w:styleId="455">
    <w:name w:val="Footer Char"/>
    <w:qFormat/>
    <w:locked/>
    <w:uiPriority w:val="0"/>
    <w:rPr>
      <w:rFonts w:ascii="宋体" w:cs="Times New Roman"/>
      <w:sz w:val="24"/>
      <w:szCs w:val="24"/>
    </w:rPr>
  </w:style>
  <w:style w:type="character" w:customStyle="1" w:styleId="456">
    <w:name w:val="Header Char"/>
    <w:qFormat/>
    <w:locked/>
    <w:uiPriority w:val="0"/>
    <w:rPr>
      <w:rFonts w:ascii="宋体" w:cs="Times New Roman"/>
      <w:sz w:val="24"/>
      <w:szCs w:val="24"/>
    </w:rPr>
  </w:style>
  <w:style w:type="character" w:customStyle="1" w:styleId="457">
    <w:name w:val="Plain Text Char"/>
    <w:qFormat/>
    <w:locked/>
    <w:uiPriority w:val="0"/>
    <w:rPr>
      <w:rFonts w:ascii="宋体" w:hAnsi="宋体" w:eastAsia="宋体" w:cs="宋体"/>
      <w:kern w:val="0"/>
      <w:sz w:val="24"/>
      <w:szCs w:val="24"/>
    </w:rPr>
  </w:style>
  <w:style w:type="character" w:customStyle="1" w:styleId="458">
    <w:name w:val="表头 Char"/>
    <w:link w:val="459"/>
    <w:qFormat/>
    <w:uiPriority w:val="0"/>
    <w:rPr>
      <w:rFonts w:ascii="黑体" w:eastAsia="黑体"/>
      <w:sz w:val="24"/>
    </w:rPr>
  </w:style>
  <w:style w:type="paragraph" w:customStyle="1" w:styleId="459">
    <w:name w:val="表头"/>
    <w:basedOn w:val="1"/>
    <w:link w:val="458"/>
    <w:qFormat/>
    <w:uiPriority w:val="0"/>
    <w:pPr>
      <w:spacing w:line="360" w:lineRule="auto"/>
      <w:jc w:val="center"/>
    </w:pPr>
    <w:rPr>
      <w:rFonts w:ascii="黑体" w:eastAsia="黑体"/>
      <w:kern w:val="0"/>
      <w:sz w:val="24"/>
      <w:szCs w:val="20"/>
    </w:rPr>
  </w:style>
  <w:style w:type="character" w:customStyle="1" w:styleId="460">
    <w:name w:val="列出段落 字符"/>
    <w:qFormat/>
    <w:uiPriority w:val="0"/>
    <w:rPr>
      <w:rFonts w:ascii="Times New Roman" w:hAnsi="Times New Roman" w:eastAsia="宋体" w:cs="Times New Roman"/>
      <w:bCs/>
      <w:szCs w:val="20"/>
      <w:lang w:val="zh-CN" w:eastAsia="zh-CN"/>
    </w:rPr>
  </w:style>
  <w:style w:type="paragraph" w:customStyle="1" w:styleId="461">
    <w:name w:val="p0"/>
    <w:basedOn w:val="1"/>
    <w:qFormat/>
    <w:uiPriority w:val="0"/>
    <w:pPr>
      <w:widowControl/>
    </w:pPr>
    <w:rPr>
      <w:kern w:val="0"/>
      <w:szCs w:val="21"/>
    </w:rPr>
  </w:style>
  <w:style w:type="paragraph" w:customStyle="1" w:styleId="462">
    <w:name w:val="TOC 标题21"/>
    <w:basedOn w:val="2"/>
    <w:next w:val="1"/>
    <w:unhideWhenUsed/>
    <w:qFormat/>
    <w:uiPriority w:val="0"/>
    <w:pPr>
      <w:autoSpaceDE/>
      <w:autoSpaceDN/>
      <w:adjustRightInd/>
      <w:spacing w:before="340" w:after="330" w:line="578" w:lineRule="auto"/>
      <w:jc w:val="left"/>
      <w:outlineLvl w:val="9"/>
    </w:pPr>
    <w:rPr>
      <w:rFonts w:ascii="Times New Roman"/>
      <w:bCs/>
      <w:sz w:val="44"/>
      <w:szCs w:val="44"/>
    </w:rPr>
  </w:style>
  <w:style w:type="character" w:customStyle="1" w:styleId="463">
    <w:name w:val="15"/>
    <w:qFormat/>
    <w:uiPriority w:val="0"/>
    <w:rPr>
      <w:rFonts w:hint="default" w:ascii="Times New Roman" w:hAnsi="Times New Roman" w:cs="Times New Roman"/>
      <w:color w:val="464445"/>
      <w:u w:val="none"/>
    </w:rPr>
  </w:style>
  <w:style w:type="paragraph" w:customStyle="1" w:styleId="46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46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466">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46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46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4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7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47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472">
    <w:name w:val="段"/>
    <w:link w:val="4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sz w:val="21"/>
    </w:rPr>
  </w:style>
  <w:style w:type="character" w:customStyle="1" w:styleId="474">
    <w:name w:val="标题 1 Char1"/>
    <w:qFormat/>
    <w:uiPriority w:val="0"/>
    <w:rPr>
      <w:rFonts w:ascii="Times New Roman" w:hAnsi="Times New Roman" w:eastAsia="宋体" w:cs="Times New Roman"/>
      <w:b/>
      <w:bCs/>
      <w:kern w:val="44"/>
      <w:sz w:val="32"/>
      <w:szCs w:val="44"/>
    </w:rPr>
  </w:style>
  <w:style w:type="character" w:customStyle="1" w:styleId="475">
    <w:name w:val="标题 2 Char1"/>
    <w:qFormat/>
    <w:uiPriority w:val="9"/>
    <w:rPr>
      <w:rFonts w:ascii="等线 Light" w:hAnsi="等线 Light" w:eastAsia="等线 Light" w:cs="Times New Roman"/>
      <w:b/>
      <w:bCs/>
      <w:sz w:val="32"/>
      <w:szCs w:val="32"/>
    </w:rPr>
  </w:style>
  <w:style w:type="character" w:customStyle="1" w:styleId="476">
    <w:name w:val="标题 3 Char1"/>
    <w:qFormat/>
    <w:uiPriority w:val="0"/>
    <w:rPr>
      <w:rFonts w:ascii="Times New Roman" w:hAnsi="Times New Roman" w:eastAsia="宋体" w:cs="Times New Roman"/>
      <w:b/>
      <w:bCs/>
      <w:kern w:val="0"/>
      <w:sz w:val="32"/>
      <w:szCs w:val="32"/>
    </w:rPr>
  </w:style>
  <w:style w:type="character" w:customStyle="1" w:styleId="477">
    <w:name w:val="标题 4 Char1"/>
    <w:qFormat/>
    <w:uiPriority w:val="0"/>
    <w:rPr>
      <w:rFonts w:ascii="Arial" w:hAnsi="Arial" w:eastAsia="黑体" w:cs="Times New Roman"/>
      <w:b/>
      <w:kern w:val="0"/>
      <w:sz w:val="28"/>
      <w:szCs w:val="20"/>
    </w:rPr>
  </w:style>
  <w:style w:type="character" w:customStyle="1" w:styleId="478">
    <w:name w:val="标题 5 Char1"/>
    <w:qFormat/>
    <w:uiPriority w:val="0"/>
    <w:rPr>
      <w:rFonts w:ascii="Times New Roman" w:hAnsi="Times New Roman" w:eastAsia="宋体" w:cs="Times New Roman"/>
      <w:b/>
      <w:kern w:val="0"/>
      <w:sz w:val="28"/>
      <w:szCs w:val="20"/>
    </w:rPr>
  </w:style>
  <w:style w:type="character" w:customStyle="1" w:styleId="479">
    <w:name w:val="标题 7 Char1"/>
    <w:qFormat/>
    <w:uiPriority w:val="0"/>
    <w:rPr>
      <w:rFonts w:ascii="Times New Roman" w:hAnsi="Times New Roman" w:eastAsia="宋体" w:cs="Times New Roman"/>
      <w:b/>
      <w:kern w:val="0"/>
      <w:sz w:val="24"/>
      <w:szCs w:val="20"/>
    </w:rPr>
  </w:style>
  <w:style w:type="character" w:customStyle="1" w:styleId="480">
    <w:name w:val="标题 8 Char1"/>
    <w:qFormat/>
    <w:uiPriority w:val="0"/>
    <w:rPr>
      <w:rFonts w:ascii="Arial" w:hAnsi="Arial" w:eastAsia="黑体" w:cs="Times New Roman"/>
      <w:kern w:val="0"/>
      <w:sz w:val="24"/>
      <w:szCs w:val="20"/>
    </w:rPr>
  </w:style>
  <w:style w:type="character" w:customStyle="1" w:styleId="481">
    <w:name w:val="标题 9 Char1"/>
    <w:qFormat/>
    <w:uiPriority w:val="0"/>
    <w:rPr>
      <w:rFonts w:ascii="Arial" w:hAnsi="Arial" w:eastAsia="黑体" w:cs="Times New Roman"/>
      <w:kern w:val="0"/>
      <w:sz w:val="20"/>
      <w:szCs w:val="20"/>
    </w:rPr>
  </w:style>
  <w:style w:type="paragraph" w:customStyle="1" w:styleId="482">
    <w:name w:val="目录 21"/>
    <w:basedOn w:val="1"/>
    <w:next w:val="1"/>
    <w:qFormat/>
    <w:uiPriority w:val="39"/>
    <w:pPr>
      <w:spacing w:before="240"/>
      <w:jc w:val="left"/>
    </w:pPr>
    <w:rPr>
      <w:rFonts w:ascii="Calibri" w:hAnsi="Calibri"/>
      <w:b/>
      <w:bCs/>
      <w:sz w:val="20"/>
      <w:szCs w:val="20"/>
    </w:rPr>
  </w:style>
  <w:style w:type="paragraph" w:customStyle="1" w:styleId="483">
    <w:name w:val="目录 31"/>
    <w:basedOn w:val="1"/>
    <w:next w:val="1"/>
    <w:qFormat/>
    <w:uiPriority w:val="39"/>
    <w:pPr>
      <w:tabs>
        <w:tab w:val="right" w:leader="dot" w:pos="8302"/>
      </w:tabs>
      <w:jc w:val="left"/>
    </w:pPr>
    <w:rPr>
      <w:rFonts w:ascii="Calibri" w:hAnsi="Calibri"/>
      <w:sz w:val="20"/>
      <w:szCs w:val="20"/>
    </w:rPr>
  </w:style>
  <w:style w:type="paragraph" w:customStyle="1" w:styleId="484">
    <w:name w:val="目录 41"/>
    <w:basedOn w:val="1"/>
    <w:next w:val="1"/>
    <w:qFormat/>
    <w:uiPriority w:val="39"/>
    <w:pPr>
      <w:ind w:left="420"/>
      <w:jc w:val="left"/>
    </w:pPr>
    <w:rPr>
      <w:rFonts w:ascii="Calibri" w:hAnsi="Calibri"/>
      <w:sz w:val="20"/>
      <w:szCs w:val="20"/>
    </w:rPr>
  </w:style>
  <w:style w:type="paragraph" w:customStyle="1" w:styleId="485">
    <w:name w:val="目录 51"/>
    <w:basedOn w:val="1"/>
    <w:next w:val="1"/>
    <w:qFormat/>
    <w:uiPriority w:val="39"/>
    <w:pPr>
      <w:ind w:left="630"/>
      <w:jc w:val="left"/>
    </w:pPr>
    <w:rPr>
      <w:rFonts w:ascii="Calibri" w:hAnsi="Calibri"/>
      <w:sz w:val="20"/>
      <w:szCs w:val="20"/>
    </w:rPr>
  </w:style>
  <w:style w:type="paragraph" w:customStyle="1" w:styleId="486">
    <w:name w:val="目录 61"/>
    <w:basedOn w:val="1"/>
    <w:next w:val="1"/>
    <w:unhideWhenUsed/>
    <w:qFormat/>
    <w:uiPriority w:val="39"/>
    <w:pPr>
      <w:ind w:left="840"/>
      <w:jc w:val="left"/>
    </w:pPr>
    <w:rPr>
      <w:rFonts w:ascii="Calibri" w:hAnsi="Calibri"/>
      <w:sz w:val="20"/>
      <w:szCs w:val="20"/>
    </w:rPr>
  </w:style>
  <w:style w:type="paragraph" w:customStyle="1" w:styleId="487">
    <w:name w:val="目录 71"/>
    <w:basedOn w:val="1"/>
    <w:next w:val="1"/>
    <w:unhideWhenUsed/>
    <w:qFormat/>
    <w:uiPriority w:val="39"/>
    <w:pPr>
      <w:ind w:left="1050"/>
      <w:jc w:val="left"/>
    </w:pPr>
    <w:rPr>
      <w:rFonts w:ascii="Calibri" w:hAnsi="Calibri"/>
      <w:sz w:val="20"/>
      <w:szCs w:val="20"/>
    </w:rPr>
  </w:style>
  <w:style w:type="paragraph" w:customStyle="1" w:styleId="488">
    <w:name w:val="目录 81"/>
    <w:basedOn w:val="1"/>
    <w:next w:val="1"/>
    <w:unhideWhenUsed/>
    <w:qFormat/>
    <w:uiPriority w:val="39"/>
    <w:pPr>
      <w:ind w:left="1260"/>
      <w:jc w:val="left"/>
    </w:pPr>
    <w:rPr>
      <w:rFonts w:ascii="Calibri" w:hAnsi="Calibri"/>
      <w:sz w:val="20"/>
      <w:szCs w:val="20"/>
    </w:rPr>
  </w:style>
  <w:style w:type="paragraph" w:customStyle="1" w:styleId="489">
    <w:name w:val="目录 91"/>
    <w:basedOn w:val="1"/>
    <w:next w:val="1"/>
    <w:unhideWhenUsed/>
    <w:qFormat/>
    <w:uiPriority w:val="39"/>
    <w:pPr>
      <w:ind w:left="1470"/>
      <w:jc w:val="left"/>
    </w:pPr>
    <w:rPr>
      <w:rFonts w:ascii="Calibri" w:hAnsi="Calibri"/>
      <w:sz w:val="20"/>
      <w:szCs w:val="20"/>
    </w:rPr>
  </w:style>
  <w:style w:type="paragraph" w:customStyle="1" w:styleId="490">
    <w:name w:val="内文"/>
    <w:basedOn w:val="1"/>
    <w:qFormat/>
    <w:uiPriority w:val="0"/>
    <w:pPr>
      <w:spacing w:line="400" w:lineRule="exact"/>
      <w:ind w:firstLine="420" w:firstLineChars="200"/>
    </w:pPr>
    <w:rPr>
      <w:color w:val="000000"/>
    </w:rPr>
  </w:style>
  <w:style w:type="character" w:customStyle="1" w:styleId="491">
    <w:name w:val="未处理的提及2"/>
    <w:unhideWhenUsed/>
    <w:qFormat/>
    <w:uiPriority w:val="99"/>
    <w:rPr>
      <w:color w:val="605E5C"/>
      <w:shd w:val="clear" w:color="auto" w:fill="E1DFDD"/>
    </w:rPr>
  </w:style>
  <w:style w:type="paragraph" w:customStyle="1" w:styleId="492">
    <w:name w:val="普通(网站)1"/>
    <w:basedOn w:val="1"/>
    <w:qFormat/>
    <w:uiPriority w:val="0"/>
    <w:pPr>
      <w:spacing w:beforeAutospacing="1" w:afterAutospacing="1"/>
      <w:jc w:val="left"/>
    </w:pPr>
    <w:rPr>
      <w:rFonts w:ascii="Calibri" w:hAnsi="Calibri" w:cs="Calibri"/>
      <w:kern w:val="0"/>
      <w:sz w:val="24"/>
      <w:szCs w:val="21"/>
    </w:rPr>
  </w:style>
  <w:style w:type="character" w:customStyle="1" w:styleId="493">
    <w:name w:val="正文文本首行缩进 字符"/>
    <w:basedOn w:val="83"/>
    <w:qFormat/>
    <w:uiPriority w:val="0"/>
    <w:rPr>
      <w:rFonts w:ascii="宋体" w:hAnsi="宋体"/>
      <w:kern w:val="2"/>
      <w:sz w:val="21"/>
      <w:szCs w:val="24"/>
    </w:rPr>
  </w:style>
  <w:style w:type="paragraph" w:customStyle="1" w:styleId="494">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修订31"/>
    <w:qFormat/>
    <w:uiPriority w:val="0"/>
    <w:rPr>
      <w:rFonts w:ascii="Times New Roman" w:hAnsi="Times New Roman" w:eastAsia="宋体" w:cs="Times New Roman"/>
      <w:kern w:val="2"/>
      <w:sz w:val="21"/>
      <w:szCs w:val="24"/>
      <w:lang w:val="en-US" w:eastAsia="zh-CN" w:bidi="ar-SA"/>
    </w:rPr>
  </w:style>
  <w:style w:type="paragraph" w:customStyle="1" w:styleId="496">
    <w:name w:val="_Style 491"/>
    <w:basedOn w:val="1"/>
    <w:next w:val="1"/>
    <w:qFormat/>
    <w:uiPriority w:val="39"/>
    <w:pPr>
      <w:spacing w:before="120" w:after="120"/>
      <w:ind w:left="567" w:right="567"/>
      <w:jc w:val="left"/>
    </w:pPr>
    <w:rPr>
      <w:b/>
      <w:caps/>
      <w:sz w:val="30"/>
      <w:szCs w:val="20"/>
    </w:rPr>
  </w:style>
  <w:style w:type="character" w:customStyle="1" w:styleId="497">
    <w:name w:val="未处理的提及3"/>
    <w:basedOn w:val="56"/>
    <w:unhideWhenUsed/>
    <w:qFormat/>
    <w:uiPriority w:val="99"/>
    <w:rPr>
      <w:color w:val="605E5C"/>
      <w:shd w:val="clear" w:color="auto" w:fill="E1DFDD"/>
    </w:rPr>
  </w:style>
  <w:style w:type="character" w:customStyle="1" w:styleId="498">
    <w:name w:val="页眉 字符1"/>
    <w:basedOn w:val="56"/>
    <w:qFormat/>
    <w:uiPriority w:val="99"/>
    <w:rPr>
      <w:sz w:val="18"/>
      <w:szCs w:val="18"/>
    </w:rPr>
  </w:style>
  <w:style w:type="character" w:customStyle="1" w:styleId="499">
    <w:name w:val="页脚 字符1"/>
    <w:basedOn w:val="56"/>
    <w:qFormat/>
    <w:uiPriority w:val="99"/>
    <w:rPr>
      <w:sz w:val="18"/>
      <w:szCs w:val="18"/>
    </w:rPr>
  </w:style>
  <w:style w:type="character" w:customStyle="1" w:styleId="500">
    <w:name w:val="标题 1 字符1"/>
    <w:basedOn w:val="56"/>
    <w:qFormat/>
    <w:uiPriority w:val="0"/>
    <w:rPr>
      <w:rFonts w:ascii="Times New Roman" w:hAnsi="Times New Roman" w:eastAsia="宋体" w:cs="Times New Roman"/>
      <w:b/>
      <w:bCs/>
      <w:kern w:val="44"/>
      <w:sz w:val="32"/>
      <w:szCs w:val="44"/>
    </w:rPr>
  </w:style>
  <w:style w:type="character" w:customStyle="1" w:styleId="501">
    <w:name w:val="标题 字符1"/>
    <w:basedOn w:val="56"/>
    <w:qFormat/>
    <w:uiPriority w:val="99"/>
    <w:rPr>
      <w:rFonts w:ascii="Times New Roman" w:hAnsi="Times New Roman" w:eastAsia="宋体" w:cs="Times New Roman"/>
      <w:b/>
      <w:kern w:val="0"/>
      <w:sz w:val="44"/>
      <w:szCs w:val="20"/>
    </w:rPr>
  </w:style>
  <w:style w:type="paragraph" w:customStyle="1" w:styleId="502">
    <w:name w:val="样式 样式 小四 行距: 1.5 倍行距 + 首行缩进:  2 字符"/>
    <w:basedOn w:val="1"/>
    <w:link w:val="503"/>
    <w:qFormat/>
    <w:uiPriority w:val="0"/>
    <w:pPr>
      <w:adjustRightInd w:val="0"/>
      <w:snapToGrid w:val="0"/>
      <w:spacing w:line="460" w:lineRule="atLeast"/>
      <w:ind w:firstLine="480" w:firstLineChars="200"/>
      <w:jc w:val="left"/>
    </w:pPr>
    <w:rPr>
      <w:kern w:val="0"/>
      <w:sz w:val="24"/>
      <w:szCs w:val="20"/>
    </w:rPr>
  </w:style>
  <w:style w:type="character" w:customStyle="1" w:styleId="503">
    <w:name w:val="样式 样式 小四 行距: 1.5 倍行距 + 首行缩进:  2 字符 Char"/>
    <w:link w:val="502"/>
    <w:qFormat/>
    <w:uiPriority w:val="0"/>
    <w:rPr>
      <w:sz w:val="24"/>
    </w:rPr>
  </w:style>
  <w:style w:type="character" w:customStyle="1" w:styleId="504">
    <w:name w:val="未处理的提及4"/>
    <w:basedOn w:val="56"/>
    <w:unhideWhenUsed/>
    <w:qFormat/>
    <w:uiPriority w:val="99"/>
    <w:rPr>
      <w:color w:val="605E5C"/>
      <w:shd w:val="clear" w:color="auto" w:fill="E1DFDD"/>
    </w:rPr>
  </w:style>
  <w:style w:type="paragraph" w:customStyle="1" w:styleId="50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06">
    <w:name w:val="TOC 标题3"/>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07">
    <w:name w:val="Char Char"/>
    <w:qFormat/>
    <w:uiPriority w:val="0"/>
    <w:rPr>
      <w:rFonts w:ascii="Arial" w:hAnsi="Arial" w:eastAsia="黑体"/>
      <w:b/>
      <w:bCs/>
      <w:kern w:val="2"/>
      <w:sz w:val="32"/>
      <w:szCs w:val="32"/>
      <w:lang w:val="en-US" w:eastAsia="zh-CN" w:bidi="ar-SA"/>
    </w:rPr>
  </w:style>
  <w:style w:type="paragraph" w:customStyle="1" w:styleId="508">
    <w:name w:val="修订41"/>
    <w:hidden/>
    <w:qFormat/>
    <w:uiPriority w:val="99"/>
    <w:rPr>
      <w:rFonts w:ascii="Times New Roman" w:hAnsi="Times New Roman" w:eastAsia="宋体" w:cs="Times New Roman"/>
      <w:kern w:val="2"/>
      <w:sz w:val="21"/>
      <w:szCs w:val="24"/>
      <w:lang w:val="en-US" w:eastAsia="zh-CN" w:bidi="ar-SA"/>
    </w:rPr>
  </w:style>
  <w:style w:type="paragraph" w:customStyle="1" w:styleId="509">
    <w:name w:val="TOC 标题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11">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12">
    <w:name w:val="注释标题 字符"/>
    <w:basedOn w:val="56"/>
    <w:qFormat/>
    <w:uiPriority w:val="0"/>
    <w:rPr>
      <w:kern w:val="2"/>
      <w:sz w:val="21"/>
      <w:szCs w:val="24"/>
    </w:rPr>
  </w:style>
  <w:style w:type="character" w:customStyle="1" w:styleId="513">
    <w:name w:val="标题 2 字符2"/>
    <w:qFormat/>
    <w:uiPriority w:val="9"/>
    <w:rPr>
      <w:rFonts w:ascii="Arial" w:hAnsi="Arial" w:eastAsia="黑体"/>
      <w:b/>
      <w:sz w:val="30"/>
      <w:lang w:val="en-US" w:eastAsia="zh-CN" w:bidi="ar-SA"/>
    </w:rPr>
  </w:style>
  <w:style w:type="character" w:customStyle="1" w:styleId="514">
    <w:name w:val="标题 3 字符2"/>
    <w:qFormat/>
    <w:uiPriority w:val="99"/>
    <w:rPr>
      <w:rFonts w:ascii="宋体" w:eastAsia="宋体"/>
      <w:b/>
      <w:sz w:val="24"/>
      <w:u w:val="single"/>
      <w:lang w:val="en-US" w:eastAsia="zh-CN" w:bidi="ar-SA"/>
    </w:rPr>
  </w:style>
  <w:style w:type="character" w:customStyle="1" w:styleId="515">
    <w:name w:val="正文缩进 字符1"/>
    <w:qFormat/>
    <w:uiPriority w:val="0"/>
    <w:rPr>
      <w:rFonts w:ascii="宋体" w:eastAsia="宋体"/>
      <w:kern w:val="2"/>
      <w:sz w:val="24"/>
      <w:szCs w:val="24"/>
      <w:lang w:val="en-US" w:eastAsia="zh-CN" w:bidi="ar-SA"/>
    </w:rPr>
  </w:style>
  <w:style w:type="character" w:customStyle="1" w:styleId="516">
    <w:name w:val="正文文本缩进 字符2"/>
    <w:qFormat/>
    <w:uiPriority w:val="0"/>
    <w:rPr>
      <w:rFonts w:eastAsia="宋体"/>
      <w:kern w:val="2"/>
      <w:sz w:val="24"/>
      <w:szCs w:val="24"/>
      <w:lang w:val="en-US" w:eastAsia="zh-CN" w:bidi="ar-SA"/>
    </w:rPr>
  </w:style>
  <w:style w:type="character" w:customStyle="1" w:styleId="517">
    <w:name w:val="列表段落 字符2"/>
    <w:qFormat/>
    <w:uiPriority w:val="34"/>
    <w:rPr>
      <w:rFonts w:ascii="Calibri" w:hAnsi="Calibri" w:eastAsia="宋体"/>
      <w:kern w:val="2"/>
      <w:sz w:val="21"/>
      <w:szCs w:val="22"/>
      <w:lang w:val="en-US" w:eastAsia="zh-CN" w:bidi="ar-SA"/>
    </w:rPr>
  </w:style>
  <w:style w:type="character" w:customStyle="1" w:styleId="518">
    <w:name w:val="页眉 字符3"/>
    <w:qFormat/>
    <w:uiPriority w:val="99"/>
    <w:rPr>
      <w:rFonts w:eastAsia="宋体"/>
      <w:kern w:val="2"/>
      <w:sz w:val="18"/>
      <w:szCs w:val="18"/>
      <w:lang w:val="en-US" w:eastAsia="zh-CN" w:bidi="ar-SA"/>
    </w:rPr>
  </w:style>
  <w:style w:type="character" w:customStyle="1" w:styleId="519">
    <w:name w:val="页脚 字符3"/>
    <w:qFormat/>
    <w:uiPriority w:val="99"/>
    <w:rPr>
      <w:rFonts w:ascii="宋体" w:eastAsia="宋体"/>
      <w:sz w:val="18"/>
      <w:lang w:val="en-US" w:eastAsia="zh-CN" w:bidi="ar-SA"/>
    </w:rPr>
  </w:style>
  <w:style w:type="character" w:customStyle="1" w:styleId="520">
    <w:name w:val="批注文字 字符3"/>
    <w:qFormat/>
    <w:uiPriority w:val="99"/>
    <w:rPr>
      <w:kern w:val="2"/>
      <w:sz w:val="21"/>
      <w:szCs w:val="24"/>
    </w:rPr>
  </w:style>
  <w:style w:type="character" w:customStyle="1" w:styleId="521">
    <w:name w:val="标题 字符3"/>
    <w:qFormat/>
    <w:uiPriority w:val="0"/>
    <w:rPr>
      <w:b/>
      <w:kern w:val="2"/>
      <w:sz w:val="32"/>
    </w:rPr>
  </w:style>
  <w:style w:type="character" w:customStyle="1" w:styleId="522">
    <w:name w:val="纯文本 字符3"/>
    <w:basedOn w:val="56"/>
    <w:qFormat/>
    <w:uiPriority w:val="0"/>
    <w:rPr>
      <w:rFonts w:hint="eastAsia" w:ascii="宋体" w:hAnsi="Courier New" w:eastAsia="宋体" w:cs="宋体"/>
      <w:kern w:val="2"/>
      <w:sz w:val="21"/>
    </w:rPr>
  </w:style>
  <w:style w:type="character" w:customStyle="1" w:styleId="523">
    <w:name w:val="标题 1 字符3"/>
    <w:basedOn w:val="56"/>
    <w:qFormat/>
    <w:uiPriority w:val="9"/>
    <w:rPr>
      <w:rFonts w:ascii="宋体"/>
      <w:b/>
      <w:kern w:val="44"/>
      <w:sz w:val="32"/>
    </w:rPr>
  </w:style>
  <w:style w:type="character" w:customStyle="1" w:styleId="524">
    <w:name w:val="标题 4 字符2"/>
    <w:basedOn w:val="56"/>
    <w:qFormat/>
    <w:uiPriority w:val="9"/>
    <w:rPr>
      <w:rFonts w:ascii="Arial" w:hAnsi="Arial" w:eastAsia="黑体"/>
      <w:b/>
      <w:sz w:val="28"/>
    </w:rPr>
  </w:style>
  <w:style w:type="character" w:customStyle="1" w:styleId="525">
    <w:name w:val="标题 5 字符2"/>
    <w:basedOn w:val="56"/>
    <w:qFormat/>
    <w:uiPriority w:val="9"/>
    <w:rPr>
      <w:b/>
      <w:sz w:val="28"/>
    </w:rPr>
  </w:style>
  <w:style w:type="character" w:customStyle="1" w:styleId="526">
    <w:name w:val="标题 6 字符2"/>
    <w:basedOn w:val="56"/>
    <w:qFormat/>
    <w:uiPriority w:val="9"/>
    <w:rPr>
      <w:rFonts w:ascii="Arial" w:hAnsi="Arial" w:eastAsia="黑体"/>
      <w:b/>
      <w:sz w:val="24"/>
    </w:rPr>
  </w:style>
  <w:style w:type="character" w:customStyle="1" w:styleId="527">
    <w:name w:val="标题 7 字符2"/>
    <w:basedOn w:val="56"/>
    <w:qFormat/>
    <w:uiPriority w:val="9"/>
    <w:rPr>
      <w:b/>
      <w:sz w:val="24"/>
    </w:rPr>
  </w:style>
  <w:style w:type="character" w:customStyle="1" w:styleId="528">
    <w:name w:val="标题 8 字符2"/>
    <w:basedOn w:val="56"/>
    <w:qFormat/>
    <w:uiPriority w:val="9"/>
    <w:rPr>
      <w:rFonts w:ascii="Arial" w:hAnsi="Arial" w:eastAsia="黑体"/>
      <w:sz w:val="24"/>
    </w:rPr>
  </w:style>
  <w:style w:type="character" w:customStyle="1" w:styleId="529">
    <w:name w:val="标题 9 字符2"/>
    <w:basedOn w:val="56"/>
    <w:qFormat/>
    <w:uiPriority w:val="9"/>
    <w:rPr>
      <w:rFonts w:ascii="Arial" w:hAnsi="Arial" w:eastAsia="黑体"/>
      <w:sz w:val="21"/>
    </w:rPr>
  </w:style>
  <w:style w:type="character" w:customStyle="1" w:styleId="530">
    <w:name w:val="文档结构图 字符2"/>
    <w:basedOn w:val="56"/>
    <w:qFormat/>
    <w:uiPriority w:val="99"/>
    <w:rPr>
      <w:kern w:val="2"/>
      <w:sz w:val="21"/>
      <w:szCs w:val="24"/>
      <w:shd w:val="clear" w:color="auto" w:fill="000080"/>
    </w:rPr>
  </w:style>
  <w:style w:type="character" w:customStyle="1" w:styleId="531">
    <w:name w:val="正文文本 3 字符2"/>
    <w:basedOn w:val="56"/>
    <w:qFormat/>
    <w:uiPriority w:val="99"/>
    <w:rPr>
      <w:kern w:val="2"/>
      <w:sz w:val="16"/>
      <w:szCs w:val="16"/>
    </w:rPr>
  </w:style>
  <w:style w:type="character" w:customStyle="1" w:styleId="532">
    <w:name w:val="正文文本 字符2"/>
    <w:basedOn w:val="56"/>
    <w:qFormat/>
    <w:uiPriority w:val="99"/>
    <w:rPr>
      <w:rFonts w:ascii="宋体" w:hAnsi="宋体"/>
      <w:kern w:val="2"/>
      <w:sz w:val="24"/>
      <w:szCs w:val="24"/>
    </w:rPr>
  </w:style>
  <w:style w:type="character" w:customStyle="1" w:styleId="533">
    <w:name w:val="日期 字符2"/>
    <w:basedOn w:val="56"/>
    <w:qFormat/>
    <w:uiPriority w:val="99"/>
    <w:rPr>
      <w:rFonts w:ascii="仿宋_GB2312" w:hAnsi="宋体" w:eastAsia="仿宋_GB2312"/>
      <w:color w:val="000000"/>
      <w:kern w:val="2"/>
      <w:sz w:val="24"/>
      <w:szCs w:val="24"/>
    </w:rPr>
  </w:style>
  <w:style w:type="character" w:customStyle="1" w:styleId="534">
    <w:name w:val="正文文本缩进 2 字符2"/>
    <w:basedOn w:val="56"/>
    <w:qFormat/>
    <w:uiPriority w:val="99"/>
    <w:rPr>
      <w:rFonts w:ascii="仿宋_GB2312" w:eastAsia="仿宋_GB2312"/>
      <w:kern w:val="2"/>
      <w:sz w:val="24"/>
      <w:szCs w:val="24"/>
    </w:rPr>
  </w:style>
  <w:style w:type="character" w:customStyle="1" w:styleId="535">
    <w:name w:val="批注框文本 字符2"/>
    <w:basedOn w:val="56"/>
    <w:qFormat/>
    <w:uiPriority w:val="0"/>
    <w:rPr>
      <w:kern w:val="2"/>
      <w:sz w:val="18"/>
      <w:szCs w:val="18"/>
    </w:rPr>
  </w:style>
  <w:style w:type="character" w:customStyle="1" w:styleId="536">
    <w:name w:val="正文文本缩进 3 字符2"/>
    <w:basedOn w:val="56"/>
    <w:qFormat/>
    <w:uiPriority w:val="99"/>
    <w:rPr>
      <w:rFonts w:ascii="宋体"/>
      <w:sz w:val="24"/>
    </w:rPr>
  </w:style>
  <w:style w:type="character" w:customStyle="1" w:styleId="537">
    <w:name w:val="HTML 预设格式 字符2"/>
    <w:basedOn w:val="56"/>
    <w:qFormat/>
    <w:uiPriority w:val="99"/>
    <w:rPr>
      <w:rFonts w:ascii="宋体" w:hAnsi="宋体" w:cs="宋体"/>
      <w:sz w:val="24"/>
      <w:szCs w:val="24"/>
    </w:rPr>
  </w:style>
  <w:style w:type="character" w:customStyle="1" w:styleId="538">
    <w:name w:val="批注主题 字符2"/>
    <w:basedOn w:val="95"/>
    <w:qFormat/>
    <w:uiPriority w:val="0"/>
    <w:rPr>
      <w:rFonts w:ascii="Times New Roman" w:hAnsi="Times New Roman" w:eastAsia="宋体" w:cs="Times New Roman"/>
      <w:b/>
      <w:bCs/>
      <w:kern w:val="2"/>
      <w:sz w:val="21"/>
      <w:szCs w:val="24"/>
      <w:lang w:val="en-US" w:eastAsia="zh-CN" w:bidi="ar-SA"/>
    </w:rPr>
  </w:style>
  <w:style w:type="character" w:customStyle="1" w:styleId="539">
    <w:name w:val="纯文本 Char3"/>
    <w:qFormat/>
    <w:uiPriority w:val="0"/>
    <w:rPr>
      <w:rFonts w:hint="eastAsia" w:ascii="宋体" w:hAnsi="Courier New" w:eastAsia="宋体" w:cs="宋体"/>
      <w:kern w:val="2"/>
      <w:sz w:val="21"/>
    </w:rPr>
  </w:style>
  <w:style w:type="character" w:customStyle="1" w:styleId="540">
    <w:name w:val="彩色列表 - 着色 1 字符"/>
    <w:link w:val="541"/>
    <w:qFormat/>
    <w:uiPriority w:val="34"/>
    <w:rPr>
      <w:rFonts w:ascii="Calibri" w:hAnsi="Calibri"/>
      <w:kern w:val="2"/>
      <w:sz w:val="21"/>
      <w:szCs w:val="22"/>
    </w:rPr>
  </w:style>
  <w:style w:type="paragraph" w:customStyle="1" w:styleId="541">
    <w:name w:val="彩色列表 - 着色 11"/>
    <w:basedOn w:val="1"/>
    <w:link w:val="540"/>
    <w:qFormat/>
    <w:uiPriority w:val="34"/>
    <w:pPr>
      <w:ind w:firstLine="420" w:firstLineChars="200"/>
    </w:pPr>
    <w:rPr>
      <w:rFonts w:ascii="Calibri" w:hAnsi="Calibri"/>
      <w:szCs w:val="22"/>
    </w:rPr>
  </w:style>
  <w:style w:type="paragraph" w:customStyle="1" w:styleId="54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44">
    <w:name w:val="正文文本 2 字符3"/>
    <w:basedOn w:val="56"/>
    <w:qFormat/>
    <w:uiPriority w:val="99"/>
    <w:rPr>
      <w:rFonts w:ascii="Calibri" w:hAnsi="Calibri"/>
      <w:sz w:val="24"/>
      <w:szCs w:val="22"/>
    </w:rPr>
  </w:style>
  <w:style w:type="character" w:customStyle="1" w:styleId="545">
    <w:name w:val="引用 字符2"/>
    <w:qFormat/>
    <w:uiPriority w:val="29"/>
    <w:rPr>
      <w:rFonts w:ascii="Calibri" w:hAnsi="Calibri"/>
      <w:i/>
      <w:sz w:val="24"/>
      <w:szCs w:val="24"/>
    </w:rPr>
  </w:style>
  <w:style w:type="character" w:customStyle="1" w:styleId="546">
    <w:name w:val="明显引用 字符2"/>
    <w:qFormat/>
    <w:uiPriority w:val="30"/>
    <w:rPr>
      <w:rFonts w:ascii="Calibri" w:hAnsi="Calibri"/>
      <w:b/>
      <w:i/>
      <w:sz w:val="24"/>
      <w:szCs w:val="22"/>
    </w:rPr>
  </w:style>
  <w:style w:type="character" w:customStyle="1" w:styleId="547">
    <w:name w:val="副标题 字符2"/>
    <w:qFormat/>
    <w:uiPriority w:val="11"/>
    <w:rPr>
      <w:rFonts w:ascii="Cambria" w:hAnsi="Cambria"/>
      <w:sz w:val="24"/>
      <w:szCs w:val="24"/>
    </w:rPr>
  </w:style>
  <w:style w:type="character" w:customStyle="1" w:styleId="548">
    <w:name w:val="正文文本缩进 3 Char2"/>
    <w:basedOn w:val="56"/>
    <w:qFormat/>
    <w:uiPriority w:val="0"/>
    <w:rPr>
      <w:kern w:val="2"/>
      <w:sz w:val="16"/>
      <w:szCs w:val="16"/>
    </w:rPr>
  </w:style>
  <w:style w:type="character" w:customStyle="1" w:styleId="549">
    <w:name w:val="文档结构图 Char2"/>
    <w:basedOn w:val="56"/>
    <w:qFormat/>
    <w:uiPriority w:val="0"/>
    <w:rPr>
      <w:rFonts w:ascii="宋体"/>
      <w:kern w:val="2"/>
      <w:sz w:val="18"/>
      <w:szCs w:val="18"/>
    </w:rPr>
  </w:style>
  <w:style w:type="character" w:customStyle="1" w:styleId="550">
    <w:name w:val="正文首行缩进 Char2"/>
    <w:basedOn w:val="532"/>
    <w:qFormat/>
    <w:uiPriority w:val="0"/>
    <w:rPr>
      <w:rFonts w:ascii="宋体" w:hAnsi="宋体"/>
      <w:kern w:val="2"/>
      <w:sz w:val="21"/>
      <w:szCs w:val="24"/>
    </w:rPr>
  </w:style>
  <w:style w:type="character" w:customStyle="1" w:styleId="551">
    <w:name w:val="副标题 Char2"/>
    <w:basedOn w:val="56"/>
    <w:qFormat/>
    <w:uiPriority w:val="0"/>
    <w:rPr>
      <w:rFonts w:asciiTheme="majorHAnsi" w:hAnsiTheme="majorHAnsi" w:cstheme="majorBidi"/>
      <w:b/>
      <w:bCs/>
      <w:kern w:val="28"/>
      <w:sz w:val="32"/>
      <w:szCs w:val="32"/>
    </w:rPr>
  </w:style>
  <w:style w:type="character" w:customStyle="1" w:styleId="552">
    <w:name w:val="正文文本 3 Char2"/>
    <w:basedOn w:val="56"/>
    <w:qFormat/>
    <w:uiPriority w:val="0"/>
    <w:rPr>
      <w:kern w:val="2"/>
      <w:sz w:val="16"/>
      <w:szCs w:val="16"/>
    </w:rPr>
  </w:style>
  <w:style w:type="paragraph" w:customStyle="1" w:styleId="553">
    <w:name w:val="修订21"/>
    <w:qFormat/>
    <w:uiPriority w:val="0"/>
    <w:rPr>
      <w:rFonts w:ascii="Times New Roman" w:hAnsi="Times New Roman" w:eastAsia="宋体" w:cs="Times New Roman"/>
      <w:kern w:val="2"/>
      <w:sz w:val="21"/>
      <w:szCs w:val="24"/>
      <w:lang w:val="en-US" w:eastAsia="zh-CN" w:bidi="ar-SA"/>
    </w:rPr>
  </w:style>
  <w:style w:type="character" w:customStyle="1" w:styleId="554">
    <w:name w:val="明显引用 Char2"/>
    <w:basedOn w:val="56"/>
    <w:qFormat/>
    <w:uiPriority w:val="99"/>
    <w:rPr>
      <w:b/>
      <w:bCs/>
      <w:i/>
      <w:iCs/>
      <w:color w:val="4472C4" w:themeColor="accent1"/>
      <w:kern w:val="2"/>
      <w:sz w:val="21"/>
      <w:szCs w:val="24"/>
      <w14:textFill>
        <w14:solidFill>
          <w14:schemeClr w14:val="accent1"/>
        </w14:solidFill>
      </w14:textFill>
    </w:rPr>
  </w:style>
  <w:style w:type="character" w:customStyle="1" w:styleId="555">
    <w:name w:val="引用 Char2"/>
    <w:basedOn w:val="56"/>
    <w:qFormat/>
    <w:uiPriority w:val="99"/>
    <w:rPr>
      <w:i/>
      <w:iCs/>
      <w:color w:val="000000" w:themeColor="text1"/>
      <w:kern w:val="2"/>
      <w:sz w:val="21"/>
      <w:szCs w:val="24"/>
      <w14:textFill>
        <w14:solidFill>
          <w14:schemeClr w14:val="tx1"/>
        </w14:solidFill>
      </w14:textFill>
    </w:rPr>
  </w:style>
  <w:style w:type="paragraph" w:customStyle="1" w:styleId="556">
    <w:name w:val="列表段落11"/>
    <w:basedOn w:val="1"/>
    <w:qFormat/>
    <w:uiPriority w:val="34"/>
    <w:pPr>
      <w:ind w:firstLine="420" w:firstLineChars="200"/>
    </w:pPr>
    <w:rPr>
      <w:rFonts w:ascii="Calibri" w:hAnsi="Calibri"/>
      <w:szCs w:val="22"/>
    </w:rPr>
  </w:style>
  <w:style w:type="character" w:customStyle="1" w:styleId="557">
    <w:name w:val="未处理的提及11"/>
    <w:unhideWhenUsed/>
    <w:qFormat/>
    <w:uiPriority w:val="99"/>
    <w:rPr>
      <w:color w:val="605E5C"/>
      <w:shd w:val="clear" w:color="auto" w:fill="E1DFDD"/>
    </w:rPr>
  </w:style>
  <w:style w:type="paragraph" w:customStyle="1" w:styleId="558">
    <w:name w:val="页眉2"/>
    <w:basedOn w:val="1"/>
    <w:qFormat/>
    <w:uiPriority w:val="0"/>
    <w:pPr>
      <w:pBdr>
        <w:bottom w:val="single" w:color="auto" w:sz="6" w:space="1"/>
      </w:pBdr>
      <w:tabs>
        <w:tab w:val="center" w:pos="4153"/>
        <w:tab w:val="right" w:pos="8306"/>
      </w:tabs>
      <w:snapToGrid w:val="0"/>
      <w:jc w:val="center"/>
    </w:pPr>
    <w:rPr>
      <w:rFonts w:hint="eastAsia"/>
      <w:sz w:val="18"/>
      <w:szCs w:val="20"/>
    </w:rPr>
  </w:style>
  <w:style w:type="character" w:customStyle="1" w:styleId="559">
    <w:name w:val="注释标题 字符2"/>
    <w:link w:val="12"/>
    <w:qFormat/>
    <w:uiPriority w:val="0"/>
    <w:rPr>
      <w:rFonts w:ascii="幼圆" w:eastAsia="幼圆"/>
      <w:b/>
      <w:kern w:val="2"/>
      <w:sz w:val="32"/>
      <w:szCs w:val="32"/>
    </w:rPr>
  </w:style>
  <w:style w:type="character" w:customStyle="1" w:styleId="560">
    <w:name w:val="注释标题 Char1"/>
    <w:basedOn w:val="56"/>
    <w:qFormat/>
    <w:uiPriority w:val="0"/>
    <w:rPr>
      <w:kern w:val="2"/>
      <w:sz w:val="21"/>
      <w:szCs w:val="24"/>
    </w:rPr>
  </w:style>
  <w:style w:type="table" w:customStyle="1" w:styleId="561">
    <w:name w:val="网格型1"/>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2">
    <w:name w:val="样式 标题 2 + (符号) 宋体 小四 Char"/>
    <w:qFormat/>
    <w:uiPriority w:val="0"/>
    <w:rPr>
      <w:rFonts w:ascii="Arial" w:hAnsi="Arial" w:eastAsia="宋体"/>
      <w:b/>
      <w:bCs/>
      <w:kern w:val="2"/>
      <w:sz w:val="24"/>
      <w:szCs w:val="32"/>
      <w:lang w:val="en-US" w:eastAsia="zh-CN" w:bidi="ar-SA"/>
    </w:rPr>
  </w:style>
  <w:style w:type="character" w:customStyle="1" w:styleId="563">
    <w:name w:val="正文文本 Char3"/>
    <w:qFormat/>
    <w:uiPriority w:val="0"/>
    <w:rPr>
      <w:rFonts w:ascii="宋体" w:hAnsi="宋体"/>
      <w:kern w:val="2"/>
      <w:sz w:val="24"/>
      <w:szCs w:val="24"/>
    </w:rPr>
  </w:style>
  <w:style w:type="character" w:customStyle="1" w:styleId="564">
    <w:name w:val="列出段落 Char2"/>
    <w:qFormat/>
    <w:uiPriority w:val="34"/>
    <w:rPr>
      <w:rFonts w:ascii="Calibri" w:hAnsi="Calibri" w:eastAsia="宋体"/>
      <w:kern w:val="2"/>
      <w:sz w:val="21"/>
      <w:szCs w:val="22"/>
      <w:lang w:val="en-US" w:eastAsia="zh-CN" w:bidi="ar-SA"/>
    </w:rPr>
  </w:style>
  <w:style w:type="character" w:customStyle="1" w:styleId="565">
    <w:name w:val="标题 1 Char2"/>
    <w:qFormat/>
    <w:uiPriority w:val="0"/>
    <w:rPr>
      <w:rFonts w:ascii="宋体"/>
      <w:b/>
      <w:kern w:val="44"/>
      <w:sz w:val="32"/>
    </w:rPr>
  </w:style>
  <w:style w:type="character" w:customStyle="1" w:styleId="566">
    <w:name w:val="标题 2 Char2"/>
    <w:qFormat/>
    <w:uiPriority w:val="9"/>
    <w:rPr>
      <w:rFonts w:ascii="Arial" w:hAnsi="Arial" w:eastAsia="黑体"/>
      <w:b/>
      <w:sz w:val="30"/>
      <w:lang w:val="en-US" w:eastAsia="zh-CN" w:bidi="ar-SA"/>
    </w:rPr>
  </w:style>
  <w:style w:type="character" w:customStyle="1" w:styleId="567">
    <w:name w:val="标题 3 Char2"/>
    <w:qFormat/>
    <w:uiPriority w:val="0"/>
    <w:rPr>
      <w:rFonts w:ascii="宋体" w:eastAsia="宋体"/>
      <w:b/>
      <w:sz w:val="24"/>
      <w:u w:val="single"/>
      <w:lang w:val="en-US" w:eastAsia="zh-CN" w:bidi="ar-SA"/>
    </w:rPr>
  </w:style>
  <w:style w:type="character" w:customStyle="1" w:styleId="568">
    <w:name w:val="标题 4 Char2"/>
    <w:qFormat/>
    <w:uiPriority w:val="0"/>
    <w:rPr>
      <w:rFonts w:ascii="Arial" w:hAnsi="Arial" w:eastAsia="黑体"/>
      <w:b/>
      <w:sz w:val="28"/>
    </w:rPr>
  </w:style>
  <w:style w:type="character" w:customStyle="1" w:styleId="569">
    <w:name w:val="标题 5 Char2"/>
    <w:qFormat/>
    <w:uiPriority w:val="0"/>
    <w:rPr>
      <w:b/>
      <w:sz w:val="28"/>
    </w:rPr>
  </w:style>
  <w:style w:type="character" w:customStyle="1" w:styleId="570">
    <w:name w:val="标题 6 Char2"/>
    <w:qFormat/>
    <w:uiPriority w:val="0"/>
    <w:rPr>
      <w:rFonts w:ascii="Arial" w:hAnsi="Arial" w:eastAsia="黑体"/>
      <w:b/>
      <w:sz w:val="24"/>
    </w:rPr>
  </w:style>
  <w:style w:type="character" w:customStyle="1" w:styleId="571">
    <w:name w:val="标题 7 Char2"/>
    <w:qFormat/>
    <w:uiPriority w:val="0"/>
    <w:rPr>
      <w:b/>
      <w:sz w:val="24"/>
    </w:rPr>
  </w:style>
  <w:style w:type="character" w:customStyle="1" w:styleId="572">
    <w:name w:val="标题 8 Char2"/>
    <w:qFormat/>
    <w:uiPriority w:val="0"/>
    <w:rPr>
      <w:rFonts w:ascii="Arial" w:hAnsi="Arial" w:eastAsia="黑体"/>
      <w:sz w:val="24"/>
    </w:rPr>
  </w:style>
  <w:style w:type="character" w:customStyle="1" w:styleId="573">
    <w:name w:val="标题 9 Char2"/>
    <w:qFormat/>
    <w:uiPriority w:val="0"/>
    <w:rPr>
      <w:rFonts w:ascii="Arial" w:hAnsi="Arial" w:eastAsia="黑体"/>
      <w:sz w:val="21"/>
    </w:rPr>
  </w:style>
  <w:style w:type="character" w:customStyle="1" w:styleId="574">
    <w:name w:val="批注文字 Char2"/>
    <w:qFormat/>
    <w:uiPriority w:val="0"/>
    <w:rPr>
      <w:kern w:val="2"/>
      <w:sz w:val="21"/>
      <w:szCs w:val="24"/>
    </w:rPr>
  </w:style>
  <w:style w:type="character" w:customStyle="1" w:styleId="575">
    <w:name w:val="日期 Char2"/>
    <w:qFormat/>
    <w:uiPriority w:val="0"/>
    <w:rPr>
      <w:rFonts w:ascii="仿宋_GB2312" w:hAnsi="宋体" w:eastAsia="仿宋_GB2312"/>
      <w:color w:val="000000"/>
      <w:kern w:val="2"/>
      <w:sz w:val="24"/>
      <w:szCs w:val="24"/>
    </w:rPr>
  </w:style>
  <w:style w:type="character" w:customStyle="1" w:styleId="576">
    <w:name w:val="正文文本缩进 2 Char2"/>
    <w:qFormat/>
    <w:uiPriority w:val="0"/>
    <w:rPr>
      <w:rFonts w:ascii="仿宋_GB2312" w:eastAsia="仿宋_GB2312"/>
      <w:kern w:val="2"/>
      <w:sz w:val="24"/>
      <w:szCs w:val="24"/>
    </w:rPr>
  </w:style>
  <w:style w:type="character" w:customStyle="1" w:styleId="577">
    <w:name w:val="批注框文本 Char2"/>
    <w:qFormat/>
    <w:uiPriority w:val="0"/>
    <w:rPr>
      <w:kern w:val="2"/>
      <w:sz w:val="18"/>
      <w:szCs w:val="18"/>
    </w:rPr>
  </w:style>
  <w:style w:type="character" w:customStyle="1" w:styleId="578">
    <w:name w:val="页脚 Char2"/>
    <w:qFormat/>
    <w:uiPriority w:val="99"/>
    <w:rPr>
      <w:rFonts w:ascii="宋体" w:eastAsia="宋体"/>
      <w:sz w:val="18"/>
      <w:lang w:val="en-US" w:eastAsia="zh-CN" w:bidi="ar-SA"/>
    </w:rPr>
  </w:style>
  <w:style w:type="character" w:customStyle="1" w:styleId="579">
    <w:name w:val="页眉 Char2"/>
    <w:qFormat/>
    <w:uiPriority w:val="99"/>
    <w:rPr>
      <w:rFonts w:eastAsia="宋体"/>
      <w:kern w:val="2"/>
      <w:sz w:val="18"/>
      <w:szCs w:val="18"/>
      <w:lang w:val="en-US" w:eastAsia="zh-CN" w:bidi="ar-SA"/>
    </w:rPr>
  </w:style>
  <w:style w:type="character" w:customStyle="1" w:styleId="580">
    <w:name w:val="HTML 预设格式 Char2"/>
    <w:qFormat/>
    <w:uiPriority w:val="0"/>
    <w:rPr>
      <w:rFonts w:ascii="宋体" w:hAnsi="宋体" w:cs="宋体"/>
      <w:sz w:val="24"/>
      <w:szCs w:val="24"/>
    </w:rPr>
  </w:style>
  <w:style w:type="character" w:customStyle="1" w:styleId="581">
    <w:name w:val="标题 Char2"/>
    <w:qFormat/>
    <w:uiPriority w:val="0"/>
    <w:rPr>
      <w:b/>
      <w:kern w:val="2"/>
      <w:sz w:val="32"/>
    </w:rPr>
  </w:style>
  <w:style w:type="character" w:customStyle="1" w:styleId="582">
    <w:name w:val="批注主题 Char2"/>
    <w:qFormat/>
    <w:uiPriority w:val="0"/>
    <w:rPr>
      <w:rFonts w:ascii="Times New Roman" w:hAnsi="Times New Roman" w:eastAsia="宋体" w:cs="Times New Roman"/>
      <w:b/>
      <w:bCs/>
      <w:kern w:val="2"/>
      <w:sz w:val="21"/>
      <w:szCs w:val="24"/>
      <w:lang w:val="en-US" w:eastAsia="zh-CN" w:bidi="ar-SA"/>
    </w:rPr>
  </w:style>
  <w:style w:type="character" w:customStyle="1" w:styleId="583">
    <w:name w:val="不明显强调11"/>
    <w:qFormat/>
    <w:uiPriority w:val="0"/>
    <w:rPr>
      <w:i/>
      <w:color w:val="5A5A5A"/>
    </w:rPr>
  </w:style>
  <w:style w:type="character" w:customStyle="1" w:styleId="584">
    <w:name w:val="明显参考11"/>
    <w:qFormat/>
    <w:uiPriority w:val="0"/>
    <w:rPr>
      <w:b/>
      <w:sz w:val="24"/>
      <w:u w:val="single"/>
    </w:rPr>
  </w:style>
  <w:style w:type="character" w:customStyle="1" w:styleId="585">
    <w:name w:val="标题 4 字符1"/>
    <w:qFormat/>
    <w:uiPriority w:val="9"/>
    <w:rPr>
      <w:rFonts w:ascii="Arial" w:hAnsi="Arial" w:eastAsia="黑体"/>
      <w:b/>
      <w:sz w:val="28"/>
    </w:rPr>
  </w:style>
  <w:style w:type="character" w:customStyle="1" w:styleId="586">
    <w:name w:val="批注框文本 字符1"/>
    <w:qFormat/>
    <w:uiPriority w:val="0"/>
    <w:rPr>
      <w:kern w:val="2"/>
      <w:sz w:val="18"/>
      <w:szCs w:val="18"/>
    </w:rPr>
  </w:style>
  <w:style w:type="character" w:customStyle="1" w:styleId="587">
    <w:name w:val="正文文本 3 字符1"/>
    <w:qFormat/>
    <w:uiPriority w:val="99"/>
    <w:rPr>
      <w:kern w:val="2"/>
      <w:sz w:val="16"/>
      <w:szCs w:val="16"/>
    </w:rPr>
  </w:style>
  <w:style w:type="character" w:customStyle="1" w:styleId="588">
    <w:name w:val="列出段落 字符1"/>
    <w:qFormat/>
    <w:uiPriority w:val="34"/>
    <w:rPr>
      <w:rFonts w:ascii="Calibri" w:hAnsi="Calibri" w:eastAsia="宋体"/>
      <w:kern w:val="2"/>
      <w:sz w:val="21"/>
      <w:szCs w:val="22"/>
      <w:lang w:val="en-US" w:eastAsia="zh-CN" w:bidi="ar-SA"/>
    </w:rPr>
  </w:style>
  <w:style w:type="character" w:customStyle="1" w:styleId="589">
    <w:name w:val="正文首行缩进 2 字符"/>
    <w:qFormat/>
    <w:uiPriority w:val="0"/>
    <w:rPr>
      <w:rFonts w:eastAsia="宋体"/>
      <w:kern w:val="2"/>
      <w:sz w:val="24"/>
      <w:szCs w:val="24"/>
      <w:lang w:val="en-US" w:eastAsia="zh-CN" w:bidi="ar-SA"/>
    </w:rPr>
  </w:style>
  <w:style w:type="character" w:customStyle="1" w:styleId="590">
    <w:name w:val="标题 7 字符1"/>
    <w:qFormat/>
    <w:uiPriority w:val="9"/>
    <w:rPr>
      <w:b/>
      <w:sz w:val="24"/>
    </w:rPr>
  </w:style>
  <w:style w:type="character" w:customStyle="1" w:styleId="591">
    <w:name w:val="标题 9 字符1"/>
    <w:qFormat/>
    <w:uiPriority w:val="9"/>
    <w:rPr>
      <w:rFonts w:ascii="Arial" w:hAnsi="Arial" w:eastAsia="黑体"/>
      <w:sz w:val="21"/>
    </w:rPr>
  </w:style>
  <w:style w:type="character" w:customStyle="1" w:styleId="592">
    <w:name w:val="标题 1 字符2"/>
    <w:qFormat/>
    <w:uiPriority w:val="9"/>
    <w:rPr>
      <w:rFonts w:ascii="宋体"/>
      <w:b/>
      <w:kern w:val="44"/>
      <w:sz w:val="32"/>
    </w:rPr>
  </w:style>
  <w:style w:type="character" w:customStyle="1" w:styleId="593">
    <w:name w:val="正文文本缩进 3 字符1"/>
    <w:qFormat/>
    <w:uiPriority w:val="99"/>
    <w:rPr>
      <w:rFonts w:ascii="宋体"/>
      <w:sz w:val="24"/>
    </w:rPr>
  </w:style>
  <w:style w:type="character" w:customStyle="1" w:styleId="594">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595">
    <w:name w:val="正文文本缩进 字符1"/>
    <w:qFormat/>
    <w:uiPriority w:val="0"/>
    <w:rPr>
      <w:rFonts w:eastAsia="宋体"/>
      <w:kern w:val="2"/>
      <w:sz w:val="24"/>
      <w:szCs w:val="24"/>
      <w:lang w:val="en-US" w:eastAsia="zh-CN" w:bidi="ar-SA"/>
    </w:rPr>
  </w:style>
  <w:style w:type="character" w:customStyle="1" w:styleId="596">
    <w:name w:val="日期 字符1"/>
    <w:qFormat/>
    <w:uiPriority w:val="99"/>
    <w:rPr>
      <w:rFonts w:ascii="仿宋_GB2312" w:hAnsi="宋体" w:eastAsia="仿宋_GB2312"/>
      <w:color w:val="000000"/>
      <w:kern w:val="2"/>
      <w:sz w:val="24"/>
      <w:szCs w:val="24"/>
    </w:rPr>
  </w:style>
  <w:style w:type="character" w:customStyle="1" w:styleId="597">
    <w:name w:val="明显强调11"/>
    <w:qFormat/>
    <w:uiPriority w:val="0"/>
    <w:rPr>
      <w:b/>
      <w:i/>
      <w:sz w:val="24"/>
      <w:szCs w:val="24"/>
      <w:u w:val="single"/>
    </w:rPr>
  </w:style>
  <w:style w:type="character" w:customStyle="1" w:styleId="598">
    <w:name w:val="HTML 预设格式 字符1"/>
    <w:qFormat/>
    <w:uiPriority w:val="99"/>
    <w:rPr>
      <w:rFonts w:ascii="宋体" w:hAnsi="宋体" w:cs="宋体"/>
      <w:sz w:val="24"/>
      <w:szCs w:val="24"/>
    </w:rPr>
  </w:style>
  <w:style w:type="character" w:customStyle="1" w:styleId="599">
    <w:name w:val="文档结构图 字符1"/>
    <w:qFormat/>
    <w:uiPriority w:val="99"/>
    <w:rPr>
      <w:kern w:val="2"/>
      <w:sz w:val="21"/>
      <w:szCs w:val="24"/>
      <w:shd w:val="clear" w:color="auto" w:fill="000080"/>
    </w:rPr>
  </w:style>
  <w:style w:type="character" w:customStyle="1" w:styleId="600">
    <w:name w:val="标题 6 字符1"/>
    <w:qFormat/>
    <w:uiPriority w:val="9"/>
    <w:rPr>
      <w:rFonts w:ascii="Arial" w:hAnsi="Arial" w:eastAsia="黑体"/>
      <w:b/>
      <w:sz w:val="24"/>
    </w:rPr>
  </w:style>
  <w:style w:type="character" w:customStyle="1" w:styleId="601">
    <w:name w:val="正文首行缩进 字符"/>
    <w:qFormat/>
    <w:uiPriority w:val="0"/>
  </w:style>
  <w:style w:type="character" w:customStyle="1" w:styleId="602">
    <w:name w:val="正文文本缩进 2 字符1"/>
    <w:qFormat/>
    <w:uiPriority w:val="99"/>
    <w:rPr>
      <w:rFonts w:ascii="仿宋_GB2312" w:eastAsia="仿宋_GB2312"/>
      <w:kern w:val="2"/>
      <w:sz w:val="24"/>
      <w:szCs w:val="24"/>
    </w:rPr>
  </w:style>
  <w:style w:type="character" w:customStyle="1" w:styleId="603">
    <w:name w:val="标题 5 字符1"/>
    <w:qFormat/>
    <w:uiPriority w:val="9"/>
    <w:rPr>
      <w:b/>
      <w:sz w:val="28"/>
    </w:rPr>
  </w:style>
  <w:style w:type="character" w:customStyle="1" w:styleId="604">
    <w:name w:val="批注文字 字符2"/>
    <w:qFormat/>
    <w:uiPriority w:val="99"/>
    <w:rPr>
      <w:kern w:val="2"/>
      <w:sz w:val="21"/>
      <w:szCs w:val="24"/>
    </w:rPr>
  </w:style>
  <w:style w:type="character" w:customStyle="1" w:styleId="605">
    <w:name w:val="标题 3 字符1"/>
    <w:qFormat/>
    <w:uiPriority w:val="0"/>
    <w:rPr>
      <w:rFonts w:ascii="宋体" w:eastAsia="宋体"/>
      <w:b/>
      <w:sz w:val="24"/>
      <w:u w:val="single"/>
      <w:lang w:val="en-US" w:eastAsia="zh-CN" w:bidi="ar-SA"/>
    </w:rPr>
  </w:style>
  <w:style w:type="character" w:customStyle="1" w:styleId="606">
    <w:name w:val="书籍标题11"/>
    <w:qFormat/>
    <w:uiPriority w:val="0"/>
    <w:rPr>
      <w:rFonts w:ascii="Cambria" w:hAnsi="Cambria" w:eastAsia="宋体"/>
      <w:b/>
      <w:i/>
      <w:sz w:val="24"/>
      <w:szCs w:val="24"/>
    </w:rPr>
  </w:style>
  <w:style w:type="character" w:customStyle="1" w:styleId="607">
    <w:name w:val="标题 2 字符1"/>
    <w:qFormat/>
    <w:uiPriority w:val="9"/>
    <w:rPr>
      <w:rFonts w:ascii="Arial" w:hAnsi="Arial" w:eastAsia="黑体"/>
      <w:b/>
      <w:sz w:val="30"/>
      <w:lang w:val="en-US" w:eastAsia="zh-CN" w:bidi="ar-SA"/>
    </w:rPr>
  </w:style>
  <w:style w:type="character" w:customStyle="1" w:styleId="608">
    <w:name w:val="不明显参考11"/>
    <w:qFormat/>
    <w:uiPriority w:val="0"/>
    <w:rPr>
      <w:sz w:val="24"/>
      <w:szCs w:val="24"/>
      <w:u w:val="single"/>
    </w:rPr>
  </w:style>
  <w:style w:type="character" w:customStyle="1" w:styleId="609">
    <w:name w:val="正文文本 字符1"/>
    <w:qFormat/>
    <w:uiPriority w:val="99"/>
    <w:rPr>
      <w:rFonts w:ascii="宋体" w:hAnsi="宋体"/>
      <w:kern w:val="2"/>
      <w:sz w:val="24"/>
      <w:szCs w:val="24"/>
    </w:rPr>
  </w:style>
  <w:style w:type="character" w:customStyle="1" w:styleId="610">
    <w:name w:val="页脚 字符2"/>
    <w:qFormat/>
    <w:uiPriority w:val="99"/>
    <w:rPr>
      <w:rFonts w:ascii="宋体" w:eastAsia="宋体"/>
      <w:sz w:val="18"/>
      <w:lang w:val="en-US" w:eastAsia="zh-CN" w:bidi="ar-SA"/>
    </w:rPr>
  </w:style>
  <w:style w:type="character" w:customStyle="1" w:styleId="611">
    <w:name w:val="页眉 字符2"/>
    <w:qFormat/>
    <w:uiPriority w:val="99"/>
    <w:rPr>
      <w:rFonts w:eastAsia="宋体"/>
      <w:kern w:val="2"/>
      <w:sz w:val="18"/>
      <w:szCs w:val="18"/>
      <w:lang w:val="en-US" w:eastAsia="zh-CN" w:bidi="ar-SA"/>
    </w:rPr>
  </w:style>
  <w:style w:type="character" w:customStyle="1" w:styleId="612">
    <w:name w:val="标题 8 字符1"/>
    <w:qFormat/>
    <w:uiPriority w:val="9"/>
    <w:rPr>
      <w:rFonts w:ascii="Arial" w:hAnsi="Arial" w:eastAsia="黑体"/>
      <w:sz w:val="24"/>
    </w:rPr>
  </w:style>
  <w:style w:type="character" w:customStyle="1" w:styleId="613">
    <w:name w:val="标题 字符2"/>
    <w:qFormat/>
    <w:uiPriority w:val="0"/>
    <w:rPr>
      <w:b/>
      <w:kern w:val="2"/>
      <w:sz w:val="32"/>
    </w:rPr>
  </w:style>
  <w:style w:type="paragraph" w:customStyle="1" w:styleId="614">
    <w:name w:val="_Style 572"/>
    <w:qFormat/>
    <w:uiPriority w:val="0"/>
    <w:rPr>
      <w:rFonts w:ascii="Times New Roman" w:hAnsi="Times New Roman" w:eastAsia="宋体" w:cs="Times New Roman"/>
      <w:kern w:val="2"/>
      <w:sz w:val="21"/>
      <w:szCs w:val="24"/>
      <w:lang w:val="en-US" w:eastAsia="zh-CN" w:bidi="ar-SA"/>
    </w:rPr>
  </w:style>
  <w:style w:type="table" w:customStyle="1" w:styleId="615">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16">
    <w:name w:val="标题 1 字符"/>
    <w:qFormat/>
    <w:uiPriority w:val="0"/>
    <w:rPr>
      <w:rFonts w:ascii="宋体" w:hAnsi="Times New Roman" w:eastAsia="宋体" w:cs="Times New Roman"/>
      <w:b/>
      <w:kern w:val="44"/>
      <w:sz w:val="32"/>
      <w:szCs w:val="20"/>
    </w:rPr>
  </w:style>
  <w:style w:type="character" w:customStyle="1" w:styleId="617">
    <w:name w:val="标题 2 字符"/>
    <w:qFormat/>
    <w:uiPriority w:val="9"/>
    <w:rPr>
      <w:rFonts w:ascii="Arial" w:hAnsi="Arial" w:eastAsia="黑体" w:cs="Times New Roman"/>
      <w:b/>
      <w:kern w:val="0"/>
      <w:sz w:val="30"/>
      <w:szCs w:val="20"/>
    </w:rPr>
  </w:style>
  <w:style w:type="character" w:customStyle="1" w:styleId="618">
    <w:name w:val="正文缩进 字符"/>
    <w:qFormat/>
    <w:uiPriority w:val="0"/>
    <w:rPr>
      <w:rFonts w:ascii="宋体" w:hAnsi="Times New Roman" w:eastAsia="宋体" w:cs="Times New Roman"/>
      <w:sz w:val="24"/>
      <w:szCs w:val="24"/>
    </w:rPr>
  </w:style>
  <w:style w:type="character" w:customStyle="1" w:styleId="619">
    <w:name w:val="标题 3 字符"/>
    <w:qFormat/>
    <w:uiPriority w:val="0"/>
    <w:rPr>
      <w:rFonts w:ascii="宋体" w:hAnsi="Times New Roman" w:eastAsia="宋体" w:cs="Times New Roman"/>
      <w:b/>
      <w:kern w:val="0"/>
      <w:sz w:val="24"/>
      <w:szCs w:val="20"/>
      <w:u w:val="single"/>
    </w:rPr>
  </w:style>
  <w:style w:type="character" w:customStyle="1" w:styleId="620">
    <w:name w:val="标题 4 字符"/>
    <w:qFormat/>
    <w:uiPriority w:val="0"/>
    <w:rPr>
      <w:rFonts w:ascii="Arial" w:hAnsi="Arial" w:eastAsia="黑体" w:cs="Times New Roman"/>
      <w:b/>
      <w:kern w:val="0"/>
      <w:sz w:val="28"/>
      <w:szCs w:val="20"/>
    </w:rPr>
  </w:style>
  <w:style w:type="character" w:customStyle="1" w:styleId="621">
    <w:name w:val="标题 5 字符"/>
    <w:qFormat/>
    <w:uiPriority w:val="0"/>
    <w:rPr>
      <w:rFonts w:ascii="Times New Roman" w:hAnsi="Times New Roman" w:eastAsia="宋体" w:cs="Times New Roman"/>
      <w:b/>
      <w:kern w:val="0"/>
      <w:sz w:val="28"/>
      <w:szCs w:val="20"/>
    </w:rPr>
  </w:style>
  <w:style w:type="character" w:customStyle="1" w:styleId="622">
    <w:name w:val="标题 6 字符"/>
    <w:qFormat/>
    <w:uiPriority w:val="0"/>
    <w:rPr>
      <w:rFonts w:ascii="Arial" w:hAnsi="Arial" w:eastAsia="黑体" w:cs="Times New Roman"/>
      <w:b/>
      <w:kern w:val="0"/>
      <w:sz w:val="24"/>
      <w:szCs w:val="20"/>
    </w:rPr>
  </w:style>
  <w:style w:type="character" w:customStyle="1" w:styleId="623">
    <w:name w:val="标题 7 字符"/>
    <w:qFormat/>
    <w:uiPriority w:val="0"/>
    <w:rPr>
      <w:rFonts w:ascii="Times New Roman" w:hAnsi="Times New Roman" w:eastAsia="宋体" w:cs="Times New Roman"/>
      <w:b/>
      <w:kern w:val="0"/>
      <w:sz w:val="24"/>
      <w:szCs w:val="20"/>
    </w:rPr>
  </w:style>
  <w:style w:type="character" w:customStyle="1" w:styleId="624">
    <w:name w:val="标题 8 字符"/>
    <w:qFormat/>
    <w:uiPriority w:val="0"/>
    <w:rPr>
      <w:rFonts w:ascii="Arial" w:hAnsi="Arial" w:eastAsia="黑体" w:cs="Times New Roman"/>
      <w:kern w:val="0"/>
      <w:sz w:val="24"/>
      <w:szCs w:val="20"/>
    </w:rPr>
  </w:style>
  <w:style w:type="character" w:customStyle="1" w:styleId="625">
    <w:name w:val="标题 9 字符"/>
    <w:qFormat/>
    <w:uiPriority w:val="0"/>
    <w:rPr>
      <w:rFonts w:ascii="Arial" w:hAnsi="Arial" w:eastAsia="黑体" w:cs="Times New Roman"/>
      <w:kern w:val="0"/>
      <w:szCs w:val="20"/>
    </w:rPr>
  </w:style>
  <w:style w:type="paragraph" w:customStyle="1" w:styleId="626">
    <w:name w:val="_Style 623"/>
    <w:basedOn w:val="1"/>
    <w:next w:val="112"/>
    <w:link w:val="647"/>
    <w:qFormat/>
    <w:uiPriority w:val="0"/>
    <w:pPr>
      <w:ind w:firstLine="420" w:firstLineChars="200"/>
    </w:pPr>
    <w:rPr>
      <w:rFonts w:ascii="Calibri" w:hAnsi="Calibri"/>
      <w:kern w:val="0"/>
      <w:sz w:val="20"/>
      <w:szCs w:val="20"/>
    </w:rPr>
  </w:style>
  <w:style w:type="character" w:customStyle="1" w:styleId="627">
    <w:name w:val="注释标题 字符1"/>
    <w:qFormat/>
    <w:uiPriority w:val="0"/>
    <w:rPr>
      <w:rFonts w:ascii="幼圆" w:hAnsi="Times New Roman" w:eastAsia="幼圆" w:cs="Times New Roman"/>
      <w:b/>
      <w:sz w:val="32"/>
      <w:szCs w:val="32"/>
    </w:rPr>
  </w:style>
  <w:style w:type="character" w:customStyle="1" w:styleId="628">
    <w:name w:val="文档结构图 字符"/>
    <w:qFormat/>
    <w:uiPriority w:val="0"/>
    <w:rPr>
      <w:rFonts w:ascii="Times New Roman" w:hAnsi="Times New Roman" w:eastAsia="宋体" w:cs="Times New Roman"/>
      <w:szCs w:val="24"/>
      <w:shd w:val="clear" w:color="auto" w:fill="000080"/>
    </w:rPr>
  </w:style>
  <w:style w:type="character" w:customStyle="1" w:styleId="629">
    <w:name w:val="批注文字 字符1"/>
    <w:qFormat/>
    <w:uiPriority w:val="99"/>
    <w:rPr>
      <w:rFonts w:ascii="Times New Roman" w:hAnsi="Times New Roman" w:eastAsia="宋体" w:cs="Times New Roman"/>
      <w:szCs w:val="24"/>
    </w:rPr>
  </w:style>
  <w:style w:type="character" w:customStyle="1" w:styleId="630">
    <w:name w:val="正文文本 3 字符"/>
    <w:qFormat/>
    <w:uiPriority w:val="0"/>
    <w:rPr>
      <w:rFonts w:ascii="Times New Roman" w:hAnsi="Times New Roman" w:eastAsia="宋体" w:cs="Times New Roman"/>
      <w:sz w:val="16"/>
      <w:szCs w:val="16"/>
    </w:rPr>
  </w:style>
  <w:style w:type="character" w:customStyle="1" w:styleId="631">
    <w:name w:val="正文文本 字符"/>
    <w:qFormat/>
    <w:uiPriority w:val="0"/>
    <w:rPr>
      <w:rFonts w:ascii="宋体" w:hAnsi="宋体" w:eastAsia="宋体" w:cs="Times New Roman"/>
      <w:sz w:val="24"/>
      <w:szCs w:val="24"/>
    </w:rPr>
  </w:style>
  <w:style w:type="character" w:customStyle="1" w:styleId="632">
    <w:name w:val="正文文本缩进 字符"/>
    <w:qFormat/>
    <w:uiPriority w:val="0"/>
    <w:rPr>
      <w:rFonts w:ascii="Times New Roman" w:hAnsi="Times New Roman" w:eastAsia="宋体" w:cs="Times New Roman"/>
      <w:sz w:val="24"/>
      <w:szCs w:val="24"/>
    </w:rPr>
  </w:style>
  <w:style w:type="character" w:customStyle="1" w:styleId="633">
    <w:name w:val="纯文本 字符2"/>
    <w:qFormat/>
    <w:uiPriority w:val="0"/>
    <w:rPr>
      <w:rFonts w:ascii="宋体" w:hAnsi="Courier New" w:eastAsia="宋体" w:cs="Times New Roman"/>
      <w:szCs w:val="20"/>
    </w:rPr>
  </w:style>
  <w:style w:type="character" w:customStyle="1" w:styleId="634">
    <w:name w:val="日期 字符"/>
    <w:qFormat/>
    <w:uiPriority w:val="0"/>
    <w:rPr>
      <w:rFonts w:ascii="仿宋_GB2312" w:hAnsi="宋体" w:eastAsia="仿宋_GB2312" w:cs="Times New Roman"/>
      <w:color w:val="000000"/>
      <w:sz w:val="24"/>
      <w:szCs w:val="24"/>
    </w:rPr>
  </w:style>
  <w:style w:type="character" w:customStyle="1" w:styleId="635">
    <w:name w:val="正文文本缩进 2 字符"/>
    <w:qFormat/>
    <w:uiPriority w:val="0"/>
    <w:rPr>
      <w:rFonts w:ascii="仿宋_GB2312" w:hAnsi="Times New Roman" w:eastAsia="仿宋_GB2312" w:cs="Times New Roman"/>
      <w:sz w:val="24"/>
      <w:szCs w:val="24"/>
    </w:rPr>
  </w:style>
  <w:style w:type="character" w:customStyle="1" w:styleId="636">
    <w:name w:val="批注框文本 字符"/>
    <w:qFormat/>
    <w:uiPriority w:val="0"/>
    <w:rPr>
      <w:rFonts w:ascii="Times New Roman" w:hAnsi="Times New Roman" w:eastAsia="宋体" w:cs="Times New Roman"/>
      <w:sz w:val="18"/>
      <w:szCs w:val="18"/>
    </w:rPr>
  </w:style>
  <w:style w:type="character" w:customStyle="1" w:styleId="637">
    <w:name w:val="页脚 字符"/>
    <w:qFormat/>
    <w:uiPriority w:val="99"/>
    <w:rPr>
      <w:sz w:val="18"/>
      <w:szCs w:val="18"/>
    </w:rPr>
  </w:style>
  <w:style w:type="character" w:customStyle="1" w:styleId="638">
    <w:name w:val="页眉 字符"/>
    <w:qFormat/>
    <w:uiPriority w:val="0"/>
    <w:rPr>
      <w:sz w:val="18"/>
      <w:szCs w:val="18"/>
    </w:rPr>
  </w:style>
  <w:style w:type="character" w:customStyle="1" w:styleId="639">
    <w:name w:val="副标题 字符1"/>
    <w:qFormat/>
    <w:uiPriority w:val="11"/>
    <w:rPr>
      <w:rFonts w:ascii="Cambria" w:hAnsi="Cambria" w:eastAsia="宋体" w:cs="Times New Roman"/>
      <w:kern w:val="0"/>
      <w:sz w:val="24"/>
      <w:szCs w:val="24"/>
    </w:rPr>
  </w:style>
  <w:style w:type="character" w:customStyle="1" w:styleId="640">
    <w:name w:val="正文文本缩进 3 字符"/>
    <w:qFormat/>
    <w:uiPriority w:val="0"/>
    <w:rPr>
      <w:rFonts w:ascii="宋体" w:hAnsi="Times New Roman" w:eastAsia="宋体" w:cs="Times New Roman"/>
      <w:kern w:val="0"/>
      <w:sz w:val="24"/>
      <w:szCs w:val="20"/>
    </w:rPr>
  </w:style>
  <w:style w:type="character" w:customStyle="1" w:styleId="641">
    <w:name w:val="正文文本 2 字符2"/>
    <w:qFormat/>
    <w:uiPriority w:val="0"/>
    <w:rPr>
      <w:rFonts w:ascii="Times New Roman" w:hAnsi="Times New Roman" w:eastAsia="黑体" w:cs="Times New Roman"/>
      <w:bCs/>
      <w:kern w:val="0"/>
      <w:sz w:val="24"/>
      <w:szCs w:val="24"/>
    </w:rPr>
  </w:style>
  <w:style w:type="character" w:customStyle="1" w:styleId="642">
    <w:name w:val="HTML 预设格式 字符"/>
    <w:qFormat/>
    <w:uiPriority w:val="0"/>
    <w:rPr>
      <w:rFonts w:ascii="宋体" w:hAnsi="宋体" w:eastAsia="宋体" w:cs="宋体"/>
      <w:kern w:val="0"/>
      <w:sz w:val="24"/>
      <w:szCs w:val="24"/>
    </w:rPr>
  </w:style>
  <w:style w:type="character" w:customStyle="1" w:styleId="643">
    <w:name w:val="标题 字符"/>
    <w:qFormat/>
    <w:uiPriority w:val="99"/>
    <w:rPr>
      <w:rFonts w:ascii="Times New Roman" w:hAnsi="Times New Roman" w:eastAsia="宋体" w:cs="Times New Roman"/>
      <w:b/>
      <w:sz w:val="32"/>
      <w:szCs w:val="20"/>
    </w:rPr>
  </w:style>
  <w:style w:type="character" w:customStyle="1" w:styleId="644">
    <w:name w:val="批注主题 字符"/>
    <w:qFormat/>
    <w:uiPriority w:val="0"/>
    <w:rPr>
      <w:rFonts w:ascii="Times New Roman" w:hAnsi="Times New Roman" w:eastAsia="宋体" w:cs="Times New Roman"/>
      <w:b/>
      <w:bCs/>
      <w:szCs w:val="24"/>
    </w:rPr>
  </w:style>
  <w:style w:type="character" w:customStyle="1" w:styleId="645">
    <w:name w:val="正文文本首行缩进 字符1"/>
    <w:qFormat/>
    <w:uiPriority w:val="0"/>
    <w:rPr>
      <w:rFonts w:ascii="Times New Roman" w:hAnsi="Times New Roman" w:eastAsia="宋体" w:cs="Times New Roman"/>
      <w:kern w:val="0"/>
      <w:sz w:val="20"/>
      <w:szCs w:val="20"/>
    </w:rPr>
  </w:style>
  <w:style w:type="character" w:customStyle="1" w:styleId="646">
    <w:name w:val="正文文本首行缩进 2 字符"/>
    <w:qFormat/>
    <w:uiPriority w:val="0"/>
    <w:rPr>
      <w:rFonts w:ascii="Times New Roman" w:hAnsi="Times New Roman" w:eastAsia="宋体" w:cs="Times New Roman"/>
      <w:sz w:val="24"/>
      <w:szCs w:val="20"/>
    </w:rPr>
  </w:style>
  <w:style w:type="character" w:customStyle="1" w:styleId="647">
    <w:name w:val="列表段落 字符"/>
    <w:link w:val="626"/>
    <w:qFormat/>
    <w:uiPriority w:val="0"/>
    <w:rPr>
      <w:rFonts w:ascii="Calibri" w:hAnsi="Calibri"/>
    </w:rPr>
  </w:style>
  <w:style w:type="character" w:customStyle="1" w:styleId="648">
    <w:name w:val="引用 字符1"/>
    <w:qFormat/>
    <w:uiPriority w:val="29"/>
    <w:rPr>
      <w:rFonts w:ascii="Calibri" w:hAnsi="Calibri"/>
      <w:i/>
      <w:sz w:val="24"/>
      <w:szCs w:val="24"/>
    </w:rPr>
  </w:style>
  <w:style w:type="character" w:customStyle="1" w:styleId="649">
    <w:name w:val="明显引用 字符1"/>
    <w:qFormat/>
    <w:uiPriority w:val="30"/>
    <w:rPr>
      <w:rFonts w:ascii="Calibri" w:hAnsi="Calibri"/>
      <w:b/>
      <w:i/>
      <w:sz w:val="24"/>
    </w:rPr>
  </w:style>
  <w:style w:type="paragraph" w:customStyle="1" w:styleId="650">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651">
    <w:name w:val="TOC Heading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652">
    <w:name w:val="未处理的提及5"/>
    <w:unhideWhenUsed/>
    <w:qFormat/>
    <w:uiPriority w:val="99"/>
    <w:rPr>
      <w:color w:val="605E5C"/>
      <w:shd w:val="clear" w:color="auto" w:fill="E1DFDD"/>
    </w:rPr>
  </w:style>
  <w:style w:type="character" w:customStyle="1" w:styleId="653">
    <w:name w:val="Char111 Char"/>
    <w:link w:val="654"/>
    <w:qFormat/>
    <w:uiPriority w:val="99"/>
    <w:rPr>
      <w:rFonts w:ascii="Tahoma" w:hAnsi="Tahoma"/>
      <w:sz w:val="24"/>
    </w:rPr>
  </w:style>
  <w:style w:type="paragraph" w:customStyle="1" w:styleId="654">
    <w:name w:val="Char111"/>
    <w:basedOn w:val="1"/>
    <w:link w:val="653"/>
    <w:qFormat/>
    <w:uiPriority w:val="99"/>
    <w:rPr>
      <w:rFonts w:ascii="Tahoma" w:hAnsi="Tahoma"/>
      <w:kern w:val="0"/>
      <w:sz w:val="24"/>
      <w:szCs w:val="20"/>
    </w:rPr>
  </w:style>
  <w:style w:type="character" w:customStyle="1" w:styleId="655">
    <w:name w:val="样式 标题 2 + Times New Roman 四号 非加粗 段前: 5 磅 段后: 0 磅 行距: 固定值 20... Char"/>
    <w:link w:val="416"/>
    <w:qFormat/>
    <w:uiPriority w:val="99"/>
    <w:rPr>
      <w:rFonts w:eastAsia="黑体" w:cs="宋体"/>
      <w:kern w:val="2"/>
      <w:sz w:val="28"/>
    </w:rPr>
  </w:style>
  <w:style w:type="character" w:customStyle="1" w:styleId="656">
    <w:name w:val="样式 标题 3 + (中文) 黑体 小四 非加粗 段前: 7.8 磅 段后: 0 磅 行距: 固定值 20 磅 Char"/>
    <w:link w:val="412"/>
    <w:qFormat/>
    <w:uiPriority w:val="0"/>
    <w:rPr>
      <w:rFonts w:ascii="黑体" w:hAnsi="宋体" w:eastAsia="黑体" w:cs="宋体"/>
      <w:kern w:val="2"/>
      <w:sz w:val="24"/>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修订6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662">
    <w:name w:val="Body text|2 + Arial"/>
    <w:basedOn w:val="56"/>
    <w:unhideWhenUsed/>
    <w:qFormat/>
    <w:uiPriority w:val="0"/>
    <w:rPr>
      <w:rFonts w:ascii="Arial" w:hAnsi="Arial" w:eastAsia="Arial" w:cs="Arial"/>
      <w:color w:val="000000"/>
      <w:spacing w:val="0"/>
      <w:w w:val="100"/>
      <w:position w:val="0"/>
      <w:sz w:val="28"/>
      <w:szCs w:val="28"/>
      <w:u w:val="none"/>
      <w:lang w:val="en-US" w:eastAsia="en-US" w:bidi="en-US"/>
    </w:rPr>
  </w:style>
  <w:style w:type="character" w:customStyle="1" w:styleId="663">
    <w:name w:val="gg4f29"/>
    <w:basedOn w:val="56"/>
    <w:qFormat/>
    <w:uiPriority w:val="0"/>
  </w:style>
  <w:style w:type="paragraph" w:customStyle="1" w:styleId="664">
    <w:name w:val="_Style 6"/>
    <w:basedOn w:val="2"/>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paragraph" w:customStyle="1" w:styleId="665">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66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Table Text"/>
    <w:basedOn w:val="1"/>
    <w:semiHidden/>
    <w:qFormat/>
    <w:uiPriority w:val="0"/>
    <w:rPr>
      <w:rFonts w:ascii="Arial" w:hAnsi="Arial" w:eastAsia="Arial" w:cs="Arial"/>
      <w:szCs w:val="21"/>
      <w:lang w:eastAsia="en-US"/>
    </w:rPr>
  </w:style>
  <w:style w:type="paragraph" w:customStyle="1" w:styleId="6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6.png"/><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3.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89B5B-A91F-485A-92B3-3E774E62652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167</Pages>
  <Words>14356</Words>
  <Characters>15102</Characters>
  <Lines>831</Lines>
  <Paragraphs>234</Paragraphs>
  <TotalTime>809</TotalTime>
  <ScaleCrop>false</ScaleCrop>
  <LinksUpToDate>false</LinksUpToDate>
  <CharactersWithSpaces>15357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2025-09-24T05:18:00Z</dcterms:created>
  <dc:creator>Yin Hao</dc:creator>
  <cp:lastModifiedBy>45° 50' 01 ''N</cp:lastModifiedBy>
  <cp:lastPrinted>2023-05-25T04:03:00Z</cp:lastPrinted>
  <dcterms:modified xsi:type="dcterms:W3CDTF">2025-10-14T03:39:21Z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6F6C09E1315D4CA981580458F8ABD2E6_13</vt:lpwstr>
  </property>
  <property fmtid="{D5CDD505-2E9C-101B-9397-08002B2CF9AE}" pid="4" name="KSOTemplateDocerSaveRecord">
    <vt:lpwstr>eyJoZGlkIjoiMmZmODhkODhhZDhlOTJiOGJhODk0YmVjYjIyZmQzMWMiLCJ1c2VySWQiOiIyNzExMzA1ODAifQ==</vt:lpwstr>
  </property>
</Properties>
</file>