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63292">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14:paraId="7583F1B5">
      <w:pPr>
        <w:numPr>
          <w:ilvl w:val="0"/>
          <w:numId w:val="1"/>
        </w:numPr>
        <w:spacing w:line="360" w:lineRule="auto"/>
        <w:rPr>
          <w:rFonts w:hint="eastAsia" w:ascii="黑体" w:hAnsi="黑体" w:eastAsia="黑体"/>
          <w:sz w:val="28"/>
          <w:szCs w:val="28"/>
        </w:rPr>
      </w:pPr>
      <w:r>
        <w:rPr>
          <w:rFonts w:hint="eastAsia" w:ascii="黑体" w:hAnsi="黑体" w:eastAsia="黑体"/>
          <w:sz w:val="28"/>
          <w:szCs w:val="28"/>
        </w:rPr>
        <w:t>项目编号：</w:t>
      </w:r>
      <w:r>
        <w:rPr>
          <w:rFonts w:hint="eastAsia" w:ascii="黑体" w:hAnsi="黑体" w:eastAsia="黑体"/>
          <w:sz w:val="28"/>
          <w:szCs w:val="28"/>
          <w:lang w:eastAsia="zh-CN"/>
        </w:rPr>
        <w:t>11011925210200014586-XM002</w:t>
      </w:r>
    </w:p>
    <w:p w14:paraId="5ABAEF0A">
      <w:pPr>
        <w:numPr>
          <w:ilvl w:val="0"/>
          <w:numId w:val="0"/>
        </w:numPr>
        <w:spacing w:line="360" w:lineRule="auto"/>
        <w:ind w:firstLine="560" w:firstLineChars="200"/>
        <w:rPr>
          <w:rFonts w:hint="eastAsia" w:ascii="黑体" w:hAnsi="黑体" w:eastAsia="黑体"/>
          <w:sz w:val="28"/>
          <w:szCs w:val="28"/>
          <w:lang w:eastAsia="zh-CN"/>
        </w:rPr>
      </w:pPr>
      <w:r>
        <w:rPr>
          <w:rFonts w:hint="eastAsia" w:ascii="黑体" w:hAnsi="黑体" w:eastAsia="黑体"/>
          <w:sz w:val="28"/>
          <w:szCs w:val="28"/>
        </w:rPr>
        <w:t>代理机构编号：</w:t>
      </w:r>
      <w:r>
        <w:rPr>
          <w:rFonts w:hint="eastAsia" w:ascii="黑体" w:hAnsi="黑体" w:eastAsia="黑体"/>
          <w:sz w:val="28"/>
          <w:szCs w:val="28"/>
          <w:lang w:eastAsia="zh-CN"/>
        </w:rPr>
        <w:t>BJYC-2025-014</w:t>
      </w:r>
    </w:p>
    <w:p w14:paraId="6DDDCD0A">
      <w:pPr>
        <w:spacing w:line="360" w:lineRule="auto"/>
        <w:rPr>
          <w:rFonts w:hint="eastAsia" w:ascii="仿宋" w:hAnsi="仿宋" w:eastAsia="仿宋" w:cs="仿宋"/>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olor w:val="000000" w:themeColor="text1"/>
          <w:sz w:val="28"/>
          <w:szCs w:val="28"/>
          <w:highlight w:val="none"/>
          <w14:textFill>
            <w14:solidFill>
              <w14:schemeClr w14:val="tx1"/>
            </w14:solidFill>
          </w14:textFill>
        </w:rPr>
        <w:t>延庆区2025年重大投资项目谋划公共服务及其他领域项目谋划服务（二标段）</w:t>
      </w:r>
    </w:p>
    <w:p w14:paraId="3B191DE9">
      <w:pPr>
        <w:spacing w:line="360" w:lineRule="auto"/>
        <w:rPr>
          <w:rFonts w:ascii="黑体" w:hAnsi="黑体" w:eastAsia="黑体"/>
          <w:sz w:val="28"/>
          <w:szCs w:val="28"/>
        </w:rPr>
      </w:pPr>
      <w:r>
        <w:rPr>
          <w:rFonts w:hint="eastAsia" w:ascii="黑体" w:hAnsi="黑体" w:eastAsia="黑体"/>
          <w:sz w:val="28"/>
          <w:szCs w:val="28"/>
        </w:rPr>
        <w:t>三、中标（成交）信息</w:t>
      </w:r>
    </w:p>
    <w:p w14:paraId="72D09692">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供应商名称：北京市工程咨询股份有限公司（统一社会信用代码：91110102MA0196J71P）</w:t>
      </w:r>
    </w:p>
    <w:p w14:paraId="1DB8222F">
      <w:pPr>
        <w:spacing w:line="360" w:lineRule="auto"/>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供应商地址：北京市朝阳区高碑店乡八里庄村陈家林9号院华腾世纪总部公园项目9号楼15层1501室</w:t>
      </w:r>
    </w:p>
    <w:p w14:paraId="7BC81A05">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中标（成交）金额：</w:t>
      </w:r>
      <w:r>
        <w:rPr>
          <w:rFonts w:hint="eastAsia" w:ascii="仿宋" w:hAnsi="仿宋" w:eastAsia="仿宋"/>
          <w:color w:val="000000" w:themeColor="text1"/>
          <w:sz w:val="28"/>
          <w:szCs w:val="28"/>
          <w:highlight w:val="none"/>
          <w:lang w:val="en-US" w:eastAsia="zh-CN"/>
          <w14:textFill>
            <w14:solidFill>
              <w14:schemeClr w14:val="tx1"/>
            </w14:solidFill>
          </w14:textFill>
        </w:rPr>
        <w:t>2000000</w:t>
      </w:r>
      <w:r>
        <w:rPr>
          <w:rFonts w:hint="eastAsia" w:ascii="仿宋" w:hAnsi="仿宋" w:eastAsia="仿宋"/>
          <w:color w:val="000000" w:themeColor="text1"/>
          <w:sz w:val="28"/>
          <w:szCs w:val="28"/>
          <w:highlight w:val="none"/>
          <w14:textFill>
            <w14:solidFill>
              <w14:schemeClr w14:val="tx1"/>
            </w14:solidFill>
          </w14:textFill>
        </w:rPr>
        <w:t>元</w:t>
      </w:r>
    </w:p>
    <w:p w14:paraId="16D7826A">
      <w:pPr>
        <w:spacing w:line="360" w:lineRule="auto"/>
        <w:rPr>
          <w:rFonts w:ascii="黑体" w:hAnsi="黑体" w:eastAsia="黑体"/>
          <w:sz w:val="28"/>
          <w:szCs w:val="28"/>
        </w:rPr>
      </w:pPr>
      <w:r>
        <w:rPr>
          <w:rFonts w:hint="eastAsia" w:ascii="黑体" w:hAnsi="黑体" w:eastAsia="黑体"/>
          <w:sz w:val="28"/>
          <w:szCs w:val="28"/>
        </w:rPr>
        <w:t>四、主要标的信息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FA8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00" w:type="pct"/>
          </w:tcPr>
          <w:p w14:paraId="3883F4F4">
            <w:pPr>
              <w:spacing w:line="360" w:lineRule="auto"/>
              <w:jc w:val="center"/>
              <w:rPr>
                <w:rFonts w:ascii="仿宋" w:hAnsi="仿宋" w:eastAsia="仿宋"/>
                <w:kern w:val="0"/>
                <w:sz w:val="28"/>
                <w:szCs w:val="28"/>
              </w:rPr>
            </w:pPr>
            <w:r>
              <w:rPr>
                <w:rFonts w:hint="eastAsia" w:ascii="仿宋" w:hAnsi="仿宋" w:eastAsia="仿宋"/>
                <w:kern w:val="0"/>
                <w:sz w:val="28"/>
                <w:szCs w:val="28"/>
              </w:rPr>
              <w:t>服务类</w:t>
            </w:r>
          </w:p>
        </w:tc>
      </w:tr>
      <w:tr w14:paraId="2675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FFA14D5">
            <w:pPr>
              <w:spacing w:line="360" w:lineRule="auto"/>
              <w:ind w:firstLine="560" w:firstLineChars="200"/>
              <w:rPr>
                <w:rFonts w:hint="eastAsia" w:ascii="仿宋" w:hAnsi="仿宋" w:eastAsia="仿宋"/>
                <w:sz w:val="28"/>
                <w:szCs w:val="28"/>
                <w:lang w:eastAsia="zh-CN"/>
              </w:rPr>
            </w:pPr>
            <w:r>
              <w:rPr>
                <w:rFonts w:hint="eastAsia" w:ascii="仿宋" w:hAnsi="仿宋" w:eastAsia="仿宋"/>
                <w:kern w:val="0"/>
                <w:sz w:val="28"/>
                <w:szCs w:val="28"/>
              </w:rPr>
              <w:t>名称：</w:t>
            </w:r>
            <w:r>
              <w:rPr>
                <w:rFonts w:hint="eastAsia" w:ascii="仿宋" w:hAnsi="仿宋" w:eastAsia="仿宋"/>
                <w:color w:val="000000" w:themeColor="text1"/>
                <w:sz w:val="28"/>
                <w:szCs w:val="28"/>
                <w:highlight w:val="none"/>
                <w14:textFill>
                  <w14:solidFill>
                    <w14:schemeClr w14:val="tx1"/>
                  </w14:solidFill>
                </w14:textFill>
              </w:rPr>
              <w:t>延庆区2025年重大投资项目谋划公共服务及其他领域项目谋划服务（二标段）</w:t>
            </w:r>
          </w:p>
          <w:p w14:paraId="4197DBAC">
            <w:pPr>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服务</w:t>
            </w:r>
            <w:r>
              <w:rPr>
                <w:rFonts w:hint="eastAsia" w:ascii="仿宋" w:hAnsi="仿宋" w:eastAsia="仿宋"/>
                <w:kern w:val="0"/>
                <w:sz w:val="28"/>
                <w:szCs w:val="28"/>
                <w:lang w:val="en-US" w:eastAsia="zh-CN"/>
              </w:rPr>
              <w:t>需求、服务要求</w:t>
            </w:r>
            <w:r>
              <w:rPr>
                <w:rFonts w:hint="eastAsia" w:ascii="仿宋" w:hAnsi="仿宋" w:eastAsia="仿宋"/>
                <w:kern w:val="0"/>
                <w:sz w:val="28"/>
                <w:szCs w:val="28"/>
              </w:rPr>
              <w:t>：紧密衔接城市总体规划、分区规划、国民经济社会发展规划纲要，围绕全区中心工作及各方面建设发展需求，聚焦符合中央预算资金、市政府固定资产投资等资金支持领域和方向，围绕绕统筹存量资源、优化功能布局，实现片区可持续发展的区域综合性城市更新；保障老旧平房院落、危旧楼房、老旧小区等房屋安全，提升居住品质为主的居住类城市更新；推动老旧厂房、低效产业园区、老旧低效楼宇、传统商业设施等存量空间资源提质增效为主的产业类城市更新；提升绿色空间、滨水空间、慢行系统等环境品质为主的公共空间类城市更新；以更新改造老旧市政基础设施、公共服务设施、公共安全设施，以保障安全、补足短板为主的设施类城市更新等多种类型谋划一批重大项目；紧扣“七有”要求和“五性”需求，从“补短板”、“促提升”、“最美冬奥城”、“拓融资”等角度，加强公共服务设施布局，进一步推进学校教育、医疗卫生（含突发公共卫生应急）、民政养老、文化体育等社会事业项目建设，提升公共服务水平，完善公共安全保障设施，推动产教融合、儿童友好城市建设、城市社区嵌入式服务设施等方面谋划提出一批重大项目。谋划项目应达到一定深度和规模要求。拟选取一家供应商对延庆区公共服务及其他领域重大投资项目进行深入研究。按照《北京市重大投资项目储备管理办法》（京政办发〔2021〕14号）、《北京市重大投资项目前期工作经费管理办法》（京发改〔2022〕125号）等相关文件要求，通过规划研究、现场调研、专家论证等途径，谋划出一批重大投资项目，需同时符合延庆区新一轮重大投资项目谋划工作方案的要求。</w:t>
            </w:r>
          </w:p>
          <w:p w14:paraId="688049B2">
            <w:pPr>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项目达到初步可行程度，建设地点、用地性质、建设内容、建设规模等符合相关要求及规划，具备开展项目具体前期论证深度，供采购人内部决策及上报上级单位使用，谋划成果经采购人验收并报市级或区级重点工程投资建设项目库。</w:t>
            </w:r>
          </w:p>
          <w:p w14:paraId="0178723C">
            <w:pPr>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合同履行期限：自合同签订之日起至2025年12月31日。</w:t>
            </w:r>
          </w:p>
          <w:p w14:paraId="300DFDBD">
            <w:pPr>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服务标准：详见响应文件</w:t>
            </w:r>
          </w:p>
        </w:tc>
      </w:tr>
    </w:tbl>
    <w:p w14:paraId="62E2D5B1">
      <w:pPr>
        <w:numPr>
          <w:ilvl w:val="0"/>
          <w:numId w:val="2"/>
        </w:numPr>
        <w:spacing w:line="360" w:lineRule="auto"/>
        <w:rPr>
          <w:rFonts w:ascii="黑体" w:hAnsi="黑体" w:eastAsia="黑体"/>
          <w:sz w:val="28"/>
          <w:szCs w:val="28"/>
        </w:rPr>
      </w:pPr>
      <w:r>
        <w:rPr>
          <w:rFonts w:hint="eastAsia" w:ascii="黑体" w:hAnsi="黑体" w:eastAsia="黑体"/>
          <w:sz w:val="28"/>
          <w:szCs w:val="28"/>
        </w:rPr>
        <w:t>评审专家名单：</w:t>
      </w:r>
    </w:p>
    <w:p w14:paraId="528AFD98">
      <w:pPr>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谢宇（组长）、魏庭存、白子纯（采购人代表）。</w:t>
      </w:r>
    </w:p>
    <w:p w14:paraId="00981112">
      <w:pPr>
        <w:numPr>
          <w:ilvl w:val="0"/>
          <w:numId w:val="2"/>
        </w:numPr>
        <w:spacing w:line="360" w:lineRule="auto"/>
        <w:rPr>
          <w:rFonts w:ascii="黑体" w:hAnsi="黑体" w:eastAsia="黑体"/>
          <w:sz w:val="28"/>
          <w:szCs w:val="28"/>
        </w:rPr>
      </w:pPr>
      <w:r>
        <w:rPr>
          <w:rFonts w:hint="eastAsia" w:ascii="黑体" w:hAnsi="黑体" w:eastAsia="黑体"/>
          <w:sz w:val="28"/>
          <w:szCs w:val="28"/>
        </w:rPr>
        <w:t>代理服务收费标准及金额：</w:t>
      </w:r>
    </w:p>
    <w:p w14:paraId="0D7BFEC5">
      <w:pPr>
        <w:spacing w:line="360" w:lineRule="auto"/>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参照国家计委关于印发《招标代理服务收费管理暂行办法》的通知计价格[2002]1980号文计取</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s="宋体"/>
          <w:color w:val="000000" w:themeColor="text1"/>
          <w:kern w:val="0"/>
          <w:sz w:val="28"/>
          <w:szCs w:val="28"/>
          <w:lang w:val="en-US" w:eastAsia="zh-CN"/>
          <w14:textFill>
            <w14:solidFill>
              <w14:schemeClr w14:val="tx1"/>
            </w14:solidFill>
          </w14:textFill>
        </w:rPr>
        <w:t>最终收取2.3万元</w:t>
      </w:r>
      <w:r>
        <w:rPr>
          <w:rFonts w:hint="eastAsia" w:ascii="仿宋" w:hAnsi="仿宋" w:eastAsia="仿宋" w:cs="宋体"/>
          <w:color w:val="000000" w:themeColor="text1"/>
          <w:kern w:val="0"/>
          <w:sz w:val="28"/>
          <w:szCs w:val="28"/>
          <w14:textFill>
            <w14:solidFill>
              <w14:schemeClr w14:val="tx1"/>
            </w14:solidFill>
          </w14:textFill>
        </w:rPr>
        <w:t>。</w:t>
      </w:r>
    </w:p>
    <w:p w14:paraId="4A983444">
      <w:pPr>
        <w:numPr>
          <w:ilvl w:val="0"/>
          <w:numId w:val="2"/>
        </w:numPr>
        <w:spacing w:line="360" w:lineRule="auto"/>
        <w:rPr>
          <w:rFonts w:ascii="黑体" w:hAnsi="黑体" w:eastAsia="黑体"/>
          <w:sz w:val="28"/>
          <w:szCs w:val="28"/>
        </w:rPr>
      </w:pPr>
      <w:r>
        <w:rPr>
          <w:rFonts w:hint="eastAsia" w:ascii="黑体" w:hAnsi="黑体" w:eastAsia="黑体"/>
          <w:sz w:val="28"/>
          <w:szCs w:val="28"/>
        </w:rPr>
        <w:t>公告期限</w:t>
      </w:r>
    </w:p>
    <w:p w14:paraId="7DD3EF68">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0A755E6E">
      <w:pPr>
        <w:numPr>
          <w:ilvl w:val="0"/>
          <w:numId w:val="2"/>
        </w:numPr>
        <w:spacing w:line="360" w:lineRule="auto"/>
        <w:rPr>
          <w:rFonts w:ascii="黑体" w:hAnsi="黑体" w:eastAsia="黑体" w:cs="仿宋"/>
          <w:sz w:val="28"/>
          <w:szCs w:val="28"/>
        </w:rPr>
      </w:pPr>
      <w:r>
        <w:rPr>
          <w:rFonts w:hint="eastAsia" w:ascii="黑体" w:hAnsi="黑体" w:eastAsia="黑体" w:cs="仿宋"/>
          <w:sz w:val="28"/>
          <w:szCs w:val="28"/>
        </w:rPr>
        <w:t>其他补充事宜</w:t>
      </w:r>
    </w:p>
    <w:p w14:paraId="510C91C1">
      <w:pPr>
        <w:spacing w:line="360" w:lineRule="auto"/>
        <w:ind w:firstLine="560" w:firstLineChars="20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成交供应商评标得分：96.67</w:t>
      </w:r>
    </w:p>
    <w:p w14:paraId="27A47E22">
      <w:pPr>
        <w:spacing w:line="360" w:lineRule="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49403039">
      <w:pPr>
        <w:pStyle w:val="4"/>
        <w:spacing w:line="360" w:lineRule="auto"/>
        <w:ind w:firstLine="700" w:firstLineChars="250"/>
        <w:rPr>
          <w:rFonts w:ascii="仿宋" w:hAnsi="仿宋" w:eastAsia="仿宋" w:cs="宋体"/>
          <w:b w:val="0"/>
          <w:sz w:val="28"/>
          <w:szCs w:val="28"/>
        </w:rPr>
      </w:pPr>
      <w:bookmarkStart w:id="2" w:name="_Toc28359023"/>
      <w:bookmarkStart w:id="3" w:name="_Toc28359100"/>
      <w:bookmarkStart w:id="4" w:name="_Toc35393810"/>
      <w:bookmarkStart w:id="5" w:name="_Toc35393641"/>
      <w:r>
        <w:rPr>
          <w:rFonts w:hint="eastAsia" w:ascii="仿宋" w:hAnsi="仿宋" w:eastAsia="仿宋" w:cs="宋体"/>
          <w:b w:val="0"/>
          <w:sz w:val="28"/>
          <w:szCs w:val="28"/>
        </w:rPr>
        <w:t>1.采购人信息</w:t>
      </w:r>
      <w:bookmarkEnd w:id="2"/>
      <w:bookmarkEnd w:id="3"/>
      <w:bookmarkEnd w:id="4"/>
      <w:bookmarkEnd w:id="5"/>
    </w:p>
    <w:p w14:paraId="1317E2D5">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北京市延庆区发展和改革委员会</w:t>
      </w:r>
    </w:p>
    <w:p w14:paraId="34F4EDAA">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北京市延庆区新城街98号</w:t>
      </w:r>
    </w:p>
    <w:p w14:paraId="3093836E">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u w:val="single"/>
          <w:lang w:eastAsia="zh-CN"/>
        </w:rPr>
        <w:t>白子纯，010-69101151</w:t>
      </w:r>
    </w:p>
    <w:p w14:paraId="23922C50">
      <w:pPr>
        <w:pStyle w:val="4"/>
        <w:spacing w:line="360" w:lineRule="auto"/>
        <w:ind w:firstLine="840" w:firstLineChars="300"/>
        <w:rPr>
          <w:rFonts w:ascii="仿宋" w:hAnsi="仿宋" w:eastAsia="仿宋" w:cs="宋体"/>
          <w:b w:val="0"/>
          <w:sz w:val="28"/>
          <w:szCs w:val="28"/>
        </w:rPr>
      </w:pPr>
      <w:bookmarkStart w:id="6" w:name="_Toc35393811"/>
      <w:bookmarkStart w:id="7" w:name="_Toc28359101"/>
      <w:bookmarkStart w:id="8" w:name="_Toc28359024"/>
      <w:bookmarkStart w:id="9" w:name="_Toc35393642"/>
      <w:r>
        <w:rPr>
          <w:rFonts w:hint="eastAsia" w:ascii="仿宋" w:hAnsi="仿宋" w:eastAsia="仿宋" w:cs="宋体"/>
          <w:b w:val="0"/>
          <w:sz w:val="28"/>
          <w:szCs w:val="28"/>
        </w:rPr>
        <w:t>2.采购代理机构信息（如有）</w:t>
      </w:r>
      <w:bookmarkEnd w:id="6"/>
      <w:bookmarkEnd w:id="7"/>
      <w:bookmarkEnd w:id="8"/>
      <w:bookmarkEnd w:id="9"/>
    </w:p>
    <w:p w14:paraId="3F617BD7">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北京悦呈工程管理有限公司</w:t>
      </w:r>
    </w:p>
    <w:p w14:paraId="34B4E48E">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北京市延庆区融景美庐小区1号楼115室</w:t>
      </w:r>
    </w:p>
    <w:p w14:paraId="15A63795">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eastAsia="zh-CN"/>
        </w:rPr>
        <w:t>贾梦凡</w:t>
      </w:r>
      <w:r>
        <w:rPr>
          <w:rFonts w:hint="eastAsia" w:ascii="仿宋" w:hAnsi="仿宋" w:eastAsia="仿宋"/>
          <w:sz w:val="28"/>
          <w:szCs w:val="28"/>
          <w:u w:val="single"/>
        </w:rPr>
        <w:t>，</w:t>
      </w:r>
      <w:r>
        <w:fldChar w:fldCharType="begin"/>
      </w:r>
      <w:r>
        <w:instrText xml:space="preserve"> HYPERLINK "mailto:15049320739/yygszzb@163.com" </w:instrText>
      </w:r>
      <w:r>
        <w:fldChar w:fldCharType="separate"/>
      </w:r>
      <w:r>
        <w:rPr>
          <w:rFonts w:hint="eastAsia" w:ascii="仿宋" w:hAnsi="仿宋" w:eastAsia="仿宋"/>
          <w:sz w:val="28"/>
          <w:szCs w:val="28"/>
          <w:u w:val="single"/>
        </w:rPr>
        <w:t>010-69180915</w:t>
      </w:r>
      <w:r>
        <w:rPr>
          <w:rFonts w:hint="eastAsia" w:ascii="仿宋" w:hAnsi="仿宋" w:eastAsia="仿宋"/>
          <w:sz w:val="28"/>
          <w:szCs w:val="28"/>
          <w:u w:val="single"/>
        </w:rPr>
        <w:fldChar w:fldCharType="end"/>
      </w:r>
      <w:r>
        <w:rPr>
          <w:rFonts w:hint="eastAsia" w:ascii="仿宋" w:hAnsi="仿宋" w:eastAsia="仿宋"/>
          <w:sz w:val="28"/>
          <w:szCs w:val="28"/>
          <w:u w:val="single"/>
        </w:rPr>
        <w:t>/15210997907</w:t>
      </w:r>
    </w:p>
    <w:p w14:paraId="53C77A85">
      <w:pPr>
        <w:pStyle w:val="4"/>
        <w:spacing w:line="360" w:lineRule="auto"/>
        <w:ind w:firstLine="840" w:firstLineChars="300"/>
        <w:rPr>
          <w:rFonts w:ascii="仿宋" w:hAnsi="仿宋" w:eastAsia="仿宋" w:cs="宋体"/>
          <w:b w:val="0"/>
          <w:sz w:val="28"/>
          <w:szCs w:val="28"/>
        </w:rPr>
      </w:pPr>
      <w:bookmarkStart w:id="10" w:name="_Toc28359102"/>
      <w:bookmarkStart w:id="11" w:name="_Toc35393643"/>
      <w:bookmarkStart w:id="12" w:name="_Toc28359025"/>
      <w:bookmarkStart w:id="13"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7C4A96D1">
      <w:pPr>
        <w:pStyle w:val="2"/>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贾梦凡</w:t>
      </w:r>
    </w:p>
    <w:p w14:paraId="1FFF9306">
      <w:pPr>
        <w:spacing w:line="360" w:lineRule="auto"/>
        <w:ind w:firstLine="840" w:firstLineChars="300"/>
        <w:rPr>
          <w:rFonts w:ascii="仿宋" w:hAnsi="仿宋" w:eastAsia="仿宋" w:cs="宋体"/>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w:t>
      </w:r>
      <w:r>
        <w:rPr>
          <w:rFonts w:hint="eastAsia" w:ascii="仿宋" w:hAnsi="仿宋" w:eastAsia="仿宋" w:cs="宋体"/>
          <w:sz w:val="28"/>
          <w:szCs w:val="28"/>
          <w:u w:val="single"/>
        </w:rPr>
        <w:t>010-69180915/15210997907</w:t>
      </w:r>
    </w:p>
    <w:p w14:paraId="26976323">
      <w:pPr>
        <w:spacing w:line="360" w:lineRule="auto"/>
        <w:rPr>
          <w:rFonts w:ascii="黑体" w:hAnsi="黑体" w:eastAsia="黑体" w:cs="宋体"/>
          <w:kern w:val="0"/>
          <w:sz w:val="28"/>
          <w:szCs w:val="28"/>
        </w:rPr>
      </w:pPr>
      <w:r>
        <w:rPr>
          <w:rFonts w:hint="eastAsia" w:ascii="黑体" w:hAnsi="黑体" w:eastAsia="黑体" w:cs="宋体"/>
          <w:kern w:val="0"/>
          <w:sz w:val="28"/>
          <w:szCs w:val="28"/>
        </w:rPr>
        <w:t>十、附件</w:t>
      </w:r>
      <w:bookmarkStart w:id="14" w:name="_GoBack"/>
      <w:bookmarkEnd w:id="14"/>
    </w:p>
    <w:p w14:paraId="44E78A74">
      <w:pPr>
        <w:spacing w:line="360" w:lineRule="auto"/>
        <w:ind w:firstLine="840" w:firstLineChars="300"/>
        <w:rPr>
          <w:rFonts w:hint="default" w:ascii="仿宋" w:hAnsi="仿宋" w:eastAsia="仿宋" w:cs="宋体"/>
          <w:color w:val="0000FF"/>
          <w:kern w:val="0"/>
          <w:sz w:val="28"/>
          <w:szCs w:val="28"/>
          <w:lang w:val="en-US" w:eastAsia="zh-CN"/>
        </w:rPr>
      </w:pPr>
      <w:r>
        <w:rPr>
          <w:rFonts w:hint="eastAsia" w:ascii="仿宋" w:hAnsi="仿宋" w:eastAsia="仿宋" w:cs="宋体"/>
          <w:kern w:val="0"/>
          <w:sz w:val="28"/>
          <w:szCs w:val="28"/>
        </w:rPr>
        <w:t>竞争性磋商文件</w:t>
      </w:r>
    </w:p>
    <w:sectPr>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52C43"/>
    <w:multiLevelType w:val="singleLevel"/>
    <w:tmpl w:val="91052C43"/>
    <w:lvl w:ilvl="0" w:tentative="0">
      <w:start w:val="1"/>
      <w:numFmt w:val="chineseCounting"/>
      <w:suff w:val="nothing"/>
      <w:lvlText w:val="%1、"/>
      <w:lvlJc w:val="left"/>
      <w:rPr>
        <w:rFonts w:hint="eastAsia"/>
      </w:rPr>
    </w:lvl>
  </w:abstractNum>
  <w:abstractNum w:abstractNumId="1">
    <w:nsid w:val="F4E33F1E"/>
    <w:multiLevelType w:val="singleLevel"/>
    <w:tmpl w:val="F4E33F1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YThjNjliNjkzODU3NjE1Nzg1NWFjMjdjMTBkYTUifQ=="/>
  </w:docVars>
  <w:rsids>
    <w:rsidRoot w:val="008C07CC"/>
    <w:rsid w:val="00032FA4"/>
    <w:rsid w:val="00046742"/>
    <w:rsid w:val="00081524"/>
    <w:rsid w:val="00083767"/>
    <w:rsid w:val="000A5AF3"/>
    <w:rsid w:val="000D27C9"/>
    <w:rsid w:val="000D38D1"/>
    <w:rsid w:val="000F5790"/>
    <w:rsid w:val="001B4540"/>
    <w:rsid w:val="001C0085"/>
    <w:rsid w:val="001F3AF5"/>
    <w:rsid w:val="00270FE0"/>
    <w:rsid w:val="00285233"/>
    <w:rsid w:val="002F2BA2"/>
    <w:rsid w:val="0030327B"/>
    <w:rsid w:val="0035486D"/>
    <w:rsid w:val="00354BF1"/>
    <w:rsid w:val="003858CA"/>
    <w:rsid w:val="00393E4C"/>
    <w:rsid w:val="003F1F49"/>
    <w:rsid w:val="0043238E"/>
    <w:rsid w:val="00476E78"/>
    <w:rsid w:val="004B3E40"/>
    <w:rsid w:val="004E5941"/>
    <w:rsid w:val="00542B0E"/>
    <w:rsid w:val="00563C3D"/>
    <w:rsid w:val="0057420D"/>
    <w:rsid w:val="005758F4"/>
    <w:rsid w:val="0059107E"/>
    <w:rsid w:val="005C3689"/>
    <w:rsid w:val="005D5478"/>
    <w:rsid w:val="006119BB"/>
    <w:rsid w:val="00625CC3"/>
    <w:rsid w:val="00627ED1"/>
    <w:rsid w:val="00655594"/>
    <w:rsid w:val="00656E99"/>
    <w:rsid w:val="006A5C45"/>
    <w:rsid w:val="006B2DC1"/>
    <w:rsid w:val="006C0FAA"/>
    <w:rsid w:val="006C27FC"/>
    <w:rsid w:val="007119CF"/>
    <w:rsid w:val="007429C5"/>
    <w:rsid w:val="00755B11"/>
    <w:rsid w:val="00767E09"/>
    <w:rsid w:val="007F14AA"/>
    <w:rsid w:val="00840AB7"/>
    <w:rsid w:val="008459B5"/>
    <w:rsid w:val="00886D0C"/>
    <w:rsid w:val="008C07CC"/>
    <w:rsid w:val="00904807"/>
    <w:rsid w:val="009102FF"/>
    <w:rsid w:val="00977B62"/>
    <w:rsid w:val="00984E38"/>
    <w:rsid w:val="00990FA3"/>
    <w:rsid w:val="009B5F87"/>
    <w:rsid w:val="009C0834"/>
    <w:rsid w:val="00A1448A"/>
    <w:rsid w:val="00A15CE1"/>
    <w:rsid w:val="00A74B31"/>
    <w:rsid w:val="00A8433B"/>
    <w:rsid w:val="00A92753"/>
    <w:rsid w:val="00AE70DB"/>
    <w:rsid w:val="00AF45E8"/>
    <w:rsid w:val="00B11C18"/>
    <w:rsid w:val="00B929AA"/>
    <w:rsid w:val="00BE0C5C"/>
    <w:rsid w:val="00BF45C7"/>
    <w:rsid w:val="00BF7F33"/>
    <w:rsid w:val="00C31223"/>
    <w:rsid w:val="00C61707"/>
    <w:rsid w:val="00D32AC4"/>
    <w:rsid w:val="00D51E09"/>
    <w:rsid w:val="00D90842"/>
    <w:rsid w:val="00DC1FED"/>
    <w:rsid w:val="00DF5B1B"/>
    <w:rsid w:val="00E05F12"/>
    <w:rsid w:val="00E55D64"/>
    <w:rsid w:val="00E561D0"/>
    <w:rsid w:val="00E8226F"/>
    <w:rsid w:val="00EA6770"/>
    <w:rsid w:val="00EF0975"/>
    <w:rsid w:val="00F03339"/>
    <w:rsid w:val="00F24425"/>
    <w:rsid w:val="00F52EDD"/>
    <w:rsid w:val="00F87374"/>
    <w:rsid w:val="00FD0EDD"/>
    <w:rsid w:val="02FC587E"/>
    <w:rsid w:val="03086AA8"/>
    <w:rsid w:val="055254F0"/>
    <w:rsid w:val="0850403A"/>
    <w:rsid w:val="0BF830CA"/>
    <w:rsid w:val="0D076022"/>
    <w:rsid w:val="0FA82570"/>
    <w:rsid w:val="10DB4392"/>
    <w:rsid w:val="112453F4"/>
    <w:rsid w:val="13042E95"/>
    <w:rsid w:val="136B6F5F"/>
    <w:rsid w:val="141507B0"/>
    <w:rsid w:val="14CB3DD9"/>
    <w:rsid w:val="18B43D49"/>
    <w:rsid w:val="1A750A6F"/>
    <w:rsid w:val="23123AED"/>
    <w:rsid w:val="273E20CA"/>
    <w:rsid w:val="297E7214"/>
    <w:rsid w:val="2A4F2060"/>
    <w:rsid w:val="2C261412"/>
    <w:rsid w:val="2E222864"/>
    <w:rsid w:val="2E863994"/>
    <w:rsid w:val="2F884C98"/>
    <w:rsid w:val="3025663B"/>
    <w:rsid w:val="325709DE"/>
    <w:rsid w:val="34AA5361"/>
    <w:rsid w:val="36E745D8"/>
    <w:rsid w:val="39F4781C"/>
    <w:rsid w:val="3C2F4ACA"/>
    <w:rsid w:val="40B42C87"/>
    <w:rsid w:val="43BB3530"/>
    <w:rsid w:val="46B12B90"/>
    <w:rsid w:val="46CC73B9"/>
    <w:rsid w:val="470D3C59"/>
    <w:rsid w:val="47B642F1"/>
    <w:rsid w:val="52305357"/>
    <w:rsid w:val="598853C1"/>
    <w:rsid w:val="5A0013FC"/>
    <w:rsid w:val="5B48496A"/>
    <w:rsid w:val="5B750193"/>
    <w:rsid w:val="5C294C3A"/>
    <w:rsid w:val="5CBE001F"/>
    <w:rsid w:val="63623E1F"/>
    <w:rsid w:val="63C67212"/>
    <w:rsid w:val="6685047E"/>
    <w:rsid w:val="68252F12"/>
    <w:rsid w:val="6D4A3931"/>
    <w:rsid w:val="70BD199D"/>
    <w:rsid w:val="71B932BE"/>
    <w:rsid w:val="71FC02A3"/>
    <w:rsid w:val="740C0C71"/>
    <w:rsid w:val="747C7DD6"/>
    <w:rsid w:val="748066B1"/>
    <w:rsid w:val="764543D4"/>
    <w:rsid w:val="77147432"/>
    <w:rsid w:val="788F00C3"/>
    <w:rsid w:val="7AD7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宋体"/>
      <w:szCs w:val="2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rFonts w:cs="Times New Roman"/>
      <w:color w:val="0000FF"/>
      <w:u w:val="single"/>
    </w:rPr>
  </w:style>
  <w:style w:type="character" w:customStyle="1" w:styleId="12">
    <w:name w:val="页眉 字符"/>
    <w:basedOn w:val="10"/>
    <w:link w:val="6"/>
    <w:qFormat/>
    <w:uiPriority w:val="0"/>
    <w:rPr>
      <w:rFonts w:ascii="Times New Roman" w:hAnsi="Times New Roman" w:eastAsia="宋体" w:cs="Times New Roman"/>
      <w:kern w:val="2"/>
      <w:sz w:val="18"/>
      <w:szCs w:val="18"/>
    </w:rPr>
  </w:style>
  <w:style w:type="character" w:customStyle="1" w:styleId="13">
    <w:name w:val="页脚 字符"/>
    <w:basedOn w:val="10"/>
    <w:link w:val="5"/>
    <w:qFormat/>
    <w:uiPriority w:val="0"/>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1278</Words>
  <Characters>1434</Characters>
  <Lines>6</Lines>
  <Paragraphs>1</Paragraphs>
  <TotalTime>0</TotalTime>
  <ScaleCrop>false</ScaleCrop>
  <LinksUpToDate>false</LinksUpToDate>
  <CharactersWithSpaces>1460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2022-02-23T03:41:00Z</dcterms:created>
  <dc:creator>Administrator.PC-20190408AXFR</dc:creator>
  <cp:lastModifiedBy>@</cp:lastModifiedBy>
  <dcterms:modified xsi:type="dcterms:W3CDTF">2025-10-29T09:01:48Z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1A8D866965F64F9E9F8B5A7DB7D1203C</vt:lpwstr>
  </property>
  <property fmtid="{D5CDD505-2E9C-101B-9397-08002B2CF9AE}" pid="4" name="KSOTemplateDocerSaveRecord">
    <vt:lpwstr>eyJoZGlkIjoiZjFhMDdmZTFhZWM0NzY2NGZiNDg2Y2RhMmY0Y2Y2MjciLCJ1c2VySWQiOiIyNDcwOTE4NzYifQ==</vt:lpwstr>
  </property>
</Properties>
</file>