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r>
        <w:rPr>
          <w:b/>
          <w:bCs/>
          <w:spacing w:val="0"/>
          <w:kern w:val="0"/>
          <w:position w:val="0"/>
          <w:sz w:val="60"/>
          <w:szCs w:val="60"/>
        </w:rPr>
        <w:t>（2024年版）</w:t>
      </w:r>
    </w:p>
    <w:p w14:paraId="443FF6FF">
      <w:pPr>
        <w:spacing w:line="360" w:lineRule="auto"/>
        <w:jc w:val="center"/>
        <w:rPr>
          <w:spacing w:val="0"/>
          <w:kern w:val="0"/>
          <w:position w:val="0"/>
          <w:sz w:val="60"/>
          <w:szCs w:val="60"/>
        </w:rPr>
      </w:pPr>
    </w:p>
    <w:p w14:paraId="0EBA5DC0">
      <w:pPr>
        <w:spacing w:line="360" w:lineRule="auto"/>
        <w:ind w:left="2829" w:hanging="1899"/>
        <w:rPr>
          <w:rFonts w:hint="eastAsia" w:ascii="宋体" w:hAnsi="宋体" w:eastAsia="宋体" w:cs="宋体"/>
          <w:bCs/>
          <w:spacing w:val="0"/>
          <w:kern w:val="0"/>
          <w:position w:val="0"/>
          <w:sz w:val="36"/>
          <w:szCs w:val="36"/>
          <w:lang w:eastAsia="zh-CN"/>
        </w:rPr>
      </w:pPr>
      <w:r>
        <w:rPr>
          <w:rFonts w:hint="eastAsia" w:ascii="宋体" w:hAnsi="宋体" w:eastAsia="宋体" w:cs="宋体"/>
          <w:bCs/>
          <w:spacing w:val="0"/>
          <w:kern w:val="0"/>
          <w:position w:val="0"/>
          <w:sz w:val="36"/>
          <w:szCs w:val="36"/>
        </w:rPr>
        <w:t>项目名称：</w:t>
      </w:r>
      <w:r>
        <w:rPr>
          <w:rFonts w:hint="eastAsia" w:ascii="宋体" w:hAnsi="宋体" w:cs="宋体"/>
          <w:i w:val="0"/>
          <w:iCs w:val="0"/>
          <w:caps w:val="0"/>
          <w:spacing w:val="0"/>
          <w:sz w:val="36"/>
          <w:szCs w:val="36"/>
          <w:shd w:val="clear" w:fill="FFFFFF"/>
          <w:lang w:eastAsia="zh-CN"/>
        </w:rPr>
        <w:t>大兴区旧宫医院购置医疗设备项目（</w:t>
      </w:r>
      <w:r>
        <w:rPr>
          <w:rFonts w:hint="eastAsia" w:ascii="宋体" w:hAnsi="宋体" w:cs="宋体"/>
          <w:i w:val="0"/>
          <w:iCs w:val="0"/>
          <w:caps w:val="0"/>
          <w:spacing w:val="0"/>
          <w:sz w:val="36"/>
          <w:szCs w:val="36"/>
          <w:shd w:val="clear" w:fill="FFFFFF"/>
          <w:lang w:val="en-US" w:eastAsia="zh-CN"/>
        </w:rPr>
        <w:t>第一包</w:t>
      </w:r>
      <w:r>
        <w:rPr>
          <w:rFonts w:hint="eastAsia" w:ascii="宋体" w:hAnsi="宋体" w:cs="宋体"/>
          <w:i w:val="0"/>
          <w:iCs w:val="0"/>
          <w:caps w:val="0"/>
          <w:spacing w:val="0"/>
          <w:sz w:val="36"/>
          <w:szCs w:val="36"/>
          <w:shd w:val="clear" w:fill="FFFFFF"/>
          <w:lang w:eastAsia="zh-CN"/>
        </w:rPr>
        <w:t>）</w:t>
      </w:r>
    </w:p>
    <w:p w14:paraId="67586D38">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项目编号/包号：</w:t>
      </w:r>
      <w:r>
        <w:rPr>
          <w:rFonts w:hint="eastAsia"/>
          <w:bCs/>
          <w:spacing w:val="0"/>
          <w:kern w:val="0"/>
          <w:position w:val="0"/>
          <w:sz w:val="36"/>
          <w:szCs w:val="36"/>
          <w:lang w:eastAsia="zh-CN"/>
        </w:rPr>
        <w:t>11011525210200029015-XM001</w:t>
      </w:r>
      <w:r>
        <w:rPr>
          <w:rFonts w:hint="eastAsia"/>
          <w:bCs/>
          <w:spacing w:val="0"/>
          <w:kern w:val="0"/>
          <w:position w:val="0"/>
          <w:sz w:val="36"/>
          <w:szCs w:val="36"/>
          <w:lang w:val="en-US" w:eastAsia="zh-CN"/>
        </w:rPr>
        <w:t>/01</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北京市大兴区旧宫医院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1"/>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2"/>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2"/>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2"/>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2"/>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2"/>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2"/>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1"/>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2"/>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46</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1"/>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1"/>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18" w:right="1134" w:bottom="1418" w:left="1134"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3"/>
        <w:spacing w:before="0" w:line="360" w:lineRule="auto"/>
        <w:jc w:val="left"/>
        <w:rPr>
          <w:rFonts w:ascii="Times New Roman" w:hAnsi="Times New Roman" w:eastAsia="宋体"/>
          <w:spacing w:val="0"/>
          <w:kern w:val="0"/>
          <w:position w:val="0"/>
          <w:sz w:val="24"/>
          <w:szCs w:val="24"/>
        </w:rPr>
      </w:pPr>
      <w:bookmarkStart w:id="2" w:name="_Toc35393790"/>
      <w:bookmarkStart w:id="3" w:name="_Toc28359079"/>
      <w:bookmarkStart w:id="4" w:name="_Toc28359002"/>
      <w:bookmarkStart w:id="5" w:name="_Toc35393621"/>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default" w:eastAsia="宋体"/>
          <w:spacing w:val="0"/>
          <w:kern w:val="0"/>
          <w:position w:val="0"/>
          <w:sz w:val="24"/>
          <w:lang w:val="en-US" w:eastAsia="zh-CN"/>
        </w:rPr>
      </w:pPr>
      <w:r>
        <w:rPr>
          <w:spacing w:val="0"/>
          <w:kern w:val="0"/>
          <w:position w:val="0"/>
          <w:sz w:val="24"/>
        </w:rPr>
        <w:t>1.项目编号：</w:t>
      </w:r>
      <w:r>
        <w:rPr>
          <w:rFonts w:hint="eastAsia"/>
          <w:spacing w:val="0"/>
          <w:kern w:val="0"/>
          <w:position w:val="0"/>
          <w:sz w:val="24"/>
          <w:u w:val="single"/>
          <w:lang w:val="en-US" w:eastAsia="zh-CN"/>
        </w:rPr>
        <w:t>11011525210200029015-XM001</w:t>
      </w:r>
    </w:p>
    <w:p w14:paraId="2BAFD509">
      <w:pPr>
        <w:spacing w:line="360" w:lineRule="auto"/>
        <w:ind w:firstLine="480" w:firstLineChars="200"/>
        <w:rPr>
          <w:rFonts w:hint="eastAsia" w:eastAsia="宋体"/>
          <w:spacing w:val="0"/>
          <w:kern w:val="0"/>
          <w:position w:val="0"/>
          <w:sz w:val="24"/>
          <w:lang w:eastAsia="zh-CN"/>
        </w:rPr>
      </w:pPr>
      <w:r>
        <w:rPr>
          <w:spacing w:val="0"/>
          <w:kern w:val="0"/>
          <w:position w:val="0"/>
          <w:sz w:val="24"/>
        </w:rPr>
        <w:t>2.项目名称：</w:t>
      </w:r>
      <w:r>
        <w:rPr>
          <w:rFonts w:hint="eastAsia"/>
          <w:spacing w:val="0"/>
          <w:kern w:val="0"/>
          <w:position w:val="0"/>
          <w:sz w:val="24"/>
          <w:u w:val="single"/>
          <w:lang w:eastAsia="zh-CN"/>
        </w:rPr>
        <w:t>大兴区旧宫医院购置医疗设备项目（第一包）</w:t>
      </w:r>
    </w:p>
    <w:bookmarkEnd w:id="6"/>
    <w:p w14:paraId="138C911D">
      <w:pPr>
        <w:spacing w:line="360" w:lineRule="auto"/>
        <w:ind w:firstLine="480" w:firstLineChars="200"/>
        <w:rPr>
          <w:spacing w:val="0"/>
          <w:kern w:val="0"/>
          <w:position w:val="0"/>
          <w:sz w:val="24"/>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rFonts w:hint="eastAsia"/>
          <w:spacing w:val="0"/>
          <w:kern w:val="0"/>
          <w:position w:val="0"/>
          <w:sz w:val="24"/>
          <w:u w:val="single"/>
          <w:lang w:val="en-US" w:eastAsia="zh-CN"/>
        </w:rPr>
        <w:t>207</w:t>
      </w:r>
      <w:r>
        <w:rPr>
          <w:spacing w:val="0"/>
          <w:kern w:val="0"/>
          <w:position w:val="0"/>
          <w:sz w:val="24"/>
        </w:rPr>
        <w:t>万元、项目最高限价（如有）：</w:t>
      </w:r>
      <w:r>
        <w:rPr>
          <w:rFonts w:hint="eastAsia"/>
          <w:spacing w:val="0"/>
          <w:kern w:val="0"/>
          <w:position w:val="0"/>
          <w:sz w:val="24"/>
          <w:u w:val="single"/>
          <w:lang w:val="en-US" w:eastAsia="zh-CN"/>
        </w:rPr>
        <w:t xml:space="preserve">  /  </w:t>
      </w:r>
      <w:r>
        <w:rPr>
          <w:spacing w:val="0"/>
          <w:kern w:val="0"/>
          <w:position w:val="0"/>
          <w:sz w:val="24"/>
        </w:rPr>
        <w:t>万元</w:t>
      </w:r>
    </w:p>
    <w:p w14:paraId="72D957D3">
      <w:pPr>
        <w:spacing w:line="360" w:lineRule="auto"/>
        <w:ind w:firstLine="480" w:firstLineChars="200"/>
        <w:rPr>
          <w:rFonts w:hint="default" w:eastAsia="宋体"/>
          <w:spacing w:val="0"/>
          <w:kern w:val="0"/>
          <w:position w:val="0"/>
          <w:sz w:val="24"/>
          <w:lang w:val="en-US" w:eastAsia="zh-CN"/>
        </w:rPr>
      </w:pPr>
      <w:r>
        <w:rPr>
          <w:rFonts w:hint="eastAsia"/>
          <w:spacing w:val="0"/>
          <w:kern w:val="0"/>
          <w:position w:val="0"/>
          <w:sz w:val="24"/>
          <w:lang w:val="en-US" w:eastAsia="zh-CN"/>
        </w:rPr>
        <w:t>包号：01包预算金额：</w:t>
      </w:r>
      <w:r>
        <w:rPr>
          <w:rFonts w:hint="eastAsia"/>
          <w:spacing w:val="0"/>
          <w:kern w:val="0"/>
          <w:position w:val="0"/>
          <w:sz w:val="24"/>
          <w:u w:val="single"/>
          <w:lang w:val="en-US" w:eastAsia="zh-CN"/>
        </w:rPr>
        <w:t>25</w:t>
      </w:r>
      <w:r>
        <w:rPr>
          <w:rFonts w:hint="eastAsia"/>
          <w:spacing w:val="0"/>
          <w:kern w:val="0"/>
          <w:position w:val="0"/>
          <w:sz w:val="24"/>
          <w:lang w:val="en-US" w:eastAsia="zh-CN"/>
        </w:rPr>
        <w:t>万元、01包</w:t>
      </w:r>
      <w:r>
        <w:rPr>
          <w:spacing w:val="0"/>
          <w:kern w:val="0"/>
          <w:position w:val="0"/>
          <w:sz w:val="24"/>
        </w:rPr>
        <w:t>最高限价（如有）：</w:t>
      </w:r>
      <w:r>
        <w:rPr>
          <w:rFonts w:hint="eastAsia"/>
          <w:spacing w:val="0"/>
          <w:kern w:val="0"/>
          <w:position w:val="0"/>
          <w:sz w:val="24"/>
          <w:u w:val="single"/>
          <w:lang w:val="en-US" w:eastAsia="zh-CN"/>
        </w:rPr>
        <w:t>25</w:t>
      </w:r>
      <w:r>
        <w:rPr>
          <w:spacing w:val="0"/>
          <w:kern w:val="0"/>
          <w:position w:val="0"/>
          <w:sz w:val="24"/>
        </w:rPr>
        <w:t>万元</w:t>
      </w:r>
    </w:p>
    <w:p w14:paraId="12A7CD05">
      <w:pPr>
        <w:spacing w:line="360" w:lineRule="auto"/>
        <w:ind w:firstLine="480" w:firstLineChars="200"/>
        <w:rPr>
          <w:rFonts w:hint="eastAsia"/>
          <w:spacing w:val="0"/>
          <w:kern w:val="0"/>
          <w:position w:val="0"/>
          <w:sz w:val="24"/>
          <w:highlight w:val="none"/>
        </w:rPr>
      </w:pPr>
      <w:r>
        <w:rPr>
          <w:spacing w:val="0"/>
          <w:kern w:val="0"/>
          <w:position w:val="0"/>
          <w:sz w:val="24"/>
          <w:highlight w:val="none"/>
        </w:rPr>
        <w:t>4.采购需求：</w:t>
      </w:r>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381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22CB">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4BCEBB72">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0DC94B41">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4E4037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1122A083">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63A9879E">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4710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74BC5">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01</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93064C1">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全自动化学发光分析仪</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FCA069C">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DA76D9A">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0D877A02">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25</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45A02CB7">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49D31ED9">
      <w:pPr>
        <w:pStyle w:val="42"/>
      </w:pPr>
    </w:p>
    <w:p w14:paraId="2122E755">
      <w:pPr>
        <w:spacing w:line="360" w:lineRule="auto"/>
        <w:ind w:firstLine="480" w:firstLineChars="200"/>
        <w:rPr>
          <w:rFonts w:hint="default" w:eastAsia="宋体"/>
          <w:spacing w:val="0"/>
          <w:kern w:val="0"/>
          <w:position w:val="0"/>
          <w:sz w:val="24"/>
          <w:u w:val="single"/>
          <w:lang w:val="en-US" w:eastAsia="zh-CN"/>
        </w:rPr>
      </w:pPr>
      <w:r>
        <w:rPr>
          <w:spacing w:val="0"/>
          <w:kern w:val="0"/>
          <w:position w:val="0"/>
          <w:sz w:val="24"/>
        </w:rPr>
        <w:t>5.</w:t>
      </w:r>
      <w:r>
        <w:rPr>
          <w:spacing w:val="0"/>
          <w:kern w:val="0"/>
          <w:position w:val="0"/>
          <w:sz w:val="24"/>
          <w:highlight w:val="none"/>
        </w:rPr>
        <w:t>合同履行期</w:t>
      </w:r>
      <w:r>
        <w:rPr>
          <w:spacing w:val="0"/>
          <w:kern w:val="0"/>
          <w:position w:val="0"/>
          <w:sz w:val="24"/>
        </w:rPr>
        <w:t>限</w:t>
      </w:r>
      <w:r>
        <w:rPr>
          <w:spacing w:val="0"/>
          <w:kern w:val="0"/>
          <w:position w:val="0"/>
          <w:sz w:val="24"/>
          <w:highlight w:val="none"/>
        </w:rPr>
        <w:t>：</w:t>
      </w:r>
      <w:r>
        <w:rPr>
          <w:rFonts w:hint="eastAsia"/>
          <w:spacing w:val="0"/>
          <w:kern w:val="0"/>
          <w:position w:val="0"/>
          <w:sz w:val="24"/>
          <w:highlight w:val="none"/>
        </w:rPr>
        <w:t>自合同签订起15个日历天内完成供货。</w:t>
      </w:r>
    </w:p>
    <w:p w14:paraId="531165B2">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rPr>
        <w:t>■</w:t>
      </w:r>
      <w:r>
        <w:rPr>
          <w:spacing w:val="0"/>
          <w:kern w:val="0"/>
          <w:position w:val="0"/>
          <w:sz w:val="24"/>
        </w:rPr>
        <w:t>否。</w:t>
      </w:r>
    </w:p>
    <w:p w14:paraId="5D7731E2">
      <w:pPr>
        <w:spacing w:line="360" w:lineRule="auto"/>
        <w:ind w:firstLine="480" w:firstLineChars="200"/>
        <w:rPr>
          <w:spacing w:val="0"/>
          <w:kern w:val="0"/>
          <w:position w:val="0"/>
          <w:sz w:val="24"/>
        </w:rPr>
      </w:pPr>
    </w:p>
    <w:p w14:paraId="40C18B3C">
      <w:pPr>
        <w:pStyle w:val="3"/>
        <w:spacing w:before="0" w:line="360" w:lineRule="auto"/>
        <w:jc w:val="left"/>
        <w:rPr>
          <w:rFonts w:ascii="Times New Roman" w:hAnsi="Times New Roman" w:eastAsia="宋体"/>
          <w:spacing w:val="0"/>
          <w:kern w:val="0"/>
          <w:position w:val="0"/>
          <w:sz w:val="24"/>
          <w:szCs w:val="24"/>
        </w:rPr>
      </w:pPr>
      <w:bookmarkStart w:id="7" w:name="_Toc28359080"/>
      <w:bookmarkStart w:id="8" w:name="_Toc35393622"/>
      <w:bookmarkStart w:id="9" w:name="_Toc35393791"/>
      <w:bookmarkStart w:id="10" w:name="_Toc28359003"/>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480" w:firstLineChars="200"/>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本项目不专门面向中小企业预留采购份额。</w:t>
      </w:r>
    </w:p>
    <w:p w14:paraId="42733294">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 xml:space="preserve">本项目专门面向  </w:t>
      </w:r>
      <w:r>
        <w:rPr>
          <w:rFonts w:hint="eastAsia" w:ascii="宋体" w:hAnsi="宋体" w:cs="宋体"/>
          <w:spacing w:val="0"/>
          <w:kern w:val="0"/>
          <w:position w:val="0"/>
          <w:sz w:val="24"/>
          <w:lang w:eastAsia="zh-CN"/>
        </w:rPr>
        <w:t>□</w:t>
      </w:r>
      <w:r>
        <w:rPr>
          <w:spacing w:val="0"/>
          <w:kern w:val="0"/>
          <w:position w:val="0"/>
          <w:sz w:val="24"/>
        </w:rPr>
        <w:t xml:space="preserve">中小 </w:t>
      </w:r>
      <w:r>
        <w:rPr>
          <w:rFonts w:hint="eastAsia" w:ascii="宋体" w:hAnsi="宋体" w:cs="宋体"/>
          <w:spacing w:val="0"/>
          <w:kern w:val="0"/>
          <w:position w:val="0"/>
          <w:sz w:val="24"/>
          <w:lang w:eastAsia="zh-CN"/>
        </w:rPr>
        <w:t>□</w:t>
      </w:r>
      <w:r>
        <w:rPr>
          <w:spacing w:val="0"/>
          <w:kern w:val="0"/>
          <w:position w:val="0"/>
          <w:sz w:val="24"/>
        </w:rPr>
        <w:t>小微企业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是，公益一类事业单位、使用事业编制且由财政拨款保障的群团组织，不得作为承接主体；</w:t>
      </w:r>
    </w:p>
    <w:p w14:paraId="4D76D491">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lang w:eastAsia="zh-CN"/>
        </w:rPr>
      </w:pPr>
      <w:r>
        <w:rPr>
          <w:spacing w:val="0"/>
          <w:kern w:val="0"/>
          <w:position w:val="0"/>
          <w:sz w:val="24"/>
        </w:rPr>
        <w:t>3.2其他特定资格要求</w:t>
      </w:r>
      <w:r>
        <w:rPr>
          <w:rFonts w:eastAsiaTheme="minorEastAsia"/>
          <w:spacing w:val="0"/>
          <w:kern w:val="0"/>
          <w:position w:val="0"/>
          <w:sz w:val="24"/>
        </w:rPr>
        <w:t>：</w:t>
      </w:r>
    </w:p>
    <w:p w14:paraId="40268D73">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1</w:t>
      </w:r>
      <w:r>
        <w:rPr>
          <w:rFonts w:hint="eastAsia" w:eastAsiaTheme="minorEastAsia"/>
          <w:spacing w:val="0"/>
          <w:kern w:val="0"/>
          <w:position w:val="0"/>
          <w:sz w:val="24"/>
          <w:highlight w:val="none"/>
          <w:u w:val="single"/>
          <w:lang w:eastAsia="zh-CN"/>
        </w:rPr>
        <w:t>）</w:t>
      </w:r>
      <w:r>
        <w:rPr>
          <w:rFonts w:hint="eastAsia" w:eastAsiaTheme="minorEastAsia"/>
          <w:spacing w:val="0"/>
          <w:kern w:val="0"/>
          <w:position w:val="0"/>
          <w:sz w:val="24"/>
          <w:highlight w:val="none"/>
          <w:u w:val="single"/>
          <w:lang w:val="en-US" w:eastAsia="zh-CN"/>
        </w:rPr>
        <w:t>投标产品属于医疗器械的，供应商如为代理商，应具有合法的医疗器械经营资格，所投产品属于第二类医疗器械的应具有《医疗器械经营备案凭证》，属于第三类医疗器械的应具有《医疗器械经营许可证》；</w:t>
      </w:r>
    </w:p>
    <w:p w14:paraId="2A16D3DE">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ascii="Times New Roman" w:hAnsi="Times New Roman" w:cs="Times New Roman" w:eastAsiaTheme="minorEastAsia"/>
          <w:spacing w:val="0"/>
          <w:kern w:val="0"/>
          <w:position w:val="0"/>
          <w:sz w:val="24"/>
          <w:highlight w:val="none"/>
          <w:u w:val="single"/>
          <w:lang w:val="en-US" w:eastAsia="zh-CN"/>
        </w:rPr>
        <w:t>（2）</w:t>
      </w:r>
      <w:r>
        <w:rPr>
          <w:rFonts w:hint="eastAsia" w:eastAsiaTheme="minorEastAsia"/>
          <w:spacing w:val="0"/>
          <w:kern w:val="0"/>
          <w:position w:val="0"/>
          <w:sz w:val="24"/>
          <w:highlight w:val="none"/>
          <w:u w:val="single"/>
          <w:lang w:val="en-US" w:eastAsia="zh-CN"/>
        </w:rPr>
        <w:t xml:space="preserve">供应商如为制造商，使用自身生产的产品投标时，应具有合法的医疗器械生产资格，所投产品属于第一类医疗器械的应具有《医疗器械生产备案凭证》，属于第二类、第三类医疗器械的应具有《医疗器械生产许可证》。 </w:t>
      </w:r>
    </w:p>
    <w:p w14:paraId="783BC22D">
      <w:pPr>
        <w:tabs>
          <w:tab w:val="left" w:pos="900"/>
          <w:tab w:val="left" w:pos="1134"/>
          <w:tab w:val="left" w:pos="1589"/>
          <w:tab w:val="left" w:pos="5521"/>
        </w:tabs>
        <w:snapToGrid w:val="0"/>
        <w:spacing w:line="360" w:lineRule="auto"/>
        <w:ind w:firstLine="480" w:firstLineChars="200"/>
        <w:rPr>
          <w:spacing w:val="0"/>
          <w:kern w:val="0"/>
          <w:position w:val="0"/>
          <w:sz w:val="24"/>
          <w:highlight w:val="none"/>
        </w:rPr>
      </w:pPr>
      <w:r>
        <w:rPr>
          <w:rFonts w:hint="eastAsia" w:eastAsiaTheme="minorEastAsia"/>
          <w:spacing w:val="0"/>
          <w:kern w:val="0"/>
          <w:position w:val="0"/>
          <w:sz w:val="24"/>
          <w:highlight w:val="none"/>
          <w:u w:val="single"/>
          <w:lang w:val="en-US" w:eastAsia="zh-CN"/>
        </w:rPr>
        <w:t>（3）投标产品属于医疗器械的，应按原国家食品药品监督管理总局颁发的《医疗器械注册管理办法》，办理医疗器械注册证或者办理备案，供应商须提供有效的医疗器械注册证复印件或备案凭证并加盖公章。</w:t>
      </w:r>
    </w:p>
    <w:p w14:paraId="4974B477">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注：1、须提供上述相关有效资质证明复印件并加盖单位公章。</w:t>
      </w:r>
    </w:p>
    <w:p w14:paraId="259AD302">
      <w:pPr>
        <w:tabs>
          <w:tab w:val="left" w:pos="900"/>
          <w:tab w:val="left" w:pos="1134"/>
          <w:tab w:val="left" w:pos="1589"/>
          <w:tab w:val="left" w:pos="5521"/>
        </w:tabs>
        <w:snapToGrid w:val="0"/>
        <w:spacing w:line="360" w:lineRule="auto"/>
        <w:ind w:firstLine="480" w:firstLineChars="200"/>
        <w:rPr>
          <w:rFonts w:hint="eastAsia" w:eastAsiaTheme="minorEastAsia"/>
          <w:spacing w:val="0"/>
          <w:kern w:val="0"/>
          <w:position w:val="0"/>
          <w:sz w:val="24"/>
          <w:highlight w:val="none"/>
          <w:u w:val="single"/>
          <w:lang w:val="en-US" w:eastAsia="zh-CN"/>
        </w:rPr>
      </w:pPr>
      <w:r>
        <w:rPr>
          <w:rFonts w:hint="eastAsia" w:eastAsiaTheme="minorEastAsia"/>
          <w:spacing w:val="0"/>
          <w:kern w:val="0"/>
          <w:position w:val="0"/>
          <w:sz w:val="24"/>
          <w:highlight w:val="none"/>
          <w:u w:val="single"/>
          <w:lang w:val="en-US" w:eastAsia="zh-CN"/>
        </w:rPr>
        <w:t xml:space="preserve">    2、若供应商存在上级代理商，还应提供上级代理商有效的医疗器械经营资格证明文件复印件加盖单位公章。</w:t>
      </w:r>
    </w:p>
    <w:p w14:paraId="1E6555AE">
      <w:pPr>
        <w:spacing w:line="360" w:lineRule="auto"/>
        <w:ind w:firstLine="480" w:firstLineChars="200"/>
        <w:rPr>
          <w:i/>
          <w:iCs/>
          <w:spacing w:val="0"/>
          <w:kern w:val="0"/>
          <w:position w:val="0"/>
          <w:sz w:val="24"/>
          <w:u w:val="single"/>
        </w:rPr>
      </w:pPr>
    </w:p>
    <w:bookmarkEnd w:id="11"/>
    <w:bookmarkEnd w:id="12"/>
    <w:p w14:paraId="278A0DE1">
      <w:pPr>
        <w:pStyle w:val="3"/>
        <w:widowControl/>
        <w:spacing w:before="0" w:line="360" w:lineRule="auto"/>
        <w:jc w:val="left"/>
        <w:rPr>
          <w:rFonts w:ascii="Times New Roman" w:hAnsi="Times New Roman" w:eastAsia="宋体"/>
          <w:spacing w:val="0"/>
          <w:kern w:val="0"/>
          <w:position w:val="0"/>
          <w:sz w:val="24"/>
          <w:szCs w:val="24"/>
        </w:rPr>
      </w:pPr>
      <w:bookmarkStart w:id="13" w:name="_Toc35393792"/>
      <w:bookmarkStart w:id="14" w:name="_Toc35393623"/>
      <w:r>
        <w:rPr>
          <w:rFonts w:ascii="Times New Roman" w:hAnsi="Times New Roman" w:eastAsia="宋体"/>
          <w:spacing w:val="0"/>
          <w:kern w:val="0"/>
          <w:position w:val="0"/>
          <w:sz w:val="24"/>
          <w:szCs w:val="24"/>
        </w:rPr>
        <w:t>三、获取招标文件</w:t>
      </w:r>
      <w:bookmarkEnd w:id="13"/>
      <w:bookmarkEnd w:id="14"/>
    </w:p>
    <w:p w14:paraId="1924B017">
      <w:pPr>
        <w:adjustRightInd w:val="0"/>
        <w:snapToGrid w:val="0"/>
        <w:spacing w:line="360" w:lineRule="auto"/>
        <w:ind w:firstLine="480" w:firstLineChars="200"/>
        <w:rPr>
          <w:spacing w:val="0"/>
          <w:kern w:val="0"/>
          <w:position w:val="0"/>
          <w:sz w:val="24"/>
          <w:lang w:bidi="ar"/>
        </w:rPr>
      </w:pPr>
      <w:r>
        <w:rPr>
          <w:spacing w:val="0"/>
          <w:kern w:val="0"/>
          <w:position w:val="0"/>
          <w:sz w:val="24"/>
          <w:lang w:bidi="ar"/>
        </w:rPr>
        <w:t>1.时间：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19</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09</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25</w:t>
      </w:r>
      <w:r>
        <w:rPr>
          <w:spacing w:val="0"/>
          <w:kern w:val="0"/>
          <w:position w:val="0"/>
          <w:sz w:val="24"/>
          <w:highlight w:val="none"/>
          <w:lang w:bidi="ar"/>
        </w:rPr>
        <w:t>日</w:t>
      </w:r>
      <w:r>
        <w:rPr>
          <w:spacing w:val="0"/>
          <w:kern w:val="0"/>
          <w:position w:val="0"/>
          <w:sz w:val="24"/>
          <w:lang w:bidi="ar"/>
        </w:rPr>
        <w:t>，每天上午</w:t>
      </w:r>
      <w:r>
        <w:rPr>
          <w:rFonts w:hint="eastAsia"/>
          <w:spacing w:val="0"/>
          <w:kern w:val="0"/>
          <w:position w:val="0"/>
          <w:sz w:val="24"/>
          <w:u w:val="single"/>
          <w:lang w:val="en-US" w:eastAsia="zh-CN" w:bidi="ar"/>
        </w:rPr>
        <w:t>09:00</w:t>
      </w:r>
      <w:r>
        <w:rPr>
          <w:spacing w:val="0"/>
          <w:kern w:val="0"/>
          <w:position w:val="0"/>
          <w:sz w:val="24"/>
          <w:lang w:bidi="ar"/>
        </w:rPr>
        <w:t>至</w:t>
      </w:r>
      <w:r>
        <w:rPr>
          <w:rFonts w:hint="eastAsia"/>
          <w:spacing w:val="0"/>
          <w:kern w:val="0"/>
          <w:position w:val="0"/>
          <w:sz w:val="24"/>
          <w:u w:val="single"/>
          <w:lang w:val="en-US" w:eastAsia="zh-CN" w:bidi="ar"/>
        </w:rPr>
        <w:t>12:00</w:t>
      </w:r>
      <w:r>
        <w:rPr>
          <w:spacing w:val="0"/>
          <w:kern w:val="0"/>
          <w:position w:val="0"/>
          <w:sz w:val="24"/>
          <w:lang w:bidi="ar"/>
        </w:rPr>
        <w:t>，下午</w:t>
      </w:r>
      <w:r>
        <w:rPr>
          <w:rFonts w:hint="eastAsia"/>
          <w:spacing w:val="0"/>
          <w:kern w:val="0"/>
          <w:position w:val="0"/>
          <w:sz w:val="24"/>
          <w:u w:val="single"/>
          <w:lang w:val="en-US" w:eastAsia="zh-CN" w:bidi="ar"/>
        </w:rPr>
        <w:t>14:00</w:t>
      </w:r>
      <w:r>
        <w:rPr>
          <w:spacing w:val="0"/>
          <w:kern w:val="0"/>
          <w:position w:val="0"/>
          <w:sz w:val="24"/>
          <w:lang w:bidi="ar"/>
        </w:rPr>
        <w:t>至</w:t>
      </w:r>
      <w:r>
        <w:rPr>
          <w:rFonts w:hint="eastAsia"/>
          <w:spacing w:val="0"/>
          <w:kern w:val="0"/>
          <w:position w:val="0"/>
          <w:sz w:val="24"/>
          <w:u w:val="single"/>
          <w:lang w:val="en-US" w:eastAsia="zh-CN" w:bidi="ar"/>
        </w:rPr>
        <w:t>17:00</w:t>
      </w:r>
      <w:r>
        <w:rPr>
          <w:spacing w:val="0"/>
          <w:kern w:val="0"/>
          <w:position w:val="0"/>
          <w:sz w:val="24"/>
          <w:lang w:bidi="ar"/>
        </w:rPr>
        <w:t>（北京时间，法定节假日除外）。</w:t>
      </w:r>
    </w:p>
    <w:p w14:paraId="5FBE22B7">
      <w:pPr>
        <w:adjustRightInd w:val="0"/>
        <w:snapToGrid w:val="0"/>
        <w:spacing w:line="360" w:lineRule="auto"/>
        <w:ind w:firstLine="480" w:firstLineChars="200"/>
        <w:rPr>
          <w:spacing w:val="0"/>
          <w:kern w:val="0"/>
          <w:position w:val="0"/>
          <w:sz w:val="24"/>
        </w:rPr>
      </w:pPr>
      <w:r>
        <w:rPr>
          <w:spacing w:val="0"/>
          <w:kern w:val="0"/>
          <w:position w:val="0"/>
          <w:sz w:val="24"/>
          <w:lang w:bidi="ar"/>
        </w:rPr>
        <w:t>2.地点：北京市政府采购电子交易平台</w:t>
      </w:r>
    </w:p>
    <w:p w14:paraId="3D77E3CE">
      <w:pPr>
        <w:widowControl/>
        <w:adjustRightInd w:val="0"/>
        <w:snapToGrid w:val="0"/>
        <w:spacing w:line="360" w:lineRule="auto"/>
        <w:ind w:firstLine="480" w:firstLineChars="200"/>
        <w:jc w:val="left"/>
        <w:rPr>
          <w:spacing w:val="0"/>
          <w:kern w:val="0"/>
          <w:position w:val="0"/>
          <w:sz w:val="24"/>
          <w:lang w:bidi="ar"/>
        </w:rPr>
      </w:pPr>
      <w:r>
        <w:rPr>
          <w:spacing w:val="0"/>
          <w:kern w:val="0"/>
          <w:position w:val="0"/>
          <w:sz w:val="24"/>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pacing w:val="0"/>
          <w:kern w:val="0"/>
          <w:position w:val="0"/>
          <w:sz w:val="24"/>
        </w:rPr>
      </w:pPr>
      <w:r>
        <w:rPr>
          <w:spacing w:val="0"/>
          <w:kern w:val="0"/>
          <w:position w:val="0"/>
          <w:sz w:val="24"/>
          <w:lang w:bidi="ar"/>
        </w:rPr>
        <w:t>4.售价：0元。</w:t>
      </w:r>
    </w:p>
    <w:p w14:paraId="5BDA2125">
      <w:pPr>
        <w:tabs>
          <w:tab w:val="left" w:pos="900"/>
          <w:tab w:val="left" w:pos="1980"/>
        </w:tabs>
        <w:snapToGrid w:val="0"/>
        <w:spacing w:line="360" w:lineRule="auto"/>
        <w:ind w:left="840"/>
        <w:rPr>
          <w:spacing w:val="0"/>
          <w:kern w:val="0"/>
          <w:position w:val="0"/>
          <w:sz w:val="24"/>
        </w:rPr>
      </w:pPr>
    </w:p>
    <w:p w14:paraId="5A367829">
      <w:pPr>
        <w:pStyle w:val="3"/>
        <w:widowControl/>
        <w:spacing w:before="0" w:line="360" w:lineRule="auto"/>
        <w:jc w:val="left"/>
        <w:rPr>
          <w:rFonts w:ascii="Times New Roman" w:hAnsi="Times New Roman" w:eastAsia="宋体"/>
          <w:spacing w:val="0"/>
          <w:kern w:val="0"/>
          <w:position w:val="0"/>
          <w:sz w:val="24"/>
          <w:szCs w:val="24"/>
        </w:rPr>
      </w:pPr>
      <w:bookmarkStart w:id="15" w:name="_Toc28359005"/>
      <w:bookmarkStart w:id="16" w:name="_Toc28359082"/>
      <w:bookmarkStart w:id="17" w:name="_Toc35393793"/>
      <w:bookmarkStart w:id="18" w:name="_Toc35393624"/>
      <w:r>
        <w:rPr>
          <w:rFonts w:ascii="Times New Roman" w:hAnsi="Times New Roman" w:eastAsia="宋体"/>
          <w:spacing w:val="0"/>
          <w:kern w:val="0"/>
          <w:position w:val="0"/>
          <w:sz w:val="24"/>
          <w:szCs w:val="24"/>
        </w:rPr>
        <w:t>四、提交投标文件</w:t>
      </w:r>
      <w:bookmarkEnd w:id="15"/>
      <w:bookmarkEnd w:id="16"/>
      <w:r>
        <w:rPr>
          <w:rFonts w:ascii="Times New Roman" w:hAnsi="Times New Roman" w:eastAsia="宋体"/>
          <w:spacing w:val="0"/>
          <w:kern w:val="0"/>
          <w:position w:val="0"/>
          <w:sz w:val="24"/>
          <w:szCs w:val="24"/>
        </w:rPr>
        <w:t>截止时间、开标时间和地点</w:t>
      </w:r>
      <w:bookmarkEnd w:id="17"/>
      <w:bookmarkEnd w:id="18"/>
    </w:p>
    <w:p w14:paraId="76AC9010">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10</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11</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w:t>
      </w:r>
      <w:r>
        <w:rPr>
          <w:bCs/>
          <w:spacing w:val="0"/>
          <w:kern w:val="0"/>
          <w:position w:val="0"/>
          <w:sz w:val="24"/>
          <w:lang w:bidi="ar"/>
        </w:rPr>
        <w:t>间）</w:t>
      </w:r>
      <w:r>
        <w:rPr>
          <w:iCs/>
          <w:spacing w:val="0"/>
          <w:kern w:val="0"/>
          <w:position w:val="0"/>
          <w:sz w:val="24"/>
          <w:lang w:bidi="ar"/>
        </w:rPr>
        <w:t>。</w:t>
      </w:r>
    </w:p>
    <w:p w14:paraId="543C689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5C9E96">
      <w:pPr>
        <w:spacing w:line="360" w:lineRule="auto"/>
        <w:ind w:firstLine="480" w:firstLineChars="200"/>
        <w:rPr>
          <w:bCs/>
          <w:spacing w:val="0"/>
          <w:kern w:val="0"/>
          <w:position w:val="0"/>
          <w:sz w:val="24"/>
          <w:u w:val="single"/>
        </w:rPr>
      </w:pPr>
    </w:p>
    <w:p w14:paraId="593C8A3A">
      <w:pPr>
        <w:pStyle w:val="3"/>
        <w:spacing w:before="0" w:line="360" w:lineRule="auto"/>
        <w:jc w:val="left"/>
        <w:rPr>
          <w:rFonts w:ascii="Times New Roman" w:hAnsi="Times New Roman" w:eastAsia="宋体"/>
          <w:spacing w:val="0"/>
          <w:kern w:val="0"/>
          <w:position w:val="0"/>
          <w:sz w:val="24"/>
          <w:szCs w:val="24"/>
        </w:rPr>
      </w:pPr>
      <w:bookmarkStart w:id="19" w:name="_Toc35393794"/>
      <w:bookmarkStart w:id="20" w:name="_Toc28359084"/>
      <w:bookmarkStart w:id="21" w:name="_Toc35393625"/>
      <w:bookmarkStart w:id="22" w:name="_Toc28359007"/>
      <w:r>
        <w:rPr>
          <w:rFonts w:ascii="Times New Roman" w:hAnsi="Times New Roman" w:eastAsia="宋体"/>
          <w:spacing w:val="0"/>
          <w:kern w:val="0"/>
          <w:position w:val="0"/>
          <w:sz w:val="24"/>
          <w:szCs w:val="24"/>
        </w:rPr>
        <w:t>五、公告期限</w:t>
      </w:r>
      <w:bookmarkEnd w:id="19"/>
      <w:bookmarkEnd w:id="20"/>
      <w:bookmarkEnd w:id="21"/>
      <w:bookmarkEnd w:id="22"/>
    </w:p>
    <w:p w14:paraId="028FB395">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3"/>
        <w:spacing w:before="0" w:line="360" w:lineRule="auto"/>
        <w:jc w:val="left"/>
        <w:rPr>
          <w:rFonts w:ascii="Times New Roman" w:hAnsi="Times New Roman" w:eastAsia="宋体"/>
          <w:spacing w:val="0"/>
          <w:kern w:val="0"/>
          <w:position w:val="0"/>
          <w:sz w:val="24"/>
          <w:szCs w:val="24"/>
        </w:rPr>
      </w:pPr>
      <w:bookmarkStart w:id="23" w:name="_Toc35393795"/>
      <w:bookmarkStart w:id="24" w:name="_Toc35393626"/>
      <w:r>
        <w:rPr>
          <w:rFonts w:ascii="Times New Roman" w:hAnsi="Times New Roman" w:eastAsia="宋体"/>
          <w:spacing w:val="0"/>
          <w:kern w:val="0"/>
          <w:position w:val="0"/>
          <w:sz w:val="24"/>
          <w:szCs w:val="24"/>
        </w:rPr>
        <w:t>六、其他补充事宜</w:t>
      </w:r>
      <w:bookmarkEnd w:id="23"/>
      <w:bookmarkEnd w:id="24"/>
    </w:p>
    <w:p w14:paraId="618F4E60">
      <w:pPr>
        <w:pStyle w:val="17"/>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89B7F73">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17"/>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3"/>
        <w:spacing w:before="0" w:line="360" w:lineRule="auto"/>
        <w:jc w:val="left"/>
        <w:rPr>
          <w:rFonts w:ascii="Times New Roman" w:hAnsi="Times New Roman" w:eastAsia="宋体"/>
          <w:spacing w:val="0"/>
          <w:kern w:val="0"/>
          <w:position w:val="0"/>
          <w:sz w:val="24"/>
          <w:szCs w:val="24"/>
        </w:rPr>
      </w:pPr>
      <w:bookmarkStart w:id="26" w:name="_Toc35393796"/>
      <w:bookmarkStart w:id="27" w:name="_Toc35393627"/>
      <w:bookmarkStart w:id="28" w:name="_Toc28359085"/>
      <w:bookmarkStart w:id="29" w:name="_Toc28359008"/>
    </w:p>
    <w:p w14:paraId="035830A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86"/>
      <w:bookmarkStart w:id="31" w:name="_Toc28359009"/>
      <w:r>
        <w:rPr>
          <w:spacing w:val="0"/>
          <w:kern w:val="0"/>
          <w:position w:val="0"/>
          <w:sz w:val="24"/>
        </w:rPr>
        <w:t>名    称：</w:t>
      </w:r>
      <w:r>
        <w:rPr>
          <w:rFonts w:hint="eastAsia"/>
          <w:spacing w:val="0"/>
          <w:kern w:val="0"/>
          <w:position w:val="0"/>
          <w:sz w:val="24"/>
          <w:u w:val="single"/>
          <w:lang w:val="en-US" w:eastAsia="zh-CN"/>
        </w:rPr>
        <w:t>北京市大兴区旧宫医院</w:t>
      </w:r>
    </w:p>
    <w:p w14:paraId="7496F576">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4CCFC61D">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rFonts w:hint="eastAsia" w:ascii="宋体" w:hAnsi="宋体" w:cs="宋体"/>
          <w:color w:val="auto"/>
          <w:spacing w:val="0"/>
          <w:w w:val="100"/>
          <w:position w:val="0"/>
          <w:sz w:val="24"/>
          <w:szCs w:val="24"/>
          <w:highlight w:val="none"/>
          <w:u w:val="single"/>
          <w:lang w:eastAsia="zh-CN"/>
        </w:rPr>
        <w:t>张老师、87963844-8137</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10"/>
      <w:bookmarkStart w:id="33"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150774783"/>
      <w:bookmarkStart w:id="35" w:name="_Toc512937850"/>
      <w:bookmarkStart w:id="36" w:name="_Toc127161488"/>
      <w:bookmarkStart w:id="37" w:name="_Toc305158854"/>
      <w:bookmarkStart w:id="38" w:name="_Toc265228423"/>
      <w:bookmarkStart w:id="39" w:name="_Toc226965856"/>
      <w:bookmarkStart w:id="40" w:name="_Toc127151777"/>
      <w:bookmarkStart w:id="41" w:name="_Toc264969275"/>
      <w:bookmarkStart w:id="42" w:name="_Toc99301420"/>
      <w:bookmarkStart w:id="43" w:name="_Toc353825548"/>
      <w:bookmarkStart w:id="44" w:name="_Toc353873938"/>
      <w:bookmarkStart w:id="45" w:name="_Toc305158928"/>
      <w:bookmarkStart w:id="46" w:name="_Toc195842950"/>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3"/>
        <w:tabs>
          <w:tab w:val="center" w:pos="4592"/>
          <w:tab w:val="left" w:pos="7860"/>
        </w:tabs>
        <w:spacing w:before="0" w:line="360" w:lineRule="auto"/>
        <w:rPr>
          <w:rFonts w:ascii="Times New Roman" w:hAnsi="Times New Roman" w:eastAsia="宋体"/>
          <w:spacing w:val="0"/>
          <w:kern w:val="0"/>
          <w:position w:val="0"/>
          <w:sz w:val="28"/>
        </w:rPr>
      </w:pPr>
      <w:bookmarkStart w:id="47" w:name="_Toc151193833"/>
      <w:bookmarkStart w:id="48" w:name="_Toc151190146"/>
      <w:bookmarkStart w:id="49" w:name="_Toc195842884"/>
      <w:bookmarkStart w:id="50" w:name="_Toc520356144"/>
      <w:bookmarkStart w:id="51" w:name="_Toc164229360"/>
      <w:bookmarkStart w:id="52" w:name="_Toc164608788"/>
      <w:bookmarkStart w:id="53" w:name="_Toc127151519"/>
      <w:bookmarkStart w:id="54" w:name="_Toc226965709"/>
      <w:bookmarkStart w:id="55" w:name="_Toc164229214"/>
      <w:bookmarkStart w:id="56" w:name="_Toc150509270"/>
      <w:bookmarkStart w:id="57" w:name="_Toc150774619"/>
      <w:bookmarkStart w:id="58" w:name="_Toc226337215"/>
      <w:bookmarkStart w:id="59" w:name="_Toc142311021"/>
      <w:bookmarkStart w:id="60" w:name="_Toc150480757"/>
      <w:bookmarkStart w:id="61" w:name="_Toc226965792"/>
      <w:bookmarkStart w:id="62" w:name="_Toc127151720"/>
      <w:bookmarkStart w:id="63" w:name="_Toc127161433"/>
      <w:bookmarkStart w:id="64" w:name="_Toc151193617"/>
      <w:bookmarkStart w:id="65" w:name="_Toc151193907"/>
      <w:bookmarkStart w:id="66" w:name="_Toc150774724"/>
      <w:bookmarkStart w:id="67" w:name="_Toc151193689"/>
      <w:bookmarkStart w:id="68" w:name="_Toc164351613"/>
      <w:bookmarkStart w:id="69" w:name="_Toc226309763"/>
      <w:bookmarkStart w:id="70" w:name="_Toc149720812"/>
      <w:bookmarkStart w:id="71" w:name="_Toc164608633"/>
      <w:bookmarkStart w:id="72" w:name="_Toc151193761"/>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服务</w:t>
            </w:r>
          </w:p>
          <w:p w14:paraId="67C18FF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4"/>
              <w:adjustRightInd w:val="0"/>
              <w:snapToGrid w:val="0"/>
              <w:rPr>
                <w:rFonts w:hint="default" w:ascii="Times New Roman" w:hAnsi="Times New Roman"/>
                <w:spacing w:val="0"/>
                <w:kern w:val="0"/>
                <w:position w:val="0"/>
                <w:sz w:val="24"/>
                <w:szCs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包不适用。</w:t>
            </w:r>
          </w:p>
          <w:p w14:paraId="6715AAD8">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01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4"/>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4"/>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AA88E2">
                  <w:pPr>
                    <w:jc w:val="center"/>
                    <w:rPr>
                      <w:rFonts w:eastAsiaTheme="minorEastAsia"/>
                      <w:bCs/>
                      <w:spacing w:val="0"/>
                      <w:kern w:val="0"/>
                      <w:position w:val="0"/>
                      <w:sz w:val="24"/>
                    </w:rPr>
                  </w:pPr>
                  <w:r>
                    <w:rPr>
                      <w:rFonts w:eastAsiaTheme="minorEastAsia"/>
                      <w:bCs/>
                      <w:spacing w:val="0"/>
                      <w:kern w:val="0"/>
                      <w:position w:val="0"/>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20B3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DA4B946">
                  <w:pPr>
                    <w:keepNext w:val="0"/>
                    <w:keepLines w:val="0"/>
                    <w:widowControl/>
                    <w:suppressLineNumbers w:val="0"/>
                    <w:jc w:val="center"/>
                    <w:textAlignment w:val="center"/>
                    <w:rPr>
                      <w:rFonts w:hint="eastAsia" w:ascii="宋体" w:hAnsi="宋体" w:eastAsia="宋体" w:cs="宋体"/>
                      <w:b/>
                      <w:bCs/>
                      <w:spacing w:val="0"/>
                      <w:kern w:val="0"/>
                      <w:position w:val="0"/>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36479F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b/>
                      <w:bCs/>
                      <w:spacing w:val="0"/>
                      <w:kern w:val="0"/>
                      <w:position w:val="0"/>
                      <w:sz w:val="24"/>
                      <w:highlight w:val="none"/>
                    </w:rPr>
                  </w:pPr>
                  <w:r>
                    <w:rPr>
                      <w:rFonts w:hint="eastAsia" w:ascii="宋体" w:hAnsi="宋体" w:eastAsia="宋体" w:cs="宋体"/>
                      <w:b/>
                      <w:bCs/>
                      <w:spacing w:val="0"/>
                      <w:kern w:val="0"/>
                      <w:position w:val="0"/>
                      <w:sz w:val="24"/>
                      <w:highlight w:val="none"/>
                    </w:rPr>
                    <w:t>全自动化学发光分析仪</w:t>
                  </w:r>
                </w:p>
              </w:tc>
              <w:tc>
                <w:tcPr>
                  <w:tcW w:w="2380" w:type="pct"/>
                  <w:tcBorders>
                    <w:top w:val="single" w:color="auto" w:sz="4" w:space="0"/>
                    <w:left w:val="single" w:color="auto" w:sz="4" w:space="0"/>
                    <w:bottom w:val="single" w:color="auto" w:sz="4" w:space="0"/>
                    <w:right w:val="single" w:color="auto" w:sz="4" w:space="0"/>
                  </w:tcBorders>
                  <w:vAlign w:val="center"/>
                </w:tcPr>
                <w:p w14:paraId="40A8A44B">
                  <w:pPr>
                    <w:jc w:val="center"/>
                    <w:rPr>
                      <w:rFonts w:hint="eastAsia" w:ascii="宋体" w:hAnsi="宋体" w:eastAsia="宋体" w:cs="宋体"/>
                      <w:b/>
                      <w:bCs w:val="0"/>
                      <w:spacing w:val="0"/>
                      <w:kern w:val="0"/>
                      <w:position w:val="0"/>
                      <w:sz w:val="24"/>
                      <w:lang w:val="en-US" w:eastAsia="zh-CN"/>
                    </w:rPr>
                  </w:pPr>
                  <w:r>
                    <w:rPr>
                      <w:rFonts w:hint="eastAsia" w:ascii="宋体" w:hAnsi="宋体" w:eastAsia="宋体" w:cs="宋体"/>
                      <w:b/>
                      <w:bCs w:val="0"/>
                      <w:spacing w:val="0"/>
                      <w:kern w:val="0"/>
                      <w:position w:val="0"/>
                      <w:sz w:val="24"/>
                      <w:lang w:val="en-US" w:eastAsia="zh-CN"/>
                    </w:rPr>
                    <w:t>工业</w:t>
                  </w:r>
                </w:p>
              </w:tc>
            </w:tr>
          </w:tbl>
          <w:p w14:paraId="1EF0C937">
            <w:pPr>
              <w:jc w:val="left"/>
              <w:rPr>
                <w:spacing w:val="0"/>
                <w:kern w:val="0"/>
                <w:position w:val="0"/>
                <w:sz w:val="24"/>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139011D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color w:val="auto"/>
                <w:spacing w:val="0"/>
                <w:w w:val="100"/>
                <w:kern w:val="0"/>
                <w:position w:val="0"/>
                <w:highlight w:val="none"/>
              </w:rPr>
            </w:pPr>
            <w:r>
              <w:rPr>
                <w:rFonts w:hint="eastAsia" w:ascii="宋体" w:hAnsi="宋体" w:eastAsia="宋体" w:cs="宋体"/>
                <w:spacing w:val="0"/>
                <w:w w:val="100"/>
                <w:kern w:val="0"/>
                <w:position w:val="0"/>
              </w:rPr>
              <w:t>投标保证</w:t>
            </w:r>
            <w:r>
              <w:rPr>
                <w:rFonts w:hint="eastAsia" w:ascii="宋体" w:hAnsi="宋体" w:eastAsia="宋体" w:cs="宋体"/>
                <w:color w:val="auto"/>
                <w:spacing w:val="0"/>
                <w:w w:val="100"/>
                <w:kern w:val="0"/>
                <w:position w:val="0"/>
                <w:highlight w:val="none"/>
              </w:rPr>
              <w:t>金金额：</w:t>
            </w:r>
          </w:p>
          <w:p w14:paraId="497D9D0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color w:val="auto"/>
                <w:spacing w:val="0"/>
                <w:w w:val="100"/>
                <w:kern w:val="0"/>
                <w:position w:val="0"/>
                <w:highlight w:val="none"/>
                <w:lang w:eastAsia="zh-CN"/>
              </w:rPr>
            </w:pPr>
            <w:r>
              <w:rPr>
                <w:rFonts w:hint="eastAsia" w:ascii="宋体" w:hAnsi="宋体" w:eastAsia="宋体" w:cs="宋体"/>
                <w:color w:val="auto"/>
                <w:spacing w:val="0"/>
                <w:w w:val="100"/>
                <w:kern w:val="0"/>
                <w:position w:val="0"/>
                <w:highlight w:val="none"/>
              </w:rPr>
              <w:t>0</w:t>
            </w:r>
            <w:r>
              <w:rPr>
                <w:rFonts w:hint="eastAsia" w:cs="宋体"/>
                <w:color w:val="auto"/>
                <w:spacing w:val="0"/>
                <w:w w:val="100"/>
                <w:kern w:val="0"/>
                <w:position w:val="0"/>
                <w:highlight w:val="none"/>
                <w:lang w:val="en-US" w:eastAsia="zh-CN"/>
              </w:rPr>
              <w:t>1</w:t>
            </w:r>
            <w:r>
              <w:rPr>
                <w:rFonts w:hint="eastAsia" w:ascii="宋体" w:hAnsi="宋体" w:eastAsia="宋体" w:cs="宋体"/>
                <w:color w:val="auto"/>
                <w:spacing w:val="0"/>
                <w:w w:val="100"/>
                <w:kern w:val="0"/>
                <w:position w:val="0"/>
                <w:highlight w:val="none"/>
              </w:rPr>
              <w:t>包：</w:t>
            </w:r>
            <w:r>
              <w:rPr>
                <w:rFonts w:hint="eastAsia" w:ascii="宋体" w:hAnsi="宋体" w:eastAsia="宋体" w:cs="宋体"/>
                <w:color w:val="auto"/>
                <w:spacing w:val="0"/>
                <w:w w:val="100"/>
                <w:kern w:val="0"/>
                <w:position w:val="0"/>
                <w:highlight w:val="none"/>
                <w:u w:val="single" w:color="auto"/>
              </w:rPr>
              <w:t xml:space="preserve">  </w:t>
            </w:r>
            <w:r>
              <w:rPr>
                <w:rFonts w:hint="eastAsia" w:cs="宋体"/>
                <w:color w:val="auto"/>
                <w:spacing w:val="0"/>
                <w:w w:val="100"/>
                <w:kern w:val="0"/>
                <w:position w:val="0"/>
                <w:highlight w:val="none"/>
                <w:u w:val="single" w:color="auto"/>
                <w:lang w:val="en-US" w:eastAsia="zh-CN"/>
              </w:rPr>
              <w:t>5000.00元（伍仟元整）</w:t>
            </w:r>
            <w:r>
              <w:rPr>
                <w:rFonts w:hint="eastAsia" w:ascii="宋体" w:hAnsi="宋体" w:eastAsia="宋体" w:cs="宋体"/>
                <w:color w:val="auto"/>
                <w:spacing w:val="0"/>
                <w:w w:val="100"/>
                <w:kern w:val="0"/>
                <w:position w:val="0"/>
                <w:highlight w:val="none"/>
                <w:u w:val="single" w:color="auto"/>
              </w:rPr>
              <w:t xml:space="preserve">  </w:t>
            </w:r>
            <w:r>
              <w:rPr>
                <w:rFonts w:hint="eastAsia" w:cs="宋体"/>
                <w:color w:val="auto"/>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w:t>
            </w:r>
            <w:r>
              <w:rPr>
                <w:rFonts w:hint="eastAsia" w:ascii="宋体" w:hAnsi="宋体" w:cs="宋体"/>
                <w:b w:val="0"/>
                <w:bCs/>
                <w:spacing w:val="0"/>
                <w:kern w:val="0"/>
                <w:position w:val="0"/>
                <w:sz w:val="24"/>
                <w:u w:val="single"/>
                <w:lang w:val="en-US" w:eastAsia="zh-CN"/>
              </w:rPr>
              <w:t>/包号</w:t>
            </w:r>
            <w:r>
              <w:rPr>
                <w:rFonts w:hint="eastAsia" w:ascii="宋体" w:hAnsi="宋体" w:eastAsia="宋体" w:cs="宋体"/>
                <w:b w:val="0"/>
                <w:bCs/>
                <w:spacing w:val="0"/>
                <w:kern w:val="0"/>
                <w:position w:val="0"/>
                <w:sz w:val="24"/>
                <w:u w:val="single"/>
              </w:rPr>
              <w:t>【标准格式：11011525210200029015-XM001</w:t>
            </w:r>
            <w:r>
              <w:rPr>
                <w:rFonts w:hint="eastAsia" w:ascii="宋体" w:hAnsi="宋体" w:cs="宋体"/>
                <w:b w:val="0"/>
                <w:bCs/>
                <w:spacing w:val="0"/>
                <w:kern w:val="0"/>
                <w:position w:val="0"/>
                <w:sz w:val="24"/>
                <w:u w:val="single"/>
                <w:lang w:val="en-US" w:eastAsia="zh-CN"/>
              </w:rPr>
              <w:t>/01</w:t>
            </w:r>
            <w:r>
              <w:rPr>
                <w:rFonts w:hint="eastAsia" w:ascii="宋体" w:hAnsi="宋体" w:eastAsia="宋体" w:cs="宋体"/>
                <w:b w:val="0"/>
                <w:bCs/>
                <w:spacing w:val="0"/>
                <w:kern w:val="0"/>
                <w:position w:val="0"/>
                <w:sz w:val="24"/>
                <w:u w:val="single"/>
              </w:rPr>
              <w:t>】）；</w:t>
            </w:r>
          </w:p>
          <w:p w14:paraId="38C2A457">
            <w:pPr>
              <w:jc w:val="left"/>
              <w:rPr>
                <w:spacing w:val="0"/>
                <w:kern w:val="0"/>
                <w:position w:val="0"/>
                <w:sz w:val="24"/>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4"/>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4"/>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4"/>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4"/>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4"/>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4"/>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rPr>
            </w:pPr>
            <w:r>
              <w:rPr>
                <w:spacing w:val="0"/>
                <w:kern w:val="0"/>
                <w:position w:val="0"/>
                <w:sz w:val="24"/>
              </w:rPr>
              <w:t>分包</w:t>
            </w:r>
          </w:p>
        </w:tc>
        <w:tc>
          <w:tcPr>
            <w:tcW w:w="7540" w:type="dxa"/>
            <w:vAlign w:val="center"/>
          </w:tcPr>
          <w:p w14:paraId="0C26C5FD">
            <w:pPr>
              <w:jc w:val="left"/>
              <w:rPr>
                <w:spacing w:val="0"/>
                <w:kern w:val="0"/>
                <w:position w:val="0"/>
                <w:sz w:val="24"/>
              </w:rPr>
            </w:pPr>
            <w:r>
              <w:rPr>
                <w:spacing w:val="0"/>
                <w:kern w:val="0"/>
                <w:position w:val="0"/>
                <w:sz w:val="24"/>
              </w:rPr>
              <w:t xml:space="preserve">本项目的非主体、非关键性工作是否允许分包： </w:t>
            </w:r>
          </w:p>
          <w:p w14:paraId="468620D3">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不允许</w:t>
            </w:r>
          </w:p>
          <w:p w14:paraId="6217FD5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允许，具体要求：</w:t>
            </w:r>
          </w:p>
          <w:p w14:paraId="0CF38A0D">
            <w:pPr>
              <w:jc w:val="left"/>
              <w:rPr>
                <w:spacing w:val="0"/>
                <w:kern w:val="0"/>
                <w:position w:val="0"/>
                <w:sz w:val="24"/>
              </w:rPr>
            </w:pPr>
            <w:r>
              <w:rPr>
                <w:spacing w:val="0"/>
                <w:kern w:val="0"/>
                <w:position w:val="0"/>
                <w:sz w:val="24"/>
              </w:rPr>
              <w:t>（1）可以分包履行的具体内容：_____；</w:t>
            </w:r>
          </w:p>
          <w:p w14:paraId="15516CB5">
            <w:pPr>
              <w:jc w:val="left"/>
              <w:rPr>
                <w:spacing w:val="0"/>
                <w:kern w:val="0"/>
                <w:position w:val="0"/>
                <w:sz w:val="24"/>
              </w:rPr>
            </w:pPr>
            <w:r>
              <w:rPr>
                <w:spacing w:val="0"/>
                <w:kern w:val="0"/>
                <w:position w:val="0"/>
                <w:sz w:val="24"/>
              </w:rPr>
              <w:t>（2）允许分包的金额或者比例：_____；</w:t>
            </w:r>
          </w:p>
          <w:p w14:paraId="2D52A482">
            <w:pPr>
              <w:jc w:val="left"/>
              <w:rPr>
                <w:spacing w:val="0"/>
                <w:kern w:val="0"/>
                <w:position w:val="0"/>
                <w:sz w:val="24"/>
                <w:u w:val="single"/>
              </w:rPr>
            </w:pPr>
            <w:r>
              <w:rPr>
                <w:spacing w:val="0"/>
                <w:kern w:val="0"/>
                <w:position w:val="0"/>
                <w:sz w:val="24"/>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4"/>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highlight w:val="none"/>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highlight w:val="none"/>
              </w:rPr>
            </w:pPr>
            <w:r>
              <w:rPr>
                <w:rFonts w:hint="eastAsia" w:ascii="宋体" w:hAnsi="宋体" w:eastAsia="宋体" w:cs="宋体"/>
                <w:spacing w:val="0"/>
                <w:w w:val="100"/>
                <w:kern w:val="0"/>
                <w:position w:val="0"/>
                <w:highlight w:val="none"/>
              </w:rPr>
              <w:t>收费标准：</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53BD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87DABF0">
            <w:pPr>
              <w:pStyle w:val="24"/>
              <w:adjustRightInd w:val="0"/>
              <w:snapToGrid w:val="0"/>
              <w:jc w:val="center"/>
              <w:rPr>
                <w:rFonts w:hint="default" w:ascii="Times New Roman" w:hAnsi="Times New Roman" w:eastAsia="宋体"/>
                <w:spacing w:val="0"/>
                <w:kern w:val="0"/>
                <w:position w:val="0"/>
                <w:sz w:val="24"/>
                <w:szCs w:val="24"/>
                <w:highlight w:val="none"/>
                <w:lang w:val="en-US" w:eastAsia="zh-CN"/>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155BB3F2">
            <w:pPr>
              <w:spacing w:line="360" w:lineRule="auto"/>
              <w:jc w:val="center"/>
              <w:rPr>
                <w:spacing w:val="0"/>
                <w:kern w:val="0"/>
                <w:position w:val="0"/>
                <w:sz w:val="24"/>
                <w:highlight w:val="none"/>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400499DD">
            <w:pPr>
              <w:spacing w:line="360" w:lineRule="auto"/>
              <w:rPr>
                <w:rFonts w:hint="eastAsia" w:ascii="宋体" w:hAnsi="宋体" w:eastAsia="宋体" w:cs="宋体"/>
                <w:b/>
                <w:bCs/>
                <w:spacing w:val="0"/>
                <w:w w:val="100"/>
                <w:kern w:val="0"/>
                <w:position w:val="0"/>
                <w:sz w:val="24"/>
                <w:szCs w:val="24"/>
                <w:highlight w:val="none"/>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041F9AAB">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127151517"/>
      <w:bookmarkStart w:id="74" w:name="_Toc353873662"/>
      <w:bookmarkStart w:id="75" w:name="_Toc150774722"/>
      <w:bookmarkStart w:id="76" w:name="_Toc226337213"/>
      <w:bookmarkStart w:id="77" w:name="_Toc226965790"/>
      <w:bookmarkStart w:id="78" w:name="_Toc353873932"/>
      <w:bookmarkStart w:id="79" w:name="_Toc353825542"/>
      <w:bookmarkStart w:id="80" w:name="_Toc305158859"/>
      <w:bookmarkStart w:id="81" w:name="_Toc264969207"/>
      <w:bookmarkStart w:id="82" w:name="_Toc305158785"/>
      <w:bookmarkStart w:id="83" w:name="_Toc195842882"/>
      <w:bookmarkStart w:id="84" w:name="_Toc150480755"/>
      <w:bookmarkStart w:id="85" w:name="_Toc142311019"/>
      <w:bookmarkStart w:id="86" w:name="_Toc265228355"/>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3"/>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520356143"/>
      <w:bookmarkStart w:id="88" w:name="_Toc127151518"/>
      <w:r>
        <w:rPr>
          <w:rFonts w:ascii="Times New Roman" w:hAnsi="Times New Roman" w:eastAsia="宋体"/>
          <w:spacing w:val="0"/>
          <w:kern w:val="0"/>
          <w:position w:val="0"/>
          <w:sz w:val="28"/>
        </w:rPr>
        <w:tab/>
      </w:r>
      <w:bookmarkStart w:id="89" w:name="_Toc151193760"/>
      <w:bookmarkStart w:id="90" w:name="_Toc142311020"/>
      <w:bookmarkStart w:id="91" w:name="_Toc226965708"/>
      <w:bookmarkStart w:id="92" w:name="_Toc150480756"/>
      <w:bookmarkStart w:id="93" w:name="_Toc150774723"/>
      <w:bookmarkStart w:id="94" w:name="_Toc195842883"/>
      <w:bookmarkStart w:id="95" w:name="_Toc151193616"/>
      <w:bookmarkStart w:id="96" w:name="_Toc151190145"/>
      <w:bookmarkStart w:id="97" w:name="_Toc226337214"/>
      <w:bookmarkStart w:id="98" w:name="_Toc305158860"/>
      <w:bookmarkStart w:id="99" w:name="_Toc151193906"/>
      <w:bookmarkStart w:id="100" w:name="_Toc264969208"/>
      <w:bookmarkStart w:id="101" w:name="_Toc150509269"/>
      <w:bookmarkStart w:id="102" w:name="_Toc226965791"/>
      <w:bookmarkStart w:id="103" w:name="_Toc151193688"/>
      <w:bookmarkStart w:id="104" w:name="_Toc265228356"/>
      <w:bookmarkStart w:id="105" w:name="_Toc150774618"/>
      <w:bookmarkStart w:id="106" w:name="_Toc305158786"/>
      <w:bookmarkStart w:id="107" w:name="_Toc226309762"/>
      <w:bookmarkStart w:id="108" w:name="_Toc151193832"/>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305158787"/>
      <w:bookmarkStart w:id="110" w:name="_Toc264969209"/>
      <w:bookmarkStart w:id="111" w:name="_Toc265228357"/>
      <w:bookmarkStart w:id="112" w:name="_Toc305158861"/>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265228358"/>
      <w:bookmarkStart w:id="114" w:name="_Toc150480758"/>
      <w:bookmarkStart w:id="115" w:name="_Toc164229361"/>
      <w:bookmarkStart w:id="116" w:name="_Toc149720813"/>
      <w:bookmarkStart w:id="117" w:name="_Toc305158788"/>
      <w:bookmarkStart w:id="118" w:name="_Toc164351614"/>
      <w:bookmarkStart w:id="119" w:name="_Toc127151721"/>
      <w:bookmarkStart w:id="120" w:name="_Toc226337216"/>
      <w:bookmarkStart w:id="121" w:name="_Toc150774725"/>
      <w:bookmarkStart w:id="122" w:name="_Toc127161434"/>
      <w:bookmarkStart w:id="123" w:name="_Toc142311022"/>
      <w:bookmarkStart w:id="124" w:name="_Toc151193834"/>
      <w:bookmarkStart w:id="125" w:name="_Toc151193690"/>
      <w:bookmarkStart w:id="126" w:name="_Toc164229215"/>
      <w:bookmarkStart w:id="127" w:name="_Toc151190147"/>
      <w:bookmarkStart w:id="128" w:name="_Toc226965793"/>
      <w:bookmarkStart w:id="129" w:name="_Toc226965710"/>
      <w:bookmarkStart w:id="130" w:name="_Toc151193908"/>
      <w:bookmarkStart w:id="131" w:name="_Toc150774620"/>
      <w:bookmarkStart w:id="132" w:name="_Toc127151520"/>
      <w:bookmarkStart w:id="133" w:name="_Toc305158862"/>
      <w:bookmarkStart w:id="134" w:name="_Toc151193618"/>
      <w:bookmarkStart w:id="135" w:name="_Toc264969210"/>
      <w:bookmarkStart w:id="136" w:name="_Toc150509271"/>
      <w:bookmarkStart w:id="137" w:name="_Toc195842885"/>
      <w:bookmarkStart w:id="138" w:name="_Toc164608634"/>
      <w:bookmarkStart w:id="139" w:name="_Toc164608789"/>
      <w:bookmarkStart w:id="140" w:name="_Toc151193762"/>
      <w:bookmarkStart w:id="141" w:name="_Toc226309764"/>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151193764"/>
      <w:bookmarkStart w:id="143" w:name="_Toc520356146"/>
      <w:bookmarkStart w:id="144" w:name="_Toc305158864"/>
      <w:bookmarkStart w:id="145" w:name="_Toc226309766"/>
      <w:bookmarkStart w:id="146" w:name="_Toc150774622"/>
      <w:bookmarkStart w:id="147" w:name="_Toc265228360"/>
      <w:bookmarkStart w:id="148" w:name="_Toc150509273"/>
      <w:bookmarkStart w:id="149" w:name="_Toc264969212"/>
      <w:bookmarkStart w:id="150" w:name="_Toc226965712"/>
      <w:bookmarkStart w:id="151" w:name="_Toc151193620"/>
      <w:bookmarkStart w:id="152" w:name="_Toc151193836"/>
      <w:bookmarkStart w:id="153" w:name="_Toc305158790"/>
      <w:bookmarkStart w:id="154" w:name="_Toc151190149"/>
      <w:bookmarkStart w:id="155" w:name="_Toc226965795"/>
      <w:bookmarkStart w:id="156" w:name="_Toc150774727"/>
      <w:bookmarkStart w:id="157" w:name="_Toc150480760"/>
      <w:bookmarkStart w:id="158" w:name="_Toc226337218"/>
      <w:bookmarkStart w:id="159" w:name="_Toc151193692"/>
      <w:bookmarkStart w:id="160" w:name="_Toc151193910"/>
      <w:bookmarkStart w:id="161" w:name="_Toc195842887"/>
      <w:bookmarkStart w:id="162" w:name="_Toc127151522"/>
      <w:bookmarkStart w:id="163" w:name="_Toc142311024"/>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 xml:space="preserve">其他政府采购需求标准 </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151193911"/>
      <w:bookmarkStart w:id="168" w:name="_Toc151193621"/>
      <w:bookmarkStart w:id="169" w:name="_Toc226965796"/>
      <w:bookmarkStart w:id="170" w:name="_Toc164229364"/>
      <w:bookmarkStart w:id="171" w:name="_Toc150774728"/>
      <w:bookmarkStart w:id="172" w:name="_Toc151193693"/>
      <w:bookmarkStart w:id="173" w:name="_Toc164351617"/>
      <w:bookmarkStart w:id="174" w:name="_Toc127161437"/>
      <w:bookmarkStart w:id="175" w:name="_Toc127151523"/>
      <w:bookmarkStart w:id="176" w:name="_Toc150774623"/>
      <w:bookmarkStart w:id="177" w:name="_Toc305158791"/>
      <w:bookmarkStart w:id="178" w:name="_Toc520356147"/>
      <w:bookmarkStart w:id="179" w:name="_Toc149720816"/>
      <w:bookmarkStart w:id="180" w:name="_Toc151190150"/>
      <w:bookmarkStart w:id="181" w:name="_Toc164608792"/>
      <w:bookmarkStart w:id="182" w:name="_Toc151193765"/>
      <w:bookmarkStart w:id="183" w:name="_Toc150480761"/>
      <w:bookmarkStart w:id="184" w:name="_Toc195842888"/>
      <w:bookmarkStart w:id="185" w:name="_Toc226965713"/>
      <w:bookmarkStart w:id="186" w:name="_Toc164608637"/>
      <w:bookmarkStart w:id="187" w:name="_Toc127151724"/>
      <w:bookmarkStart w:id="188" w:name="_Toc305158865"/>
      <w:bookmarkStart w:id="189" w:name="_Toc226309767"/>
      <w:bookmarkStart w:id="190" w:name="_Toc264969213"/>
      <w:bookmarkStart w:id="191" w:name="_Toc164229218"/>
      <w:bookmarkStart w:id="192" w:name="_Toc265228361"/>
      <w:bookmarkStart w:id="193" w:name="_Toc142311025"/>
      <w:bookmarkStart w:id="194" w:name="_Toc151193837"/>
      <w:bookmarkStart w:id="195" w:name="_Toc150509274"/>
      <w:bookmarkStart w:id="196" w:name="_Toc226337219"/>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150774731"/>
      <w:bookmarkStart w:id="199" w:name="_Toc265228364"/>
      <w:bookmarkStart w:id="200" w:name="_Toc226965799"/>
      <w:bookmarkStart w:id="201" w:name="_Toc142311028"/>
      <w:bookmarkStart w:id="202" w:name="_Toc226965716"/>
      <w:bookmarkStart w:id="203" w:name="_Toc127151526"/>
      <w:bookmarkStart w:id="204" w:name="_Toc226309770"/>
      <w:bookmarkStart w:id="205" w:name="_Toc151190153"/>
      <w:bookmarkStart w:id="206" w:name="_Toc150509277"/>
      <w:bookmarkStart w:id="207" w:name="_Toc151193624"/>
      <w:bookmarkStart w:id="208" w:name="_Toc226337222"/>
      <w:bookmarkStart w:id="209" w:name="_Toc151193768"/>
      <w:bookmarkStart w:id="210" w:name="_Toc151193696"/>
      <w:bookmarkStart w:id="211" w:name="_Toc305158868"/>
      <w:bookmarkStart w:id="212" w:name="_Toc150480764"/>
      <w:bookmarkStart w:id="213" w:name="_Toc305158794"/>
      <w:bookmarkStart w:id="214" w:name="_Toc151193840"/>
      <w:bookmarkStart w:id="215" w:name="_Toc264969216"/>
      <w:bookmarkStart w:id="216" w:name="_Toc151193914"/>
      <w:bookmarkStart w:id="217" w:name="_Toc520356150"/>
      <w:bookmarkStart w:id="218" w:name="_Toc195842891"/>
      <w:bookmarkStart w:id="219" w:name="_Toc150774626"/>
    </w:p>
    <w:p w14:paraId="3EEDD8D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151193841"/>
      <w:bookmarkStart w:id="221" w:name="_Toc151193697"/>
      <w:bookmarkStart w:id="222" w:name="_Toc516367021"/>
      <w:bookmarkStart w:id="223" w:name="_Toc226965717"/>
      <w:bookmarkStart w:id="224" w:name="_Toc520356151"/>
      <w:bookmarkStart w:id="225" w:name="_Toc151193915"/>
      <w:bookmarkStart w:id="226" w:name="_Toc226965800"/>
      <w:bookmarkStart w:id="227" w:name="_Toc150480765"/>
      <w:bookmarkStart w:id="228" w:name="_Toc127151527"/>
      <w:bookmarkStart w:id="229" w:name="_Toc127151728"/>
      <w:bookmarkStart w:id="230" w:name="_Toc164608796"/>
      <w:bookmarkStart w:id="231" w:name="_Toc164229368"/>
      <w:bookmarkStart w:id="232" w:name="_Toc150774627"/>
      <w:bookmarkStart w:id="233" w:name="_Toc164608641"/>
      <w:bookmarkStart w:id="234" w:name="_Toc226309771"/>
      <w:bookmarkStart w:id="235" w:name="_Toc164229222"/>
      <w:bookmarkStart w:id="236" w:name="_Toc151190154"/>
      <w:bookmarkStart w:id="237" w:name="_Toc151193625"/>
      <w:bookmarkStart w:id="238" w:name="_Toc265228365"/>
      <w:bookmarkStart w:id="239" w:name="_Toc305158869"/>
      <w:bookmarkStart w:id="240" w:name="_Toc226337223"/>
      <w:bookmarkStart w:id="241" w:name="_Toc127161441"/>
      <w:bookmarkStart w:id="242" w:name="_Toc164351621"/>
      <w:bookmarkStart w:id="243" w:name="_Toc151193769"/>
      <w:bookmarkStart w:id="244" w:name="_Toc305158795"/>
      <w:bookmarkStart w:id="245" w:name="_Toc264969217"/>
      <w:bookmarkStart w:id="246" w:name="_Toc195842892"/>
      <w:bookmarkStart w:id="247" w:name="_Toc150774732"/>
      <w:bookmarkStart w:id="248" w:name="_Toc142311029"/>
      <w:bookmarkStart w:id="249" w:name="_Toc149720820"/>
      <w:bookmarkStart w:id="250" w:name="_Toc150509278"/>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Ref467306195"/>
      <w:bookmarkStart w:id="252" w:name="_Ref467306676"/>
      <w:bookmarkStart w:id="253" w:name="_Toc516367022"/>
      <w:bookmarkStart w:id="254" w:name="_Toc164608642"/>
      <w:bookmarkStart w:id="255" w:name="_Toc164351622"/>
      <w:bookmarkStart w:id="256" w:name="_Toc151193770"/>
      <w:bookmarkStart w:id="257" w:name="_Toc164229223"/>
      <w:bookmarkStart w:id="258" w:name="_Toc150774628"/>
      <w:bookmarkStart w:id="259" w:name="_Toc149720821"/>
      <w:bookmarkStart w:id="260" w:name="_Toc305158796"/>
      <w:bookmarkStart w:id="261" w:name="_Toc305158870"/>
      <w:bookmarkStart w:id="262" w:name="_Toc150774733"/>
      <w:bookmarkStart w:id="263" w:name="_Toc164229369"/>
      <w:bookmarkStart w:id="264" w:name="_Toc150509279"/>
      <w:bookmarkStart w:id="265" w:name="_Toc142311030"/>
      <w:bookmarkStart w:id="266" w:name="_Toc127151729"/>
      <w:bookmarkStart w:id="267" w:name="_Toc151193626"/>
      <w:bookmarkStart w:id="268" w:name="_Toc150480766"/>
      <w:bookmarkStart w:id="269" w:name="_Toc226965801"/>
      <w:bookmarkStart w:id="270" w:name="_Toc151193916"/>
      <w:bookmarkStart w:id="271" w:name="_Toc127151528"/>
      <w:bookmarkStart w:id="272" w:name="_Toc151190155"/>
      <w:bookmarkStart w:id="273" w:name="_Toc151193698"/>
      <w:bookmarkStart w:id="274" w:name="_Toc520356152"/>
      <w:bookmarkStart w:id="275" w:name="_Toc265228366"/>
      <w:bookmarkStart w:id="276" w:name="_Toc127161442"/>
      <w:bookmarkStart w:id="277" w:name="_Toc151193842"/>
      <w:bookmarkStart w:id="278" w:name="_Toc226337224"/>
      <w:bookmarkStart w:id="279" w:name="_Toc264969218"/>
      <w:bookmarkStart w:id="280" w:name="_Toc226965718"/>
      <w:bookmarkStart w:id="281" w:name="_Toc226309772"/>
      <w:bookmarkStart w:id="282" w:name="_Toc164608797"/>
      <w:bookmarkStart w:id="283" w:name="_Toc195842893"/>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64351624"/>
      <w:bookmarkStart w:id="286" w:name="_Toc127151731"/>
      <w:bookmarkStart w:id="287" w:name="_Toc150774630"/>
      <w:bookmarkStart w:id="288" w:name="_Toc142311032"/>
      <w:bookmarkStart w:id="289" w:name="_Toc164229225"/>
      <w:bookmarkStart w:id="290" w:name="_Toc164608644"/>
      <w:bookmarkStart w:id="291" w:name="_Toc150509281"/>
      <w:bookmarkStart w:id="292" w:name="_Toc150480768"/>
      <w:bookmarkStart w:id="293" w:name="_Toc127161444"/>
      <w:bookmarkStart w:id="294" w:name="_Toc195842895"/>
      <w:bookmarkStart w:id="295" w:name="_Toc151193772"/>
      <w:bookmarkStart w:id="296" w:name="_Toc151193700"/>
      <w:bookmarkStart w:id="297" w:name="_Toc151193628"/>
      <w:bookmarkStart w:id="298" w:name="_Toc151190157"/>
      <w:bookmarkStart w:id="299" w:name="_Toc151193844"/>
      <w:bookmarkStart w:id="300" w:name="_Toc150774735"/>
      <w:bookmarkStart w:id="301" w:name="_Toc127151530"/>
      <w:bookmarkStart w:id="302" w:name="_Toc164229371"/>
      <w:bookmarkStart w:id="303" w:name="_Toc151193918"/>
      <w:bookmarkStart w:id="304" w:name="_Toc164608799"/>
      <w:bookmarkStart w:id="305" w:name="_Toc149720823"/>
      <w:bookmarkStart w:id="306" w:name="_Toc520356155"/>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164351625"/>
      <w:bookmarkStart w:id="308" w:name="_Toc151193773"/>
      <w:bookmarkStart w:id="309" w:name="_Toc305158799"/>
      <w:bookmarkStart w:id="310" w:name="_Toc164608645"/>
      <w:bookmarkStart w:id="311" w:name="_Toc164608800"/>
      <w:bookmarkStart w:id="312" w:name="_Toc142311033"/>
      <w:bookmarkStart w:id="313" w:name="_Toc164229226"/>
      <w:bookmarkStart w:id="314" w:name="_Toc127151531"/>
      <w:bookmarkStart w:id="315" w:name="_Toc127151732"/>
      <w:bookmarkStart w:id="316" w:name="_Toc151193845"/>
      <w:bookmarkStart w:id="317" w:name="_Toc226965804"/>
      <w:bookmarkStart w:id="318" w:name="_Toc151190158"/>
      <w:bookmarkStart w:id="319" w:name="_Toc150774736"/>
      <w:bookmarkStart w:id="320" w:name="_Toc150509282"/>
      <w:bookmarkStart w:id="321" w:name="_Toc149720824"/>
      <w:bookmarkStart w:id="322" w:name="_Toc264969221"/>
      <w:bookmarkStart w:id="323" w:name="_Toc150774631"/>
      <w:bookmarkStart w:id="324" w:name="_Toc265228369"/>
      <w:bookmarkStart w:id="325" w:name="_Toc151193701"/>
      <w:bookmarkStart w:id="326" w:name="_Toc195842896"/>
      <w:bookmarkStart w:id="327" w:name="_Toc226337227"/>
      <w:bookmarkStart w:id="328" w:name="_Toc226965721"/>
      <w:bookmarkStart w:id="329" w:name="_Toc151193919"/>
      <w:bookmarkStart w:id="330" w:name="_Toc305158873"/>
      <w:bookmarkStart w:id="331" w:name="_Ref467306513"/>
      <w:bookmarkStart w:id="332" w:name="_Toc164229372"/>
      <w:bookmarkStart w:id="333" w:name="_Toc150480769"/>
      <w:bookmarkStart w:id="334" w:name="_Toc127161445"/>
      <w:bookmarkStart w:id="335" w:name="_Toc226309775"/>
      <w:bookmarkStart w:id="336" w:name="_Toc151193629"/>
      <w:bookmarkStart w:id="337" w:name="_Toc520356156"/>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226965805"/>
      <w:bookmarkStart w:id="341" w:name="_Toc151190159"/>
      <w:bookmarkStart w:id="342" w:name="_Toc127151532"/>
      <w:bookmarkStart w:id="343" w:name="_Toc226309776"/>
      <w:bookmarkStart w:id="344" w:name="_Toc142311034"/>
      <w:bookmarkStart w:id="345" w:name="_Toc149720825"/>
      <w:bookmarkStart w:id="346" w:name="_Toc305158874"/>
      <w:bookmarkStart w:id="347" w:name="_Toc127161446"/>
      <w:bookmarkStart w:id="348" w:name="_Toc151193630"/>
      <w:bookmarkStart w:id="349" w:name="_Toc150509283"/>
      <w:bookmarkStart w:id="350" w:name="_Toc520356157"/>
      <w:bookmarkStart w:id="351" w:name="_Toc150774737"/>
      <w:bookmarkStart w:id="352" w:name="_Toc151193702"/>
      <w:bookmarkStart w:id="353" w:name="_Toc164608646"/>
      <w:bookmarkStart w:id="354" w:name="_Toc226965722"/>
      <w:bookmarkStart w:id="355" w:name="_Toc164229227"/>
      <w:bookmarkStart w:id="356" w:name="_Toc150774632"/>
      <w:bookmarkStart w:id="357" w:name="_Toc195842897"/>
      <w:bookmarkStart w:id="358" w:name="_Toc151193920"/>
      <w:bookmarkStart w:id="359" w:name="_Toc150480770"/>
      <w:bookmarkStart w:id="360" w:name="_Toc264969222"/>
      <w:bookmarkStart w:id="361" w:name="_Toc151193774"/>
      <w:bookmarkStart w:id="362" w:name="_Toc164351626"/>
      <w:bookmarkStart w:id="363" w:name="_Toc164608801"/>
      <w:bookmarkStart w:id="364" w:name="_Toc226337228"/>
      <w:bookmarkStart w:id="365" w:name="_Toc265228370"/>
      <w:bookmarkStart w:id="366" w:name="_Toc164229373"/>
      <w:bookmarkStart w:id="367" w:name="_Toc305158800"/>
      <w:bookmarkStart w:id="368" w:name="_Toc151193846"/>
      <w:bookmarkStart w:id="369" w:name="_Toc127151733"/>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64229374"/>
      <w:bookmarkStart w:id="371" w:name="_Toc127151533"/>
      <w:bookmarkStart w:id="372" w:name="_Toc305158875"/>
      <w:bookmarkStart w:id="373" w:name="_Toc164229228"/>
      <w:bookmarkStart w:id="374" w:name="_Toc164608647"/>
      <w:bookmarkStart w:id="375" w:name="_Toc142311035"/>
      <w:bookmarkStart w:id="376" w:name="_Toc164608802"/>
      <w:bookmarkStart w:id="377" w:name="_Toc150480771"/>
      <w:bookmarkStart w:id="378" w:name="_Toc150509284"/>
      <w:bookmarkStart w:id="379" w:name="_Toc151193921"/>
      <w:bookmarkStart w:id="380" w:name="_Toc265228371"/>
      <w:bookmarkStart w:id="381" w:name="_Toc151193847"/>
      <w:bookmarkStart w:id="382" w:name="_Toc520356158"/>
      <w:bookmarkStart w:id="383" w:name="_Toc195842898"/>
      <w:bookmarkStart w:id="384" w:name="_Toc127161447"/>
      <w:bookmarkStart w:id="385" w:name="_Toc150774738"/>
      <w:bookmarkStart w:id="386" w:name="_Toc151193631"/>
      <w:bookmarkStart w:id="387" w:name="_Toc226965806"/>
      <w:bookmarkStart w:id="388" w:name="_Toc151193775"/>
      <w:bookmarkStart w:id="389" w:name="_Toc164351627"/>
      <w:bookmarkStart w:id="390" w:name="_Toc127151734"/>
      <w:bookmarkStart w:id="391" w:name="_Toc151193703"/>
      <w:bookmarkStart w:id="392" w:name="_Toc226337229"/>
      <w:bookmarkStart w:id="393" w:name="_Toc305158801"/>
      <w:bookmarkStart w:id="394" w:name="_Toc151190160"/>
      <w:bookmarkStart w:id="395" w:name="_Toc226965723"/>
      <w:bookmarkStart w:id="396" w:name="_Toc226309777"/>
      <w:bookmarkStart w:id="397" w:name="_Toc149720826"/>
      <w:bookmarkStart w:id="398" w:name="_Toc264969223"/>
      <w:bookmarkStart w:id="399" w:name="_Toc150774633"/>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265228372"/>
      <w:bookmarkStart w:id="401" w:name="_Toc305158802"/>
      <w:bookmarkStart w:id="402" w:name="_Toc305158876"/>
      <w:bookmarkStart w:id="403" w:name="_Toc520356159"/>
      <w:bookmarkStart w:id="404" w:name="_Toc151193704"/>
      <w:bookmarkStart w:id="405" w:name="_Toc142311036"/>
      <w:bookmarkStart w:id="406" w:name="_Toc226309778"/>
      <w:bookmarkStart w:id="407" w:name="_Toc150774634"/>
      <w:bookmarkStart w:id="408" w:name="_Toc151190161"/>
      <w:bookmarkStart w:id="409" w:name="_Toc127151534"/>
      <w:bookmarkStart w:id="410" w:name="_Toc151193922"/>
      <w:bookmarkStart w:id="411" w:name="_Toc150774739"/>
      <w:bookmarkStart w:id="412" w:name="_Toc150509285"/>
      <w:bookmarkStart w:id="413" w:name="_Toc226337230"/>
      <w:bookmarkStart w:id="414" w:name="_Toc226965807"/>
      <w:bookmarkStart w:id="415" w:name="_Toc151193776"/>
      <w:bookmarkStart w:id="416" w:name="_Toc150480772"/>
      <w:bookmarkStart w:id="417" w:name="_Toc151193632"/>
      <w:bookmarkStart w:id="418" w:name="_Toc226965724"/>
      <w:bookmarkStart w:id="419" w:name="_Toc264969224"/>
      <w:bookmarkStart w:id="420" w:name="_Toc195842899"/>
      <w:bookmarkStart w:id="421" w:name="_Toc151193848"/>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3"/>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195842900"/>
      <w:bookmarkStart w:id="423" w:name="_Toc150774740"/>
      <w:bookmarkStart w:id="424" w:name="_Toc127151736"/>
      <w:bookmarkStart w:id="425" w:name="_Toc305158803"/>
      <w:bookmarkStart w:id="426" w:name="_Toc127161449"/>
      <w:bookmarkStart w:id="427" w:name="_Toc150509286"/>
      <w:bookmarkStart w:id="428" w:name="_Toc164608804"/>
      <w:bookmarkStart w:id="429" w:name="_Toc226965808"/>
      <w:bookmarkStart w:id="430" w:name="_Toc264969225"/>
      <w:bookmarkStart w:id="431" w:name="_Toc265228373"/>
      <w:bookmarkStart w:id="432" w:name="_Toc164608649"/>
      <w:bookmarkStart w:id="433" w:name="_Toc226337231"/>
      <w:bookmarkStart w:id="434" w:name="_Toc151193777"/>
      <w:bookmarkStart w:id="435" w:name="_Toc142311037"/>
      <w:bookmarkStart w:id="436" w:name="_Toc151193633"/>
      <w:bookmarkStart w:id="437" w:name="_Toc151193849"/>
      <w:bookmarkStart w:id="438" w:name="_Toc164351629"/>
      <w:bookmarkStart w:id="439" w:name="_Toc305158877"/>
      <w:bookmarkStart w:id="440" w:name="_Toc164229376"/>
      <w:bookmarkStart w:id="441" w:name="_Toc127151535"/>
      <w:bookmarkStart w:id="442" w:name="_Toc150774635"/>
      <w:bookmarkStart w:id="443" w:name="_Toc151193923"/>
      <w:bookmarkStart w:id="444" w:name="_Toc520356160"/>
      <w:bookmarkStart w:id="445" w:name="_Toc151193705"/>
      <w:bookmarkStart w:id="446" w:name="_Toc149720828"/>
      <w:bookmarkStart w:id="447" w:name="_Toc151190162"/>
      <w:bookmarkStart w:id="448" w:name="_Toc226309779"/>
      <w:bookmarkStart w:id="449" w:name="_Toc164229230"/>
      <w:bookmarkStart w:id="450" w:name="_Toc150480773"/>
      <w:bookmarkStart w:id="451" w:name="_Toc226965725"/>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226309780"/>
      <w:bookmarkStart w:id="453" w:name="_Toc151193706"/>
      <w:bookmarkStart w:id="454" w:name="_Toc264969226"/>
      <w:bookmarkStart w:id="455" w:name="_Toc164229231"/>
      <w:bookmarkStart w:id="456" w:name="_Toc265228374"/>
      <w:bookmarkStart w:id="457" w:name="_Toc151193924"/>
      <w:bookmarkStart w:id="458" w:name="_Toc164608650"/>
      <w:bookmarkStart w:id="459" w:name="_Toc226965726"/>
      <w:bookmarkStart w:id="460" w:name="_Toc150509287"/>
      <w:bookmarkStart w:id="461" w:name="_Toc127151536"/>
      <w:bookmarkStart w:id="462" w:name="_Toc150774636"/>
      <w:bookmarkStart w:id="463" w:name="_Toc164351630"/>
      <w:bookmarkStart w:id="464" w:name="_Toc305158878"/>
      <w:bookmarkStart w:id="465" w:name="_Toc226965809"/>
      <w:bookmarkStart w:id="466" w:name="_Toc305158804"/>
      <w:bookmarkStart w:id="467" w:name="_Toc150774741"/>
      <w:bookmarkStart w:id="468" w:name="_Toc195842901"/>
      <w:bookmarkStart w:id="469" w:name="_Toc150480774"/>
      <w:bookmarkStart w:id="470" w:name="_Toc127151737"/>
      <w:bookmarkStart w:id="471" w:name="_Toc520356161"/>
      <w:bookmarkStart w:id="472" w:name="_Toc127161450"/>
      <w:bookmarkStart w:id="473" w:name="_Toc149720829"/>
      <w:bookmarkStart w:id="474" w:name="_Toc142311038"/>
      <w:bookmarkStart w:id="475" w:name="_Toc164229377"/>
      <w:bookmarkStart w:id="476" w:name="_Toc226337232"/>
      <w:bookmarkStart w:id="477" w:name="_Toc164608805"/>
      <w:bookmarkStart w:id="478" w:name="_Toc151193850"/>
      <w:bookmarkStart w:id="479" w:name="_Toc151193778"/>
      <w:bookmarkStart w:id="480" w:name="_Toc151193634"/>
      <w:bookmarkStart w:id="481" w:name="_Toc151190163"/>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164229378"/>
      <w:bookmarkStart w:id="483" w:name="_Toc264969227"/>
      <w:bookmarkStart w:id="484" w:name="_Toc127151537"/>
      <w:bookmarkStart w:id="485" w:name="_Toc164351631"/>
      <w:bookmarkStart w:id="486" w:name="_Toc127151738"/>
      <w:bookmarkStart w:id="487" w:name="_Toc164229232"/>
      <w:bookmarkStart w:id="488" w:name="_Toc226965810"/>
      <w:bookmarkStart w:id="489" w:name="_Toc164608651"/>
      <w:bookmarkStart w:id="490" w:name="_Toc150774742"/>
      <w:bookmarkStart w:id="491" w:name="_Toc127161451"/>
      <w:bookmarkStart w:id="492" w:name="_Toc150509288"/>
      <w:bookmarkStart w:id="493" w:name="_Toc520356162"/>
      <w:bookmarkStart w:id="494" w:name="_Toc164608806"/>
      <w:bookmarkStart w:id="495" w:name="_Toc142311039"/>
      <w:bookmarkStart w:id="496" w:name="_Toc151193635"/>
      <w:bookmarkStart w:id="497" w:name="_Toc150480775"/>
      <w:bookmarkStart w:id="498" w:name="_Toc150774637"/>
      <w:bookmarkStart w:id="499" w:name="_Toc305158879"/>
      <w:bookmarkStart w:id="500" w:name="_Toc149720830"/>
      <w:bookmarkStart w:id="501" w:name="_Toc151193925"/>
      <w:bookmarkStart w:id="502" w:name="_Toc195842902"/>
      <w:bookmarkStart w:id="503" w:name="_Toc151193851"/>
      <w:bookmarkStart w:id="504" w:name="_Toc226965727"/>
      <w:bookmarkStart w:id="505" w:name="_Toc265228375"/>
      <w:bookmarkStart w:id="506" w:name="_Toc151190164"/>
      <w:bookmarkStart w:id="507" w:name="_Toc151193707"/>
      <w:bookmarkStart w:id="508" w:name="_Toc151193779"/>
      <w:bookmarkStart w:id="509" w:name="_Toc226337233"/>
      <w:bookmarkStart w:id="510" w:name="_Toc305158805"/>
      <w:bookmarkStart w:id="511" w:name="_Toc226309781"/>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3"/>
        <w:spacing w:before="0" w:line="360" w:lineRule="auto"/>
        <w:rPr>
          <w:rFonts w:ascii="Times New Roman" w:hAnsi="Times New Roman" w:eastAsia="宋体"/>
          <w:spacing w:val="0"/>
          <w:kern w:val="0"/>
          <w:position w:val="0"/>
          <w:sz w:val="28"/>
        </w:rPr>
      </w:pPr>
      <w:bookmarkStart w:id="512" w:name="_Toc226965811"/>
      <w:bookmarkStart w:id="513" w:name="_Toc226309782"/>
      <w:bookmarkStart w:id="514" w:name="_Toc151193636"/>
      <w:bookmarkStart w:id="515" w:name="_Toc127151538"/>
      <w:bookmarkStart w:id="516" w:name="_Toc150774638"/>
      <w:bookmarkStart w:id="517" w:name="_Toc520356163"/>
      <w:bookmarkStart w:id="518" w:name="_Toc150509289"/>
      <w:bookmarkStart w:id="519" w:name="_Toc150480776"/>
      <w:bookmarkStart w:id="520" w:name="_Toc151193926"/>
      <w:bookmarkStart w:id="521" w:name="_Toc305158806"/>
      <w:bookmarkStart w:id="522" w:name="_Toc305158880"/>
      <w:bookmarkStart w:id="523" w:name="_Toc151193852"/>
      <w:bookmarkStart w:id="524" w:name="_Toc142311040"/>
      <w:bookmarkStart w:id="525" w:name="_Toc150774743"/>
      <w:bookmarkStart w:id="526" w:name="_Toc151193708"/>
      <w:bookmarkStart w:id="527" w:name="_Toc226337234"/>
      <w:bookmarkStart w:id="528" w:name="_Toc151193780"/>
      <w:bookmarkStart w:id="529" w:name="_Toc226965728"/>
      <w:bookmarkStart w:id="530" w:name="_Toc264969228"/>
      <w:bookmarkStart w:id="531" w:name="_Toc265228376"/>
      <w:bookmarkStart w:id="532" w:name="_Toc151190165"/>
      <w:bookmarkStart w:id="533" w:name="_Toc195842903"/>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127151740"/>
      <w:bookmarkStart w:id="535" w:name="_Toc150509290"/>
      <w:bookmarkStart w:id="536" w:name="_Toc142311041"/>
      <w:bookmarkStart w:id="537" w:name="_Toc305158807"/>
      <w:bookmarkStart w:id="538" w:name="_Toc164229380"/>
      <w:bookmarkStart w:id="539" w:name="_Toc305158881"/>
      <w:bookmarkStart w:id="540" w:name="_Toc226337235"/>
      <w:bookmarkStart w:id="541" w:name="_Toc149720832"/>
      <w:bookmarkStart w:id="542" w:name="_Toc150480777"/>
      <w:bookmarkStart w:id="543" w:name="_Toc151193709"/>
      <w:bookmarkStart w:id="544" w:name="_Toc150774744"/>
      <w:bookmarkStart w:id="545" w:name="_Toc151193781"/>
      <w:bookmarkStart w:id="546" w:name="_Toc150774639"/>
      <w:bookmarkStart w:id="547" w:name="_Toc226965729"/>
      <w:bookmarkStart w:id="548" w:name="_Toc226309783"/>
      <w:bookmarkStart w:id="549" w:name="_Toc164608653"/>
      <w:bookmarkStart w:id="550" w:name="_Toc151193853"/>
      <w:bookmarkStart w:id="551" w:name="_Toc127151539"/>
      <w:bookmarkStart w:id="552" w:name="_Toc151193927"/>
      <w:bookmarkStart w:id="553" w:name="_Toc226965812"/>
      <w:bookmarkStart w:id="554" w:name="_Toc164351633"/>
      <w:bookmarkStart w:id="555" w:name="_Toc151190166"/>
      <w:bookmarkStart w:id="556" w:name="_Toc164608808"/>
      <w:bookmarkStart w:id="557" w:name="_Toc151193637"/>
      <w:bookmarkStart w:id="558" w:name="_Toc195842904"/>
      <w:bookmarkStart w:id="559" w:name="_Toc264969229"/>
      <w:bookmarkStart w:id="560" w:name="_Toc164229234"/>
      <w:bookmarkStart w:id="561" w:name="_Toc520356164"/>
      <w:bookmarkStart w:id="562" w:name="_Toc127161453"/>
      <w:bookmarkStart w:id="563" w:name="_Toc265228377"/>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305158882"/>
      <w:bookmarkStart w:id="568" w:name="_Toc151193928"/>
      <w:bookmarkStart w:id="569" w:name="_Toc150774640"/>
      <w:bookmarkStart w:id="570" w:name="_Toc127151540"/>
      <w:bookmarkStart w:id="571" w:name="_Toc164608809"/>
      <w:bookmarkStart w:id="572" w:name="_Toc164229381"/>
      <w:bookmarkStart w:id="573" w:name="_Toc150774745"/>
      <w:bookmarkStart w:id="574" w:name="_Toc151193854"/>
      <w:bookmarkStart w:id="575" w:name="_Toc151193638"/>
      <w:bookmarkStart w:id="576" w:name="_Toc226965730"/>
      <w:bookmarkStart w:id="577" w:name="_Toc226337236"/>
      <w:bookmarkStart w:id="578" w:name="_Toc150509291"/>
      <w:bookmarkStart w:id="579" w:name="_Toc151193710"/>
      <w:bookmarkStart w:id="580" w:name="_Toc226309784"/>
      <w:bookmarkStart w:id="581" w:name="_Toc142311042"/>
      <w:bookmarkStart w:id="582" w:name="_Toc151190167"/>
      <w:bookmarkStart w:id="583" w:name="_Toc150480778"/>
      <w:bookmarkStart w:id="584" w:name="_Toc127151741"/>
      <w:bookmarkStart w:id="585" w:name="_Toc164229235"/>
      <w:bookmarkStart w:id="586" w:name="_Toc164608654"/>
      <w:bookmarkStart w:id="587" w:name="_Toc264969230"/>
      <w:bookmarkStart w:id="588" w:name="_Toc149720833"/>
      <w:bookmarkStart w:id="589" w:name="_Toc164351634"/>
      <w:bookmarkStart w:id="590" w:name="_Toc195842905"/>
      <w:bookmarkStart w:id="591" w:name="_Toc265228378"/>
      <w:bookmarkStart w:id="592" w:name="_Toc151193782"/>
      <w:bookmarkStart w:id="593" w:name="_Toc305158808"/>
      <w:bookmarkStart w:id="594" w:name="_Toc127161454"/>
      <w:bookmarkStart w:id="595" w:name="_Toc226965813"/>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3"/>
        <w:spacing w:before="0" w:line="360" w:lineRule="auto"/>
        <w:rPr>
          <w:rFonts w:ascii="Times New Roman" w:hAnsi="Times New Roman" w:eastAsia="宋体"/>
          <w:spacing w:val="0"/>
          <w:kern w:val="0"/>
          <w:position w:val="0"/>
          <w:sz w:val="28"/>
        </w:rPr>
      </w:pPr>
      <w:bookmarkStart w:id="598" w:name="_Toc305158887"/>
      <w:bookmarkStart w:id="599" w:name="_Toc226965818"/>
      <w:bookmarkStart w:id="600" w:name="_Toc226337241"/>
      <w:bookmarkStart w:id="601" w:name="_Toc264969235"/>
      <w:bookmarkStart w:id="602" w:name="_Toc151193787"/>
      <w:bookmarkStart w:id="603" w:name="_Toc127151545"/>
      <w:bookmarkStart w:id="604" w:name="_Toc151193715"/>
      <w:bookmarkStart w:id="605" w:name="_Toc150774645"/>
      <w:bookmarkStart w:id="606" w:name="_Toc142311047"/>
      <w:bookmarkStart w:id="607" w:name="_Toc265228383"/>
      <w:bookmarkStart w:id="608" w:name="_Toc150509296"/>
      <w:bookmarkStart w:id="609" w:name="_Toc226965735"/>
      <w:bookmarkStart w:id="610" w:name="_Toc150480783"/>
      <w:bookmarkStart w:id="611" w:name="_Toc151193643"/>
      <w:bookmarkStart w:id="612" w:name="_Toc195842910"/>
      <w:bookmarkStart w:id="613" w:name="_Toc151193859"/>
      <w:bookmarkStart w:id="614" w:name="_Toc151190172"/>
      <w:bookmarkStart w:id="615" w:name="_Toc151193933"/>
      <w:bookmarkStart w:id="616" w:name="_Toc150774750"/>
      <w:bookmarkStart w:id="617" w:name="_Toc305158813"/>
      <w:bookmarkStart w:id="618" w:name="_Toc226309789"/>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27151748"/>
      <w:bookmarkStart w:id="620" w:name="_Toc151193861"/>
      <w:bookmarkStart w:id="621" w:name="_Toc151193645"/>
      <w:bookmarkStart w:id="622" w:name="_Toc265228385"/>
      <w:bookmarkStart w:id="623" w:name="_Toc151193717"/>
      <w:bookmarkStart w:id="624" w:name="_Toc151193935"/>
      <w:bookmarkStart w:id="625" w:name="_Toc164351641"/>
      <w:bookmarkStart w:id="626" w:name="_Toc226965737"/>
      <w:bookmarkStart w:id="627" w:name="_Toc127151547"/>
      <w:bookmarkStart w:id="628" w:name="_Toc150774752"/>
      <w:bookmarkStart w:id="629" w:name="_Toc150509298"/>
      <w:bookmarkStart w:id="630" w:name="_Toc127161461"/>
      <w:bookmarkStart w:id="631" w:name="_Toc226309791"/>
      <w:bookmarkStart w:id="632" w:name="_Toc305158889"/>
      <w:bookmarkStart w:id="633" w:name="_Toc226965820"/>
      <w:bookmarkStart w:id="634" w:name="_Toc149720840"/>
      <w:bookmarkStart w:id="635" w:name="_Toc305158815"/>
      <w:bookmarkStart w:id="636" w:name="_Toc151193789"/>
      <w:bookmarkStart w:id="637" w:name="_Toc150774647"/>
      <w:bookmarkStart w:id="638" w:name="_Toc150480785"/>
      <w:bookmarkStart w:id="639" w:name="_Toc151190174"/>
      <w:bookmarkStart w:id="640" w:name="_Toc142311049"/>
      <w:bookmarkStart w:id="641" w:name="_Toc226337243"/>
      <w:bookmarkStart w:id="642" w:name="_Toc195842912"/>
      <w:bookmarkStart w:id="643" w:name="_Toc164229388"/>
      <w:bookmarkStart w:id="644" w:name="_Toc164608816"/>
      <w:bookmarkStart w:id="645" w:name="_Toc164608661"/>
      <w:bookmarkStart w:id="646" w:name="_Toc164229242"/>
      <w:bookmarkStart w:id="647" w:name="_Toc264969237"/>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17"/>
      <w:bookmarkStart w:id="649" w:name="_Toc305158891"/>
      <w:bookmarkStart w:id="650" w:name="_Toc226965739"/>
      <w:bookmarkStart w:id="651" w:name="_Toc127161463"/>
      <w:bookmarkStart w:id="652" w:name="_Toc265228387"/>
      <w:bookmarkStart w:id="653" w:name="_Toc164608663"/>
      <w:bookmarkStart w:id="654" w:name="_Toc226337245"/>
      <w:bookmarkStart w:id="655" w:name="_Toc151193647"/>
      <w:bookmarkStart w:id="656" w:name="_Toc164608818"/>
      <w:bookmarkStart w:id="657" w:name="_Toc151190176"/>
      <w:bookmarkStart w:id="658" w:name="_Toc127151549"/>
      <w:bookmarkStart w:id="659" w:name="_Toc151193937"/>
      <w:bookmarkStart w:id="660" w:name="_Toc151193719"/>
      <w:bookmarkStart w:id="661" w:name="_Toc150509300"/>
      <w:bookmarkStart w:id="662" w:name="_Toc195842914"/>
      <w:bookmarkStart w:id="663" w:name="_Toc151193791"/>
      <w:bookmarkStart w:id="664" w:name="_Toc164229390"/>
      <w:bookmarkStart w:id="665" w:name="_Toc142311051"/>
      <w:bookmarkStart w:id="666" w:name="_Toc264969239"/>
      <w:bookmarkStart w:id="667" w:name="_Toc226965822"/>
      <w:bookmarkStart w:id="668" w:name="_Toc151193863"/>
      <w:bookmarkStart w:id="669" w:name="_Toc150774754"/>
      <w:bookmarkStart w:id="670" w:name="_Toc127151750"/>
      <w:bookmarkStart w:id="671" w:name="_Toc226309793"/>
      <w:bookmarkStart w:id="672" w:name="_Toc164351643"/>
      <w:bookmarkStart w:id="673" w:name="_Toc149720842"/>
      <w:bookmarkStart w:id="674" w:name="_Toc150480787"/>
      <w:bookmarkStart w:id="675" w:name="_Toc150774649"/>
      <w:bookmarkStart w:id="676" w:name="_Toc164229244"/>
      <w:bookmarkStart w:id="677" w:name="_Toc520356176"/>
      <w:bookmarkStart w:id="678" w:name="_Ref467307090"/>
      <w:bookmarkStart w:id="679" w:name="_Ref467306425"/>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226965823"/>
      <w:bookmarkStart w:id="681" w:name="_Toc195842915"/>
      <w:bookmarkStart w:id="682" w:name="_Toc264969240"/>
      <w:bookmarkStart w:id="683" w:name="_Toc151193720"/>
      <w:bookmarkStart w:id="684" w:name="_Toc226337246"/>
      <w:bookmarkStart w:id="685" w:name="_Toc164229391"/>
      <w:bookmarkStart w:id="686" w:name="_Toc151193648"/>
      <w:bookmarkStart w:id="687" w:name="_Toc151193864"/>
      <w:bookmarkStart w:id="688" w:name="_Toc151193792"/>
      <w:bookmarkStart w:id="689" w:name="_Toc151190177"/>
      <w:bookmarkStart w:id="690" w:name="_Toc226309794"/>
      <w:bookmarkStart w:id="691" w:name="_Toc127151550"/>
      <w:bookmarkStart w:id="692" w:name="_Toc226965740"/>
      <w:bookmarkStart w:id="693" w:name="_Toc127151751"/>
      <w:bookmarkStart w:id="694" w:name="_Toc164608664"/>
      <w:bookmarkStart w:id="695" w:name="_Ref467307062"/>
      <w:bookmarkStart w:id="696" w:name="_Toc305158892"/>
      <w:bookmarkStart w:id="697" w:name="_Toc164351644"/>
      <w:bookmarkStart w:id="698" w:name="_Toc164229245"/>
      <w:bookmarkStart w:id="699" w:name="_Ref467306978"/>
      <w:bookmarkStart w:id="700" w:name="_Toc150774755"/>
      <w:bookmarkStart w:id="701" w:name="_Toc142311052"/>
      <w:bookmarkStart w:id="702" w:name="_Toc149720843"/>
      <w:bookmarkStart w:id="703" w:name="_Ref467306377"/>
      <w:bookmarkStart w:id="704" w:name="_Ref467307204"/>
      <w:bookmarkStart w:id="705" w:name="_Toc151193938"/>
      <w:bookmarkStart w:id="706" w:name="_Toc150774650"/>
      <w:bookmarkStart w:id="707" w:name="_Toc265228388"/>
      <w:bookmarkStart w:id="708" w:name="_Toc150480788"/>
      <w:bookmarkStart w:id="709" w:name="_Toc305158818"/>
      <w:bookmarkStart w:id="710" w:name="_Toc127161464"/>
      <w:bookmarkStart w:id="711" w:name="_Toc164608819"/>
      <w:bookmarkStart w:id="712" w:name="_Toc150509301"/>
      <w:bookmarkStart w:id="713" w:name="_Toc520356175"/>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265228392"/>
      <w:bookmarkStart w:id="716" w:name="_Toc226965827"/>
      <w:bookmarkStart w:id="717" w:name="_Toc353873664"/>
      <w:bookmarkStart w:id="718" w:name="_Toc305158822"/>
      <w:bookmarkStart w:id="719" w:name="_Toc127151554"/>
      <w:bookmarkStart w:id="720" w:name="_Toc353825544"/>
      <w:bookmarkStart w:id="721" w:name="_Toc150480792"/>
      <w:bookmarkStart w:id="722" w:name="_Toc353873934"/>
      <w:bookmarkStart w:id="723" w:name="_Toc142311056"/>
      <w:bookmarkStart w:id="724" w:name="_Toc150774759"/>
      <w:bookmarkStart w:id="725" w:name="_Toc264969244"/>
      <w:bookmarkStart w:id="726" w:name="_Toc226337250"/>
      <w:bookmarkStart w:id="727" w:name="_Toc305158896"/>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0D16A044">
      <w:pPr>
        <w:widowControl/>
        <w:jc w:val="left"/>
        <w:rPr>
          <w:spacing w:val="0"/>
          <w:kern w:val="0"/>
          <w:position w:val="0"/>
          <w:sz w:val="24"/>
        </w:rPr>
      </w:pPr>
      <w:bookmarkStart w:id="734" w:name="_Hlt522424701"/>
      <w:bookmarkEnd w:id="734"/>
      <w:bookmarkStart w:id="735" w:name="_Hlt487900425"/>
      <w:bookmarkEnd w:id="735"/>
      <w:bookmarkStart w:id="736" w:name="_Toc127151779"/>
      <w:bookmarkStart w:id="737" w:name="_Toc127161490"/>
      <w:bookmarkStart w:id="738" w:name="_Toc353873940"/>
      <w:bookmarkStart w:id="739" w:name="_Toc353825550"/>
      <w:bookmarkStart w:id="740" w:name="_Toc226965858"/>
      <w:r>
        <w:rPr>
          <w:spacing w:val="0"/>
          <w:kern w:val="0"/>
          <w:position w:val="0"/>
          <w:sz w:val="24"/>
        </w:rPr>
        <w:br w:type="page"/>
      </w:r>
    </w:p>
    <w:p w14:paraId="326E175B">
      <w:pPr>
        <w:spacing w:line="360" w:lineRule="auto"/>
        <w:jc w:val="center"/>
        <w:outlineLvl w:val="0"/>
        <w:rPr>
          <w:b/>
          <w:spacing w:val="0"/>
          <w:kern w:val="0"/>
          <w:position w:val="0"/>
          <w:sz w:val="36"/>
          <w:szCs w:val="36"/>
        </w:rPr>
      </w:pPr>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164351635"/>
      <w:bookmarkStart w:id="744" w:name="_Toc127161455"/>
      <w:bookmarkStart w:id="745" w:name="_Toc150774641"/>
      <w:bookmarkStart w:id="746" w:name="_Toc127151742"/>
      <w:bookmarkStart w:id="747" w:name="_Toc164608810"/>
      <w:bookmarkStart w:id="748" w:name="_Toc226965731"/>
      <w:bookmarkStart w:id="749" w:name="_Toc195842906"/>
      <w:bookmarkStart w:id="750" w:name="_Toc151190168"/>
      <w:bookmarkStart w:id="751" w:name="_Toc127151541"/>
      <w:bookmarkStart w:id="752" w:name="_Toc265228379"/>
      <w:bookmarkStart w:id="753" w:name="_Toc151193711"/>
      <w:bookmarkStart w:id="754" w:name="_Toc226337237"/>
      <w:bookmarkStart w:id="755" w:name="_Toc226309785"/>
      <w:bookmarkStart w:id="756" w:name="_Toc226965814"/>
      <w:bookmarkStart w:id="757" w:name="_Toc305158809"/>
      <w:bookmarkStart w:id="758" w:name="_Toc142311043"/>
      <w:bookmarkStart w:id="759" w:name="_Toc151193639"/>
      <w:bookmarkStart w:id="760" w:name="_Toc151193929"/>
      <w:bookmarkStart w:id="761" w:name="_Toc164608655"/>
      <w:bookmarkStart w:id="762" w:name="_Toc264969231"/>
      <w:bookmarkStart w:id="763" w:name="_Toc164229236"/>
      <w:bookmarkStart w:id="764" w:name="_Toc150480779"/>
      <w:bookmarkStart w:id="765" w:name="_Toc150774746"/>
      <w:bookmarkStart w:id="766" w:name="_Toc150509292"/>
      <w:bookmarkStart w:id="767" w:name="_Toc151193855"/>
      <w:bookmarkStart w:id="768" w:name="_Toc305158883"/>
      <w:bookmarkStart w:id="769" w:name="_Toc149720834"/>
      <w:bookmarkStart w:id="770" w:name="_Toc151193783"/>
      <w:bookmarkStart w:id="771" w:name="_Toc164229382"/>
      <w:bookmarkStart w:id="772" w:name="_Toc353825551"/>
      <w:bookmarkStart w:id="773" w:name="_Toc353873941"/>
      <w:bookmarkStart w:id="774" w:name="_Toc265228393"/>
      <w:bookmarkStart w:id="775" w:name="_Toc195842920"/>
      <w:bookmarkStart w:id="776" w:name="_Toc264969245"/>
      <w:bookmarkStart w:id="777" w:name="_Toc150774760"/>
      <w:bookmarkStart w:id="778" w:name="_Toc142311057"/>
      <w:bookmarkStart w:id="779" w:name="_Toc127151555"/>
      <w:bookmarkStart w:id="780" w:name="_Toc305158897"/>
      <w:bookmarkStart w:id="781" w:name="_Toc150480793"/>
      <w:bookmarkStart w:id="782" w:name="_Toc226965828"/>
      <w:bookmarkStart w:id="783" w:name="_Toc353873935"/>
      <w:bookmarkStart w:id="784" w:name="_Toc353873665"/>
      <w:bookmarkStart w:id="785" w:name="_Toc226337251"/>
      <w:bookmarkStart w:id="786" w:name="_Toc305158823"/>
      <w:bookmarkStart w:id="787" w:name="_Toc353825545"/>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51193860"/>
      <w:bookmarkStart w:id="791" w:name="_Ref467307010"/>
      <w:bookmarkStart w:id="792" w:name="_Toc151193644"/>
      <w:bookmarkStart w:id="793" w:name="_Toc164608815"/>
      <w:bookmarkStart w:id="794" w:name="_Toc149720839"/>
      <w:bookmarkStart w:id="795" w:name="_Toc150774646"/>
      <w:bookmarkStart w:id="796" w:name="_Toc164229241"/>
      <w:bookmarkStart w:id="797" w:name="_Toc164608660"/>
      <w:bookmarkStart w:id="798" w:name="_Toc164351640"/>
      <w:bookmarkStart w:id="799" w:name="_Toc264969236"/>
      <w:bookmarkStart w:id="800" w:name="_Toc150774751"/>
      <w:bookmarkStart w:id="801" w:name="_Toc127151747"/>
      <w:bookmarkStart w:id="802" w:name="_Toc151190173"/>
      <w:bookmarkStart w:id="803" w:name="_Toc151193788"/>
      <w:bookmarkStart w:id="804" w:name="_Toc226309790"/>
      <w:bookmarkStart w:id="805" w:name="_Toc305158888"/>
      <w:bookmarkStart w:id="806" w:name="_Toc150480784"/>
      <w:bookmarkStart w:id="807" w:name="_Toc151193934"/>
      <w:bookmarkStart w:id="808" w:name="_Toc265228384"/>
      <w:bookmarkStart w:id="809" w:name="_Toc226965819"/>
      <w:bookmarkStart w:id="810" w:name="_Toc305158814"/>
      <w:bookmarkStart w:id="811" w:name="_Toc150509297"/>
      <w:bookmarkStart w:id="812" w:name="_Toc226965736"/>
      <w:bookmarkStart w:id="813" w:name="_Toc127161460"/>
      <w:bookmarkStart w:id="814" w:name="_Toc151193716"/>
      <w:bookmarkStart w:id="815" w:name="_Toc226337242"/>
      <w:bookmarkStart w:id="816" w:name="_Toc164229387"/>
      <w:bookmarkStart w:id="817" w:name="_Toc142311048"/>
      <w:bookmarkStart w:id="818" w:name="_Toc127151546"/>
      <w:bookmarkStart w:id="819" w:name="_Toc195842911"/>
      <w:bookmarkStart w:id="820" w:name="_Toc520356170"/>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4"/>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4"/>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rFonts w:hint="eastAsia" w:eastAsia="宋体"/>
          <w:b/>
          <w:spacing w:val="0"/>
          <w:kern w:val="0"/>
          <w:position w:val="0"/>
          <w:lang w:eastAsia="zh-CN"/>
        </w:rPr>
      </w:pPr>
      <w:r>
        <w:rPr>
          <w:b/>
          <w:spacing w:val="0"/>
          <w:kern w:val="0"/>
          <w:position w:val="0"/>
          <w:sz w:val="24"/>
        </w:rPr>
        <w:t>二、评标标准</w:t>
      </w:r>
    </w:p>
    <w:tbl>
      <w:tblPr>
        <w:tblStyle w:val="44"/>
        <w:tblW w:w="93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992"/>
        <w:gridCol w:w="1134"/>
        <w:gridCol w:w="6450"/>
      </w:tblGrid>
      <w:tr w14:paraId="230D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76419925">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4EDE6B0E">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p>
          <w:p w14:paraId="3E9C420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B90DD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评审项</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0B1EF094">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评审细则</w:t>
            </w:r>
          </w:p>
        </w:tc>
      </w:tr>
      <w:tr w14:paraId="19849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5A1763A0">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710F079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24AFDE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F2D1DD">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45E949C3">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1538DA10">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各投标人的价格得分:(评标基准价/投标报价)×30</w:t>
            </w:r>
          </w:p>
          <w:p w14:paraId="1EB521A2">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(注:实质性响应招标文件要求且最低评标价为评标基准价)</w:t>
            </w:r>
          </w:p>
          <w:p w14:paraId="56D39CBB">
            <w:pPr>
              <w:widowControl/>
              <w:spacing w:beforeLine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报价明显低于其他通过符合性审查投标人的报价，有可能影响产品质量或者不能诚信履约的，不能按评审委员会要求时间提交相关证明材料证明其报价合理性的视为无效投标。</w:t>
            </w:r>
          </w:p>
        </w:tc>
      </w:tr>
      <w:tr w14:paraId="6EB83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752" w:type="dxa"/>
            <w:tcBorders>
              <w:top w:val="single" w:color="auto" w:sz="6" w:space="0"/>
              <w:left w:val="single" w:color="auto" w:sz="6" w:space="0"/>
              <w:bottom w:val="single" w:color="auto" w:sz="6" w:space="0"/>
              <w:right w:val="single" w:color="auto" w:sz="6" w:space="0"/>
            </w:tcBorders>
            <w:noWrap w:val="0"/>
            <w:vAlign w:val="center"/>
          </w:tcPr>
          <w:p w14:paraId="6C7A7089">
            <w:pPr>
              <w:spacing w:beforeLine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391BA054">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商务部分（2分）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9FADCD5">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64E33AAC">
            <w:pPr>
              <w:spacing w:before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2AC512CB">
            <w:pPr>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提供自2021年1月1日至今的同类项目业绩。每提供一个同类项目业绩得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65D55725">
            <w:pPr>
              <w:widowControl/>
              <w:spacing w:beforeLines="0"/>
              <w:jc w:val="left"/>
              <w:rPr>
                <w:rFonts w:hint="eastAsia" w:ascii="宋体" w:hAnsi="宋体" w:eastAsia="宋体" w:cs="宋体"/>
                <w:b/>
                <w:bCs/>
                <w:color w:val="auto"/>
                <w:kern w:val="0"/>
                <w:sz w:val="21"/>
                <w:szCs w:val="21"/>
                <w:highlight w:val="none"/>
              </w:rPr>
            </w:pPr>
            <w:r>
              <w:rPr>
                <w:rFonts w:hint="eastAsia" w:ascii="宋体" w:hAnsi="宋体" w:eastAsia="宋体" w:cs="宋体"/>
                <w:sz w:val="21"/>
                <w:szCs w:val="21"/>
                <w:highlight w:val="none"/>
              </w:rPr>
              <w:t>（注：相关证明材料至少须包括首页、含有合同签订日期的页面、含有项目名称的页面、含有项目内容的页面以及签章页，复印件并加盖公章，否则不得分）</w:t>
            </w:r>
          </w:p>
        </w:tc>
      </w:tr>
      <w:tr w14:paraId="4298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2" w:type="dxa"/>
            <w:vMerge w:val="restart"/>
            <w:tcBorders>
              <w:top w:val="single" w:color="auto" w:sz="6" w:space="0"/>
              <w:left w:val="single" w:color="auto" w:sz="6" w:space="0"/>
              <w:right w:val="single" w:color="auto" w:sz="6" w:space="0"/>
            </w:tcBorders>
            <w:noWrap w:val="0"/>
            <w:vAlign w:val="center"/>
          </w:tcPr>
          <w:p w14:paraId="3AAFAB2C">
            <w:pPr>
              <w:spacing w:before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992" w:type="dxa"/>
            <w:vMerge w:val="restart"/>
            <w:tcBorders>
              <w:top w:val="single" w:color="auto" w:sz="6" w:space="0"/>
              <w:left w:val="single" w:color="auto" w:sz="6" w:space="0"/>
              <w:right w:val="single" w:color="auto" w:sz="6" w:space="0"/>
            </w:tcBorders>
            <w:noWrap w:val="0"/>
            <w:vAlign w:val="center"/>
          </w:tcPr>
          <w:p w14:paraId="1A0C6BB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28958007">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B1A745">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分)</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70A837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基础分</w:t>
            </w:r>
          </w:p>
          <w:p w14:paraId="5E69C852">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54B75634">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评委根据投标人的投标文件打分:</w:t>
            </w:r>
          </w:p>
          <w:p w14:paraId="4AEC6B3A">
            <w:pPr>
              <w:spacing w:beforeLine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(1)全部满足招标文件技术要求打</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AAAA6B1">
            <w:pPr>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(2)一般性技术指标每有一项负偏离扣减</w:t>
            </w:r>
            <w:r>
              <w:rPr>
                <w:rFonts w:hint="eastAsia" w:ascii="宋体" w:hAnsi="宋体" w:cs="宋体"/>
                <w:color w:val="auto"/>
                <w:sz w:val="21"/>
                <w:szCs w:val="21"/>
                <w:highlight w:val="none"/>
                <w:lang w:val="en-US" w:eastAsia="zh-CN"/>
              </w:rPr>
              <w:t>1.083</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B381DA2">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Theme="minorEastAsia" w:hAnsiTheme="minorEastAsia" w:eastAsiaTheme="minorEastAsia"/>
                <w:kern w:val="2"/>
                <w:szCs w:val="24"/>
                <w:highlight w:val="none"/>
              </w:rPr>
              <w:t>▲</w:t>
            </w:r>
            <w:r>
              <w:rPr>
                <w:rFonts w:hint="eastAsia" w:ascii="宋体" w:hAnsi="宋体" w:eastAsia="宋体" w:cs="宋体"/>
                <w:color w:val="auto"/>
                <w:sz w:val="21"/>
                <w:szCs w:val="21"/>
                <w:highlight w:val="none"/>
              </w:rPr>
              <w:t>项条款每有一项负偏离扣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分，扣分最高不超过</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D526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1855DE38">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180E390">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623B7FA8">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供货实施计划、供货流程及质量保障措施(10分)</w:t>
            </w:r>
          </w:p>
        </w:tc>
        <w:tc>
          <w:tcPr>
            <w:tcW w:w="6450" w:type="dxa"/>
            <w:tcBorders>
              <w:top w:val="single" w:color="auto" w:sz="6" w:space="0"/>
              <w:left w:val="single" w:color="auto" w:sz="6" w:space="0"/>
              <w:right w:val="single" w:color="auto" w:sz="6" w:space="0"/>
            </w:tcBorders>
            <w:noWrap w:val="0"/>
            <w:vAlign w:val="center"/>
          </w:tcPr>
          <w:p w14:paraId="0632E33B">
            <w:pPr>
              <w:widowControl/>
              <w:spacing w:beforeLine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根据招标要求和投标技术响应情况，对供应商提供的供货方案进行评价,其中：</w:t>
            </w:r>
            <w:r>
              <w:rPr>
                <w:rFonts w:hint="eastAsia" w:ascii="宋体" w:hAnsi="宋体" w:eastAsia="宋体" w:cs="宋体"/>
                <w:b/>
                <w:bCs/>
                <w:color w:val="auto"/>
                <w:sz w:val="21"/>
                <w:szCs w:val="21"/>
                <w:highlight w:val="none"/>
                <w:u w:val="none"/>
                <w:lang w:val="en-US" w:eastAsia="zh-CN"/>
              </w:rPr>
              <w:t>①整体供货实施计划②供货流程③送货过程时间节点④质量保障措施⑤配合甲方验收方案</w:t>
            </w:r>
            <w:r>
              <w:rPr>
                <w:rFonts w:hint="eastAsia" w:ascii="宋体" w:hAnsi="宋体" w:eastAsia="宋体" w:cs="宋体"/>
                <w:color w:val="auto"/>
                <w:sz w:val="21"/>
                <w:szCs w:val="21"/>
                <w:highlight w:val="none"/>
                <w:u w:val="none"/>
                <w:lang w:val="en-US" w:eastAsia="zh-CN"/>
              </w:rPr>
              <w:t>，进行评价：</w:t>
            </w:r>
          </w:p>
          <w:p w14:paraId="1CC8F76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上述五项内容均进行了阐述且满足采购需求的得10分；</w:t>
            </w:r>
          </w:p>
          <w:p w14:paraId="169CE97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054662C0">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1207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52" w:type="dxa"/>
            <w:vMerge w:val="continue"/>
            <w:tcBorders>
              <w:left w:val="single" w:color="auto" w:sz="6" w:space="0"/>
              <w:right w:val="single" w:color="auto" w:sz="6" w:space="0"/>
            </w:tcBorders>
            <w:noWrap w:val="0"/>
            <w:vAlign w:val="center"/>
          </w:tcPr>
          <w:p w14:paraId="0273CF59">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02696597">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right w:val="single" w:color="auto" w:sz="6" w:space="0"/>
            </w:tcBorders>
            <w:noWrap w:val="0"/>
            <w:vAlign w:val="center"/>
          </w:tcPr>
          <w:p w14:paraId="37BA1856">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技术支持及培训服务方案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right w:val="single" w:color="auto" w:sz="6" w:space="0"/>
            </w:tcBorders>
            <w:noWrap w:val="0"/>
            <w:vAlign w:val="center"/>
          </w:tcPr>
          <w:p w14:paraId="7C7DD74E">
            <w:pPr>
              <w:numPr>
                <w:ilvl w:val="0"/>
                <w:numId w:val="0"/>
              </w:num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针对第五章采购需求提供技术支持及培训服务方案，内容包括：</w:t>
            </w:r>
            <w:r>
              <w:rPr>
                <w:rFonts w:hint="eastAsia" w:ascii="宋体" w:hAnsi="宋体" w:eastAsia="宋体" w:cs="宋体"/>
                <w:b/>
                <w:bCs/>
                <w:color w:val="auto"/>
                <w:sz w:val="21"/>
                <w:szCs w:val="21"/>
                <w:highlight w:val="none"/>
                <w:u w:val="none"/>
                <w:lang w:val="en-US" w:eastAsia="zh-CN"/>
              </w:rPr>
              <w:t>①技术支持服务范围②技术支持服务方式③培训人员及地点④培训计划时间⑤培训内容及方式</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进行评价：</w:t>
            </w:r>
          </w:p>
          <w:p w14:paraId="76A1BF1D">
            <w:pPr>
              <w:numPr>
                <w:ilvl w:val="0"/>
                <w:numId w:val="0"/>
              </w:numPr>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上述</w:t>
            </w:r>
            <w:r>
              <w:rPr>
                <w:rFonts w:hint="eastAsia" w:ascii="宋体" w:hAnsi="宋体" w:cs="宋体"/>
                <w:color w:val="auto"/>
                <w:sz w:val="21"/>
                <w:szCs w:val="21"/>
                <w:highlight w:val="none"/>
                <w:u w:val="none"/>
                <w:lang w:val="en-US" w:eastAsia="zh-CN"/>
              </w:rPr>
              <w:t>五</w:t>
            </w:r>
            <w:r>
              <w:rPr>
                <w:rFonts w:hint="eastAsia" w:ascii="宋体" w:hAnsi="宋体" w:eastAsia="宋体" w:cs="宋体"/>
                <w:color w:val="auto"/>
                <w:sz w:val="21"/>
                <w:szCs w:val="21"/>
                <w:highlight w:val="none"/>
                <w:u w:val="none"/>
                <w:lang w:val="en-US" w:eastAsia="zh-CN"/>
              </w:rPr>
              <w:t>项内容均进行了阐述且满足采购需求的得10分；</w:t>
            </w:r>
          </w:p>
          <w:p w14:paraId="75C22220">
            <w:pPr>
              <w:widowControl/>
              <w:spacing w:beforeLine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每有一项内容虽阐述但未贴合项目实际情况进行论述，或内容中未包括具体实施细节及措施，扣1分；</w:t>
            </w:r>
          </w:p>
          <w:p w14:paraId="3A3C7C4A">
            <w:pPr>
              <w:widowControl/>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每有一项内容未阐述或不符合项目实际情况且未提供具体实施细节及措施，扣2分，最低得0分。</w:t>
            </w:r>
          </w:p>
        </w:tc>
      </w:tr>
      <w:tr w14:paraId="33895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70C37CCD">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70062098">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149EDC0">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w:t>
            </w:r>
          </w:p>
          <w:p w14:paraId="3D98F09F">
            <w:pPr>
              <w:spacing w:before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EF3054">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根据招标要求和投标技术响应情况，对供应商提供的售后及培训服务方案进行评价，其中：</w:t>
            </w:r>
            <w:r>
              <w:rPr>
                <w:rFonts w:hint="eastAsia" w:ascii="宋体" w:hAnsi="宋体" w:eastAsia="宋体" w:cs="宋体"/>
                <w:b/>
                <w:bCs/>
                <w:color w:val="auto"/>
                <w:kern w:val="0"/>
                <w:sz w:val="21"/>
                <w:szCs w:val="21"/>
                <w:highlight w:val="none"/>
                <w:lang w:eastAsia="zh-CN"/>
              </w:rPr>
              <w:t>①售后服务范围②售后服务流程③售后网点的分部情况④售后服务应急保障方案⑤所有设备保养方案⑥售后服务响应时间</w:t>
            </w:r>
            <w:r>
              <w:rPr>
                <w:rFonts w:hint="eastAsia" w:ascii="宋体" w:hAnsi="宋体" w:eastAsia="宋体" w:cs="宋体"/>
                <w:color w:val="auto"/>
                <w:kern w:val="0"/>
                <w:sz w:val="21"/>
                <w:szCs w:val="21"/>
                <w:highlight w:val="none"/>
                <w:lang w:eastAsia="zh-CN"/>
              </w:rPr>
              <w:t>，进行评价：</w:t>
            </w:r>
          </w:p>
          <w:p w14:paraId="1A331B41">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上述</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项内容均进行了阐述且满足采购需求得</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分；</w:t>
            </w:r>
          </w:p>
          <w:p w14:paraId="21F61EA7">
            <w:pPr>
              <w:keepNext w:val="0"/>
              <w:keepLines w:val="0"/>
              <w:pageBreakBefore w:val="0"/>
              <w:widowControl/>
              <w:kinsoku/>
              <w:wordWrap/>
              <w:overflowPunct/>
              <w:topLinePunct w:val="0"/>
              <w:autoSpaceDE/>
              <w:autoSpaceDN/>
              <w:bidi w:val="0"/>
              <w:adjustRightInd/>
              <w:snapToGrid/>
              <w:spacing w:before="0" w:beforeLines="0" w:line="240" w:lineRule="auto"/>
              <w:ind w:left="0" w:leftChars="0" w:right="0" w:rightChars="0" w:firstLine="0" w:firstLineChars="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每有1项内容虽阐述但未贴合项目实际情况进行论述，或内容中未包括具体实施细节及措施，</w:t>
            </w:r>
            <w:r>
              <w:rPr>
                <w:rFonts w:hint="eastAsia" w:ascii="宋体" w:hAnsi="宋体" w:eastAsia="宋体" w:cs="宋体"/>
                <w:color w:val="auto"/>
                <w:kern w:val="0"/>
                <w:sz w:val="21"/>
                <w:szCs w:val="21"/>
                <w:highlight w:val="none"/>
                <w:lang w:val="en-US" w:eastAsia="zh-CN"/>
              </w:rPr>
              <w:t>扣1</w:t>
            </w:r>
            <w:r>
              <w:rPr>
                <w:rFonts w:hint="eastAsia" w:ascii="宋体" w:hAnsi="宋体" w:eastAsia="宋体" w:cs="宋体"/>
                <w:color w:val="auto"/>
                <w:kern w:val="0"/>
                <w:sz w:val="21"/>
                <w:szCs w:val="21"/>
                <w:highlight w:val="none"/>
                <w:lang w:eastAsia="zh-CN"/>
              </w:rPr>
              <w:t>分；</w:t>
            </w:r>
          </w:p>
          <w:p w14:paraId="2FA7290B">
            <w:pPr>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每有1项内容</w:t>
            </w:r>
            <w:r>
              <w:rPr>
                <w:rFonts w:hint="eastAsia" w:ascii="宋体" w:hAnsi="宋体" w:eastAsia="宋体" w:cs="宋体"/>
                <w:color w:val="auto"/>
                <w:kern w:val="0"/>
                <w:sz w:val="21"/>
                <w:szCs w:val="21"/>
                <w:highlight w:val="none"/>
                <w:lang w:val="en-US" w:eastAsia="zh-CN"/>
              </w:rPr>
              <w:t>未</w:t>
            </w:r>
            <w:r>
              <w:rPr>
                <w:rFonts w:hint="eastAsia" w:ascii="宋体" w:hAnsi="宋体" w:eastAsia="宋体" w:cs="宋体"/>
                <w:color w:val="auto"/>
                <w:kern w:val="0"/>
                <w:sz w:val="21"/>
                <w:szCs w:val="21"/>
                <w:highlight w:val="none"/>
                <w:lang w:eastAsia="zh-CN"/>
              </w:rPr>
              <w:t>阐述</w:t>
            </w:r>
            <w:r>
              <w:rPr>
                <w:rFonts w:hint="eastAsia" w:ascii="宋体" w:hAnsi="宋体" w:eastAsia="宋体" w:cs="宋体"/>
                <w:color w:val="auto"/>
                <w:kern w:val="0"/>
                <w:sz w:val="21"/>
                <w:szCs w:val="21"/>
                <w:highlight w:val="none"/>
                <w:lang w:val="en-US" w:eastAsia="zh-CN"/>
              </w:rPr>
              <w:t>或不符合</w:t>
            </w:r>
            <w:r>
              <w:rPr>
                <w:rFonts w:hint="eastAsia" w:ascii="宋体" w:hAnsi="宋体" w:eastAsia="宋体" w:cs="宋体"/>
                <w:color w:val="auto"/>
                <w:kern w:val="0"/>
                <w:sz w:val="21"/>
                <w:szCs w:val="21"/>
                <w:highlight w:val="none"/>
                <w:lang w:eastAsia="zh-CN"/>
              </w:rPr>
              <w:t>项目实际情况</w:t>
            </w:r>
            <w:r>
              <w:rPr>
                <w:rFonts w:hint="eastAsia" w:ascii="宋体" w:hAnsi="宋体" w:eastAsia="宋体" w:cs="宋体"/>
                <w:color w:val="auto"/>
                <w:kern w:val="0"/>
                <w:sz w:val="21"/>
                <w:szCs w:val="21"/>
                <w:highlight w:val="none"/>
                <w:lang w:val="en-US" w:eastAsia="zh-CN"/>
              </w:rPr>
              <w:t>且未提供具体实施细节及措施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扣2</w:t>
            </w:r>
            <w:r>
              <w:rPr>
                <w:rFonts w:hint="eastAsia" w:ascii="宋体" w:hAnsi="宋体" w:eastAsia="宋体" w:cs="宋体"/>
                <w:color w:val="auto"/>
                <w:kern w:val="0"/>
                <w:sz w:val="21"/>
                <w:szCs w:val="21"/>
                <w:highlight w:val="none"/>
                <w:lang w:eastAsia="zh-CN"/>
              </w:rPr>
              <w:t>分，</w:t>
            </w:r>
            <w:r>
              <w:rPr>
                <w:rFonts w:hint="eastAsia" w:ascii="宋体" w:hAnsi="宋体" w:eastAsia="宋体" w:cs="宋体"/>
                <w:color w:val="auto"/>
                <w:kern w:val="0"/>
                <w:sz w:val="21"/>
                <w:szCs w:val="21"/>
                <w:highlight w:val="none"/>
                <w:lang w:val="en-US" w:eastAsia="zh-CN"/>
              </w:rPr>
              <w:t>最低得0分。</w:t>
            </w:r>
          </w:p>
        </w:tc>
      </w:tr>
      <w:tr w14:paraId="6C55C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5CD25805">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3AEB26C4">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75413F8">
            <w:pPr>
              <w:pStyle w:val="254"/>
              <w:rPr>
                <w:rFonts w:hint="eastAsia" w:ascii="宋体" w:hAnsi="宋体" w:eastAsia="宋体" w:cs="宋体"/>
                <w:color w:val="auto"/>
                <w:sz w:val="21"/>
                <w:szCs w:val="21"/>
                <w:highlight w:val="none"/>
              </w:rPr>
            </w:pPr>
            <w:r>
              <w:rPr>
                <w:rFonts w:hint="eastAsia" w:ascii="宋体" w:hAnsi="宋体" w:eastAsia="宋体" w:cs="宋体"/>
                <w:spacing w:val="-5"/>
                <w:sz w:val="21"/>
                <w:szCs w:val="21"/>
                <w:highlight w:val="none"/>
                <w:lang w:eastAsia="zh-CN"/>
              </w:rPr>
              <w:t>备品备件（</w:t>
            </w:r>
            <w:r>
              <w:rPr>
                <w:rFonts w:hint="eastAsia" w:ascii="宋体" w:hAnsi="宋体" w:eastAsia="宋体" w:cs="宋体"/>
                <w:spacing w:val="-5"/>
                <w:sz w:val="21"/>
                <w:szCs w:val="21"/>
                <w:highlight w:val="none"/>
                <w:lang w:val="en-US" w:eastAsia="zh-CN"/>
              </w:rPr>
              <w:t>5分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bottom w:val="single" w:color="auto" w:sz="6" w:space="0"/>
              <w:right w:val="single" w:color="auto" w:sz="6" w:space="0"/>
            </w:tcBorders>
            <w:noWrap w:val="0"/>
            <w:vAlign w:val="center"/>
          </w:tcPr>
          <w:p w14:paraId="44757289">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投标人全面响应招标人需求,对于本项目备品备件</w:t>
            </w:r>
            <w:r>
              <w:rPr>
                <w:rFonts w:hint="eastAsia" w:ascii="宋体" w:hAnsi="宋体" w:eastAsia="宋体" w:cs="宋体"/>
                <w:b/>
                <w:bCs/>
                <w:sz w:val="21"/>
                <w:szCs w:val="21"/>
                <w:highlight w:val="none"/>
              </w:rPr>
              <w:t>供应有详细、可靠的保障方案</w:t>
            </w:r>
            <w:r>
              <w:rPr>
                <w:rFonts w:hint="eastAsia" w:ascii="宋体" w:hAnsi="宋体" w:eastAsia="宋体" w:cs="宋体"/>
                <w:sz w:val="21"/>
                <w:szCs w:val="21"/>
                <w:highlight w:val="none"/>
              </w:rPr>
              <w:t>，对</w:t>
            </w:r>
            <w:r>
              <w:rPr>
                <w:rFonts w:hint="eastAsia" w:ascii="宋体" w:hAnsi="宋体" w:eastAsia="宋体" w:cs="宋体"/>
                <w:b/>
                <w:bCs/>
                <w:sz w:val="21"/>
                <w:szCs w:val="21"/>
                <w:highlight w:val="none"/>
              </w:rPr>
              <w:t>备件升级、停产</w:t>
            </w:r>
            <w:r>
              <w:rPr>
                <w:rFonts w:hint="eastAsia" w:ascii="宋体" w:hAnsi="宋体" w:eastAsia="宋体" w:cs="宋体"/>
                <w:sz w:val="21"/>
                <w:szCs w:val="21"/>
                <w:highlight w:val="none"/>
              </w:rPr>
              <w:t>有具体完善的保障措施。</w:t>
            </w:r>
          </w:p>
          <w:p w14:paraId="7AE698B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保障方案、措施完善且合理，得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0D2D39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保障方案、措施较为完善，得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EAD2471">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保障方案、措施一般，得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5622F23F">
            <w:pPr>
              <w:pStyle w:val="254"/>
              <w:jc w:val="left"/>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highlight w:val="none"/>
              </w:rPr>
              <w:t>其余情况不得分。</w:t>
            </w:r>
          </w:p>
        </w:tc>
      </w:tr>
      <w:tr w14:paraId="2B6A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52" w:type="dxa"/>
            <w:vMerge w:val="continue"/>
            <w:tcBorders>
              <w:left w:val="single" w:color="auto" w:sz="6" w:space="0"/>
              <w:right w:val="single" w:color="auto" w:sz="6" w:space="0"/>
            </w:tcBorders>
            <w:noWrap w:val="0"/>
            <w:vAlign w:val="center"/>
          </w:tcPr>
          <w:p w14:paraId="4590A16C">
            <w:pPr>
              <w:spacing w:beforeLines="0"/>
              <w:jc w:val="center"/>
              <w:rPr>
                <w:rFonts w:hint="eastAsia" w:ascii="宋体" w:hAnsi="宋体" w:eastAsia="宋体" w:cs="宋体"/>
                <w:b/>
                <w:color w:val="auto"/>
                <w:sz w:val="21"/>
                <w:szCs w:val="21"/>
                <w:highlight w:val="none"/>
              </w:rPr>
            </w:pPr>
          </w:p>
        </w:tc>
        <w:tc>
          <w:tcPr>
            <w:tcW w:w="992" w:type="dxa"/>
            <w:vMerge w:val="continue"/>
            <w:tcBorders>
              <w:left w:val="single" w:color="auto" w:sz="6" w:space="0"/>
              <w:right w:val="single" w:color="auto" w:sz="6" w:space="0"/>
            </w:tcBorders>
            <w:noWrap w:val="0"/>
            <w:vAlign w:val="center"/>
          </w:tcPr>
          <w:p w14:paraId="51B67755">
            <w:pPr>
              <w:spacing w:beforeLines="0"/>
              <w:jc w:val="center"/>
              <w:rPr>
                <w:rFonts w:hint="eastAsia" w:ascii="宋体" w:hAnsi="宋体" w:eastAsia="宋体" w:cs="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356946">
            <w:pPr>
              <w:pStyle w:val="254"/>
              <w:rPr>
                <w:rFonts w:hint="eastAsia" w:ascii="宋体" w:hAnsi="宋体" w:eastAsia="宋体" w:cs="宋体"/>
                <w:spacing w:val="-5"/>
                <w:sz w:val="21"/>
                <w:szCs w:val="21"/>
                <w:highlight w:val="none"/>
                <w:lang w:val="en-US" w:eastAsia="zh-CN"/>
              </w:rPr>
            </w:pPr>
            <w:r>
              <w:rPr>
                <w:rFonts w:hint="eastAsia" w:ascii="宋体" w:hAnsi="宋体" w:eastAsia="宋体" w:cs="宋体"/>
                <w:spacing w:val="-5"/>
                <w:sz w:val="21"/>
                <w:szCs w:val="21"/>
                <w:highlight w:val="none"/>
                <w:lang w:eastAsia="zh-CN"/>
              </w:rPr>
              <w:t>零配件清单（</w:t>
            </w:r>
            <w:r>
              <w:rPr>
                <w:rFonts w:hint="eastAsia" w:ascii="宋体" w:hAnsi="宋体" w:eastAsia="宋体" w:cs="宋体"/>
                <w:spacing w:val="-5"/>
                <w:sz w:val="21"/>
                <w:szCs w:val="21"/>
                <w:highlight w:val="none"/>
                <w:lang w:val="en-US" w:eastAsia="zh-CN"/>
              </w:rPr>
              <w:t>3分</w:t>
            </w:r>
            <w:r>
              <w:rPr>
                <w:rFonts w:hint="eastAsia" w:ascii="宋体" w:hAnsi="宋体" w:eastAsia="宋体" w:cs="宋体"/>
                <w:spacing w:val="-5"/>
                <w:sz w:val="21"/>
                <w:szCs w:val="21"/>
                <w:highlight w:val="none"/>
                <w:lang w:eastAsia="zh-CN"/>
              </w:rPr>
              <w:t>）</w:t>
            </w:r>
          </w:p>
        </w:tc>
        <w:tc>
          <w:tcPr>
            <w:tcW w:w="6450" w:type="dxa"/>
            <w:tcBorders>
              <w:top w:val="single" w:color="auto" w:sz="6" w:space="0"/>
              <w:left w:val="single" w:color="auto" w:sz="6" w:space="0"/>
              <w:right w:val="single" w:color="auto" w:sz="6" w:space="0"/>
            </w:tcBorders>
            <w:noWrap w:val="0"/>
            <w:vAlign w:val="center"/>
          </w:tcPr>
          <w:p w14:paraId="5F8EDB9E">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（1）提供质保期结束后延保服务收费标准；</w:t>
            </w:r>
          </w:p>
          <w:p w14:paraId="78574DF1">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（2）原厂维修配件明细表及报价单；</w:t>
            </w:r>
          </w:p>
          <w:p w14:paraId="1B39D0CC">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（3）承诺保证设备停产后配件的供应期不少于10年。</w:t>
            </w:r>
          </w:p>
          <w:p w14:paraId="270B93C3">
            <w:pPr>
              <w:pStyle w:val="254"/>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全部满足得 </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分，每有一项不满足扣1分，扣完为止。</w:t>
            </w:r>
          </w:p>
        </w:tc>
      </w:tr>
    </w:tbl>
    <w:p w14:paraId="2DAA81A0">
      <w:pPr>
        <w:tabs>
          <w:tab w:val="left" w:pos="360"/>
          <w:tab w:val="left" w:pos="1080"/>
        </w:tabs>
        <w:snapToGrid w:val="0"/>
        <w:spacing w:line="360" w:lineRule="auto"/>
        <w:ind w:left="1080"/>
        <w:rPr>
          <w:color w:val="000000"/>
          <w:spacing w:val="0"/>
          <w:kern w:val="0"/>
          <w:position w:val="0"/>
          <w:sz w:val="24"/>
        </w:rPr>
      </w:pPr>
    </w:p>
    <w:p w14:paraId="3208E1AC">
      <w:pPr>
        <w:widowControl/>
        <w:jc w:val="left"/>
        <w:rPr>
          <w:b/>
          <w:spacing w:val="0"/>
          <w:kern w:val="0"/>
          <w:position w:val="0"/>
          <w:sz w:val="36"/>
          <w:szCs w:val="36"/>
        </w:rPr>
      </w:pPr>
    </w:p>
    <w:p w14:paraId="56A745EE">
      <w:pPr>
        <w:spacing w:line="360" w:lineRule="auto"/>
        <w:jc w:val="center"/>
        <w:outlineLvl w:val="0"/>
        <w:rPr>
          <w:b/>
          <w:spacing w:val="0"/>
          <w:kern w:val="0"/>
          <w:position w:val="0"/>
          <w:sz w:val="36"/>
          <w:szCs w:val="36"/>
        </w:rPr>
      </w:pPr>
      <w:r>
        <w:rPr>
          <w:b/>
          <w:spacing w:val="0"/>
          <w:kern w:val="0"/>
          <w:position w:val="0"/>
          <w:sz w:val="36"/>
          <w:szCs w:val="36"/>
        </w:rPr>
        <w:br w:type="page"/>
      </w:r>
      <w:bookmarkStart w:id="821" w:name="_Toc99301424"/>
      <w:r>
        <w:rPr>
          <w:b/>
          <w:spacing w:val="0"/>
          <w:kern w:val="0"/>
          <w:position w:val="0"/>
          <w:sz w:val="36"/>
          <w:szCs w:val="36"/>
          <w:highlight w:val="none"/>
        </w:rPr>
        <w:t>第五章   采购需求</w:t>
      </w:r>
      <w:bookmarkEnd w:id="821"/>
    </w:p>
    <w:p w14:paraId="7112407A">
      <w:pPr>
        <w:pStyle w:val="160"/>
        <w:keepNext w:val="0"/>
        <w:keepLines w:val="0"/>
        <w:pageBreakBefore w:val="0"/>
        <w:kinsoku/>
        <w:wordWrap/>
        <w:overflowPunct/>
        <w:topLinePunct w:val="0"/>
        <w:bidi w:val="0"/>
        <w:adjustRightInd/>
        <w:snapToGrid/>
        <w:spacing w:line="360" w:lineRule="auto"/>
        <w:ind w:firstLine="0" w:firstLineChars="0"/>
        <w:jc w:val="left"/>
        <w:textAlignment w:val="auto"/>
        <w:outlineLvl w:val="1"/>
        <w:rPr>
          <w:rFonts w:hint="eastAsia" w:ascii="宋体" w:hAnsi="宋体" w:eastAsia="宋体"/>
          <w:b/>
          <w:bCs/>
          <w:color w:val="auto"/>
          <w:sz w:val="24"/>
          <w:szCs w:val="24"/>
          <w:highlight w:val="none"/>
          <w:lang w:eastAsia="zh-CN"/>
        </w:rPr>
      </w:pPr>
      <w:bookmarkStart w:id="822" w:name="_Toc8649"/>
      <w:r>
        <w:rPr>
          <w:rFonts w:hint="eastAsia" w:ascii="宋体" w:hAnsi="宋体" w:eastAsia="宋体"/>
          <w:b/>
          <w:bCs/>
          <w:color w:val="auto"/>
          <w:kern w:val="44"/>
          <w:sz w:val="24"/>
          <w:szCs w:val="24"/>
          <w:highlight w:val="none"/>
        </w:rPr>
        <w:t>一、采购</w:t>
      </w:r>
      <w:r>
        <w:rPr>
          <w:rFonts w:hint="eastAsia" w:ascii="宋体" w:hAnsi="宋体" w:eastAsia="宋体"/>
          <w:b/>
          <w:bCs/>
          <w:color w:val="auto"/>
          <w:kern w:val="44"/>
          <w:sz w:val="24"/>
          <w:szCs w:val="24"/>
          <w:highlight w:val="none"/>
          <w:lang w:val="en-US" w:eastAsia="zh-CN"/>
        </w:rPr>
        <w:t>内容</w:t>
      </w:r>
      <w:bookmarkEnd w:id="822"/>
    </w:p>
    <w:tbl>
      <w:tblPr>
        <w:tblStyle w:val="44"/>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45"/>
        <w:gridCol w:w="1040"/>
        <w:gridCol w:w="969"/>
        <w:gridCol w:w="1720"/>
        <w:gridCol w:w="1231"/>
      </w:tblGrid>
      <w:tr w14:paraId="2737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303E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包号</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1288B27B">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62E02713">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75BA4658">
            <w:pPr>
              <w:keepNext w:val="0"/>
              <w:keepLines w:val="0"/>
              <w:pageBreakBefore w:val="0"/>
              <w:widowControl/>
              <w:kinsoku/>
              <w:wordWrap/>
              <w:overflowPunct/>
              <w:topLinePunct w:val="0"/>
              <w:bidi w:val="0"/>
              <w:adjustRightInd/>
              <w:snapToGrid/>
              <w:spacing w:line="240" w:lineRule="auto"/>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5E2C81AF">
            <w:pPr>
              <w:keepNext w:val="0"/>
              <w:keepLines w:val="0"/>
              <w:pageBreakBefore w:val="0"/>
              <w:widowControl/>
              <w:kinsoku/>
              <w:wordWrap/>
              <w:overflowPunct/>
              <w:topLinePunct w:val="0"/>
              <w:bidi w:val="0"/>
              <w:adjustRightInd/>
              <w:snapToGrid/>
              <w:spacing w:line="240" w:lineRule="auto"/>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单台最高</w:t>
            </w:r>
            <w:r>
              <w:rPr>
                <w:rFonts w:hint="eastAsia" w:ascii="宋体" w:hAnsi="宋体" w:eastAsia="宋体" w:cs="宋体"/>
                <w:b/>
                <w:bCs/>
                <w:color w:val="auto"/>
                <w:kern w:val="0"/>
                <w:sz w:val="24"/>
                <w:szCs w:val="24"/>
                <w:highlight w:val="none"/>
                <w:lang w:val="en-US" w:eastAsia="zh-CN"/>
              </w:rPr>
              <w:t>限额（万元）</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1D6AA1CC">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是否接受进口产品</w:t>
            </w:r>
          </w:p>
        </w:tc>
      </w:tr>
      <w:tr w14:paraId="327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05DED">
            <w:pPr>
              <w:keepNext w:val="0"/>
              <w:keepLines w:val="0"/>
              <w:pageBreakBefore w:val="0"/>
              <w:widowControl/>
              <w:kinsoku/>
              <w:wordWrap/>
              <w:overflowPunct/>
              <w:topLinePunct w:val="0"/>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01</w:t>
            </w:r>
          </w:p>
        </w:tc>
        <w:tc>
          <w:tcPr>
            <w:tcW w:w="3145" w:type="dxa"/>
            <w:tcBorders>
              <w:top w:val="single" w:color="auto" w:sz="4" w:space="0"/>
              <w:left w:val="nil"/>
              <w:bottom w:val="single" w:color="auto" w:sz="4" w:space="0"/>
              <w:right w:val="single" w:color="auto" w:sz="4" w:space="0"/>
            </w:tcBorders>
            <w:shd w:val="clear" w:color="auto" w:fill="FFFFFF"/>
            <w:noWrap w:val="0"/>
            <w:vAlign w:val="center"/>
          </w:tcPr>
          <w:p w14:paraId="38B58D6B">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全自动化学发光分析仪</w:t>
            </w:r>
          </w:p>
        </w:tc>
        <w:tc>
          <w:tcPr>
            <w:tcW w:w="1040" w:type="dxa"/>
            <w:tcBorders>
              <w:top w:val="single" w:color="auto" w:sz="4" w:space="0"/>
              <w:left w:val="nil"/>
              <w:bottom w:val="single" w:color="auto" w:sz="4" w:space="0"/>
              <w:right w:val="single" w:color="auto" w:sz="4" w:space="0"/>
            </w:tcBorders>
            <w:shd w:val="clear" w:color="auto" w:fill="FFFFFF"/>
            <w:noWrap w:val="0"/>
            <w:vAlign w:val="center"/>
          </w:tcPr>
          <w:p w14:paraId="29C1885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969" w:type="dxa"/>
            <w:tcBorders>
              <w:top w:val="single" w:color="auto" w:sz="4" w:space="0"/>
              <w:left w:val="nil"/>
              <w:bottom w:val="single" w:color="auto" w:sz="4" w:space="0"/>
              <w:right w:val="single" w:color="auto" w:sz="4" w:space="0"/>
            </w:tcBorders>
            <w:shd w:val="clear" w:color="auto" w:fill="FFFFFF"/>
            <w:noWrap w:val="0"/>
            <w:vAlign w:val="center"/>
          </w:tcPr>
          <w:p w14:paraId="17A74A13">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720" w:type="dxa"/>
            <w:tcBorders>
              <w:top w:val="single" w:color="auto" w:sz="4" w:space="0"/>
              <w:left w:val="nil"/>
              <w:bottom w:val="single" w:color="auto" w:sz="4" w:space="0"/>
              <w:right w:val="single" w:color="auto" w:sz="4" w:space="0"/>
            </w:tcBorders>
            <w:shd w:val="clear" w:color="auto" w:fill="FFFFFF"/>
            <w:noWrap w:val="0"/>
            <w:vAlign w:val="center"/>
          </w:tcPr>
          <w:p w14:paraId="314561C8">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25</w:t>
            </w:r>
          </w:p>
        </w:tc>
        <w:tc>
          <w:tcPr>
            <w:tcW w:w="1231" w:type="dxa"/>
            <w:tcBorders>
              <w:top w:val="single" w:color="auto" w:sz="4" w:space="0"/>
              <w:left w:val="nil"/>
              <w:bottom w:val="single" w:color="auto" w:sz="4" w:space="0"/>
              <w:right w:val="single" w:color="auto" w:sz="4" w:space="0"/>
            </w:tcBorders>
            <w:shd w:val="clear" w:color="auto" w:fill="FFFFFF"/>
            <w:noWrap w:val="0"/>
            <w:vAlign w:val="center"/>
          </w:tcPr>
          <w:p w14:paraId="27EA90C0">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否</w:t>
            </w:r>
          </w:p>
        </w:tc>
      </w:tr>
    </w:tbl>
    <w:p w14:paraId="1AA11806">
      <w:pPr>
        <w:pStyle w:val="17"/>
        <w:keepNext w:val="0"/>
        <w:keepLines w:val="0"/>
        <w:pageBreakBefore w:val="0"/>
        <w:widowControl/>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z w:val="24"/>
          <w:szCs w:val="24"/>
          <w:highlight w:val="none"/>
        </w:rPr>
        <w:t>注：投标金额包含购置税，若投标金额超出预算，报价无效。</w:t>
      </w:r>
    </w:p>
    <w:p w14:paraId="5C3A82D1">
      <w:pPr>
        <w:pStyle w:val="42"/>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0" w:firstLineChars="0"/>
        <w:textAlignment w:val="baseline"/>
        <w:outlineLvl w:val="1"/>
        <w:rPr>
          <w:rFonts w:hint="eastAsia" w:ascii="宋体" w:hAnsi="宋体" w:cs="宋体"/>
          <w:b/>
          <w:bCs/>
          <w:color w:val="auto"/>
          <w:spacing w:val="0"/>
          <w:w w:val="100"/>
          <w:position w:val="0"/>
          <w:sz w:val="24"/>
          <w:szCs w:val="24"/>
          <w:highlight w:val="none"/>
          <w:lang w:val="en-US" w:eastAsia="zh-CN"/>
        </w:rPr>
      </w:pPr>
      <w:bookmarkStart w:id="823" w:name="_Toc30809"/>
      <w:r>
        <w:rPr>
          <w:rFonts w:hint="eastAsia" w:ascii="宋体" w:hAnsi="宋体" w:cs="宋体"/>
          <w:b/>
          <w:bCs/>
          <w:color w:val="auto"/>
          <w:spacing w:val="0"/>
          <w:w w:val="100"/>
          <w:position w:val="0"/>
          <w:sz w:val="24"/>
          <w:szCs w:val="24"/>
          <w:highlight w:val="none"/>
          <w:lang w:val="en-US" w:eastAsia="zh-CN"/>
        </w:rPr>
        <w:t>二、技术要求</w:t>
      </w:r>
      <w:bookmarkEnd w:id="823"/>
    </w:p>
    <w:p w14:paraId="4009E02E">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highlight w:val="none"/>
        </w:rPr>
      </w:pPr>
      <w:r>
        <w:rPr>
          <w:rFonts w:hint="eastAsia" w:asciiTheme="minorEastAsia" w:hAnsiTheme="minorEastAsia" w:eastAsiaTheme="minorEastAsia"/>
          <w:kern w:val="2"/>
          <w:szCs w:val="24"/>
          <w:highlight w:val="none"/>
        </w:rPr>
        <w:t>1、测定方法：酶促发光免疫测定或电化学化学发光免疫测定（CLIA）</w:t>
      </w:r>
    </w:p>
    <w:p w14:paraId="5A8116B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highlight w:val="none"/>
        </w:rPr>
        <w:t>▲2、单机测</w:t>
      </w:r>
      <w:r>
        <w:rPr>
          <w:rFonts w:hint="eastAsia" w:asciiTheme="minorEastAsia" w:hAnsiTheme="minorEastAsia" w:eastAsiaTheme="minorEastAsia"/>
          <w:kern w:val="2"/>
          <w:szCs w:val="24"/>
        </w:rPr>
        <w:t>试速度：≥600T/H。</w:t>
      </w:r>
    </w:p>
    <w:p w14:paraId="740E0AF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3、进样：</w:t>
      </w:r>
    </w:p>
    <w:p w14:paraId="3FD4C914">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3.1、 轨道式进样。具备急诊样本优先通道。</w:t>
      </w:r>
    </w:p>
    <w:p w14:paraId="1ACB2389">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3.2、可通过提篮或托盘批量装载样本≥140个，可持续追加。</w:t>
      </w:r>
    </w:p>
    <w:p w14:paraId="5A2A9FED">
      <w:pPr>
        <w:pStyle w:val="38"/>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3.3、具备样本稀释功能功能，可自定义倍数和固定倍数自动稀释，最大稀释倍数≥2500倍。</w:t>
      </w:r>
    </w:p>
    <w:p w14:paraId="257590DD">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4、加样针：</w:t>
      </w:r>
    </w:p>
    <w:p w14:paraId="1567B4FA">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4.1、特氟龙涂层加样钢针，具备吸液检测、空吸检测、防撞、凝块检测功能。</w:t>
      </w:r>
    </w:p>
    <w:p w14:paraId="29BBE8CD">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4.2、携带污染率：≤5×10</w:t>
      </w:r>
      <w:r>
        <w:rPr>
          <w:rFonts w:hint="eastAsia" w:asciiTheme="minorEastAsia" w:hAnsiTheme="minorEastAsia" w:eastAsiaTheme="minorEastAsia"/>
          <w:kern w:val="2"/>
          <w:szCs w:val="24"/>
          <w:vertAlign w:val="superscript"/>
        </w:rPr>
        <w:t>-7</w:t>
      </w:r>
      <w:r>
        <w:rPr>
          <w:rFonts w:hint="eastAsia" w:asciiTheme="minorEastAsia" w:hAnsiTheme="minorEastAsia" w:eastAsiaTheme="minorEastAsia"/>
          <w:kern w:val="2"/>
          <w:szCs w:val="24"/>
        </w:rPr>
        <w:t>。</w:t>
      </w:r>
    </w:p>
    <w:p w14:paraId="7D3B7805">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▲5、反应杯装载：用倾倒式添加反应杯，一次最大添加≥3000个，可连续供给,随时添加</w:t>
      </w:r>
    </w:p>
    <w:p w14:paraId="2E1F1860">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inorEastAsia" w:hAnsiTheme="minorEastAsia" w:eastAsiaTheme="minorEastAsia"/>
          <w:kern w:val="2"/>
          <w:szCs w:val="24"/>
        </w:rPr>
      </w:pPr>
      <w:r>
        <w:rPr>
          <w:rFonts w:hint="eastAsia" w:asciiTheme="minorEastAsia" w:hAnsiTheme="minorEastAsia" w:eastAsiaTheme="minorEastAsia"/>
          <w:kern w:val="2"/>
          <w:szCs w:val="24"/>
        </w:rPr>
        <w:t>6、试剂：</w:t>
      </w:r>
    </w:p>
    <w:p w14:paraId="2567B122">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6.1、单模块试剂位≥45个，可独立制冷，温度范围：2～8℃</w:t>
      </w:r>
    </w:p>
    <w:p w14:paraId="5B8E7C7E">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6.2、试剂更换：可不停机更换试剂，通过RFID扫码装载，记录试剂使用情况、</w:t>
      </w:r>
    </w:p>
    <w:p w14:paraId="15E5D3AF">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6.3、底物更换：双套底物液，上机自动切换，支持不停机一键更换。</w:t>
      </w:r>
    </w:p>
    <w:p w14:paraId="2C7BBBFE">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7、孵育位数量：孵育位≥340个。</w:t>
      </w:r>
    </w:p>
    <w:p w14:paraId="702F4637">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8、清洗液配比：清洗液采用浓缩清洗液，全自动配制及供给</w:t>
      </w:r>
    </w:p>
    <w:p w14:paraId="6172C401">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9、混匀方式：非接触式混匀。</w:t>
      </w:r>
    </w:p>
    <w:p w14:paraId="5B30DDAA">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asciiTheme="minorEastAsia" w:hAnsiTheme="minorEastAsia" w:eastAsiaTheme="minorEastAsia"/>
          <w:kern w:val="2"/>
          <w:szCs w:val="24"/>
        </w:rPr>
      </w:pPr>
      <w:r>
        <w:rPr>
          <w:rFonts w:hint="eastAsia" w:asciiTheme="minorEastAsia" w:hAnsiTheme="minorEastAsia" w:eastAsiaTheme="minorEastAsia"/>
          <w:kern w:val="2"/>
          <w:szCs w:val="24"/>
        </w:rPr>
        <w:t>▲10、配套试剂可检测项目≥140项，至少包括肺炎支原体、衣原体、异常凝血酶原检测</w:t>
      </w:r>
    </w:p>
    <w:p w14:paraId="7A1A8036">
      <w:pPr>
        <w:pStyle w:val="43"/>
        <w:keepNext w:val="0"/>
        <w:keepLines w:val="0"/>
        <w:pageBreakBefore w:val="0"/>
        <w:numPr>
          <w:ilvl w:val="0"/>
          <w:numId w:val="0"/>
        </w:numPr>
        <w:wordWrap/>
        <w:overflowPunct/>
        <w:topLinePunct w:val="0"/>
        <w:bidi w:val="0"/>
        <w:spacing w:after="0" w:line="360" w:lineRule="auto"/>
        <w:ind w:firstLine="0" w:firstLineChars="0"/>
        <w:outlineLvl w:val="1"/>
        <w:rPr>
          <w:rFonts w:hint="default" w:ascii="宋体" w:hAnsi="宋体" w:eastAsia="宋体" w:cs="宋体"/>
          <w:b/>
          <w:bCs/>
          <w:color w:val="auto"/>
          <w:sz w:val="24"/>
          <w:szCs w:val="24"/>
          <w:highlight w:val="none"/>
          <w:lang w:val="en-US" w:eastAsia="zh-CN"/>
        </w:rPr>
      </w:pPr>
      <w:bookmarkStart w:id="824" w:name="_Toc12799"/>
      <w:r>
        <w:rPr>
          <w:rFonts w:hint="eastAsia" w:ascii="宋体" w:hAnsi="宋体" w:eastAsia="宋体" w:cs="宋体"/>
          <w:b/>
          <w:bCs/>
          <w:color w:val="auto"/>
          <w:sz w:val="24"/>
          <w:szCs w:val="24"/>
          <w:highlight w:val="none"/>
          <w:lang w:val="en-US" w:eastAsia="zh-CN"/>
        </w:rPr>
        <w:t>三、</w:t>
      </w:r>
      <w:r>
        <w:rPr>
          <w:rFonts w:hint="eastAsia" w:ascii="宋体" w:hAnsi="宋体" w:eastAsia="宋体"/>
          <w:b/>
          <w:bCs/>
          <w:color w:val="auto"/>
          <w:kern w:val="44"/>
          <w:sz w:val="24"/>
          <w:szCs w:val="24"/>
          <w:highlight w:val="none"/>
        </w:rPr>
        <w:t>商务条款</w:t>
      </w:r>
      <w:bookmarkEnd w:id="824"/>
    </w:p>
    <w:p w14:paraId="337454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w:t>
      </w:r>
      <w:r>
        <w:rPr>
          <w:rFonts w:hint="eastAsia" w:ascii="宋体" w:hAnsi="宋体" w:eastAsia="宋体" w:cs="宋体"/>
          <w:sz w:val="24"/>
          <w:highlight w:val="none"/>
        </w:rPr>
        <w:t>上述所有</w:t>
      </w:r>
      <w:r>
        <w:rPr>
          <w:rFonts w:hint="eastAsia" w:ascii="宋体" w:hAnsi="宋体" w:cs="宋体"/>
          <w:sz w:val="24"/>
          <w:highlight w:val="none"/>
          <w:lang w:val="en-US" w:eastAsia="zh-CN"/>
        </w:rPr>
        <w:t>设备整</w:t>
      </w:r>
      <w:r>
        <w:rPr>
          <w:rFonts w:hint="eastAsia" w:ascii="宋体" w:hAnsi="宋体" w:eastAsia="宋体" w:cs="宋体"/>
          <w:sz w:val="24"/>
          <w:highlight w:val="none"/>
        </w:rPr>
        <w:t>机</w:t>
      </w:r>
      <w:r>
        <w:rPr>
          <w:rFonts w:hint="eastAsia" w:ascii="宋体" w:hAnsi="宋体" w:cs="宋体"/>
          <w:sz w:val="24"/>
          <w:highlight w:val="none"/>
          <w:lang w:val="en-US" w:eastAsia="zh-CN"/>
        </w:rPr>
        <w:t>质</w:t>
      </w:r>
      <w:r>
        <w:rPr>
          <w:rFonts w:hint="eastAsia" w:ascii="宋体" w:hAnsi="宋体" w:eastAsia="宋体" w:cs="宋体"/>
          <w:sz w:val="24"/>
          <w:highlight w:val="none"/>
        </w:rPr>
        <w:t>保</w:t>
      </w:r>
      <w:r>
        <w:rPr>
          <w:rFonts w:hint="eastAsia" w:ascii="宋体" w:hAnsi="宋体" w:cs="宋体"/>
          <w:sz w:val="24"/>
          <w:highlight w:val="none"/>
          <w:lang w:val="en-US" w:eastAsia="zh-CN"/>
        </w:rPr>
        <w:t>不少于</w:t>
      </w:r>
      <w:r>
        <w:rPr>
          <w:rFonts w:hint="eastAsia" w:ascii="宋体" w:hAnsi="宋体" w:eastAsia="宋体" w:cs="宋体"/>
          <w:sz w:val="24"/>
          <w:highlight w:val="none"/>
        </w:rPr>
        <w:t>36个月。</w:t>
      </w:r>
    </w:p>
    <w:p w14:paraId="2425E1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2、卖方须保证所提供产品在质量保证期之内，并须对由于产品质量而发生的任何问题负责。</w:t>
      </w:r>
    </w:p>
    <w:p w14:paraId="2D7842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、对操作人员进行使用、保养培训，对维修人员进行技术培训，保证仪器可以正常使用。</w:t>
      </w:r>
    </w:p>
    <w:p w14:paraId="72448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、出保后以零件成本价收费</w:t>
      </w:r>
    </w:p>
    <w:p w14:paraId="3A217F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、维修响应速度:2小时电话反应，电话不能解决的必须 24小时内到达现场，排除故障。如故障无法排除，需提供不低于中标设备配置的备机，以保证买方工作的正常运转。</w:t>
      </w:r>
    </w:p>
    <w:p w14:paraId="4D201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、卖方应为买方提供免费仪器的校准、巡检、维护保养。校准周期:每半年提供一次精密度校验，并出具校准报告。</w:t>
      </w:r>
    </w:p>
    <w:p w14:paraId="024444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、定期回访1次/半年。</w:t>
      </w:r>
    </w:p>
    <w:p w14:paraId="074A9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、提供设备操作及维修手册</w:t>
      </w:r>
    </w:p>
    <w:p w14:paraId="297B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1.安装和调试</w:t>
      </w:r>
    </w:p>
    <w:p w14:paraId="780273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中标方负责派技术人员到现场免费进行安装调试，直至验收合格，中标方应在货物运抵现场一周前，向买方提供安装调试及运行的进度计划表</w:t>
      </w:r>
      <w:r>
        <w:rPr>
          <w:rFonts w:hint="eastAsia" w:ascii="宋体" w:hAnsi="宋体" w:cs="宋体"/>
          <w:sz w:val="24"/>
          <w:highlight w:val="none"/>
          <w:lang w:val="en-US" w:eastAsia="zh-CN"/>
        </w:rPr>
        <w:t>.</w:t>
      </w:r>
    </w:p>
    <w:p w14:paraId="35531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2.项日完成期</w:t>
      </w:r>
      <w:r>
        <w:rPr>
          <w:rFonts w:hint="eastAsia" w:ascii="宋体" w:hAnsi="宋体" w:cs="宋体"/>
          <w:sz w:val="24"/>
          <w:highlight w:val="none"/>
          <w:lang w:eastAsia="zh-CN"/>
        </w:rPr>
        <w:t>：</w:t>
      </w:r>
      <w:r>
        <w:rPr>
          <w:rFonts w:hint="eastAsia" w:ascii="宋体" w:hAnsi="宋体" w:eastAsia="宋体" w:cs="宋体"/>
          <w:sz w:val="24"/>
          <w:highlight w:val="none"/>
        </w:rPr>
        <w:t>合同签订后</w:t>
      </w:r>
      <w:r>
        <w:rPr>
          <w:rFonts w:hint="eastAsia" w:ascii="宋体" w:hAnsi="宋体" w:cs="宋体"/>
          <w:sz w:val="24"/>
          <w:highlight w:val="none"/>
          <w:lang w:val="en-US" w:eastAsia="zh-CN"/>
        </w:rPr>
        <w:t>15</w:t>
      </w:r>
      <w:r>
        <w:rPr>
          <w:rFonts w:hint="eastAsia" w:ascii="宋体" w:hAnsi="宋体" w:eastAsia="宋体" w:cs="宋体"/>
          <w:sz w:val="24"/>
          <w:highlight w:val="none"/>
        </w:rPr>
        <w:t>天内完成送货、安装、调试(如果具体参数、用户实际需求中另有规定的，按具体参数中要求、用户实际需求规定执行)。</w:t>
      </w:r>
    </w:p>
    <w:p w14:paraId="7F5F8D5E">
      <w:pPr>
        <w:pStyle w:val="18"/>
        <w:rPr>
          <w:rFonts w:hint="eastAsia"/>
        </w:rPr>
      </w:pPr>
    </w:p>
    <w:p w14:paraId="0C448604">
      <w:pPr>
        <w:rPr>
          <w:spacing w:val="0"/>
          <w:kern w:val="0"/>
          <w:position w:val="0"/>
        </w:rPr>
      </w:pPr>
    </w:p>
    <w:p w14:paraId="43E00E0B">
      <w:pPr>
        <w:spacing w:line="360" w:lineRule="auto"/>
        <w:jc w:val="center"/>
        <w:outlineLvl w:val="0"/>
        <w:rPr>
          <w:rFonts w:hint="eastAsia" w:eastAsia="宋体"/>
          <w:b/>
          <w:spacing w:val="0"/>
          <w:kern w:val="0"/>
          <w:position w:val="0"/>
          <w:sz w:val="36"/>
          <w:szCs w:val="36"/>
          <w:highlight w:val="none"/>
          <w:lang w:eastAsia="zh-CN"/>
        </w:rPr>
      </w:pPr>
      <w:r>
        <w:rPr>
          <w:b/>
          <w:spacing w:val="0"/>
          <w:kern w:val="0"/>
          <w:position w:val="0"/>
          <w:sz w:val="36"/>
          <w:szCs w:val="36"/>
        </w:rPr>
        <w:br w:type="page"/>
      </w:r>
      <w:bookmarkStart w:id="825" w:name="_Toc99301425"/>
      <w:r>
        <w:rPr>
          <w:b/>
          <w:spacing w:val="0"/>
          <w:kern w:val="0"/>
          <w:position w:val="0"/>
          <w:sz w:val="36"/>
          <w:szCs w:val="36"/>
          <w:highlight w:val="none"/>
        </w:rPr>
        <w:t>第六章   拟签订的合同文本</w:t>
      </w:r>
      <w:bookmarkEnd w:id="825"/>
    </w:p>
    <w:p w14:paraId="0ACF001A">
      <w:pPr>
        <w:spacing w:before="120" w:line="480" w:lineRule="exact"/>
        <w:jc w:val="center"/>
        <w:rPr>
          <w:rFonts w:ascii="宋体" w:hAnsi="宋体"/>
          <w:b/>
          <w:color w:val="auto"/>
          <w:sz w:val="24"/>
          <w:highlight w:val="none"/>
        </w:rPr>
      </w:pPr>
      <w:bookmarkStart w:id="826" w:name="_Toc13960"/>
      <w:bookmarkStart w:id="827" w:name="_Toc504554325"/>
      <w:bookmarkStart w:id="828" w:name="_Hlk167285151"/>
      <w:r>
        <w:rPr>
          <w:rFonts w:hint="eastAsia" w:ascii="宋体" w:hAnsi="宋体"/>
          <w:b/>
          <w:color w:val="auto"/>
          <w:sz w:val="24"/>
          <w:highlight w:val="none"/>
        </w:rPr>
        <w:t>合　　　同　　　书</w:t>
      </w:r>
    </w:p>
    <w:p w14:paraId="05B29853">
      <w:pPr>
        <w:spacing w:before="120" w:line="480" w:lineRule="exact"/>
        <w:rPr>
          <w:rFonts w:ascii="宋体" w:hAnsi="宋体"/>
          <w:color w:val="auto"/>
          <w:sz w:val="24"/>
          <w:highlight w:val="none"/>
        </w:rPr>
      </w:pPr>
    </w:p>
    <w:p w14:paraId="6DD96AF8">
      <w:pPr>
        <w:spacing w:before="120" w:line="480" w:lineRule="exact"/>
        <w:ind w:firstLine="72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(买方)</w:t>
      </w:r>
      <w:r>
        <w:rPr>
          <w:rFonts w:hint="eastAsia" w:ascii="宋体" w:hAnsi="宋体"/>
          <w:color w:val="auto"/>
          <w:sz w:val="24"/>
          <w:highlight w:val="none"/>
          <w:u w:val="single"/>
        </w:rPr>
        <w:t xml:space="preserve">   　　　    　　       </w:t>
      </w:r>
      <w:r>
        <w:rPr>
          <w:rFonts w:hint="eastAsia" w:ascii="宋体" w:hAnsi="宋体"/>
          <w:color w:val="auto"/>
          <w:sz w:val="24"/>
          <w:highlight w:val="none"/>
        </w:rPr>
        <w:t>(项目名称)中所需</w:t>
      </w:r>
      <w:r>
        <w:rPr>
          <w:rFonts w:hint="eastAsia" w:ascii="宋体" w:hAnsi="宋体"/>
          <w:color w:val="auto"/>
          <w:sz w:val="24"/>
          <w:highlight w:val="none"/>
          <w:u w:val="single"/>
        </w:rPr>
        <w:t xml:space="preserve"> 　　　　　　　</w:t>
      </w:r>
      <w:r>
        <w:rPr>
          <w:rFonts w:hint="eastAsia" w:ascii="宋体" w:hAnsi="宋体"/>
          <w:color w:val="auto"/>
          <w:sz w:val="24"/>
          <w:highlight w:val="none"/>
        </w:rPr>
        <w:t>(货物/服务名称)经(采购代理机构)以</w:t>
      </w:r>
      <w:r>
        <w:rPr>
          <w:rFonts w:hint="eastAsia" w:ascii="宋体" w:hAnsi="宋体"/>
          <w:color w:val="auto"/>
          <w:sz w:val="24"/>
          <w:highlight w:val="none"/>
          <w:u w:val="single"/>
        </w:rPr>
        <w:t>　　　　</w:t>
      </w:r>
      <w:r>
        <w:rPr>
          <w:rFonts w:hint="eastAsia" w:ascii="宋体" w:hAnsi="宋体"/>
          <w:color w:val="auto"/>
          <w:sz w:val="24"/>
          <w:highlight w:val="none"/>
        </w:rPr>
        <w:t>号招标文件在国内</w:t>
      </w:r>
      <w:r>
        <w:rPr>
          <w:rFonts w:hint="eastAsia" w:ascii="宋体" w:hAnsi="宋体"/>
          <w:color w:val="auto"/>
          <w:sz w:val="24"/>
          <w:highlight w:val="none"/>
          <w:u w:val="single"/>
        </w:rPr>
        <w:t>　　</w:t>
      </w:r>
      <w:r>
        <w:rPr>
          <w:rFonts w:hint="eastAsia" w:ascii="宋体" w:hAnsi="宋体"/>
          <w:color w:val="auto"/>
          <w:sz w:val="24"/>
          <w:highlight w:val="none"/>
        </w:rPr>
        <w:t>（公开/邀请）招标。经评标委员会评定</w:t>
      </w:r>
      <w:r>
        <w:rPr>
          <w:rFonts w:hint="eastAsia" w:ascii="宋体" w:hAnsi="宋体"/>
          <w:color w:val="auto"/>
          <w:sz w:val="24"/>
          <w:highlight w:val="none"/>
          <w:u w:val="single"/>
        </w:rPr>
        <w:t xml:space="preserve"> 　　        </w:t>
      </w:r>
      <w:r>
        <w:rPr>
          <w:rFonts w:hint="eastAsia" w:ascii="宋体" w:hAnsi="宋体"/>
          <w:color w:val="auto"/>
          <w:sz w:val="24"/>
          <w:highlight w:val="none"/>
        </w:rPr>
        <w:t>(卖方)为中标人。买、卖双方同意按照下面的条款和条件，签署本合同。</w:t>
      </w:r>
    </w:p>
    <w:p w14:paraId="34C4290F">
      <w:pPr>
        <w:spacing w:before="240" w:line="480" w:lineRule="exact"/>
        <w:rPr>
          <w:rFonts w:ascii="宋体" w:hAnsi="宋体"/>
          <w:b/>
          <w:color w:val="auto"/>
          <w:sz w:val="24"/>
          <w:highlight w:val="none"/>
        </w:rPr>
      </w:pPr>
      <w:r>
        <w:rPr>
          <w:rFonts w:hint="eastAsia" w:ascii="宋体" w:hAnsi="宋体"/>
          <w:b/>
          <w:color w:val="auto"/>
          <w:sz w:val="24"/>
          <w:highlight w:val="none"/>
        </w:rPr>
        <w:t>1、合同文件</w:t>
      </w:r>
    </w:p>
    <w:p w14:paraId="29C84403">
      <w:pPr>
        <w:spacing w:before="120" w:line="480" w:lineRule="exact"/>
        <w:ind w:firstLine="720"/>
        <w:rPr>
          <w:rFonts w:ascii="宋体" w:hAnsi="宋体"/>
          <w:color w:val="auto"/>
          <w:sz w:val="24"/>
          <w:highlight w:val="none"/>
        </w:rPr>
      </w:pPr>
      <w:r>
        <w:rPr>
          <w:rFonts w:hint="eastAsia" w:ascii="宋体" w:hAnsi="宋体"/>
          <w:color w:val="auto"/>
          <w:sz w:val="24"/>
          <w:highlight w:val="none"/>
        </w:rPr>
        <w:t>下列文件构成本合同的组成部分，应该认为是一个整体，彼此相互解释，相互补充。为便于解释，组成合同的多个文件的优先支配地位的次序如下：</w:t>
      </w:r>
    </w:p>
    <w:p w14:paraId="3EC6ADD9">
      <w:pPr>
        <w:spacing w:before="120" w:line="480" w:lineRule="exact"/>
        <w:ind w:firstLine="540"/>
        <w:rPr>
          <w:rFonts w:ascii="宋体" w:hAnsi="宋体"/>
          <w:color w:val="auto"/>
          <w:sz w:val="24"/>
          <w:highlight w:val="none"/>
        </w:rPr>
      </w:pPr>
      <w:r>
        <w:rPr>
          <w:rFonts w:hint="eastAsia" w:ascii="宋体" w:hAnsi="宋体"/>
          <w:color w:val="auto"/>
          <w:sz w:val="24"/>
          <w:highlight w:val="none"/>
        </w:rPr>
        <w:t>a.</w:t>
      </w:r>
      <w:r>
        <w:rPr>
          <w:rFonts w:hint="eastAsia" w:ascii="宋体" w:hAnsi="宋体"/>
          <w:color w:val="auto"/>
          <w:sz w:val="24"/>
          <w:highlight w:val="none"/>
        </w:rPr>
        <w:tab/>
      </w:r>
      <w:r>
        <w:rPr>
          <w:rFonts w:hint="eastAsia" w:ascii="宋体" w:hAnsi="宋体"/>
          <w:color w:val="auto"/>
          <w:sz w:val="24"/>
          <w:highlight w:val="none"/>
        </w:rPr>
        <w:t>本合同书　</w:t>
      </w:r>
    </w:p>
    <w:p w14:paraId="231A28EE">
      <w:pPr>
        <w:spacing w:before="120" w:line="480" w:lineRule="exact"/>
        <w:ind w:firstLine="540"/>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rPr>
        <w:tab/>
      </w:r>
      <w:r>
        <w:rPr>
          <w:rFonts w:hint="eastAsia" w:ascii="宋体" w:hAnsi="宋体"/>
          <w:color w:val="auto"/>
          <w:sz w:val="24"/>
          <w:highlight w:val="none"/>
        </w:rPr>
        <w:t>中标通知书</w:t>
      </w:r>
    </w:p>
    <w:p w14:paraId="73936199">
      <w:pPr>
        <w:spacing w:before="120" w:line="480" w:lineRule="exact"/>
        <w:ind w:firstLine="540"/>
        <w:rPr>
          <w:rFonts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rPr>
        <w:tab/>
      </w:r>
      <w:r>
        <w:rPr>
          <w:rFonts w:hint="eastAsia" w:ascii="宋体" w:hAnsi="宋体"/>
          <w:color w:val="auto"/>
          <w:sz w:val="24"/>
          <w:highlight w:val="none"/>
        </w:rPr>
        <w:t>协议</w:t>
      </w:r>
    </w:p>
    <w:p w14:paraId="525C17C2">
      <w:pPr>
        <w:spacing w:before="120" w:line="480" w:lineRule="exact"/>
        <w:ind w:firstLine="540"/>
        <w:rPr>
          <w:rFonts w:ascii="宋体" w:hAnsi="宋体"/>
          <w:color w:val="auto"/>
          <w:sz w:val="24"/>
          <w:highlight w:val="none"/>
        </w:rPr>
      </w:pPr>
      <w:r>
        <w:rPr>
          <w:rFonts w:hint="eastAsia" w:ascii="宋体" w:hAnsi="宋体"/>
          <w:color w:val="auto"/>
          <w:sz w:val="24"/>
          <w:highlight w:val="none"/>
        </w:rPr>
        <w:t>d.</w:t>
      </w:r>
      <w:r>
        <w:rPr>
          <w:rFonts w:hint="eastAsia" w:ascii="宋体" w:hAnsi="宋体"/>
          <w:color w:val="auto"/>
          <w:sz w:val="24"/>
          <w:highlight w:val="none"/>
        </w:rPr>
        <w:tab/>
      </w:r>
      <w:r>
        <w:rPr>
          <w:rFonts w:hint="eastAsia" w:ascii="宋体" w:hAnsi="宋体"/>
          <w:color w:val="auto"/>
          <w:sz w:val="24"/>
          <w:highlight w:val="none"/>
        </w:rPr>
        <w:t>投标文件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(含澄清文件)</w:t>
      </w:r>
    </w:p>
    <w:p w14:paraId="7ACA10C3">
      <w:pPr>
        <w:spacing w:before="120" w:line="480" w:lineRule="exact"/>
        <w:ind w:firstLine="540"/>
        <w:rPr>
          <w:rFonts w:ascii="宋体" w:hAnsi="宋体"/>
          <w:color w:val="auto"/>
          <w:sz w:val="24"/>
          <w:highlight w:val="none"/>
        </w:rPr>
      </w:pPr>
      <w:r>
        <w:rPr>
          <w:rFonts w:hint="eastAsia" w:ascii="宋体" w:hAnsi="宋体"/>
          <w:color w:val="auto"/>
          <w:sz w:val="24"/>
          <w:highlight w:val="none"/>
        </w:rPr>
        <w:t>e.</w:t>
      </w:r>
      <w:r>
        <w:rPr>
          <w:rFonts w:hint="eastAsia" w:ascii="宋体" w:hAnsi="宋体"/>
          <w:color w:val="auto"/>
          <w:sz w:val="24"/>
          <w:highlight w:val="none"/>
        </w:rPr>
        <w:tab/>
      </w:r>
      <w:r>
        <w:rPr>
          <w:rFonts w:hint="eastAsia" w:ascii="宋体" w:hAnsi="宋体"/>
          <w:color w:val="auto"/>
          <w:sz w:val="24"/>
          <w:highlight w:val="none"/>
        </w:rPr>
        <w:t>招标文件</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(含招标文件补充通知)</w:t>
      </w:r>
    </w:p>
    <w:p w14:paraId="2EA5F7FA">
      <w:pPr>
        <w:spacing w:before="240" w:line="480" w:lineRule="exact"/>
        <w:rPr>
          <w:rFonts w:ascii="宋体" w:hAnsi="宋体"/>
          <w:b/>
          <w:color w:val="auto"/>
          <w:sz w:val="24"/>
          <w:highlight w:val="none"/>
        </w:rPr>
      </w:pPr>
      <w:r>
        <w:rPr>
          <w:rFonts w:hint="eastAsia" w:ascii="宋体" w:hAnsi="宋体"/>
          <w:b/>
          <w:color w:val="auto"/>
          <w:sz w:val="24"/>
          <w:highlight w:val="none"/>
        </w:rPr>
        <w:t>2、货物和数量</w:t>
      </w:r>
    </w:p>
    <w:p w14:paraId="4D851F24">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本合同货物/服务：</w:t>
      </w:r>
      <w:r>
        <w:rPr>
          <w:rFonts w:hint="eastAsia" w:ascii="宋体" w:hAnsi="宋体"/>
          <w:color w:val="auto"/>
          <w:sz w:val="24"/>
          <w:highlight w:val="none"/>
          <w:u w:val="single"/>
        </w:rPr>
        <w:t>　　　　　　　　　　　　</w:t>
      </w:r>
    </w:p>
    <w:p w14:paraId="22F22EDD">
      <w:pPr>
        <w:spacing w:before="120" w:line="480" w:lineRule="exact"/>
        <w:ind w:firstLine="454"/>
        <w:rPr>
          <w:rFonts w:ascii="宋体" w:hAnsi="宋体"/>
          <w:color w:val="auto"/>
          <w:sz w:val="24"/>
          <w:highlight w:val="none"/>
        </w:rPr>
      </w:pPr>
      <w:r>
        <w:rPr>
          <w:rFonts w:hint="eastAsia" w:ascii="宋体" w:hAnsi="宋体"/>
          <w:color w:val="auto"/>
          <w:sz w:val="24"/>
          <w:highlight w:val="none"/>
        </w:rPr>
        <w:t>数量：</w:t>
      </w:r>
      <w:r>
        <w:rPr>
          <w:rFonts w:hint="eastAsia" w:ascii="宋体" w:hAnsi="宋体"/>
          <w:color w:val="auto"/>
          <w:sz w:val="24"/>
          <w:highlight w:val="none"/>
          <w:u w:val="single"/>
        </w:rPr>
        <w:t>　　　　　　　　　　　　　　　</w:t>
      </w:r>
    </w:p>
    <w:p w14:paraId="3FE8B854">
      <w:pPr>
        <w:spacing w:before="240" w:line="480" w:lineRule="exact"/>
        <w:rPr>
          <w:rFonts w:ascii="宋体" w:hAnsi="宋体"/>
          <w:b/>
          <w:color w:val="auto"/>
          <w:sz w:val="24"/>
          <w:highlight w:val="none"/>
        </w:rPr>
      </w:pPr>
      <w:r>
        <w:rPr>
          <w:rFonts w:hint="eastAsia" w:ascii="宋体" w:hAnsi="宋体"/>
          <w:b/>
          <w:color w:val="auto"/>
          <w:sz w:val="24"/>
          <w:highlight w:val="none"/>
        </w:rPr>
        <w:t>3、合同总金额</w:t>
      </w:r>
    </w:p>
    <w:p w14:paraId="426FFC0D">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本合同总金额为</w:t>
      </w:r>
      <w:r>
        <w:rPr>
          <w:rFonts w:hint="eastAsia" w:ascii="宋体" w:hAnsi="宋体"/>
          <w:color w:val="auto"/>
          <w:sz w:val="24"/>
          <w:highlight w:val="none"/>
          <w:u w:val="single"/>
        </w:rPr>
        <w:t xml:space="preserve">    　　   </w:t>
      </w:r>
      <w:r>
        <w:rPr>
          <w:rFonts w:hint="eastAsia" w:ascii="宋体" w:hAnsi="宋体"/>
          <w:color w:val="auto"/>
          <w:sz w:val="24"/>
          <w:highlight w:val="none"/>
        </w:rPr>
        <w:t>元人民币。</w:t>
      </w:r>
    </w:p>
    <w:p w14:paraId="68702A67">
      <w:pPr>
        <w:spacing w:before="120" w:line="480" w:lineRule="exact"/>
        <w:ind w:firstLine="454"/>
        <w:rPr>
          <w:rFonts w:ascii="宋体" w:hAnsi="宋体"/>
          <w:color w:val="auto"/>
          <w:sz w:val="24"/>
          <w:highlight w:val="none"/>
          <w:u w:val="single"/>
        </w:rPr>
      </w:pPr>
      <w:r>
        <w:rPr>
          <w:rFonts w:hint="eastAsia" w:ascii="宋体" w:hAnsi="宋体"/>
          <w:color w:val="auto"/>
          <w:sz w:val="24"/>
          <w:highlight w:val="none"/>
        </w:rPr>
        <w:t>分项价格：</w:t>
      </w:r>
      <w:r>
        <w:rPr>
          <w:rFonts w:hint="eastAsia" w:ascii="宋体" w:hAnsi="宋体"/>
          <w:color w:val="auto"/>
          <w:sz w:val="24"/>
          <w:highlight w:val="none"/>
          <w:u w:val="single"/>
        </w:rPr>
        <w:t>　　　　　　　　　　　　</w:t>
      </w:r>
    </w:p>
    <w:p w14:paraId="5CDC9D25">
      <w:pPr>
        <w:spacing w:before="240" w:line="480" w:lineRule="exact"/>
        <w:rPr>
          <w:rFonts w:ascii="宋体" w:hAnsi="宋体"/>
          <w:b/>
          <w:color w:val="auto"/>
          <w:sz w:val="24"/>
          <w:highlight w:val="none"/>
        </w:rPr>
      </w:pPr>
      <w:r>
        <w:rPr>
          <w:rFonts w:hint="eastAsia" w:ascii="宋体" w:hAnsi="宋体"/>
          <w:b/>
          <w:color w:val="auto"/>
          <w:sz w:val="24"/>
          <w:highlight w:val="none"/>
        </w:rPr>
        <w:t>4、付款方式</w:t>
      </w:r>
    </w:p>
    <w:p w14:paraId="6BACE410">
      <w:pPr>
        <w:spacing w:before="120" w:line="480" w:lineRule="exact"/>
        <w:ind w:firstLine="480"/>
        <w:rPr>
          <w:rFonts w:ascii="宋体" w:hAnsi="宋体"/>
          <w:color w:val="auto"/>
          <w:sz w:val="24"/>
          <w:highlight w:val="none"/>
        </w:rPr>
      </w:pPr>
      <w:r>
        <w:rPr>
          <w:rFonts w:hint="eastAsia" w:ascii="宋体" w:hAnsi="宋体"/>
          <w:color w:val="auto"/>
          <w:sz w:val="24"/>
          <w:highlight w:val="none"/>
        </w:rPr>
        <w:t>本合同的付款方式为：</w:t>
      </w:r>
      <w:r>
        <w:rPr>
          <w:rFonts w:hint="eastAsia" w:ascii="宋体" w:hAnsi="宋体"/>
          <w:color w:val="auto"/>
          <w:sz w:val="24"/>
          <w:highlight w:val="none"/>
          <w:u w:val="single"/>
        </w:rPr>
        <w:t>　　　　　　　　　　　　　　　</w:t>
      </w:r>
    </w:p>
    <w:p w14:paraId="5F0528B0">
      <w:pPr>
        <w:spacing w:before="240" w:line="480" w:lineRule="exact"/>
        <w:rPr>
          <w:rFonts w:ascii="宋体" w:hAnsi="宋体"/>
          <w:b/>
          <w:color w:val="auto"/>
          <w:sz w:val="24"/>
          <w:highlight w:val="none"/>
        </w:rPr>
      </w:pPr>
      <w:r>
        <w:rPr>
          <w:rFonts w:hint="eastAsia" w:ascii="宋体" w:hAnsi="宋体"/>
          <w:b/>
          <w:color w:val="auto"/>
          <w:sz w:val="24"/>
          <w:highlight w:val="none"/>
        </w:rPr>
        <w:t>5、本合同货物服务的交货（实施）时间及交货（实施）地点</w:t>
      </w:r>
    </w:p>
    <w:p w14:paraId="2606DAB1">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交货（实施）时间：</w:t>
      </w:r>
      <w:r>
        <w:rPr>
          <w:rFonts w:hint="eastAsia" w:ascii="宋体" w:hAnsi="宋体"/>
          <w:color w:val="auto"/>
          <w:sz w:val="24"/>
          <w:highlight w:val="none"/>
          <w:u w:val="single"/>
        </w:rPr>
        <w:t>　　　　　　　　　　　　　　　　</w:t>
      </w:r>
    </w:p>
    <w:p w14:paraId="672B8545">
      <w:pPr>
        <w:spacing w:before="120" w:line="480" w:lineRule="exact"/>
        <w:ind w:firstLine="480"/>
        <w:rPr>
          <w:rFonts w:ascii="宋体" w:hAnsi="宋体"/>
          <w:color w:val="auto"/>
          <w:sz w:val="24"/>
          <w:highlight w:val="none"/>
        </w:rPr>
      </w:pPr>
      <w:r>
        <w:rPr>
          <w:rFonts w:hint="eastAsia" w:ascii="宋体" w:hAnsi="宋体"/>
          <w:color w:val="auto"/>
          <w:sz w:val="24"/>
          <w:highlight w:val="none"/>
        </w:rPr>
        <w:t>交货（实施）地点：</w:t>
      </w:r>
      <w:r>
        <w:rPr>
          <w:rFonts w:hint="eastAsia" w:ascii="宋体" w:hAnsi="宋体"/>
          <w:color w:val="auto"/>
          <w:sz w:val="24"/>
          <w:highlight w:val="none"/>
          <w:u w:val="single"/>
        </w:rPr>
        <w:t>　　　　　　　　　　　　　　　　</w:t>
      </w:r>
    </w:p>
    <w:p w14:paraId="5FFD5BAB">
      <w:pPr>
        <w:spacing w:before="240" w:line="480" w:lineRule="exact"/>
        <w:rPr>
          <w:rFonts w:ascii="宋体" w:hAnsi="宋体"/>
          <w:b/>
          <w:color w:val="auto"/>
          <w:sz w:val="24"/>
          <w:highlight w:val="none"/>
        </w:rPr>
      </w:pPr>
      <w:r>
        <w:rPr>
          <w:rFonts w:hint="eastAsia" w:ascii="宋体" w:hAnsi="宋体"/>
          <w:b/>
          <w:color w:val="auto"/>
          <w:sz w:val="24"/>
          <w:highlight w:val="none"/>
        </w:rPr>
        <w:t>6、合同的生效。</w:t>
      </w:r>
    </w:p>
    <w:p w14:paraId="70C9AD00">
      <w:pPr>
        <w:spacing w:before="120" w:line="480" w:lineRule="exact"/>
        <w:ind w:firstLine="454"/>
        <w:rPr>
          <w:rFonts w:ascii="宋体" w:hAnsi="宋体"/>
          <w:color w:val="auto"/>
          <w:sz w:val="24"/>
          <w:highlight w:val="none"/>
        </w:rPr>
      </w:pPr>
      <w:r>
        <w:rPr>
          <w:rFonts w:hint="eastAsia" w:ascii="宋体" w:hAnsi="宋体"/>
          <w:color w:val="auto"/>
          <w:sz w:val="24"/>
          <w:highlight w:val="none"/>
        </w:rPr>
        <w:t>本合同经双方全权代表签署、加盖单位印章生效。</w:t>
      </w:r>
    </w:p>
    <w:p w14:paraId="32A19E8F">
      <w:pPr>
        <w:spacing w:before="120" w:line="360" w:lineRule="auto"/>
        <w:rPr>
          <w:rFonts w:hint="eastAsia" w:ascii="宋体" w:hAnsi="宋体"/>
          <w:color w:val="auto"/>
          <w:sz w:val="24"/>
          <w:highlight w:val="none"/>
        </w:rPr>
      </w:pPr>
    </w:p>
    <w:p w14:paraId="4835429C">
      <w:pPr>
        <w:spacing w:before="120" w:line="360" w:lineRule="auto"/>
        <w:rPr>
          <w:rFonts w:ascii="宋体" w:hAnsi="宋体"/>
          <w:color w:val="auto"/>
          <w:sz w:val="24"/>
          <w:highlight w:val="none"/>
          <w:u w:val="single"/>
        </w:rPr>
      </w:pPr>
      <w:r>
        <w:rPr>
          <w:rFonts w:hint="eastAsia" w:ascii="宋体" w:hAnsi="宋体"/>
          <w:color w:val="auto"/>
          <w:sz w:val="24"/>
          <w:highlight w:val="none"/>
        </w:rPr>
        <w:t>　　买　方：</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卖　方：</w:t>
      </w:r>
    </w:p>
    <w:p w14:paraId="3CC6128C">
      <w:pPr>
        <w:spacing w:before="120" w:line="360" w:lineRule="auto"/>
        <w:rPr>
          <w:rFonts w:ascii="宋体" w:hAnsi="宋体"/>
          <w:color w:val="auto"/>
          <w:sz w:val="24"/>
          <w:highlight w:val="none"/>
        </w:rPr>
      </w:pPr>
    </w:p>
    <w:p w14:paraId="454A009E">
      <w:pPr>
        <w:spacing w:before="120" w:line="360" w:lineRule="auto"/>
        <w:rPr>
          <w:rFonts w:ascii="宋体" w:hAnsi="宋体"/>
          <w:color w:val="auto"/>
          <w:sz w:val="24"/>
          <w:highlight w:val="none"/>
        </w:rPr>
      </w:pPr>
      <w:r>
        <w:rPr>
          <w:rFonts w:hint="eastAsia" w:ascii="宋体" w:hAnsi="宋体"/>
          <w:color w:val="auto"/>
          <w:sz w:val="24"/>
          <w:highlight w:val="none"/>
        </w:rPr>
        <w:t>　　名　称：(印章)　　　　　　　　　名　称：(印章)</w:t>
      </w:r>
    </w:p>
    <w:p w14:paraId="2202454B">
      <w:pPr>
        <w:spacing w:before="120" w:line="360" w:lineRule="auto"/>
        <w:rPr>
          <w:rFonts w:ascii="宋体" w:hAnsi="宋体"/>
          <w:color w:val="auto"/>
          <w:sz w:val="24"/>
          <w:highlight w:val="none"/>
        </w:rPr>
      </w:pPr>
    </w:p>
    <w:p w14:paraId="4A85C0B0">
      <w:pPr>
        <w:spacing w:before="120" w:line="360" w:lineRule="auto"/>
        <w:ind w:firstLine="480" w:firstLineChars="200"/>
        <w:rPr>
          <w:rFonts w:ascii="宋体" w:hAnsi="宋体"/>
          <w:color w:val="auto"/>
          <w:sz w:val="24"/>
          <w:highlight w:val="none"/>
        </w:rPr>
      </w:pPr>
      <w:r>
        <w:rPr>
          <w:rFonts w:hint="eastAsia" w:ascii="宋体" w:hAnsi="宋体"/>
          <w:color w:val="auto"/>
          <w:sz w:val="24"/>
          <w:highlight w:val="none"/>
        </w:rPr>
        <w:t>年　月　日　　　　　　　　　　　年　月　日</w:t>
      </w:r>
    </w:p>
    <w:p w14:paraId="6115411F">
      <w:pPr>
        <w:spacing w:before="120" w:line="360" w:lineRule="auto"/>
        <w:rPr>
          <w:rFonts w:ascii="宋体" w:hAnsi="宋体"/>
          <w:color w:val="auto"/>
          <w:sz w:val="24"/>
          <w:highlight w:val="none"/>
        </w:rPr>
      </w:pPr>
    </w:p>
    <w:p w14:paraId="41D93321">
      <w:pPr>
        <w:spacing w:before="120" w:line="360" w:lineRule="auto"/>
        <w:rPr>
          <w:rFonts w:ascii="宋体" w:hAnsi="宋体"/>
          <w:color w:val="auto"/>
          <w:sz w:val="24"/>
          <w:highlight w:val="none"/>
          <w:u w:val="single"/>
        </w:rPr>
      </w:pPr>
      <w:r>
        <w:rPr>
          <w:rFonts w:hint="eastAsia" w:ascii="宋体" w:hAnsi="宋体"/>
          <w:color w:val="auto"/>
          <w:sz w:val="24"/>
          <w:highlight w:val="none"/>
        </w:rPr>
        <w:t>　　授权代表(签字)：</w:t>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 xml:space="preserve">       </w:t>
      </w:r>
      <w:r>
        <w:rPr>
          <w:rFonts w:hint="eastAsia" w:ascii="宋体" w:hAnsi="宋体"/>
          <w:color w:val="auto"/>
          <w:sz w:val="24"/>
          <w:highlight w:val="none"/>
        </w:rPr>
        <w:tab/>
      </w:r>
      <w:r>
        <w:rPr>
          <w:rFonts w:hint="eastAsia" w:ascii="宋体" w:hAnsi="宋体"/>
          <w:color w:val="auto"/>
          <w:sz w:val="24"/>
          <w:highlight w:val="none"/>
        </w:rPr>
        <w:t>授权代表(签字)：</w:t>
      </w:r>
    </w:p>
    <w:p w14:paraId="67AA425C">
      <w:pPr>
        <w:spacing w:before="120" w:line="360" w:lineRule="auto"/>
        <w:rPr>
          <w:rFonts w:ascii="宋体" w:hAnsi="宋体"/>
          <w:color w:val="auto"/>
          <w:sz w:val="24"/>
          <w:highlight w:val="none"/>
          <w:u w:val="single"/>
        </w:rPr>
      </w:pPr>
      <w:r>
        <w:rPr>
          <w:rFonts w:hint="eastAsia" w:ascii="宋体" w:hAnsi="宋体"/>
          <w:color w:val="auto"/>
          <w:sz w:val="24"/>
          <w:highlight w:val="none"/>
        </w:rPr>
        <w:t>　　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3E2D518">
      <w:pPr>
        <w:spacing w:before="120" w:line="360" w:lineRule="auto"/>
        <w:rPr>
          <w:rFonts w:ascii="宋体" w:hAnsi="宋体"/>
          <w:color w:val="auto"/>
          <w:sz w:val="24"/>
          <w:highlight w:val="none"/>
          <w:u w:val="single"/>
        </w:rPr>
      </w:pPr>
      <w:r>
        <w:rPr>
          <w:rFonts w:hint="eastAsia" w:ascii="宋体" w:hAnsi="宋体"/>
          <w:color w:val="auto"/>
          <w:sz w:val="24"/>
          <w:highlight w:val="none"/>
        </w:rPr>
        <w:t>　　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74CB95E9">
      <w:pPr>
        <w:spacing w:before="120" w:line="360" w:lineRule="auto"/>
        <w:rPr>
          <w:rFonts w:ascii="宋体" w:hAnsi="宋体"/>
          <w:color w:val="auto"/>
          <w:sz w:val="24"/>
          <w:highlight w:val="none"/>
          <w:u w:val="single"/>
        </w:rPr>
      </w:pPr>
      <w:r>
        <w:rPr>
          <w:rFonts w:hint="eastAsia" w:ascii="宋体" w:hAnsi="宋体"/>
          <w:color w:val="auto"/>
          <w:sz w:val="24"/>
          <w:highlight w:val="none"/>
        </w:rPr>
        <w:t>　　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2E5AD29">
      <w:pPr>
        <w:spacing w:before="120" w:line="360" w:lineRule="auto"/>
        <w:rPr>
          <w:rFonts w:ascii="宋体" w:hAnsi="宋体"/>
          <w:color w:val="auto"/>
          <w:sz w:val="24"/>
          <w:highlight w:val="none"/>
          <w:u w:val="single"/>
        </w:rPr>
      </w:pPr>
      <w:r>
        <w:rPr>
          <w:rFonts w:hint="eastAsia" w:ascii="宋体" w:hAnsi="宋体"/>
          <w:color w:val="auto"/>
          <w:sz w:val="24"/>
          <w:highlight w:val="none"/>
        </w:rPr>
        <w:t>　　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开户银行：</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6600131">
      <w:pPr>
        <w:spacing w:line="360" w:lineRule="auto"/>
        <w:rPr>
          <w:rFonts w:hint="eastAsia" w:ascii="宋体" w:hAnsi="宋体"/>
          <w:b/>
          <w:bCs/>
          <w:color w:val="auto"/>
          <w:sz w:val="28"/>
          <w:szCs w:val="28"/>
          <w:highlight w:val="none"/>
        </w:rPr>
      </w:pPr>
      <w:r>
        <w:rPr>
          <w:rFonts w:hint="eastAsia" w:ascii="宋体" w:hAnsi="宋体"/>
          <w:color w:val="auto"/>
          <w:sz w:val="24"/>
          <w:highlight w:val="none"/>
        </w:rPr>
        <w:t>　　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帐　　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61990D7">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合同一般条款</w:t>
      </w:r>
    </w:p>
    <w:p w14:paraId="78F741E2">
      <w:pPr>
        <w:pStyle w:val="5"/>
        <w:tabs>
          <w:tab w:val="left" w:pos="900"/>
        </w:tabs>
        <w:spacing w:line="360" w:lineRule="auto"/>
        <w:rPr>
          <w:rFonts w:hAnsi="宋体"/>
          <w:color w:val="auto"/>
          <w:szCs w:val="24"/>
          <w:highlight w:val="none"/>
        </w:rPr>
      </w:pPr>
      <w:bookmarkStart w:id="829" w:name="_Toc310521908"/>
      <w:bookmarkStart w:id="830" w:name="_Ref467379195"/>
      <w:bookmarkStart w:id="831" w:name="_Toc310195732"/>
      <w:bookmarkStart w:id="832" w:name="_Ref467378499"/>
      <w:bookmarkStart w:id="833" w:name="_Toc329875482"/>
      <w:bookmarkStart w:id="834" w:name="_Toc413930817"/>
      <w:bookmarkStart w:id="835" w:name="_Ref467378404"/>
      <w:bookmarkStart w:id="836" w:name="_Ref467379101"/>
      <w:bookmarkStart w:id="837" w:name="_Ref467379109"/>
      <w:bookmarkStart w:id="838" w:name="_Ref467378463"/>
      <w:bookmarkStart w:id="839" w:name="_Ref467379214"/>
      <w:bookmarkStart w:id="840" w:name="_Ref467379205"/>
      <w:bookmarkStart w:id="841" w:name="_Ref467379225"/>
      <w:bookmarkStart w:id="842" w:name="_Toc487900349"/>
      <w:bookmarkStart w:id="843" w:name="_Ref467379094"/>
      <w:r>
        <w:rPr>
          <w:rFonts w:hint="eastAsia" w:hAnsi="宋体"/>
          <w:color w:val="auto"/>
          <w:szCs w:val="24"/>
          <w:highlight w:val="none"/>
        </w:rPr>
        <w:t>1. 定义</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F90D029">
      <w:pPr>
        <w:tabs>
          <w:tab w:val="left" w:pos="900"/>
        </w:tabs>
        <w:spacing w:line="360" w:lineRule="auto"/>
        <w:rPr>
          <w:rFonts w:ascii="宋体" w:hAnsi="宋体"/>
          <w:color w:val="auto"/>
          <w:sz w:val="24"/>
          <w:highlight w:val="none"/>
        </w:rPr>
      </w:pPr>
      <w:r>
        <w:rPr>
          <w:rFonts w:hint="eastAsia" w:ascii="宋体" w:hAnsi="宋体"/>
          <w:color w:val="auto"/>
          <w:sz w:val="24"/>
          <w:highlight w:val="none"/>
        </w:rPr>
        <w:t>本合同中的下列术语应解释为：</w:t>
      </w:r>
    </w:p>
    <w:p w14:paraId="13D6361B">
      <w:pPr>
        <w:spacing w:before="120" w:line="360" w:lineRule="auto"/>
        <w:rPr>
          <w:rFonts w:ascii="宋体" w:hAnsi="宋体"/>
          <w:color w:val="auto"/>
          <w:sz w:val="24"/>
          <w:highlight w:val="none"/>
        </w:rPr>
      </w:pPr>
      <w:r>
        <w:rPr>
          <w:rFonts w:hint="eastAsia" w:ascii="宋体" w:hAnsi="宋体"/>
          <w:color w:val="auto"/>
          <w:sz w:val="24"/>
          <w:highlight w:val="none"/>
        </w:rPr>
        <w:t>1.1 “合同”系指买卖双方签署的、合同格式中载明的买卖双方所达成的协议，包括所有的附件、附录和构成合同的其它文件。</w:t>
      </w:r>
    </w:p>
    <w:p w14:paraId="02112A2F">
      <w:pPr>
        <w:spacing w:before="120" w:line="360" w:lineRule="auto"/>
        <w:rPr>
          <w:rFonts w:ascii="宋体" w:hAnsi="宋体"/>
          <w:color w:val="auto"/>
          <w:sz w:val="24"/>
          <w:highlight w:val="none"/>
        </w:rPr>
      </w:pPr>
      <w:r>
        <w:rPr>
          <w:rFonts w:hint="eastAsia" w:ascii="宋体" w:hAnsi="宋体"/>
          <w:color w:val="auto"/>
          <w:sz w:val="24"/>
          <w:highlight w:val="none"/>
        </w:rPr>
        <w:t>1.2 “合同价”系指根据合同约定，卖方在完全履行合同义务后买方应付给卖方的价格。</w:t>
      </w:r>
    </w:p>
    <w:p w14:paraId="41A366AB">
      <w:pPr>
        <w:spacing w:before="120" w:line="360" w:lineRule="auto"/>
        <w:rPr>
          <w:rFonts w:ascii="宋体" w:hAnsi="宋体"/>
          <w:color w:val="auto"/>
          <w:sz w:val="24"/>
          <w:highlight w:val="none"/>
        </w:rPr>
      </w:pPr>
      <w:r>
        <w:rPr>
          <w:rFonts w:hint="eastAsia" w:ascii="宋体" w:hAnsi="宋体"/>
          <w:color w:val="auto"/>
          <w:sz w:val="24"/>
          <w:highlight w:val="none"/>
        </w:rPr>
        <w:t>1.3 “货物”系指卖方根据合同约定须向买方提供的一切设备、机械、仪表、备件、工具、手册等其它相关资料。</w:t>
      </w:r>
    </w:p>
    <w:p w14:paraId="04D6D459">
      <w:pPr>
        <w:spacing w:before="120" w:line="360" w:lineRule="auto"/>
        <w:rPr>
          <w:rFonts w:ascii="宋体" w:hAnsi="宋体"/>
          <w:color w:val="auto"/>
          <w:sz w:val="24"/>
          <w:highlight w:val="none"/>
        </w:rPr>
      </w:pPr>
      <w:r>
        <w:rPr>
          <w:rFonts w:hint="eastAsia" w:ascii="宋体" w:hAnsi="宋体"/>
          <w:color w:val="auto"/>
          <w:sz w:val="24"/>
          <w:highlight w:val="none"/>
        </w:rPr>
        <w:t>1.4 “服务”系指根据合同约定卖方承担与供货有关的辅助服务，如运输、保险、及安装、调试、提供技术援助、培训和其他类似的服务。</w:t>
      </w:r>
    </w:p>
    <w:p w14:paraId="512F1775">
      <w:pPr>
        <w:spacing w:before="120" w:line="360" w:lineRule="auto"/>
        <w:rPr>
          <w:rFonts w:ascii="宋体" w:hAnsi="宋体"/>
          <w:color w:val="auto"/>
          <w:sz w:val="24"/>
          <w:highlight w:val="none"/>
        </w:rPr>
      </w:pPr>
      <w:bookmarkStart w:id="844" w:name="_Ref467378840"/>
      <w:r>
        <w:rPr>
          <w:rFonts w:hint="eastAsia" w:ascii="宋体" w:hAnsi="宋体"/>
          <w:color w:val="auto"/>
          <w:sz w:val="24"/>
          <w:highlight w:val="none"/>
        </w:rPr>
        <w:t>1.5 “买方”系指采购人或购买货物的单位。</w:t>
      </w:r>
      <w:bookmarkEnd w:id="844"/>
    </w:p>
    <w:p w14:paraId="3E8D1F4E">
      <w:pPr>
        <w:spacing w:before="120" w:line="360" w:lineRule="auto"/>
        <w:rPr>
          <w:rFonts w:ascii="宋体" w:hAnsi="宋体"/>
          <w:color w:val="auto"/>
          <w:sz w:val="24"/>
          <w:highlight w:val="none"/>
        </w:rPr>
      </w:pPr>
      <w:bookmarkStart w:id="845" w:name="_Ref467379400"/>
      <w:r>
        <w:rPr>
          <w:rFonts w:hint="eastAsia" w:ascii="宋体" w:hAnsi="宋体"/>
          <w:color w:val="auto"/>
          <w:sz w:val="24"/>
          <w:highlight w:val="none"/>
        </w:rPr>
        <w:t>1.6 “卖方”系指根据合同约定提供货物及相关服务的投标人，即中标人。</w:t>
      </w:r>
      <w:bookmarkEnd w:id="845"/>
    </w:p>
    <w:p w14:paraId="664DA387">
      <w:pPr>
        <w:tabs>
          <w:tab w:val="left" w:pos="900"/>
        </w:tabs>
        <w:spacing w:before="120" w:line="360" w:lineRule="auto"/>
        <w:rPr>
          <w:rFonts w:ascii="宋体" w:hAnsi="宋体"/>
          <w:color w:val="auto"/>
          <w:sz w:val="24"/>
          <w:highlight w:val="none"/>
        </w:rPr>
      </w:pPr>
      <w:bookmarkStart w:id="846" w:name="_Ref467379436"/>
      <w:r>
        <w:rPr>
          <w:rFonts w:hint="eastAsia" w:ascii="宋体" w:hAnsi="宋体"/>
          <w:color w:val="auto"/>
          <w:sz w:val="24"/>
          <w:highlight w:val="none"/>
        </w:rPr>
        <w:t>1.7 “现场”系指合同约定货物将要运至和安装的地点。</w:t>
      </w:r>
      <w:bookmarkEnd w:id="846"/>
    </w:p>
    <w:p w14:paraId="1C96DD7F">
      <w:pPr>
        <w:spacing w:before="120" w:line="360" w:lineRule="auto"/>
        <w:rPr>
          <w:rFonts w:ascii="宋体" w:hAnsi="宋体"/>
          <w:color w:val="auto"/>
          <w:sz w:val="24"/>
          <w:highlight w:val="none"/>
        </w:rPr>
      </w:pPr>
      <w:r>
        <w:rPr>
          <w:rFonts w:hint="eastAsia" w:ascii="宋体" w:hAnsi="宋体"/>
          <w:color w:val="auto"/>
          <w:sz w:val="24"/>
          <w:highlight w:val="none"/>
        </w:rPr>
        <w:t>1.8 “验收”系指合同双方依据强制性的国家技术质量规范和合同约定，确认合同项下的货物符合合同规定的活动。</w:t>
      </w:r>
    </w:p>
    <w:p w14:paraId="3E0A0969">
      <w:pPr>
        <w:pStyle w:val="5"/>
        <w:spacing w:line="360" w:lineRule="auto"/>
        <w:rPr>
          <w:rFonts w:hAnsi="宋体"/>
          <w:color w:val="auto"/>
          <w:szCs w:val="24"/>
          <w:highlight w:val="none"/>
        </w:rPr>
      </w:pPr>
      <w:bookmarkStart w:id="847" w:name="_Toc487900350"/>
      <w:bookmarkStart w:id="848" w:name="_Toc310195733"/>
      <w:bookmarkStart w:id="849" w:name="_Toc329875483"/>
      <w:bookmarkStart w:id="850" w:name="_Toc310521909"/>
      <w:bookmarkStart w:id="851" w:name="_Toc413930818"/>
      <w:r>
        <w:rPr>
          <w:rFonts w:hint="eastAsia" w:hAnsi="宋体"/>
          <w:color w:val="auto"/>
          <w:szCs w:val="24"/>
          <w:highlight w:val="none"/>
        </w:rPr>
        <w:t>2．技术规范</w:t>
      </w:r>
      <w:bookmarkEnd w:id="847"/>
      <w:bookmarkEnd w:id="848"/>
      <w:bookmarkEnd w:id="849"/>
      <w:bookmarkEnd w:id="850"/>
      <w:bookmarkEnd w:id="851"/>
    </w:p>
    <w:p w14:paraId="7EA4B68F">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2.1 提交货物的技术规范应与谈判文件规定的技术规范和技术规范附件(如果有的话)及其报价文件的技术规范偏差表(如果被买方接受的话)相一致。若技术规范中无相应说明，则以国家有关部门最新颁布的相应标准及规范为准。</w:t>
      </w:r>
    </w:p>
    <w:p w14:paraId="30E645E4">
      <w:pPr>
        <w:pStyle w:val="5"/>
        <w:spacing w:line="360" w:lineRule="auto"/>
        <w:rPr>
          <w:rFonts w:hAnsi="宋体"/>
          <w:color w:val="auto"/>
          <w:szCs w:val="24"/>
          <w:highlight w:val="none"/>
        </w:rPr>
      </w:pPr>
      <w:bookmarkStart w:id="852" w:name="_Toc413930819"/>
      <w:bookmarkStart w:id="853" w:name="_Toc310521910"/>
      <w:bookmarkStart w:id="854" w:name="_Toc310195734"/>
      <w:bookmarkStart w:id="855" w:name="_Toc487900351"/>
      <w:bookmarkStart w:id="856" w:name="_Toc329875484"/>
      <w:r>
        <w:rPr>
          <w:rFonts w:hint="eastAsia" w:hAnsi="宋体"/>
          <w:color w:val="auto"/>
          <w:szCs w:val="24"/>
          <w:highlight w:val="none"/>
        </w:rPr>
        <w:t>3. 知识产权</w:t>
      </w:r>
      <w:bookmarkEnd w:id="852"/>
      <w:bookmarkEnd w:id="853"/>
      <w:bookmarkEnd w:id="854"/>
      <w:bookmarkEnd w:id="855"/>
      <w:bookmarkEnd w:id="856"/>
    </w:p>
    <w:p w14:paraId="55BC7C9A">
      <w:pPr>
        <w:spacing w:before="120" w:line="360" w:lineRule="auto"/>
        <w:rPr>
          <w:rFonts w:ascii="宋体" w:hAnsi="宋体"/>
          <w:color w:val="auto"/>
          <w:sz w:val="24"/>
          <w:highlight w:val="none"/>
        </w:rPr>
      </w:pPr>
      <w:r>
        <w:rPr>
          <w:rFonts w:hint="eastAsia" w:ascii="宋体" w:hAnsi="宋体"/>
          <w:color w:val="auto"/>
          <w:sz w:val="24"/>
          <w:highlight w:val="none"/>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1C0CB142">
      <w:pPr>
        <w:pStyle w:val="5"/>
        <w:spacing w:line="360" w:lineRule="auto"/>
        <w:rPr>
          <w:rFonts w:hAnsi="宋体"/>
          <w:color w:val="auto"/>
          <w:szCs w:val="24"/>
          <w:highlight w:val="none"/>
        </w:rPr>
      </w:pPr>
      <w:bookmarkStart w:id="857" w:name="_Toc329875485"/>
      <w:bookmarkStart w:id="858" w:name="_Toc413930820"/>
      <w:bookmarkStart w:id="859" w:name="_Toc487900352"/>
      <w:bookmarkStart w:id="860" w:name="_Toc310521911"/>
      <w:bookmarkStart w:id="861" w:name="_Toc310195735"/>
      <w:r>
        <w:rPr>
          <w:rFonts w:hint="eastAsia" w:hAnsi="宋体"/>
          <w:color w:val="auto"/>
          <w:szCs w:val="24"/>
          <w:highlight w:val="none"/>
        </w:rPr>
        <w:t>4. 包装要求</w:t>
      </w:r>
      <w:bookmarkEnd w:id="857"/>
      <w:bookmarkEnd w:id="858"/>
      <w:bookmarkEnd w:id="859"/>
      <w:bookmarkEnd w:id="860"/>
      <w:bookmarkEnd w:id="861"/>
    </w:p>
    <w:p w14:paraId="6DA9319D">
      <w:pPr>
        <w:spacing w:before="120" w:line="360" w:lineRule="auto"/>
        <w:rPr>
          <w:rFonts w:ascii="宋体" w:hAnsi="宋体"/>
          <w:color w:val="auto"/>
          <w:sz w:val="24"/>
          <w:highlight w:val="none"/>
        </w:rPr>
      </w:pPr>
      <w:r>
        <w:rPr>
          <w:rFonts w:hint="eastAsia" w:ascii="宋体" w:hAnsi="宋体"/>
          <w:color w:val="auto"/>
          <w:sz w:val="24"/>
          <w:highlight w:val="none"/>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775B660">
      <w:pPr>
        <w:spacing w:before="120" w:line="360" w:lineRule="auto"/>
        <w:rPr>
          <w:rFonts w:ascii="宋体" w:hAnsi="宋体"/>
          <w:color w:val="auto"/>
          <w:sz w:val="24"/>
          <w:highlight w:val="none"/>
        </w:rPr>
      </w:pPr>
      <w:r>
        <w:rPr>
          <w:rFonts w:hint="eastAsia" w:ascii="宋体" w:hAnsi="宋体"/>
          <w:color w:val="auto"/>
          <w:sz w:val="24"/>
          <w:highlight w:val="none"/>
        </w:rPr>
        <w:t>4.2 每件包装箱内应附一份详细装箱单和质量合格证。</w:t>
      </w:r>
    </w:p>
    <w:p w14:paraId="29593662">
      <w:pPr>
        <w:pStyle w:val="5"/>
        <w:spacing w:line="360" w:lineRule="auto"/>
        <w:rPr>
          <w:rFonts w:hAnsi="宋体"/>
          <w:color w:val="auto"/>
          <w:szCs w:val="24"/>
          <w:highlight w:val="none"/>
        </w:rPr>
      </w:pPr>
      <w:bookmarkStart w:id="862" w:name="_Toc310195736"/>
      <w:bookmarkStart w:id="863" w:name="_Toc329875486"/>
      <w:bookmarkStart w:id="864" w:name="_Toc487900353"/>
      <w:bookmarkStart w:id="865" w:name="_Toc413930821"/>
      <w:bookmarkStart w:id="866" w:name="_Toc310521912"/>
      <w:r>
        <w:rPr>
          <w:rFonts w:hint="eastAsia" w:hAnsi="宋体"/>
          <w:color w:val="auto"/>
          <w:szCs w:val="24"/>
          <w:highlight w:val="none"/>
        </w:rPr>
        <w:t>5. 装运标志</w:t>
      </w:r>
      <w:bookmarkEnd w:id="862"/>
      <w:bookmarkEnd w:id="863"/>
      <w:bookmarkEnd w:id="864"/>
      <w:bookmarkEnd w:id="865"/>
      <w:bookmarkEnd w:id="866"/>
    </w:p>
    <w:p w14:paraId="7D5B268B">
      <w:pPr>
        <w:spacing w:before="120" w:line="360" w:lineRule="auto"/>
        <w:ind w:left="720" w:hanging="720"/>
        <w:rPr>
          <w:rFonts w:ascii="宋体" w:hAnsi="宋体"/>
          <w:color w:val="auto"/>
          <w:sz w:val="24"/>
          <w:highlight w:val="none"/>
        </w:rPr>
      </w:pPr>
      <w:r>
        <w:rPr>
          <w:rFonts w:hint="eastAsia" w:ascii="宋体" w:hAnsi="宋体"/>
          <w:color w:val="auto"/>
          <w:sz w:val="24"/>
          <w:highlight w:val="none"/>
        </w:rPr>
        <w:t>5.1 卖方应在每一包装箱的四侧用不褪色的油漆以醒目的中文字样做出下列标记：</w:t>
      </w:r>
    </w:p>
    <w:p w14:paraId="4794432E">
      <w:pPr>
        <w:spacing w:line="360" w:lineRule="auto"/>
        <w:ind w:left="1276"/>
        <w:rPr>
          <w:rFonts w:ascii="宋体" w:hAnsi="宋体"/>
          <w:color w:val="auto"/>
          <w:sz w:val="24"/>
          <w:highlight w:val="none"/>
        </w:rPr>
      </w:pPr>
      <w:r>
        <w:rPr>
          <w:rFonts w:hint="eastAsia" w:ascii="宋体" w:hAnsi="宋体"/>
          <w:color w:val="auto"/>
          <w:sz w:val="24"/>
          <w:highlight w:val="none"/>
        </w:rPr>
        <w:t>收货人：</w:t>
      </w:r>
    </w:p>
    <w:p w14:paraId="45285130">
      <w:pPr>
        <w:spacing w:line="360" w:lineRule="auto"/>
        <w:ind w:left="1276"/>
        <w:rPr>
          <w:rFonts w:ascii="宋体" w:hAnsi="宋体"/>
          <w:color w:val="auto"/>
          <w:sz w:val="24"/>
          <w:highlight w:val="none"/>
        </w:rPr>
      </w:pPr>
      <w:r>
        <w:rPr>
          <w:rFonts w:hint="eastAsia" w:ascii="宋体" w:hAnsi="宋体"/>
          <w:color w:val="auto"/>
          <w:sz w:val="24"/>
          <w:highlight w:val="none"/>
        </w:rPr>
        <w:t>合同号：</w:t>
      </w:r>
    </w:p>
    <w:p w14:paraId="135BC450">
      <w:pPr>
        <w:spacing w:line="360" w:lineRule="auto"/>
        <w:ind w:left="1276"/>
        <w:rPr>
          <w:rFonts w:ascii="宋体" w:hAnsi="宋体"/>
          <w:color w:val="auto"/>
          <w:sz w:val="24"/>
          <w:highlight w:val="none"/>
        </w:rPr>
      </w:pPr>
      <w:r>
        <w:rPr>
          <w:rFonts w:hint="eastAsia" w:ascii="宋体" w:hAnsi="宋体"/>
          <w:color w:val="auto"/>
          <w:sz w:val="24"/>
          <w:highlight w:val="none"/>
        </w:rPr>
        <w:t>装运标志：</w:t>
      </w:r>
    </w:p>
    <w:p w14:paraId="4704BF48">
      <w:pPr>
        <w:spacing w:line="360" w:lineRule="auto"/>
        <w:ind w:left="1276"/>
        <w:rPr>
          <w:rFonts w:ascii="宋体" w:hAnsi="宋体"/>
          <w:color w:val="auto"/>
          <w:sz w:val="24"/>
          <w:highlight w:val="none"/>
        </w:rPr>
      </w:pPr>
      <w:r>
        <w:rPr>
          <w:rFonts w:hint="eastAsia" w:ascii="宋体" w:hAnsi="宋体"/>
          <w:color w:val="auto"/>
          <w:sz w:val="24"/>
          <w:highlight w:val="none"/>
        </w:rPr>
        <w:t>收货人代号：</w:t>
      </w:r>
    </w:p>
    <w:p w14:paraId="5B8966C0">
      <w:pPr>
        <w:spacing w:line="360" w:lineRule="auto"/>
        <w:ind w:left="1276"/>
        <w:rPr>
          <w:rFonts w:ascii="宋体" w:hAnsi="宋体"/>
          <w:color w:val="auto"/>
          <w:sz w:val="24"/>
          <w:highlight w:val="none"/>
        </w:rPr>
      </w:pPr>
      <w:r>
        <w:rPr>
          <w:rFonts w:hint="eastAsia" w:ascii="宋体" w:hAnsi="宋体"/>
          <w:color w:val="auto"/>
          <w:sz w:val="24"/>
          <w:highlight w:val="none"/>
        </w:rPr>
        <w:t>目的地：</w:t>
      </w:r>
    </w:p>
    <w:p w14:paraId="246ECA95">
      <w:pPr>
        <w:spacing w:line="360" w:lineRule="auto"/>
        <w:ind w:left="1276"/>
        <w:rPr>
          <w:rFonts w:ascii="宋体" w:hAnsi="宋体"/>
          <w:color w:val="auto"/>
          <w:sz w:val="24"/>
          <w:highlight w:val="none"/>
        </w:rPr>
      </w:pPr>
      <w:r>
        <w:rPr>
          <w:rFonts w:hint="eastAsia" w:ascii="宋体" w:hAnsi="宋体"/>
          <w:color w:val="auto"/>
          <w:sz w:val="24"/>
          <w:highlight w:val="none"/>
        </w:rPr>
        <w:t>货物名称、品目号和箱号：</w:t>
      </w:r>
    </w:p>
    <w:p w14:paraId="57D478A6">
      <w:pPr>
        <w:spacing w:line="360" w:lineRule="auto"/>
        <w:ind w:left="1276"/>
        <w:rPr>
          <w:rFonts w:ascii="宋体" w:hAnsi="宋体"/>
          <w:color w:val="auto"/>
          <w:sz w:val="24"/>
          <w:highlight w:val="none"/>
        </w:rPr>
      </w:pPr>
      <w:r>
        <w:rPr>
          <w:rFonts w:hint="eastAsia" w:ascii="宋体" w:hAnsi="宋体"/>
          <w:color w:val="auto"/>
          <w:sz w:val="24"/>
          <w:highlight w:val="none"/>
        </w:rPr>
        <w:t>毛重／净重：</w:t>
      </w:r>
    </w:p>
    <w:p w14:paraId="4D8F67BC">
      <w:pPr>
        <w:spacing w:line="360" w:lineRule="auto"/>
        <w:ind w:left="1276"/>
        <w:rPr>
          <w:rFonts w:ascii="宋体" w:hAnsi="宋体"/>
          <w:color w:val="auto"/>
          <w:sz w:val="24"/>
          <w:highlight w:val="none"/>
        </w:rPr>
      </w:pPr>
      <w:r>
        <w:rPr>
          <w:rFonts w:hint="eastAsia" w:ascii="宋体" w:hAnsi="宋体"/>
          <w:color w:val="auto"/>
          <w:sz w:val="24"/>
          <w:highlight w:val="none"/>
        </w:rPr>
        <w:t>尺寸(长×宽×高以厘米计)：</w:t>
      </w:r>
    </w:p>
    <w:p w14:paraId="4D7CF65A">
      <w:pPr>
        <w:spacing w:before="120" w:line="360" w:lineRule="auto"/>
        <w:rPr>
          <w:rFonts w:ascii="宋体" w:hAnsi="宋体"/>
          <w:color w:val="auto"/>
          <w:sz w:val="24"/>
          <w:highlight w:val="none"/>
        </w:rPr>
      </w:pPr>
      <w:r>
        <w:rPr>
          <w:rFonts w:hint="eastAsia" w:ascii="宋体" w:hAnsi="宋体"/>
          <w:color w:val="auto"/>
          <w:sz w:val="24"/>
          <w:highlight w:val="none"/>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3FB21BE5">
      <w:pPr>
        <w:pStyle w:val="5"/>
        <w:spacing w:line="360" w:lineRule="auto"/>
        <w:rPr>
          <w:rFonts w:hAnsi="宋体"/>
          <w:color w:val="auto"/>
          <w:szCs w:val="24"/>
          <w:highlight w:val="none"/>
        </w:rPr>
      </w:pPr>
      <w:bookmarkStart w:id="867" w:name="_Toc310195737"/>
      <w:bookmarkStart w:id="868" w:name="_Ref467378591"/>
      <w:bookmarkStart w:id="869" w:name="_Toc413930822"/>
      <w:bookmarkStart w:id="870" w:name="_Ref467379527"/>
      <w:bookmarkStart w:id="871" w:name="_Ref467379536"/>
      <w:bookmarkStart w:id="872" w:name="_Toc487900354"/>
      <w:bookmarkStart w:id="873" w:name="_Ref467379542"/>
      <w:bookmarkStart w:id="874" w:name="_Toc310521913"/>
      <w:bookmarkStart w:id="875" w:name="_Ref467378541"/>
      <w:bookmarkStart w:id="876" w:name="_Toc329875487"/>
      <w:r>
        <w:rPr>
          <w:rFonts w:hint="eastAsia" w:hAnsi="宋体"/>
          <w:color w:val="auto"/>
          <w:szCs w:val="24"/>
          <w:highlight w:val="none"/>
        </w:rPr>
        <w:t>6. 交货方式</w:t>
      </w:r>
      <w:bookmarkEnd w:id="867"/>
      <w:bookmarkEnd w:id="868"/>
      <w:bookmarkEnd w:id="869"/>
      <w:bookmarkEnd w:id="870"/>
      <w:bookmarkEnd w:id="871"/>
      <w:bookmarkEnd w:id="872"/>
      <w:bookmarkEnd w:id="873"/>
      <w:bookmarkEnd w:id="874"/>
      <w:bookmarkEnd w:id="875"/>
      <w:bookmarkEnd w:id="876"/>
    </w:p>
    <w:p w14:paraId="52D3BBA0">
      <w:pPr>
        <w:spacing w:before="120" w:line="360" w:lineRule="auto"/>
        <w:rPr>
          <w:rFonts w:ascii="宋体" w:hAnsi="宋体"/>
          <w:color w:val="auto"/>
          <w:sz w:val="24"/>
          <w:highlight w:val="none"/>
        </w:rPr>
      </w:pPr>
      <w:bookmarkStart w:id="877" w:name="_Ref467379657"/>
      <w:r>
        <w:rPr>
          <w:rFonts w:hint="eastAsia" w:ascii="宋体" w:hAnsi="宋体"/>
          <w:color w:val="auto"/>
          <w:sz w:val="24"/>
          <w:highlight w:val="none"/>
        </w:rPr>
        <w:t>6.1 交货方式一般为下列其中一种，具体在合同特殊条款中规定。</w:t>
      </w:r>
      <w:bookmarkEnd w:id="877"/>
    </w:p>
    <w:p w14:paraId="1FD15F8A">
      <w:pPr>
        <w:spacing w:before="120" w:line="360" w:lineRule="auto"/>
        <w:rPr>
          <w:rFonts w:ascii="宋体" w:hAnsi="宋体"/>
          <w:color w:val="auto"/>
          <w:sz w:val="24"/>
          <w:highlight w:val="none"/>
        </w:rPr>
      </w:pPr>
      <w:r>
        <w:rPr>
          <w:rFonts w:hint="eastAsia" w:ascii="宋体" w:hAnsi="宋体"/>
          <w:color w:val="auto"/>
          <w:sz w:val="24"/>
          <w:highlight w:val="none"/>
        </w:rPr>
        <w:t>6.1.1 现场交货：卖方负责办理运输和保险，将货物运抵现场。有关运输和保险的一切费用由卖方承担。所有货物运抵现场的日期为交货日期。</w:t>
      </w:r>
    </w:p>
    <w:p w14:paraId="0FAE70CA">
      <w:pPr>
        <w:spacing w:before="120" w:line="360" w:lineRule="auto"/>
        <w:rPr>
          <w:rFonts w:ascii="宋体" w:hAnsi="宋体"/>
          <w:color w:val="auto"/>
          <w:sz w:val="24"/>
          <w:highlight w:val="none"/>
        </w:rPr>
      </w:pPr>
      <w:r>
        <w:rPr>
          <w:rFonts w:hint="eastAsia" w:ascii="宋体" w:hAnsi="宋体"/>
          <w:color w:val="auto"/>
          <w:sz w:val="24"/>
          <w:highlight w:val="none"/>
        </w:rPr>
        <w:t>6.1.2 工厂交货：由卖方负责代办运输和保险事宜。运输费和保险费由买方承担。运输部门出具收据的日期为交货日期。</w:t>
      </w:r>
    </w:p>
    <w:p w14:paraId="65CA5E2B">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6.1.3 买方自提货物：由买方在合同规定地点自行办理提货。提单日期为交货日期。</w:t>
      </w:r>
    </w:p>
    <w:p w14:paraId="4F371A64">
      <w:pPr>
        <w:spacing w:before="120" w:line="360" w:lineRule="auto"/>
        <w:ind w:left="2"/>
        <w:rPr>
          <w:rFonts w:ascii="宋体" w:hAnsi="宋体"/>
          <w:color w:val="auto"/>
          <w:sz w:val="24"/>
          <w:highlight w:val="none"/>
        </w:rPr>
      </w:pPr>
      <w:r>
        <w:rPr>
          <w:rFonts w:hint="eastAsia" w:ascii="宋体" w:hAnsi="宋体"/>
          <w:color w:val="auto"/>
          <w:sz w:val="24"/>
          <w:highlight w:val="none"/>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143423DF">
      <w:pPr>
        <w:tabs>
          <w:tab w:val="left" w:pos="0"/>
        </w:tabs>
        <w:spacing w:before="120" w:line="360" w:lineRule="auto"/>
        <w:rPr>
          <w:rFonts w:ascii="宋体" w:hAnsi="宋体"/>
          <w:color w:val="auto"/>
          <w:sz w:val="24"/>
          <w:highlight w:val="none"/>
        </w:rPr>
      </w:pPr>
      <w:r>
        <w:rPr>
          <w:rFonts w:hint="eastAsia" w:ascii="宋体" w:hAnsi="宋体"/>
          <w:color w:val="auto"/>
          <w:sz w:val="24"/>
          <w:highlight w:val="none"/>
        </w:rPr>
        <w:t>6.3 在现场交货和工厂交货条件下，卖方装运的货物不应超过合同规定的数量或重量。否则，卖方应对超运部分引起的一切后果负责。</w:t>
      </w:r>
    </w:p>
    <w:p w14:paraId="497C4BB6">
      <w:pPr>
        <w:pStyle w:val="5"/>
        <w:spacing w:line="360" w:lineRule="auto"/>
        <w:rPr>
          <w:rFonts w:hAnsi="宋体"/>
          <w:color w:val="auto"/>
          <w:szCs w:val="24"/>
          <w:highlight w:val="none"/>
        </w:rPr>
      </w:pPr>
      <w:bookmarkStart w:id="878" w:name="_Toc413930823"/>
      <w:bookmarkStart w:id="879" w:name="_Toc329875488"/>
      <w:bookmarkStart w:id="880" w:name="_Toc310521914"/>
      <w:bookmarkStart w:id="881" w:name="_Toc487900355"/>
      <w:bookmarkStart w:id="882" w:name="_Toc310195738"/>
      <w:r>
        <w:rPr>
          <w:rFonts w:hint="eastAsia" w:hAnsi="宋体"/>
          <w:color w:val="auto"/>
          <w:szCs w:val="24"/>
          <w:highlight w:val="none"/>
        </w:rPr>
        <w:t>7. 装运通知</w:t>
      </w:r>
      <w:bookmarkEnd w:id="878"/>
      <w:bookmarkEnd w:id="879"/>
      <w:bookmarkEnd w:id="880"/>
      <w:bookmarkEnd w:id="881"/>
      <w:bookmarkEnd w:id="882"/>
    </w:p>
    <w:p w14:paraId="4EBA54EB">
      <w:pPr>
        <w:spacing w:before="120" w:line="360" w:lineRule="auto"/>
        <w:rPr>
          <w:rFonts w:ascii="宋体" w:hAnsi="宋体"/>
          <w:color w:val="auto"/>
          <w:sz w:val="24"/>
          <w:highlight w:val="none"/>
        </w:rPr>
      </w:pPr>
      <w:r>
        <w:rPr>
          <w:rFonts w:hint="eastAsia" w:ascii="宋体" w:hAnsi="宋体"/>
          <w:color w:val="auto"/>
          <w:sz w:val="24"/>
          <w:highlight w:val="none"/>
        </w:rPr>
        <w:t>7.1 在现场交货和工厂交货条件下的货物，在卖方已通知买方货物已备妥待运输后24小时之内，卖方应将合同号、货名、数量、毛重、总体积(立方米)、发票金额、运输工具名称及装运日期，以电报或传真通知买方。</w:t>
      </w:r>
    </w:p>
    <w:p w14:paraId="716EB602">
      <w:pPr>
        <w:pStyle w:val="255"/>
        <w:spacing w:line="360" w:lineRule="auto"/>
        <w:ind w:left="0" w:firstLine="0"/>
        <w:rPr>
          <w:rFonts w:ascii="宋体" w:hAnsi="宋体"/>
          <w:color w:val="auto"/>
          <w:sz w:val="24"/>
          <w:szCs w:val="24"/>
          <w:highlight w:val="none"/>
        </w:rPr>
      </w:pPr>
      <w:r>
        <w:rPr>
          <w:rFonts w:hint="eastAsia" w:ascii="宋体" w:hAnsi="宋体"/>
          <w:color w:val="auto"/>
          <w:sz w:val="24"/>
          <w:szCs w:val="24"/>
          <w:highlight w:val="none"/>
        </w:rPr>
        <w:t>7.2 如因卖方延误将上述内容用电报或传真通知买方，由此引起的一切后果损失应由卖方负责。</w:t>
      </w:r>
    </w:p>
    <w:p w14:paraId="0D8DE968">
      <w:pPr>
        <w:pStyle w:val="5"/>
        <w:spacing w:line="360" w:lineRule="auto"/>
        <w:rPr>
          <w:rFonts w:hAnsi="宋体"/>
          <w:color w:val="auto"/>
          <w:szCs w:val="24"/>
          <w:highlight w:val="none"/>
        </w:rPr>
      </w:pPr>
      <w:bookmarkStart w:id="883" w:name="_Toc310195739"/>
      <w:bookmarkStart w:id="884" w:name="_Toc487900356"/>
      <w:bookmarkStart w:id="885" w:name="_Toc329875489"/>
      <w:bookmarkStart w:id="886" w:name="_Toc310521915"/>
      <w:bookmarkStart w:id="887" w:name="_Toc413930824"/>
      <w:r>
        <w:rPr>
          <w:rFonts w:hint="eastAsia" w:hAnsi="宋体"/>
          <w:color w:val="auto"/>
          <w:szCs w:val="24"/>
          <w:highlight w:val="none"/>
        </w:rPr>
        <w:t>8. 保险</w:t>
      </w:r>
      <w:bookmarkEnd w:id="883"/>
      <w:bookmarkEnd w:id="884"/>
      <w:bookmarkEnd w:id="885"/>
      <w:bookmarkEnd w:id="886"/>
      <w:bookmarkEnd w:id="887"/>
    </w:p>
    <w:p w14:paraId="739F4D16">
      <w:pPr>
        <w:spacing w:before="120" w:line="360" w:lineRule="auto"/>
        <w:rPr>
          <w:rFonts w:ascii="宋体" w:hAnsi="宋体"/>
          <w:color w:val="auto"/>
          <w:sz w:val="24"/>
          <w:highlight w:val="none"/>
        </w:rPr>
      </w:pPr>
      <w:r>
        <w:rPr>
          <w:rFonts w:hint="eastAsia" w:ascii="宋体" w:hAnsi="宋体"/>
          <w:color w:val="auto"/>
          <w:sz w:val="24"/>
          <w:highlight w:val="none"/>
        </w:rPr>
        <w:t>8.1 如果货物是按现场交货方式或工厂交货方式报价的，由卖方办理保险，按照发票金额的100％办理“一切险”，保险范围包括卖方承诺装运的货物；如果货物是按买方自提货物方式报价的，其保险由买方办理。</w:t>
      </w:r>
    </w:p>
    <w:p w14:paraId="0A822D94">
      <w:pPr>
        <w:pStyle w:val="5"/>
        <w:spacing w:line="360" w:lineRule="auto"/>
        <w:rPr>
          <w:rFonts w:hAnsi="宋体"/>
          <w:color w:val="auto"/>
          <w:szCs w:val="24"/>
          <w:highlight w:val="none"/>
        </w:rPr>
      </w:pPr>
      <w:bookmarkStart w:id="888" w:name="_Toc487900357"/>
      <w:bookmarkStart w:id="889" w:name="_Toc329875490"/>
      <w:bookmarkStart w:id="890" w:name="_Toc413930825"/>
      <w:bookmarkStart w:id="891" w:name="_Toc310521916"/>
      <w:bookmarkStart w:id="892" w:name="_Ref467379807"/>
      <w:bookmarkStart w:id="893" w:name="_Toc310195740"/>
      <w:bookmarkStart w:id="894" w:name="_Ref467379793"/>
      <w:r>
        <w:rPr>
          <w:rFonts w:hint="eastAsia" w:hAnsi="宋体"/>
          <w:color w:val="auto"/>
          <w:szCs w:val="24"/>
          <w:highlight w:val="none"/>
        </w:rPr>
        <w:t>9 付款条件</w:t>
      </w:r>
      <w:bookmarkEnd w:id="888"/>
      <w:bookmarkEnd w:id="889"/>
      <w:bookmarkEnd w:id="890"/>
      <w:bookmarkEnd w:id="891"/>
      <w:bookmarkEnd w:id="892"/>
      <w:bookmarkEnd w:id="893"/>
      <w:bookmarkEnd w:id="894"/>
    </w:p>
    <w:p w14:paraId="467F4F18">
      <w:pPr>
        <w:spacing w:before="120" w:line="360" w:lineRule="auto"/>
        <w:rPr>
          <w:rFonts w:ascii="宋体" w:hAnsi="宋体"/>
          <w:color w:val="auto"/>
          <w:sz w:val="24"/>
          <w:highlight w:val="none"/>
        </w:rPr>
      </w:pPr>
      <w:r>
        <w:rPr>
          <w:rFonts w:hint="eastAsia" w:ascii="宋体" w:hAnsi="宋体"/>
          <w:color w:val="auto"/>
          <w:sz w:val="24"/>
          <w:highlight w:val="none"/>
        </w:rPr>
        <w:t>9.1 付款条件见“合同专用条款”。</w:t>
      </w:r>
    </w:p>
    <w:p w14:paraId="731D4CA2">
      <w:pPr>
        <w:pStyle w:val="5"/>
        <w:spacing w:line="360" w:lineRule="auto"/>
        <w:rPr>
          <w:rFonts w:hAnsi="宋体"/>
          <w:color w:val="auto"/>
          <w:szCs w:val="24"/>
          <w:highlight w:val="none"/>
        </w:rPr>
      </w:pPr>
      <w:bookmarkStart w:id="895" w:name="_Toc329875491"/>
      <w:bookmarkStart w:id="896" w:name="_Ref467379852"/>
      <w:bookmarkStart w:id="897" w:name="_Ref467379863"/>
      <w:bookmarkStart w:id="898" w:name="_Toc310521917"/>
      <w:bookmarkStart w:id="899" w:name="_Toc310195741"/>
      <w:bookmarkStart w:id="900" w:name="_Ref467379923"/>
      <w:bookmarkStart w:id="901" w:name="_Toc413930826"/>
      <w:bookmarkStart w:id="902" w:name="_Toc487900358"/>
      <w:r>
        <w:rPr>
          <w:rFonts w:hint="eastAsia" w:hAnsi="宋体"/>
          <w:color w:val="auto"/>
          <w:szCs w:val="24"/>
          <w:highlight w:val="none"/>
        </w:rPr>
        <w:t>10 .技术资料</w:t>
      </w:r>
      <w:bookmarkEnd w:id="895"/>
      <w:bookmarkEnd w:id="896"/>
      <w:bookmarkEnd w:id="897"/>
      <w:bookmarkEnd w:id="898"/>
      <w:bookmarkEnd w:id="899"/>
      <w:bookmarkEnd w:id="900"/>
      <w:bookmarkEnd w:id="901"/>
      <w:bookmarkEnd w:id="902"/>
    </w:p>
    <w:p w14:paraId="553611FB">
      <w:pPr>
        <w:spacing w:before="120" w:line="360" w:lineRule="auto"/>
        <w:rPr>
          <w:rFonts w:ascii="宋体" w:hAnsi="宋体"/>
          <w:color w:val="auto"/>
          <w:sz w:val="24"/>
          <w:highlight w:val="none"/>
        </w:rPr>
      </w:pPr>
      <w:r>
        <w:rPr>
          <w:rFonts w:hint="eastAsia" w:ascii="宋体" w:hAnsi="宋体"/>
          <w:color w:val="auto"/>
          <w:sz w:val="24"/>
          <w:highlight w:val="none"/>
        </w:rPr>
        <w:t>10.1 合同项下技术资料(除合同特殊条款规定外)将以下列方式交付：</w:t>
      </w:r>
    </w:p>
    <w:p w14:paraId="5D40641A">
      <w:pPr>
        <w:spacing w:before="120" w:line="360" w:lineRule="auto"/>
        <w:rPr>
          <w:rFonts w:ascii="宋体" w:hAnsi="宋体"/>
          <w:color w:val="auto"/>
          <w:sz w:val="24"/>
          <w:highlight w:val="none"/>
        </w:rPr>
      </w:pPr>
      <w:r>
        <w:rPr>
          <w:rFonts w:hint="eastAsia" w:ascii="宋体" w:hAnsi="宋体"/>
          <w:color w:val="auto"/>
          <w:sz w:val="24"/>
          <w:highlight w:val="none"/>
        </w:rPr>
        <w:t>合同生效后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 xml:space="preserve">0 </w:t>
      </w:r>
      <w:r>
        <w:rPr>
          <w:rFonts w:hint="eastAsia" w:ascii="宋体" w:hAnsi="宋体"/>
          <w:color w:val="auto"/>
          <w:sz w:val="24"/>
          <w:highlight w:val="none"/>
        </w:rPr>
        <w:t>天之内，卖方应将货物的中文技术资料一套，如目录索引、图纸、操作手册、使用指南、维修指南和／或服务手册和示意图寄给买方。</w:t>
      </w:r>
    </w:p>
    <w:p w14:paraId="72EEE75A">
      <w:pPr>
        <w:spacing w:before="120" w:line="360" w:lineRule="auto"/>
        <w:rPr>
          <w:rFonts w:ascii="宋体" w:hAnsi="宋体"/>
          <w:color w:val="auto"/>
          <w:sz w:val="24"/>
          <w:highlight w:val="none"/>
        </w:rPr>
      </w:pPr>
      <w:r>
        <w:rPr>
          <w:rFonts w:hint="eastAsia" w:ascii="宋体" w:hAnsi="宋体"/>
          <w:color w:val="auto"/>
          <w:sz w:val="24"/>
          <w:highlight w:val="none"/>
        </w:rPr>
        <w:t>10.2 另外一套完整的上述资料应包装好随同每批货物一起发运。</w:t>
      </w:r>
    </w:p>
    <w:p w14:paraId="1E2D4FD8">
      <w:pPr>
        <w:spacing w:before="120" w:line="360" w:lineRule="auto"/>
        <w:rPr>
          <w:rFonts w:ascii="宋体" w:hAnsi="宋体"/>
          <w:color w:val="auto"/>
          <w:sz w:val="24"/>
          <w:highlight w:val="none"/>
        </w:rPr>
      </w:pPr>
      <w:r>
        <w:rPr>
          <w:rFonts w:hint="eastAsia" w:ascii="宋体" w:hAnsi="宋体"/>
          <w:color w:val="auto"/>
          <w:sz w:val="24"/>
          <w:highlight w:val="none"/>
        </w:rPr>
        <w:t>10.3 如果买方确认卖方提供的技术资料不完整或在运输过程中丢失，卖方将在收到买方通知后</w:t>
      </w:r>
      <w:r>
        <w:rPr>
          <w:rFonts w:hint="eastAsia" w:ascii="宋体" w:hAnsi="宋体"/>
          <w:color w:val="auto"/>
          <w:sz w:val="24"/>
          <w:highlight w:val="none"/>
          <w:u w:val="single"/>
        </w:rPr>
        <w:t xml:space="preserve"> 3 </w:t>
      </w:r>
      <w:r>
        <w:rPr>
          <w:rFonts w:hint="eastAsia" w:ascii="宋体" w:hAnsi="宋体"/>
          <w:color w:val="auto"/>
          <w:sz w:val="24"/>
          <w:highlight w:val="none"/>
        </w:rPr>
        <w:t>天内将这些资料免费寄给买方。</w:t>
      </w:r>
    </w:p>
    <w:p w14:paraId="34052C2C">
      <w:pPr>
        <w:pStyle w:val="5"/>
        <w:spacing w:line="360" w:lineRule="auto"/>
        <w:rPr>
          <w:rFonts w:hAnsi="宋体"/>
          <w:color w:val="auto"/>
          <w:szCs w:val="24"/>
          <w:highlight w:val="none"/>
        </w:rPr>
      </w:pPr>
      <w:bookmarkStart w:id="903" w:name="_Toc487900359"/>
      <w:bookmarkStart w:id="904" w:name="_Toc413930827"/>
      <w:bookmarkStart w:id="905" w:name="_Toc329875492"/>
      <w:bookmarkStart w:id="906" w:name="_Ref467377798"/>
      <w:bookmarkStart w:id="907" w:name="_Toc310195742"/>
      <w:bookmarkStart w:id="908" w:name="_Ref467379937"/>
      <w:bookmarkStart w:id="909" w:name="_Ref467377962"/>
      <w:bookmarkStart w:id="910" w:name="_Toc310521918"/>
      <w:bookmarkStart w:id="911" w:name="_Ref467379946"/>
      <w:r>
        <w:rPr>
          <w:rFonts w:hint="eastAsia" w:hAnsi="宋体"/>
          <w:color w:val="auto"/>
          <w:szCs w:val="24"/>
          <w:highlight w:val="none"/>
        </w:rPr>
        <w:t>11. 质量保证</w:t>
      </w:r>
      <w:bookmarkEnd w:id="903"/>
      <w:bookmarkEnd w:id="904"/>
      <w:bookmarkEnd w:id="905"/>
      <w:bookmarkEnd w:id="906"/>
      <w:bookmarkEnd w:id="907"/>
      <w:bookmarkEnd w:id="908"/>
      <w:bookmarkEnd w:id="909"/>
      <w:bookmarkEnd w:id="910"/>
      <w:bookmarkEnd w:id="911"/>
    </w:p>
    <w:p w14:paraId="5C6BBED7">
      <w:pPr>
        <w:spacing w:line="360" w:lineRule="auto"/>
        <w:rPr>
          <w:rFonts w:ascii="宋体" w:hAnsi="宋体"/>
          <w:color w:val="auto"/>
          <w:sz w:val="24"/>
          <w:highlight w:val="none"/>
        </w:rPr>
      </w:pPr>
      <w:r>
        <w:rPr>
          <w:rFonts w:hint="eastAsia" w:ascii="宋体" w:hAnsi="宋体"/>
          <w:color w:val="auto"/>
          <w:sz w:val="24"/>
          <w:highlight w:val="none"/>
        </w:rPr>
        <w:t>11.1 卖方应保证货物是全新、未使用过的，并完全符合强制性的国家技术质量规范和合同规定的质量、规格、性能和技术规范等的要求。</w:t>
      </w:r>
    </w:p>
    <w:p w14:paraId="78A050D3">
      <w:pPr>
        <w:spacing w:line="360" w:lineRule="auto"/>
        <w:rPr>
          <w:rFonts w:ascii="宋体" w:hAnsi="宋体"/>
          <w:color w:val="auto"/>
          <w:sz w:val="24"/>
          <w:highlight w:val="none"/>
        </w:rPr>
      </w:pPr>
      <w:r>
        <w:rPr>
          <w:rFonts w:hint="eastAsia" w:ascii="宋体" w:hAnsi="宋体"/>
          <w:color w:val="auto"/>
          <w:sz w:val="24"/>
          <w:highlight w:val="none"/>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5611F472">
      <w:pPr>
        <w:spacing w:before="120" w:line="360" w:lineRule="auto"/>
        <w:rPr>
          <w:rFonts w:ascii="宋体" w:hAnsi="宋体"/>
          <w:color w:val="auto"/>
          <w:sz w:val="24"/>
          <w:highlight w:val="none"/>
        </w:rPr>
      </w:pPr>
      <w:r>
        <w:rPr>
          <w:rFonts w:hint="eastAsia" w:ascii="宋体" w:hAnsi="宋体"/>
          <w:color w:val="auto"/>
          <w:sz w:val="24"/>
          <w:highlight w:val="none"/>
        </w:rPr>
        <w:t xml:space="preserve">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 </w:t>
      </w:r>
      <w:r>
        <w:rPr>
          <w:rFonts w:hint="eastAsia" w:ascii="宋体" w:hAnsi="宋体"/>
          <w:color w:val="auto"/>
          <w:sz w:val="24"/>
          <w:highlight w:val="none"/>
          <w:u w:val="single"/>
        </w:rPr>
        <w:t>7</w:t>
      </w:r>
      <w:r>
        <w:rPr>
          <w:rFonts w:hint="eastAsia" w:ascii="宋体" w:hAnsi="宋体"/>
          <w:color w:val="auto"/>
          <w:sz w:val="24"/>
          <w:highlight w:val="none"/>
        </w:rPr>
        <w:t>天内应免费维修或更换有缺陷的货物或部件。</w:t>
      </w:r>
    </w:p>
    <w:p w14:paraId="32F008D5">
      <w:pPr>
        <w:spacing w:before="120" w:line="360" w:lineRule="auto"/>
        <w:rPr>
          <w:rFonts w:ascii="宋体" w:hAnsi="宋体"/>
          <w:color w:val="auto"/>
          <w:sz w:val="24"/>
          <w:highlight w:val="none"/>
        </w:rPr>
      </w:pPr>
      <w:r>
        <w:rPr>
          <w:rFonts w:hint="eastAsia" w:ascii="宋体" w:hAnsi="宋体"/>
          <w:color w:val="auto"/>
          <w:sz w:val="24"/>
          <w:highlight w:val="none"/>
        </w:rPr>
        <w:t>11.4 如果卖方在收到通知后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天内没有弥补缺陷，买方可采取必要的补救措施，但由此引发的风险和费用将由卖方承担。</w:t>
      </w:r>
    </w:p>
    <w:p w14:paraId="515A1072">
      <w:pPr>
        <w:spacing w:before="120" w:line="360" w:lineRule="auto"/>
        <w:rPr>
          <w:rFonts w:ascii="宋体" w:hAnsi="宋体"/>
          <w:b/>
          <w:color w:val="auto"/>
          <w:sz w:val="24"/>
          <w:highlight w:val="none"/>
        </w:rPr>
      </w:pPr>
      <w:r>
        <w:rPr>
          <w:rFonts w:hint="eastAsia" w:ascii="宋体" w:hAnsi="宋体"/>
          <w:color w:val="auto"/>
          <w:sz w:val="24"/>
          <w:highlight w:val="none"/>
        </w:rPr>
        <w:t>11.5 合同项下货物的质量保证期为自货物通过最终验收起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个月。</w:t>
      </w:r>
      <w:r>
        <w:rPr>
          <w:rFonts w:hint="eastAsia" w:ascii="宋体" w:hAnsi="宋体"/>
          <w:b/>
          <w:color w:val="auto"/>
          <w:sz w:val="24"/>
          <w:highlight w:val="none"/>
        </w:rPr>
        <w:t>详见合同专用条款.</w:t>
      </w:r>
    </w:p>
    <w:p w14:paraId="3DF49237">
      <w:pPr>
        <w:pStyle w:val="5"/>
        <w:spacing w:line="360" w:lineRule="auto"/>
        <w:rPr>
          <w:rFonts w:hAnsi="宋体"/>
          <w:color w:val="auto"/>
          <w:szCs w:val="24"/>
          <w:highlight w:val="none"/>
        </w:rPr>
      </w:pPr>
      <w:bookmarkStart w:id="912" w:name="_Toc487900360"/>
      <w:bookmarkStart w:id="913" w:name="_Ref467378018"/>
      <w:bookmarkStart w:id="914" w:name="_Toc310195743"/>
      <w:bookmarkStart w:id="915" w:name="_Toc413930828"/>
      <w:bookmarkStart w:id="916" w:name="_Toc310521919"/>
      <w:bookmarkStart w:id="917" w:name="_Toc329875493"/>
      <w:r>
        <w:rPr>
          <w:rFonts w:hint="eastAsia" w:hAnsi="宋体"/>
          <w:color w:val="auto"/>
          <w:szCs w:val="24"/>
          <w:highlight w:val="none"/>
        </w:rPr>
        <w:t>12. 检验</w:t>
      </w:r>
      <w:bookmarkEnd w:id="912"/>
      <w:bookmarkEnd w:id="913"/>
      <w:r>
        <w:rPr>
          <w:rFonts w:hint="eastAsia" w:hAnsi="宋体"/>
          <w:color w:val="auto"/>
          <w:szCs w:val="24"/>
          <w:highlight w:val="none"/>
        </w:rPr>
        <w:t>和验收</w:t>
      </w:r>
      <w:bookmarkEnd w:id="914"/>
      <w:bookmarkEnd w:id="915"/>
      <w:bookmarkEnd w:id="916"/>
      <w:bookmarkEnd w:id="917"/>
    </w:p>
    <w:p w14:paraId="79284963">
      <w:pPr>
        <w:spacing w:before="120" w:line="360" w:lineRule="auto"/>
        <w:rPr>
          <w:rFonts w:ascii="宋体" w:hAnsi="宋体"/>
          <w:color w:val="auto"/>
          <w:sz w:val="24"/>
          <w:highlight w:val="none"/>
        </w:rPr>
      </w:pPr>
      <w:r>
        <w:rPr>
          <w:rFonts w:hint="eastAsia" w:ascii="宋体" w:hAnsi="宋体"/>
          <w:color w:val="auto"/>
          <w:sz w:val="24"/>
          <w:highlight w:val="none"/>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312D5E85">
      <w:pPr>
        <w:spacing w:before="120" w:line="360" w:lineRule="auto"/>
        <w:rPr>
          <w:rFonts w:ascii="宋体" w:hAnsi="宋体"/>
          <w:color w:val="auto"/>
          <w:sz w:val="24"/>
          <w:highlight w:val="none"/>
        </w:rPr>
      </w:pPr>
      <w:r>
        <w:rPr>
          <w:rFonts w:hint="eastAsia" w:ascii="宋体" w:hAnsi="宋体"/>
          <w:color w:val="auto"/>
          <w:sz w:val="24"/>
          <w:highlight w:val="none"/>
        </w:rPr>
        <w:t>12.2 货物运抵现场后，买方应在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0  </w:t>
      </w:r>
      <w:r>
        <w:rPr>
          <w:rFonts w:hint="eastAsia" w:ascii="宋体" w:hAnsi="宋体"/>
          <w:color w:val="auto"/>
          <w:sz w:val="24"/>
          <w:highlight w:val="none"/>
        </w:rPr>
        <w:t>日内组织验收，并制作验收备忘录，签署验收意见并报政府采购监督管理部门备案。</w:t>
      </w:r>
    </w:p>
    <w:p w14:paraId="0802084A">
      <w:pPr>
        <w:spacing w:line="360" w:lineRule="auto"/>
        <w:ind w:left="1"/>
        <w:rPr>
          <w:rFonts w:ascii="宋体" w:hAnsi="宋体"/>
          <w:color w:val="auto"/>
          <w:sz w:val="24"/>
          <w:highlight w:val="none"/>
        </w:rPr>
      </w:pPr>
      <w:r>
        <w:rPr>
          <w:rFonts w:hint="eastAsia" w:ascii="宋体" w:hAnsi="宋体"/>
          <w:color w:val="auto"/>
          <w:sz w:val="24"/>
          <w:highlight w:val="none"/>
        </w:rPr>
        <w:t>12.3 如果任何被检验或测试的货物不能满足规格的要求，买方可以拒绝接受该货物，卖方应更换被拒绝的货物，或者免费进行必要的修改以满足规格的要求。</w:t>
      </w:r>
    </w:p>
    <w:p w14:paraId="228360AD">
      <w:pPr>
        <w:spacing w:before="120" w:line="360" w:lineRule="auto"/>
        <w:rPr>
          <w:rFonts w:ascii="宋体" w:hAnsi="宋体"/>
          <w:color w:val="auto"/>
          <w:sz w:val="24"/>
          <w:highlight w:val="none"/>
        </w:rPr>
      </w:pPr>
      <w:r>
        <w:rPr>
          <w:rFonts w:hint="eastAsia" w:ascii="宋体" w:hAnsi="宋体"/>
          <w:color w:val="auto"/>
          <w:sz w:val="24"/>
          <w:highlight w:val="none"/>
        </w:rPr>
        <w:t>12.4 买方有在货物制造过程中派人员监造的权利, 卖方有义务为买方监造人员行使该权利提供方便。</w:t>
      </w:r>
    </w:p>
    <w:p w14:paraId="44E85A1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12.5 制造厂对所供货物进行机械运转试验和性能试验时，必须提前通知买方。</w:t>
      </w:r>
    </w:p>
    <w:p w14:paraId="5BDFF4C6">
      <w:pPr>
        <w:pStyle w:val="5"/>
        <w:spacing w:line="360" w:lineRule="auto"/>
        <w:rPr>
          <w:rFonts w:hAnsi="宋体"/>
          <w:color w:val="auto"/>
          <w:szCs w:val="24"/>
          <w:highlight w:val="none"/>
        </w:rPr>
      </w:pPr>
      <w:bookmarkStart w:id="918" w:name="_Toc329875494"/>
      <w:bookmarkStart w:id="919" w:name="_Toc310521920"/>
      <w:bookmarkStart w:id="920" w:name="_Toc310195744"/>
      <w:bookmarkStart w:id="921" w:name="_Toc487900361"/>
      <w:bookmarkStart w:id="922" w:name="_Toc413930829"/>
      <w:r>
        <w:rPr>
          <w:rFonts w:hint="eastAsia" w:hAnsi="宋体"/>
          <w:color w:val="auto"/>
          <w:szCs w:val="24"/>
          <w:highlight w:val="none"/>
        </w:rPr>
        <w:t>13. 索赔</w:t>
      </w:r>
      <w:bookmarkEnd w:id="918"/>
      <w:bookmarkEnd w:id="919"/>
      <w:bookmarkEnd w:id="920"/>
      <w:bookmarkEnd w:id="921"/>
      <w:bookmarkEnd w:id="922"/>
    </w:p>
    <w:p w14:paraId="1F5B5B41">
      <w:pPr>
        <w:spacing w:before="120" w:line="360" w:lineRule="auto"/>
        <w:rPr>
          <w:rFonts w:ascii="宋体" w:hAnsi="宋体"/>
          <w:color w:val="auto"/>
          <w:sz w:val="24"/>
          <w:highlight w:val="none"/>
        </w:rPr>
      </w:pPr>
      <w:r>
        <w:rPr>
          <w:rFonts w:hint="eastAsia" w:ascii="宋体" w:hAnsi="宋体"/>
          <w:color w:val="auto"/>
          <w:sz w:val="24"/>
          <w:highlight w:val="none"/>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04DA443E">
      <w:pPr>
        <w:spacing w:before="120" w:line="360" w:lineRule="auto"/>
        <w:rPr>
          <w:rFonts w:ascii="宋体" w:hAnsi="宋体"/>
          <w:color w:val="auto"/>
          <w:sz w:val="24"/>
          <w:highlight w:val="none"/>
        </w:rPr>
      </w:pPr>
      <w:bookmarkStart w:id="923" w:name="_Ref467378076"/>
      <w:r>
        <w:rPr>
          <w:rFonts w:hint="eastAsia" w:ascii="宋体" w:hAnsi="宋体"/>
          <w:color w:val="auto"/>
          <w:sz w:val="24"/>
          <w:highlight w:val="none"/>
        </w:rPr>
        <w:t>13.2 在根据合同第11条和第12条规定的检验期和质量保证期内，如果卖方对买方提出的索赔负有责任，卖方应按照买方同意的下列一种或多种方式解决索赔事宜：</w:t>
      </w:r>
      <w:bookmarkEnd w:id="923"/>
    </w:p>
    <w:p w14:paraId="163E8EB5">
      <w:pPr>
        <w:spacing w:before="120" w:line="360" w:lineRule="auto"/>
        <w:rPr>
          <w:rFonts w:ascii="宋体" w:hAnsi="宋体"/>
          <w:color w:val="auto"/>
          <w:sz w:val="24"/>
          <w:highlight w:val="none"/>
        </w:rPr>
      </w:pPr>
      <w:r>
        <w:rPr>
          <w:rFonts w:hint="eastAsia" w:ascii="宋体" w:hAnsi="宋体"/>
          <w:color w:val="auto"/>
          <w:sz w:val="24"/>
          <w:highlight w:val="none"/>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C8C839">
      <w:pPr>
        <w:spacing w:before="120" w:line="360" w:lineRule="auto"/>
        <w:rPr>
          <w:rFonts w:ascii="宋体" w:hAnsi="宋体"/>
          <w:color w:val="auto"/>
          <w:sz w:val="24"/>
          <w:highlight w:val="none"/>
        </w:rPr>
      </w:pPr>
      <w:r>
        <w:rPr>
          <w:rFonts w:hint="eastAsia" w:ascii="宋体" w:hAnsi="宋体"/>
          <w:color w:val="auto"/>
          <w:sz w:val="24"/>
          <w:highlight w:val="none"/>
        </w:rPr>
        <w:t>13.2.2 根据货物低劣程度、损坏程度以及买方所遭受损失的数额，经买卖双方商定降低货物的价格，或由有权的部门评估，以降低后的价格或评估价格为准。</w:t>
      </w:r>
    </w:p>
    <w:p w14:paraId="34D55D41">
      <w:pPr>
        <w:spacing w:before="120" w:line="360" w:lineRule="auto"/>
        <w:rPr>
          <w:rFonts w:ascii="宋体" w:hAnsi="宋体"/>
          <w:color w:val="auto"/>
          <w:sz w:val="24"/>
          <w:highlight w:val="none"/>
        </w:rPr>
      </w:pPr>
      <w:r>
        <w:rPr>
          <w:rFonts w:hint="eastAsia" w:ascii="宋体" w:hAnsi="宋体"/>
          <w:color w:val="auto"/>
          <w:sz w:val="24"/>
          <w:highlight w:val="none"/>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13866071">
      <w:pPr>
        <w:spacing w:before="120" w:line="360" w:lineRule="auto"/>
        <w:rPr>
          <w:rFonts w:ascii="宋体" w:hAnsi="宋体"/>
          <w:color w:val="auto"/>
          <w:sz w:val="24"/>
          <w:highlight w:val="none"/>
        </w:rPr>
      </w:pPr>
      <w:r>
        <w:rPr>
          <w:rFonts w:hint="eastAsia" w:ascii="宋体" w:hAnsi="宋体"/>
          <w:color w:val="auto"/>
          <w:sz w:val="24"/>
          <w:highlight w:val="none"/>
        </w:rPr>
        <w:t>13.3 如果在买方发出索赔通知后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天内，卖方未作答复，上述索赔应视为已被卖方接受。如卖方未能在买方提出索赔通知后</w:t>
      </w:r>
      <w:r>
        <w:rPr>
          <w:rFonts w:hint="eastAsia" w:ascii="宋体" w:hAnsi="宋体"/>
          <w:color w:val="auto"/>
          <w:sz w:val="24"/>
          <w:highlight w:val="none"/>
          <w:u w:val="single"/>
        </w:rPr>
        <w:t xml:space="preserve"> 7 </w:t>
      </w:r>
      <w:r>
        <w:rPr>
          <w:rFonts w:hint="eastAsia" w:ascii="宋体" w:hAnsi="宋体"/>
          <w:color w:val="auto"/>
          <w:sz w:val="24"/>
          <w:highlight w:val="none"/>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31EEA8CF">
      <w:pPr>
        <w:pStyle w:val="5"/>
        <w:spacing w:line="360" w:lineRule="auto"/>
        <w:rPr>
          <w:rFonts w:hAnsi="宋体"/>
          <w:color w:val="auto"/>
          <w:szCs w:val="24"/>
          <w:highlight w:val="none"/>
        </w:rPr>
      </w:pPr>
      <w:bookmarkStart w:id="924" w:name="_Toc310521921"/>
      <w:bookmarkStart w:id="925" w:name="_Toc310195745"/>
      <w:bookmarkStart w:id="926" w:name="_Toc413930830"/>
      <w:bookmarkStart w:id="927" w:name="_Toc329875495"/>
      <w:bookmarkStart w:id="928" w:name="_Toc487900362"/>
      <w:r>
        <w:rPr>
          <w:rFonts w:hint="eastAsia" w:hAnsi="宋体"/>
          <w:color w:val="auto"/>
          <w:szCs w:val="24"/>
          <w:highlight w:val="none"/>
        </w:rPr>
        <w:t>14. 迟延交货</w:t>
      </w:r>
      <w:bookmarkEnd w:id="924"/>
      <w:bookmarkEnd w:id="925"/>
      <w:bookmarkEnd w:id="926"/>
      <w:bookmarkEnd w:id="927"/>
      <w:bookmarkEnd w:id="928"/>
    </w:p>
    <w:p w14:paraId="348AB15C">
      <w:pPr>
        <w:spacing w:before="120" w:line="360" w:lineRule="auto"/>
        <w:ind w:left="901" w:hanging="960"/>
        <w:rPr>
          <w:rFonts w:ascii="宋体" w:hAnsi="宋体"/>
          <w:color w:val="auto"/>
          <w:sz w:val="24"/>
          <w:highlight w:val="none"/>
        </w:rPr>
      </w:pPr>
      <w:r>
        <w:rPr>
          <w:rFonts w:hint="eastAsia" w:ascii="宋体" w:hAnsi="宋体"/>
          <w:color w:val="auto"/>
          <w:sz w:val="24"/>
          <w:highlight w:val="none"/>
        </w:rPr>
        <w:t>14.1 卖方应按照“货物需求一览表及技术规格”中买方规定的时间表交货和提供服务。</w:t>
      </w:r>
    </w:p>
    <w:p w14:paraId="77FB03E3">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14.2 如果卖方无正当理由迟延交货，买方有权提出违约损失赔偿或解除合同。</w:t>
      </w:r>
    </w:p>
    <w:p w14:paraId="13F51934">
      <w:pPr>
        <w:spacing w:before="120" w:line="360" w:lineRule="auto"/>
        <w:rPr>
          <w:rFonts w:ascii="宋体" w:hAnsi="宋体"/>
          <w:color w:val="auto"/>
          <w:sz w:val="24"/>
          <w:highlight w:val="none"/>
        </w:rPr>
      </w:pPr>
      <w:r>
        <w:rPr>
          <w:rFonts w:hint="eastAsia" w:ascii="宋体" w:hAnsi="宋体"/>
          <w:color w:val="auto"/>
          <w:sz w:val="24"/>
          <w:highlight w:val="none"/>
        </w:rPr>
        <w:t>14.3 在履行合同过程中，如果卖方遇到不能按时交货和提供服务的情况，应及时以书面形式将不能按时交货的理由、预期延误时间通知买方。买方收到卖方通知后，认为其理由正当的，可酌情延长交货时间。</w:t>
      </w:r>
    </w:p>
    <w:p w14:paraId="6BF216D1">
      <w:pPr>
        <w:pStyle w:val="5"/>
        <w:spacing w:line="360" w:lineRule="auto"/>
        <w:rPr>
          <w:rFonts w:hAnsi="宋体"/>
          <w:color w:val="auto"/>
          <w:szCs w:val="24"/>
          <w:highlight w:val="none"/>
        </w:rPr>
      </w:pPr>
      <w:bookmarkStart w:id="929" w:name="_Toc487900363"/>
      <w:bookmarkStart w:id="930" w:name="_Toc413930831"/>
      <w:bookmarkStart w:id="931" w:name="_Toc310195746"/>
      <w:bookmarkStart w:id="932" w:name="_Toc329875496"/>
      <w:bookmarkStart w:id="933" w:name="_Toc310521922"/>
      <w:r>
        <w:rPr>
          <w:rFonts w:hint="eastAsia" w:hAnsi="宋体"/>
          <w:color w:val="auto"/>
          <w:szCs w:val="24"/>
          <w:highlight w:val="none"/>
        </w:rPr>
        <w:t>15. 违约赔偿</w:t>
      </w:r>
      <w:bookmarkEnd w:id="929"/>
      <w:bookmarkEnd w:id="930"/>
      <w:bookmarkEnd w:id="931"/>
      <w:bookmarkEnd w:id="932"/>
      <w:bookmarkEnd w:id="933"/>
    </w:p>
    <w:p w14:paraId="662880F4">
      <w:pPr>
        <w:spacing w:before="120" w:line="360" w:lineRule="auto"/>
        <w:rPr>
          <w:rFonts w:ascii="宋体" w:hAnsi="宋体"/>
          <w:color w:val="auto"/>
          <w:sz w:val="24"/>
          <w:highlight w:val="none"/>
        </w:rPr>
      </w:pPr>
      <w:r>
        <w:rPr>
          <w:rFonts w:hint="eastAsia" w:ascii="宋体" w:hAnsi="宋体"/>
          <w:color w:val="auto"/>
          <w:sz w:val="24"/>
          <w:highlight w:val="none"/>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w:t>
      </w:r>
      <w:r>
        <w:rPr>
          <w:rFonts w:hint="eastAsia" w:ascii="宋体" w:hAnsi="宋体"/>
          <w:color w:val="auto"/>
          <w:sz w:val="24"/>
          <w:highlight w:val="none"/>
          <w:lang w:val="en-US" w:eastAsia="zh-CN"/>
        </w:rPr>
        <w:t>10</w:t>
      </w:r>
      <w:r>
        <w:rPr>
          <w:rFonts w:hint="eastAsia" w:ascii="宋体" w:hAnsi="宋体"/>
          <w:color w:val="auto"/>
          <w:sz w:val="24"/>
          <w:highlight w:val="none"/>
        </w:rPr>
        <w:t>%。一周按7天计算，不足7天按一周计算。如果达到最高限额，买方有权解除合同。</w:t>
      </w:r>
    </w:p>
    <w:p w14:paraId="2D216242">
      <w:pPr>
        <w:pStyle w:val="5"/>
        <w:spacing w:line="360" w:lineRule="auto"/>
        <w:rPr>
          <w:rFonts w:hAnsi="宋体"/>
          <w:color w:val="auto"/>
          <w:szCs w:val="24"/>
          <w:highlight w:val="none"/>
        </w:rPr>
      </w:pPr>
      <w:bookmarkStart w:id="934" w:name="_Toc487900364"/>
      <w:bookmarkStart w:id="935" w:name="_Toc413930832"/>
      <w:bookmarkStart w:id="936" w:name="_Toc310195747"/>
      <w:bookmarkStart w:id="937" w:name="_Ref467378121"/>
      <w:bookmarkStart w:id="938" w:name="_Toc310521923"/>
      <w:bookmarkStart w:id="939" w:name="_Toc329875497"/>
      <w:r>
        <w:rPr>
          <w:rFonts w:hint="eastAsia" w:hAnsi="宋体"/>
          <w:color w:val="auto"/>
          <w:szCs w:val="24"/>
          <w:highlight w:val="none"/>
        </w:rPr>
        <w:t>16. 不可抗力</w:t>
      </w:r>
      <w:bookmarkEnd w:id="934"/>
      <w:bookmarkEnd w:id="935"/>
      <w:bookmarkEnd w:id="936"/>
      <w:bookmarkEnd w:id="937"/>
      <w:bookmarkEnd w:id="938"/>
      <w:bookmarkEnd w:id="939"/>
    </w:p>
    <w:p w14:paraId="1A569A0E">
      <w:pPr>
        <w:spacing w:before="120" w:line="360" w:lineRule="auto"/>
        <w:rPr>
          <w:rFonts w:ascii="宋体" w:hAnsi="宋体"/>
          <w:color w:val="auto"/>
          <w:sz w:val="24"/>
          <w:highlight w:val="none"/>
        </w:rPr>
      </w:pPr>
      <w:r>
        <w:rPr>
          <w:rFonts w:hint="eastAsia" w:ascii="宋体" w:hAnsi="宋体"/>
          <w:color w:val="auto"/>
          <w:sz w:val="24"/>
          <w:highlight w:val="none"/>
        </w:rPr>
        <w:t>16.1 如果双方中任何一方遭遇法律规定的不可抗力，致使合同履行受阻时，履行合同的期限应予延长，延长的期限应相当于不可抗力所影响的时间。</w:t>
      </w:r>
    </w:p>
    <w:p w14:paraId="7986C1B9">
      <w:pPr>
        <w:spacing w:before="120" w:line="360" w:lineRule="auto"/>
        <w:rPr>
          <w:rFonts w:ascii="宋体" w:hAnsi="宋体"/>
          <w:color w:val="auto"/>
          <w:sz w:val="24"/>
          <w:highlight w:val="none"/>
        </w:rPr>
      </w:pPr>
      <w:r>
        <w:rPr>
          <w:rFonts w:hint="eastAsia" w:ascii="宋体" w:hAnsi="宋体"/>
          <w:color w:val="auto"/>
          <w:sz w:val="24"/>
          <w:highlight w:val="none"/>
        </w:rPr>
        <w:t>16.2 受事故影响的一方应在不可抗力的事故发生后尽快书面形式通知另一方，并在事故发生后</w:t>
      </w:r>
      <w:r>
        <w:rPr>
          <w:rFonts w:hint="eastAsia" w:ascii="宋体" w:hAnsi="宋体"/>
          <w:color w:val="auto"/>
          <w:sz w:val="24"/>
          <w:highlight w:val="none"/>
          <w:u w:val="single"/>
        </w:rPr>
        <w:t xml:space="preserve">  14  </w:t>
      </w:r>
      <w:r>
        <w:rPr>
          <w:rFonts w:hint="eastAsia" w:ascii="宋体" w:hAnsi="宋体"/>
          <w:color w:val="auto"/>
          <w:sz w:val="24"/>
          <w:highlight w:val="none"/>
        </w:rPr>
        <w:t>天内，将有关部门出具的证明文件送达另一方。</w:t>
      </w:r>
    </w:p>
    <w:p w14:paraId="58B37049">
      <w:pPr>
        <w:spacing w:before="120" w:line="360" w:lineRule="auto"/>
        <w:rPr>
          <w:rFonts w:ascii="宋体" w:hAnsi="宋体"/>
          <w:color w:val="auto"/>
          <w:sz w:val="24"/>
          <w:highlight w:val="none"/>
        </w:rPr>
      </w:pPr>
      <w:r>
        <w:rPr>
          <w:rFonts w:hint="eastAsia" w:ascii="宋体" w:hAnsi="宋体"/>
          <w:color w:val="auto"/>
          <w:sz w:val="24"/>
          <w:highlight w:val="none"/>
        </w:rPr>
        <w:t>16.3不可抗力使合同的某些内容有变更必要的， 双方应通过协商在</w:t>
      </w:r>
      <w:r>
        <w:rPr>
          <w:rFonts w:hint="eastAsia" w:ascii="宋体" w:hAnsi="宋体"/>
          <w:color w:val="auto"/>
          <w:sz w:val="24"/>
          <w:highlight w:val="none"/>
          <w:u w:val="single"/>
        </w:rPr>
        <w:t xml:space="preserve"> 28 </w:t>
      </w:r>
      <w:r>
        <w:rPr>
          <w:rFonts w:hint="eastAsia" w:ascii="宋体" w:hAnsi="宋体"/>
          <w:color w:val="auto"/>
          <w:sz w:val="24"/>
          <w:highlight w:val="none"/>
        </w:rPr>
        <w:t>日内达成进一步履行合同的协议，因不可抗力致使合同不能履行的，合同终止。</w:t>
      </w:r>
    </w:p>
    <w:p w14:paraId="6D45282E">
      <w:pPr>
        <w:pStyle w:val="5"/>
        <w:spacing w:line="360" w:lineRule="auto"/>
        <w:rPr>
          <w:rFonts w:hAnsi="宋体"/>
          <w:color w:val="auto"/>
          <w:szCs w:val="24"/>
          <w:highlight w:val="none"/>
        </w:rPr>
      </w:pPr>
      <w:bookmarkStart w:id="940" w:name="_Toc329875498"/>
      <w:bookmarkStart w:id="941" w:name="_Toc487900365"/>
      <w:bookmarkStart w:id="942" w:name="_Toc310195748"/>
      <w:bookmarkStart w:id="943" w:name="_Toc413930833"/>
      <w:bookmarkStart w:id="944" w:name="_Toc310521924"/>
      <w:r>
        <w:rPr>
          <w:rFonts w:hint="eastAsia" w:hAnsi="宋体"/>
          <w:color w:val="auto"/>
          <w:szCs w:val="24"/>
          <w:highlight w:val="none"/>
        </w:rPr>
        <w:t>17. 税费</w:t>
      </w:r>
      <w:bookmarkEnd w:id="940"/>
      <w:bookmarkEnd w:id="941"/>
      <w:bookmarkEnd w:id="942"/>
      <w:bookmarkEnd w:id="943"/>
      <w:bookmarkEnd w:id="944"/>
    </w:p>
    <w:p w14:paraId="116F4549">
      <w:pPr>
        <w:spacing w:before="120" w:line="360" w:lineRule="auto"/>
        <w:ind w:left="960" w:hanging="960"/>
        <w:rPr>
          <w:rFonts w:ascii="宋体" w:hAnsi="宋体"/>
          <w:color w:val="auto"/>
          <w:sz w:val="24"/>
          <w:highlight w:val="none"/>
        </w:rPr>
      </w:pPr>
      <w:r>
        <w:rPr>
          <w:rFonts w:hint="eastAsia" w:ascii="宋体" w:hAnsi="宋体"/>
          <w:color w:val="auto"/>
          <w:sz w:val="24"/>
          <w:highlight w:val="none"/>
        </w:rPr>
        <w:t>17.1 与本合同有关的一切税费均适用中华人民共和国法律的相关规定。</w:t>
      </w:r>
    </w:p>
    <w:p w14:paraId="3FB863DD">
      <w:pPr>
        <w:pStyle w:val="5"/>
        <w:spacing w:line="360" w:lineRule="auto"/>
        <w:rPr>
          <w:rFonts w:hAnsi="宋体"/>
          <w:color w:val="auto"/>
          <w:szCs w:val="24"/>
          <w:highlight w:val="none"/>
        </w:rPr>
      </w:pPr>
      <w:bookmarkStart w:id="945" w:name="_Toc329875499"/>
      <w:bookmarkStart w:id="946" w:name="_Toc413930834"/>
      <w:bookmarkStart w:id="947" w:name="_Toc310195749"/>
      <w:bookmarkStart w:id="948" w:name="_Toc487900366"/>
      <w:bookmarkStart w:id="949" w:name="_Toc310521925"/>
      <w:r>
        <w:rPr>
          <w:rFonts w:hint="eastAsia" w:hAnsi="宋体"/>
          <w:color w:val="auto"/>
          <w:szCs w:val="24"/>
          <w:highlight w:val="none"/>
        </w:rPr>
        <w:t>18. 仲裁</w:t>
      </w:r>
      <w:bookmarkEnd w:id="945"/>
      <w:bookmarkEnd w:id="946"/>
      <w:bookmarkEnd w:id="947"/>
      <w:bookmarkEnd w:id="948"/>
      <w:bookmarkEnd w:id="949"/>
    </w:p>
    <w:p w14:paraId="5798CE3A">
      <w:pPr>
        <w:spacing w:before="120" w:line="360" w:lineRule="auto"/>
        <w:rPr>
          <w:rFonts w:ascii="宋体" w:hAnsi="宋体"/>
          <w:color w:val="auto"/>
          <w:sz w:val="24"/>
          <w:highlight w:val="none"/>
        </w:rPr>
      </w:pPr>
      <w:r>
        <w:rPr>
          <w:rFonts w:hint="eastAsia" w:ascii="宋体" w:hAnsi="宋体"/>
          <w:color w:val="auto"/>
          <w:sz w:val="24"/>
          <w:highlight w:val="none"/>
        </w:rPr>
        <w:t>18.1 买卖双方应通过友好协商，解决在执行本合同中所发生的或与本合同有关的一切争端。如果协商不成的，任何一方均可申请北京仲裁委员会进行仲裁。</w:t>
      </w:r>
    </w:p>
    <w:p w14:paraId="13EDCCF7">
      <w:pPr>
        <w:spacing w:before="120" w:line="360" w:lineRule="auto"/>
        <w:rPr>
          <w:rFonts w:ascii="宋体" w:hAnsi="宋体"/>
          <w:color w:val="auto"/>
          <w:sz w:val="24"/>
          <w:highlight w:val="none"/>
        </w:rPr>
      </w:pPr>
      <w:r>
        <w:rPr>
          <w:rFonts w:hint="eastAsia" w:ascii="宋体" w:hAnsi="宋体"/>
          <w:color w:val="auto"/>
          <w:sz w:val="24"/>
          <w:highlight w:val="none"/>
        </w:rPr>
        <w:t>18.2 仲裁裁决应为最终裁决，对双方均具有约束力，当事人应当履行。当事人一方在规定时间内不履行仲裁机构的仲裁裁决的，另一方可以申请人民法院强制执行。</w:t>
      </w:r>
    </w:p>
    <w:p w14:paraId="1FF9CAA0">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18.3 仲裁费除仲裁机构另有裁决外，应由败诉方负担。</w:t>
      </w:r>
    </w:p>
    <w:p w14:paraId="63885BAA">
      <w:pPr>
        <w:spacing w:before="120" w:line="360" w:lineRule="auto"/>
        <w:rPr>
          <w:rFonts w:ascii="宋体" w:hAnsi="宋体"/>
          <w:color w:val="auto"/>
          <w:sz w:val="24"/>
          <w:highlight w:val="none"/>
        </w:rPr>
      </w:pPr>
      <w:r>
        <w:rPr>
          <w:rFonts w:hint="eastAsia" w:ascii="宋体" w:hAnsi="宋体"/>
          <w:color w:val="auto"/>
          <w:sz w:val="24"/>
          <w:highlight w:val="none"/>
        </w:rPr>
        <w:t>18.4 在仲裁期间，除正在进行仲裁的合同条款外，合同的其它部分应继续执行。</w:t>
      </w:r>
    </w:p>
    <w:p w14:paraId="0A93BB04">
      <w:pPr>
        <w:pStyle w:val="5"/>
        <w:spacing w:line="360" w:lineRule="auto"/>
        <w:rPr>
          <w:rFonts w:hAnsi="宋体"/>
          <w:color w:val="auto"/>
          <w:szCs w:val="24"/>
          <w:highlight w:val="none"/>
        </w:rPr>
      </w:pPr>
      <w:bookmarkStart w:id="950" w:name="_Toc310521926"/>
      <w:bookmarkStart w:id="951" w:name="_Toc487900367"/>
      <w:bookmarkStart w:id="952" w:name="_Toc329875500"/>
      <w:bookmarkStart w:id="953" w:name="_Toc310195750"/>
      <w:bookmarkStart w:id="954" w:name="_Toc413930835"/>
      <w:r>
        <w:rPr>
          <w:rFonts w:hint="eastAsia" w:hAnsi="宋体"/>
          <w:color w:val="auto"/>
          <w:szCs w:val="24"/>
          <w:highlight w:val="none"/>
        </w:rPr>
        <w:t>19. 违约解除合同</w:t>
      </w:r>
      <w:bookmarkEnd w:id="950"/>
      <w:bookmarkEnd w:id="951"/>
      <w:bookmarkEnd w:id="952"/>
      <w:bookmarkEnd w:id="953"/>
      <w:bookmarkEnd w:id="954"/>
    </w:p>
    <w:p w14:paraId="07A97775">
      <w:pPr>
        <w:spacing w:before="120" w:line="360" w:lineRule="auto"/>
        <w:rPr>
          <w:rFonts w:ascii="宋体" w:hAnsi="宋体"/>
          <w:color w:val="auto"/>
          <w:sz w:val="24"/>
          <w:highlight w:val="none"/>
        </w:rPr>
      </w:pPr>
      <w:bookmarkStart w:id="955" w:name="_Ref467378234"/>
      <w:r>
        <w:rPr>
          <w:rFonts w:hint="eastAsia" w:ascii="宋体" w:hAnsi="宋体"/>
          <w:color w:val="auto"/>
          <w:sz w:val="24"/>
          <w:highlight w:val="none"/>
        </w:rPr>
        <w:t>19.1 在卖方违约的情况下，买方经政府采购监督管理部门同意后，可向卖方发出书面通知，部分或全部终止合同。同时保留向卖方追诉的权利。</w:t>
      </w:r>
      <w:bookmarkEnd w:id="955"/>
    </w:p>
    <w:p w14:paraId="6927F573">
      <w:pPr>
        <w:spacing w:before="120" w:line="360" w:lineRule="auto"/>
        <w:rPr>
          <w:rFonts w:ascii="宋体" w:hAnsi="宋体"/>
          <w:color w:val="auto"/>
          <w:sz w:val="24"/>
          <w:highlight w:val="none"/>
        </w:rPr>
      </w:pPr>
      <w:r>
        <w:rPr>
          <w:rFonts w:hint="eastAsia" w:ascii="宋体" w:hAnsi="宋体"/>
          <w:color w:val="auto"/>
          <w:sz w:val="24"/>
          <w:highlight w:val="none"/>
        </w:rPr>
        <w:t xml:space="preserve">19.1.1 卖方未能在合同规定的限期或买方同意延长的限期内，提供全部或部分货物的； </w:t>
      </w:r>
    </w:p>
    <w:p w14:paraId="7149FAFC">
      <w:pPr>
        <w:spacing w:before="120" w:line="360" w:lineRule="auto"/>
        <w:rPr>
          <w:rFonts w:ascii="宋体" w:hAnsi="宋体"/>
          <w:color w:val="auto"/>
          <w:sz w:val="24"/>
          <w:highlight w:val="none"/>
        </w:rPr>
      </w:pPr>
      <w:r>
        <w:rPr>
          <w:rFonts w:hint="eastAsia" w:ascii="宋体" w:hAnsi="宋体"/>
          <w:color w:val="auto"/>
          <w:sz w:val="24"/>
          <w:highlight w:val="none"/>
        </w:rPr>
        <w:t>19.1.2 卖方未能履行合同规定的其它主要义务的；</w:t>
      </w:r>
    </w:p>
    <w:p w14:paraId="462D05ED">
      <w:pPr>
        <w:spacing w:before="120" w:line="360" w:lineRule="auto"/>
        <w:rPr>
          <w:rFonts w:ascii="宋体" w:hAnsi="宋体"/>
          <w:color w:val="auto"/>
          <w:sz w:val="24"/>
          <w:highlight w:val="none"/>
        </w:rPr>
      </w:pPr>
      <w:r>
        <w:rPr>
          <w:rFonts w:hint="eastAsia" w:ascii="宋体" w:hAnsi="宋体"/>
          <w:color w:val="auto"/>
          <w:sz w:val="24"/>
          <w:highlight w:val="none"/>
        </w:rPr>
        <w:t>19.1.3 买方认为卖方在本合同履行过程中有腐败和欺诈行为的。</w:t>
      </w:r>
    </w:p>
    <w:p w14:paraId="601B885F">
      <w:pPr>
        <w:spacing w:before="120" w:line="360" w:lineRule="auto"/>
        <w:rPr>
          <w:rFonts w:ascii="宋体" w:hAnsi="宋体"/>
          <w:color w:val="auto"/>
          <w:sz w:val="24"/>
          <w:highlight w:val="none"/>
        </w:rPr>
      </w:pPr>
      <w:r>
        <w:rPr>
          <w:rFonts w:hint="eastAsia" w:ascii="宋体" w:hAnsi="宋体"/>
          <w:color w:val="auto"/>
          <w:sz w:val="24"/>
          <w:highlight w:val="none"/>
        </w:rPr>
        <w:t>19.1.3.1“腐败行为”和“欺诈行为”定义如下:</w:t>
      </w:r>
    </w:p>
    <w:p w14:paraId="7E3F4E10">
      <w:pPr>
        <w:spacing w:before="120" w:line="360" w:lineRule="auto"/>
        <w:rPr>
          <w:rFonts w:ascii="宋体" w:hAnsi="宋体"/>
          <w:color w:val="auto"/>
          <w:sz w:val="24"/>
          <w:highlight w:val="none"/>
        </w:rPr>
      </w:pPr>
      <w:r>
        <w:rPr>
          <w:rFonts w:hint="eastAsia" w:ascii="宋体" w:hAnsi="宋体"/>
          <w:color w:val="auto"/>
          <w:sz w:val="24"/>
          <w:highlight w:val="none"/>
        </w:rPr>
        <w:t>19.1.3.1.1“腐败行为”是指提供/给予/接受或索取任何有价值的东西来影响买方在合同签定、履行过程中的行为。</w:t>
      </w:r>
    </w:p>
    <w:p w14:paraId="001595C9">
      <w:pPr>
        <w:spacing w:before="120" w:line="360" w:lineRule="auto"/>
        <w:rPr>
          <w:rFonts w:ascii="宋体" w:hAnsi="宋体"/>
          <w:color w:val="auto"/>
          <w:sz w:val="24"/>
          <w:highlight w:val="none"/>
        </w:rPr>
      </w:pPr>
      <w:r>
        <w:rPr>
          <w:rFonts w:hint="eastAsia" w:ascii="宋体" w:hAnsi="宋体"/>
          <w:color w:val="auto"/>
          <w:sz w:val="24"/>
          <w:highlight w:val="none"/>
        </w:rPr>
        <w:t>19.1.3.1.2“欺诈行为”是指为了影响合同签定、履行过程中，以谎报事实的方法，损害买方的利益的行为。</w:t>
      </w:r>
    </w:p>
    <w:p w14:paraId="535B5A87">
      <w:pPr>
        <w:spacing w:before="120" w:line="360" w:lineRule="auto"/>
        <w:rPr>
          <w:rFonts w:ascii="宋体" w:hAnsi="宋体"/>
          <w:color w:val="auto"/>
          <w:sz w:val="24"/>
          <w:highlight w:val="none"/>
        </w:rPr>
      </w:pPr>
      <w:r>
        <w:rPr>
          <w:rFonts w:hint="eastAsia" w:ascii="宋体" w:hAnsi="宋体"/>
          <w:color w:val="auto"/>
          <w:sz w:val="24"/>
          <w:highlight w:val="none"/>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684117D8">
      <w:pPr>
        <w:pStyle w:val="5"/>
        <w:spacing w:line="360" w:lineRule="auto"/>
        <w:rPr>
          <w:rFonts w:hAnsi="宋体"/>
          <w:color w:val="auto"/>
          <w:szCs w:val="24"/>
          <w:highlight w:val="none"/>
        </w:rPr>
      </w:pPr>
      <w:bookmarkStart w:id="956" w:name="_Toc310195751"/>
      <w:bookmarkStart w:id="957" w:name="_Toc310521927"/>
      <w:bookmarkStart w:id="958" w:name="_Toc487900368"/>
      <w:bookmarkStart w:id="959" w:name="_Toc329875501"/>
      <w:bookmarkStart w:id="960" w:name="_Toc413930836"/>
      <w:r>
        <w:rPr>
          <w:rFonts w:hint="eastAsia" w:hAnsi="宋体"/>
          <w:color w:val="auto"/>
          <w:szCs w:val="24"/>
          <w:highlight w:val="none"/>
        </w:rPr>
        <w:t>20. 破产终止合同</w:t>
      </w:r>
      <w:bookmarkEnd w:id="956"/>
      <w:bookmarkEnd w:id="957"/>
      <w:bookmarkEnd w:id="958"/>
      <w:bookmarkEnd w:id="959"/>
      <w:bookmarkEnd w:id="960"/>
    </w:p>
    <w:p w14:paraId="77594D8E">
      <w:pPr>
        <w:spacing w:before="120" w:line="360" w:lineRule="auto"/>
        <w:rPr>
          <w:rFonts w:ascii="宋体" w:hAnsi="宋体"/>
          <w:color w:val="auto"/>
          <w:sz w:val="24"/>
          <w:highlight w:val="none"/>
        </w:rPr>
      </w:pPr>
      <w:r>
        <w:rPr>
          <w:rFonts w:hint="eastAsia" w:ascii="宋体" w:hAnsi="宋体"/>
          <w:color w:val="auto"/>
          <w:sz w:val="24"/>
          <w:highlight w:val="none"/>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1884A662">
      <w:pPr>
        <w:pStyle w:val="5"/>
        <w:spacing w:line="360" w:lineRule="auto"/>
        <w:rPr>
          <w:rFonts w:hAnsi="宋体"/>
          <w:color w:val="auto"/>
          <w:szCs w:val="24"/>
          <w:highlight w:val="none"/>
        </w:rPr>
      </w:pPr>
      <w:bookmarkStart w:id="961" w:name="_Toc487900369"/>
      <w:bookmarkStart w:id="962" w:name="_Toc329875502"/>
      <w:bookmarkStart w:id="963" w:name="_Toc310195752"/>
      <w:bookmarkStart w:id="964" w:name="_Toc413930837"/>
      <w:bookmarkStart w:id="965" w:name="_Toc310521928"/>
      <w:r>
        <w:rPr>
          <w:rFonts w:hint="eastAsia" w:hAnsi="宋体"/>
          <w:color w:val="auto"/>
          <w:szCs w:val="24"/>
          <w:highlight w:val="none"/>
        </w:rPr>
        <w:t>21. 转让和分包</w:t>
      </w:r>
      <w:bookmarkEnd w:id="961"/>
      <w:bookmarkEnd w:id="962"/>
      <w:bookmarkEnd w:id="963"/>
      <w:bookmarkEnd w:id="964"/>
      <w:bookmarkEnd w:id="965"/>
    </w:p>
    <w:p w14:paraId="27102BB1">
      <w:pPr>
        <w:spacing w:before="120" w:line="360" w:lineRule="auto"/>
        <w:rPr>
          <w:rFonts w:ascii="宋体" w:hAnsi="宋体"/>
          <w:color w:val="auto"/>
          <w:sz w:val="24"/>
          <w:highlight w:val="none"/>
        </w:rPr>
      </w:pPr>
      <w:r>
        <w:rPr>
          <w:rFonts w:hint="eastAsia" w:ascii="宋体" w:hAnsi="宋体"/>
          <w:color w:val="auto"/>
          <w:sz w:val="24"/>
          <w:highlight w:val="none"/>
        </w:rPr>
        <w:t xml:space="preserve">21.1 </w:t>
      </w:r>
      <w:r>
        <w:rPr>
          <w:rFonts w:hint="eastAsia" w:ascii="宋体" w:hAnsi="宋体"/>
          <w:b/>
          <w:color w:val="auto"/>
          <w:sz w:val="24"/>
          <w:highlight w:val="none"/>
        </w:rPr>
        <w:t>政府采购合同不能转让。</w:t>
      </w:r>
    </w:p>
    <w:p w14:paraId="6D5E972A">
      <w:pPr>
        <w:spacing w:before="120" w:line="360" w:lineRule="auto"/>
        <w:rPr>
          <w:rFonts w:ascii="宋体" w:hAnsi="宋体"/>
          <w:color w:val="auto"/>
          <w:sz w:val="24"/>
          <w:highlight w:val="none"/>
        </w:rPr>
      </w:pPr>
      <w:r>
        <w:rPr>
          <w:rFonts w:hint="eastAsia" w:ascii="宋体" w:hAnsi="宋体"/>
          <w:color w:val="auto"/>
          <w:sz w:val="24"/>
          <w:highlight w:val="none"/>
        </w:rPr>
        <w:t>21.2 经买方和政府采购监督管理部门事先书面同意 卖方可以将合同项下非主体、非关键性工作分包给他人完成。接受分包的人应当具备相应的资格条件，并不得再次分包。分包不能解除卖方履行本合同的责任和义务。</w:t>
      </w:r>
    </w:p>
    <w:p w14:paraId="6B452C4A">
      <w:pPr>
        <w:pStyle w:val="5"/>
        <w:spacing w:line="360" w:lineRule="auto"/>
        <w:rPr>
          <w:rFonts w:hAnsi="宋体"/>
          <w:color w:val="auto"/>
          <w:szCs w:val="24"/>
          <w:highlight w:val="none"/>
        </w:rPr>
      </w:pPr>
      <w:bookmarkStart w:id="966" w:name="_Toc413930838"/>
      <w:bookmarkStart w:id="967" w:name="_Toc310521929"/>
      <w:bookmarkStart w:id="968" w:name="_Toc310195753"/>
      <w:bookmarkStart w:id="969" w:name="_Toc329875503"/>
      <w:bookmarkStart w:id="970" w:name="_Toc487900370"/>
      <w:r>
        <w:rPr>
          <w:rFonts w:hint="eastAsia" w:hAnsi="宋体"/>
          <w:color w:val="auto"/>
          <w:szCs w:val="24"/>
          <w:highlight w:val="none"/>
        </w:rPr>
        <w:t>22. 合同修改</w:t>
      </w:r>
      <w:bookmarkEnd w:id="966"/>
      <w:bookmarkEnd w:id="967"/>
      <w:bookmarkEnd w:id="968"/>
      <w:bookmarkEnd w:id="969"/>
      <w:bookmarkEnd w:id="970"/>
    </w:p>
    <w:p w14:paraId="5B749484">
      <w:pPr>
        <w:spacing w:before="120" w:line="360" w:lineRule="auto"/>
        <w:rPr>
          <w:rFonts w:ascii="宋体" w:hAnsi="宋体"/>
          <w:color w:val="auto"/>
          <w:sz w:val="24"/>
          <w:highlight w:val="none"/>
        </w:rPr>
      </w:pPr>
      <w:r>
        <w:rPr>
          <w:rFonts w:hint="eastAsia" w:ascii="宋体" w:hAnsi="宋体"/>
          <w:color w:val="auto"/>
          <w:sz w:val="24"/>
          <w:highlight w:val="none"/>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7AB911FC">
      <w:pPr>
        <w:pStyle w:val="5"/>
        <w:spacing w:line="360" w:lineRule="auto"/>
        <w:rPr>
          <w:rFonts w:hAnsi="宋体"/>
          <w:color w:val="auto"/>
          <w:szCs w:val="24"/>
          <w:highlight w:val="none"/>
        </w:rPr>
      </w:pPr>
      <w:bookmarkStart w:id="971" w:name="_Toc329875504"/>
      <w:bookmarkStart w:id="972" w:name="_Toc310195754"/>
      <w:bookmarkStart w:id="973" w:name="_Toc310521930"/>
      <w:bookmarkStart w:id="974" w:name="_Toc487900371"/>
      <w:bookmarkStart w:id="975" w:name="_Toc413930839"/>
      <w:r>
        <w:rPr>
          <w:rFonts w:hint="eastAsia" w:hAnsi="宋体"/>
          <w:color w:val="auto"/>
          <w:szCs w:val="24"/>
          <w:highlight w:val="none"/>
        </w:rPr>
        <w:t>23. 通知</w:t>
      </w:r>
      <w:bookmarkEnd w:id="971"/>
      <w:bookmarkEnd w:id="972"/>
      <w:bookmarkEnd w:id="973"/>
      <w:bookmarkEnd w:id="974"/>
      <w:bookmarkEnd w:id="975"/>
    </w:p>
    <w:p w14:paraId="28CECA5A">
      <w:pPr>
        <w:spacing w:before="120" w:line="360" w:lineRule="auto"/>
        <w:rPr>
          <w:rFonts w:ascii="宋体" w:hAnsi="宋体"/>
          <w:color w:val="auto"/>
          <w:sz w:val="24"/>
          <w:highlight w:val="none"/>
        </w:rPr>
      </w:pPr>
      <w:r>
        <w:rPr>
          <w:rFonts w:hint="eastAsia" w:ascii="宋体" w:hAnsi="宋体"/>
          <w:color w:val="auto"/>
          <w:sz w:val="24"/>
          <w:highlight w:val="none"/>
        </w:rPr>
        <w:t>23.1 本合同任何一方给另一方的通知，都应以书面形式发送，而另一方也应以书面形式确认并发送到对方明确的地址。</w:t>
      </w:r>
    </w:p>
    <w:p w14:paraId="4DBB42AC">
      <w:pPr>
        <w:pStyle w:val="5"/>
        <w:spacing w:line="360" w:lineRule="auto"/>
        <w:rPr>
          <w:rFonts w:hAnsi="宋体"/>
          <w:color w:val="auto"/>
          <w:szCs w:val="24"/>
          <w:highlight w:val="none"/>
        </w:rPr>
      </w:pPr>
      <w:bookmarkStart w:id="976" w:name="_Toc310195755"/>
      <w:bookmarkStart w:id="977" w:name="_Toc329875505"/>
      <w:bookmarkStart w:id="978" w:name="_Toc310521931"/>
      <w:bookmarkStart w:id="979" w:name="_Toc487900372"/>
      <w:bookmarkStart w:id="980" w:name="_Toc413930840"/>
      <w:r>
        <w:rPr>
          <w:rFonts w:hint="eastAsia" w:hAnsi="宋体"/>
          <w:color w:val="auto"/>
          <w:szCs w:val="24"/>
          <w:highlight w:val="none"/>
        </w:rPr>
        <w:t>24. 计量单位</w:t>
      </w:r>
      <w:bookmarkEnd w:id="976"/>
      <w:bookmarkEnd w:id="977"/>
      <w:bookmarkEnd w:id="978"/>
      <w:bookmarkEnd w:id="979"/>
      <w:bookmarkEnd w:id="980"/>
    </w:p>
    <w:p w14:paraId="0AFB569B">
      <w:pPr>
        <w:spacing w:before="120" w:line="360" w:lineRule="auto"/>
        <w:rPr>
          <w:rFonts w:ascii="宋体" w:hAnsi="宋体"/>
          <w:color w:val="auto"/>
          <w:sz w:val="24"/>
          <w:highlight w:val="none"/>
        </w:rPr>
      </w:pPr>
      <w:r>
        <w:rPr>
          <w:rFonts w:hint="eastAsia" w:ascii="宋体" w:hAnsi="宋体"/>
          <w:color w:val="auto"/>
          <w:sz w:val="24"/>
          <w:highlight w:val="none"/>
        </w:rPr>
        <w:t>24.1 除技术规范中另有规定外,计量单位均使用国家法定计量单位。</w:t>
      </w:r>
    </w:p>
    <w:p w14:paraId="68ADA58E">
      <w:pPr>
        <w:pStyle w:val="5"/>
        <w:spacing w:line="360" w:lineRule="auto"/>
        <w:rPr>
          <w:rFonts w:hAnsi="宋体"/>
          <w:color w:val="auto"/>
          <w:szCs w:val="24"/>
          <w:highlight w:val="none"/>
        </w:rPr>
      </w:pPr>
      <w:bookmarkStart w:id="981" w:name="_Toc413930841"/>
      <w:bookmarkStart w:id="982" w:name="_Toc310521932"/>
      <w:bookmarkStart w:id="983" w:name="_Toc329875506"/>
      <w:bookmarkStart w:id="984" w:name="_Toc487900373"/>
      <w:bookmarkStart w:id="985" w:name="_Toc310195756"/>
      <w:r>
        <w:rPr>
          <w:rFonts w:hint="eastAsia" w:hAnsi="宋体"/>
          <w:color w:val="auto"/>
          <w:szCs w:val="24"/>
          <w:highlight w:val="none"/>
        </w:rPr>
        <w:t>25. 适用法律</w:t>
      </w:r>
      <w:bookmarkEnd w:id="981"/>
      <w:bookmarkEnd w:id="982"/>
      <w:bookmarkEnd w:id="983"/>
      <w:bookmarkEnd w:id="984"/>
      <w:bookmarkEnd w:id="985"/>
    </w:p>
    <w:p w14:paraId="1672665E">
      <w:pPr>
        <w:spacing w:before="120" w:line="360" w:lineRule="auto"/>
        <w:rPr>
          <w:rFonts w:ascii="宋体" w:hAnsi="宋体"/>
          <w:color w:val="auto"/>
          <w:sz w:val="24"/>
          <w:highlight w:val="none"/>
        </w:rPr>
      </w:pPr>
      <w:r>
        <w:rPr>
          <w:rFonts w:hint="eastAsia" w:ascii="宋体" w:hAnsi="宋体"/>
          <w:color w:val="auto"/>
          <w:sz w:val="24"/>
          <w:highlight w:val="none"/>
        </w:rPr>
        <w:t>25.1 本合同应按照中华人民共和国的法律进行解释。</w:t>
      </w:r>
    </w:p>
    <w:p w14:paraId="5E38E3DD">
      <w:pPr>
        <w:pStyle w:val="5"/>
        <w:spacing w:line="360" w:lineRule="auto"/>
        <w:rPr>
          <w:rFonts w:hAnsi="宋体"/>
          <w:color w:val="auto"/>
          <w:szCs w:val="24"/>
          <w:highlight w:val="none"/>
        </w:rPr>
      </w:pPr>
      <w:bookmarkStart w:id="986" w:name="_Toc487900374"/>
      <w:bookmarkStart w:id="987" w:name="_Toc310195757"/>
      <w:bookmarkStart w:id="988" w:name="_Toc329875507"/>
      <w:bookmarkStart w:id="989" w:name="_Toc413930842"/>
      <w:bookmarkStart w:id="990" w:name="_Toc310521933"/>
      <w:r>
        <w:rPr>
          <w:rFonts w:hint="eastAsia" w:hAnsi="宋体"/>
          <w:color w:val="auto"/>
          <w:szCs w:val="24"/>
          <w:highlight w:val="none"/>
        </w:rPr>
        <w:t>26. 合同生效</w:t>
      </w:r>
      <w:bookmarkEnd w:id="986"/>
      <w:r>
        <w:rPr>
          <w:rFonts w:hint="eastAsia" w:hAnsi="宋体"/>
          <w:color w:val="auto"/>
          <w:szCs w:val="24"/>
          <w:highlight w:val="none"/>
        </w:rPr>
        <w:t>和其它</w:t>
      </w:r>
      <w:bookmarkEnd w:id="987"/>
      <w:bookmarkEnd w:id="988"/>
      <w:bookmarkEnd w:id="989"/>
      <w:bookmarkEnd w:id="990"/>
    </w:p>
    <w:p w14:paraId="58364051">
      <w:pPr>
        <w:pStyle w:val="70"/>
        <w:spacing w:line="360" w:lineRule="auto"/>
        <w:ind w:left="2" w:firstLine="0"/>
        <w:rPr>
          <w:rFonts w:hAnsi="宋体"/>
          <w:color w:val="auto"/>
          <w:szCs w:val="24"/>
          <w:highlight w:val="none"/>
        </w:rPr>
      </w:pPr>
      <w:r>
        <w:rPr>
          <w:rFonts w:hint="eastAsia" w:hAnsi="宋体"/>
          <w:color w:val="auto"/>
          <w:szCs w:val="24"/>
          <w:highlight w:val="none"/>
        </w:rPr>
        <w:t xml:space="preserve">26.1 </w:t>
      </w:r>
      <w:r>
        <w:rPr>
          <w:rFonts w:hint="eastAsia" w:hAnsi="宋体"/>
          <w:color w:val="auto"/>
          <w:kern w:val="2"/>
          <w:szCs w:val="24"/>
          <w:highlight w:val="none"/>
        </w:rPr>
        <w:t>政府采购项目的采购合同内容的确定应以谈判文件和报价文件为基础，不得违背其实质性内容。政府采购项目的采购合同自签订之日起七个工作日内，买方应当将合同副本报同级政府采购监督管理部门备案。合同将在双方签字盖章后开始生效。</w:t>
      </w:r>
    </w:p>
    <w:p w14:paraId="10AED99F">
      <w:pPr>
        <w:spacing w:line="360" w:lineRule="auto"/>
        <w:rPr>
          <w:color w:val="auto"/>
          <w:highlight w:val="none"/>
        </w:rPr>
      </w:pPr>
      <w:r>
        <w:rPr>
          <w:rFonts w:hint="eastAsia" w:ascii="宋体" w:hAnsi="宋体"/>
          <w:color w:val="auto"/>
          <w:sz w:val="24"/>
          <w:highlight w:val="none"/>
        </w:rPr>
        <w:t>26.2 本合同一式</w:t>
      </w:r>
      <w:r>
        <w:rPr>
          <w:rFonts w:hint="eastAsia" w:ascii="宋体" w:hAnsi="宋体"/>
          <w:color w:val="auto"/>
          <w:sz w:val="24"/>
          <w:highlight w:val="none"/>
          <w:u w:val="single"/>
          <w:lang w:val="en-US" w:eastAsia="zh-CN"/>
        </w:rPr>
        <w:t>5</w:t>
      </w:r>
      <w:r>
        <w:rPr>
          <w:rFonts w:hint="eastAsia" w:ascii="宋体" w:hAnsi="宋体"/>
          <w:color w:val="auto"/>
          <w:sz w:val="24"/>
          <w:highlight w:val="none"/>
        </w:rPr>
        <w:t>份，具有同等法律效力。买方执</w:t>
      </w:r>
      <w:r>
        <w:rPr>
          <w:rFonts w:hint="eastAsia" w:ascii="宋体" w:hAnsi="宋体"/>
          <w:color w:val="auto"/>
          <w:sz w:val="24"/>
          <w:highlight w:val="none"/>
          <w:u w:val="single"/>
        </w:rPr>
        <w:t>2</w:t>
      </w:r>
      <w:r>
        <w:rPr>
          <w:rFonts w:hint="eastAsia" w:ascii="宋体" w:hAnsi="宋体"/>
          <w:color w:val="auto"/>
          <w:sz w:val="24"/>
          <w:highlight w:val="none"/>
        </w:rPr>
        <w:t>份，卖方,执</w:t>
      </w:r>
      <w:r>
        <w:rPr>
          <w:rFonts w:hint="eastAsia" w:ascii="宋体" w:hAnsi="宋体"/>
          <w:color w:val="auto"/>
          <w:sz w:val="24"/>
          <w:highlight w:val="none"/>
          <w:u w:val="single"/>
        </w:rPr>
        <w:t>2</w:t>
      </w:r>
      <w:r>
        <w:rPr>
          <w:rFonts w:hint="eastAsia" w:ascii="宋体" w:hAnsi="宋体"/>
          <w:color w:val="auto"/>
          <w:sz w:val="24"/>
          <w:highlight w:val="none"/>
        </w:rPr>
        <w:t>份，采购代理机构执</w:t>
      </w:r>
      <w:r>
        <w:rPr>
          <w:rFonts w:hint="eastAsia" w:ascii="宋体" w:hAnsi="宋体"/>
          <w:color w:val="auto"/>
          <w:sz w:val="24"/>
          <w:highlight w:val="none"/>
          <w:u w:val="single"/>
          <w:lang w:val="en-US" w:eastAsia="zh-CN"/>
        </w:rPr>
        <w:t>1</w:t>
      </w:r>
      <w:r>
        <w:rPr>
          <w:rFonts w:hint="eastAsia" w:ascii="宋体" w:hAnsi="宋体"/>
          <w:color w:val="auto"/>
          <w:sz w:val="24"/>
          <w:highlight w:val="none"/>
        </w:rPr>
        <w:t>份。</w:t>
      </w:r>
      <w:bookmarkEnd w:id="826"/>
      <w:bookmarkEnd w:id="827"/>
    </w:p>
    <w:p w14:paraId="77CDE511">
      <w:pPr>
        <w:spacing w:line="360" w:lineRule="auto"/>
        <w:rPr>
          <w:color w:val="auto"/>
          <w:highlight w:val="none"/>
        </w:rPr>
      </w:pPr>
    </w:p>
    <w:p w14:paraId="0FDAB856">
      <w:pPr>
        <w:spacing w:line="360" w:lineRule="auto"/>
        <w:rPr>
          <w:color w:val="auto"/>
          <w:highlight w:val="none"/>
        </w:rPr>
      </w:pPr>
    </w:p>
    <w:p w14:paraId="382E2D22">
      <w:pPr>
        <w:spacing w:before="120" w:line="360" w:lineRule="auto"/>
        <w:jc w:val="center"/>
        <w:rPr>
          <w:rFonts w:hint="eastAsia"/>
          <w:color w:val="auto"/>
          <w:highlight w:val="none"/>
        </w:rPr>
      </w:pPr>
      <w:r>
        <w:rPr>
          <w:color w:val="auto"/>
          <w:highlight w:val="none"/>
        </w:rPr>
        <w:br w:type="page"/>
      </w:r>
      <w:r>
        <w:rPr>
          <w:rFonts w:hint="eastAsia"/>
          <w:b/>
          <w:bCs/>
          <w:color w:val="auto"/>
          <w:sz w:val="28"/>
          <w:szCs w:val="28"/>
          <w:highlight w:val="none"/>
        </w:rPr>
        <w:t>合同专用条款</w:t>
      </w:r>
    </w:p>
    <w:p w14:paraId="3D6CF47E">
      <w:pPr>
        <w:keepNext w:val="0"/>
        <w:keepLines w:val="0"/>
        <w:pageBreakBefore w:val="0"/>
        <w:widowControl/>
        <w:kinsoku w:val="0"/>
        <w:wordWrap/>
        <w:overflowPunct/>
        <w:topLinePunct w:val="0"/>
        <w:autoSpaceDE w:val="0"/>
        <w:autoSpaceDN w:val="0"/>
        <w:bidi w:val="0"/>
        <w:adjustRightInd w:val="0"/>
        <w:snapToGrid w:val="0"/>
        <w:spacing w:line="360" w:lineRule="auto"/>
        <w:ind w:firstLine="45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合同专用条款是合同一般条款的补充和修改。如果两者之间有抵触，应以专用条款为准。合同专用条款的序号将与合同一般条款序号相对应。</w:t>
      </w:r>
    </w:p>
    <w:p w14:paraId="571F29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1、定义</w:t>
      </w:r>
      <w:r>
        <w:rPr>
          <w:rFonts w:hint="eastAsia" w:ascii="宋体" w:hAnsi="宋体" w:eastAsia="宋体" w:cs="宋体"/>
          <w:b/>
          <w:color w:val="auto"/>
          <w:sz w:val="24"/>
          <w:highlight w:val="none"/>
        </w:rPr>
        <w:t>：</w:t>
      </w:r>
    </w:p>
    <w:p w14:paraId="33C3B5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1.5  买方：本合同买方系指：</w:t>
      </w:r>
      <w:r>
        <w:rPr>
          <w:rFonts w:hint="eastAsia" w:ascii="宋体" w:hAnsi="宋体" w:cs="宋体"/>
          <w:color w:val="auto"/>
          <w:sz w:val="24"/>
          <w:highlight w:val="none"/>
          <w:u w:val="single"/>
          <w:lang w:eastAsia="zh-CN"/>
        </w:rPr>
        <w:t>北京市大兴区旧宫医院</w:t>
      </w:r>
      <w:r>
        <w:rPr>
          <w:rFonts w:hint="eastAsia" w:ascii="宋体" w:hAnsi="宋体" w:eastAsia="宋体" w:cs="宋体"/>
          <w:color w:val="auto"/>
          <w:sz w:val="24"/>
          <w:highlight w:val="none"/>
        </w:rPr>
        <w:t>。</w:t>
      </w:r>
    </w:p>
    <w:p w14:paraId="745D0B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1.6  卖方：本合同卖方系指：</w:t>
      </w:r>
      <w:r>
        <w:rPr>
          <w:rFonts w:hint="eastAsia" w:ascii="宋体" w:hAnsi="宋体" w:eastAsia="宋体" w:cs="宋体"/>
          <w:color w:val="auto"/>
          <w:sz w:val="24"/>
          <w:highlight w:val="none"/>
          <w:u w:val="single"/>
        </w:rPr>
        <w:t>本项目中标单位（乙方）</w:t>
      </w:r>
      <w:r>
        <w:rPr>
          <w:rFonts w:hint="eastAsia" w:ascii="宋体" w:hAnsi="宋体" w:eastAsia="宋体" w:cs="宋体"/>
          <w:color w:val="auto"/>
          <w:sz w:val="24"/>
          <w:highlight w:val="none"/>
        </w:rPr>
        <w:t>。</w:t>
      </w:r>
    </w:p>
    <w:p w14:paraId="6D513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1.7  现场：本合同项下的服务地点位于：</w:t>
      </w:r>
      <w:r>
        <w:rPr>
          <w:rFonts w:hint="eastAsia" w:ascii="宋体" w:hAnsi="宋体" w:eastAsia="宋体" w:cs="宋体"/>
          <w:color w:val="auto"/>
          <w:sz w:val="24"/>
          <w:highlight w:val="none"/>
          <w:u w:val="single"/>
        </w:rPr>
        <w:t>用户指定</w:t>
      </w:r>
      <w:r>
        <w:rPr>
          <w:rFonts w:hint="eastAsia" w:ascii="宋体" w:hAnsi="宋体" w:eastAsia="宋体" w:cs="宋体"/>
          <w:color w:val="auto"/>
          <w:sz w:val="24"/>
          <w:highlight w:val="none"/>
        </w:rPr>
        <w:t>。</w:t>
      </w:r>
    </w:p>
    <w:p w14:paraId="3B48E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 交货方式</w:t>
      </w:r>
    </w:p>
    <w:p w14:paraId="2EF619E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本合同项下的产品交货方式为:</w:t>
      </w:r>
      <w:r>
        <w:rPr>
          <w:rFonts w:hint="eastAsia" w:ascii="宋体" w:hAnsi="宋体" w:eastAsia="宋体" w:cs="宋体"/>
          <w:color w:val="auto"/>
          <w:sz w:val="24"/>
          <w:highlight w:val="none"/>
          <w:u w:val="single"/>
        </w:rPr>
        <w:t>免费上门送货、安装、调试，所发生的各种费用均包含在投标报价之内，</w:t>
      </w:r>
      <w:r>
        <w:rPr>
          <w:rFonts w:hint="eastAsia" w:ascii="宋体" w:hAnsi="宋体" w:eastAsia="宋体" w:cs="宋体"/>
          <w:color w:val="auto"/>
          <w:sz w:val="24"/>
          <w:highlight w:val="none"/>
          <w:u w:val="single"/>
          <w:lang w:val="en-US" w:eastAsia="zh-CN"/>
        </w:rPr>
        <w:t>买方</w:t>
      </w:r>
      <w:r>
        <w:rPr>
          <w:rFonts w:hint="eastAsia" w:ascii="宋体" w:hAnsi="宋体" w:eastAsia="宋体" w:cs="宋体"/>
          <w:color w:val="auto"/>
          <w:sz w:val="24"/>
          <w:highlight w:val="none"/>
          <w:u w:val="single"/>
        </w:rPr>
        <w:t>在实施过程中不再另行支付。</w:t>
      </w:r>
    </w:p>
    <w:p w14:paraId="7A61E48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 交货期:</w:t>
      </w:r>
      <w:r>
        <w:rPr>
          <w:rFonts w:hint="eastAsia" w:ascii="宋体" w:hAnsi="宋体" w:eastAsia="宋体" w:cs="宋体"/>
          <w:color w:val="auto"/>
          <w:sz w:val="24"/>
          <w:highlight w:val="none"/>
          <w:u w:val="single"/>
          <w:lang w:eastAsia="zh-CN"/>
        </w:rPr>
        <w:t>自合同签订起15个日历天内完成供货</w:t>
      </w:r>
      <w:r>
        <w:rPr>
          <w:rFonts w:hint="eastAsia" w:ascii="宋体" w:hAnsi="宋体" w:eastAsia="宋体" w:cs="宋体"/>
          <w:color w:val="auto"/>
          <w:sz w:val="24"/>
          <w:highlight w:val="none"/>
          <w:lang w:eastAsia="zh-CN"/>
        </w:rPr>
        <w:t>。</w:t>
      </w:r>
    </w:p>
    <w:p w14:paraId="739A75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 付款条件:</w:t>
      </w:r>
      <w:r>
        <w:rPr>
          <w:rFonts w:hint="eastAsia" w:ascii="宋体" w:hAnsi="宋体" w:eastAsia="宋体" w:cs="宋体"/>
          <w:color w:val="auto"/>
          <w:sz w:val="24"/>
          <w:highlight w:val="none"/>
          <w:u w:val="single"/>
        </w:rPr>
        <w:t>签订合同后10 个工作日内，乙方向甲方提交合同总价5% 的履约保证金,全部设备安装调试完工验收合格后，甲方向乙方支付合同总价的 100%  ，同时履约保证金转为质保金，质保金在质保期满后， 无息退还给乙方</w:t>
      </w:r>
      <w:r>
        <w:rPr>
          <w:rFonts w:hint="eastAsia" w:ascii="宋体" w:hAnsi="宋体" w:eastAsia="宋体" w:cs="宋体"/>
          <w:color w:val="auto"/>
          <w:sz w:val="24"/>
          <w:highlight w:val="none"/>
        </w:rPr>
        <w:t>。</w:t>
      </w:r>
    </w:p>
    <w:p w14:paraId="50B813A7">
      <w:pPr>
        <w:keepNext w:val="0"/>
        <w:keepLines w:val="0"/>
        <w:pageBreakBefore w:val="0"/>
        <w:widowControl/>
        <w:kinsoku w:val="0"/>
        <w:wordWrap/>
        <w:overflowPunct/>
        <w:topLinePunct w:val="0"/>
        <w:autoSpaceDE w:val="0"/>
        <w:autoSpaceDN w:val="0"/>
        <w:bidi w:val="0"/>
        <w:adjustRightInd w:val="0"/>
        <w:snapToGrid w:val="0"/>
        <w:spacing w:line="360" w:lineRule="auto"/>
        <w:ind w:left="1619" w:leftChars="1" w:hanging="1617" w:hangingChars="674"/>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技术资料:</w:t>
      </w:r>
    </w:p>
    <w:p w14:paraId="2E7879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6、质量保证:</w:t>
      </w:r>
    </w:p>
    <w:p w14:paraId="184E3B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6.1  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天内应免费维修或更换有缺陷的产品或部件。</w:t>
      </w:r>
    </w:p>
    <w:p w14:paraId="35A4586A">
      <w:pPr>
        <w:keepNext w:val="0"/>
        <w:keepLines w:val="0"/>
        <w:pageBreakBefore w:val="0"/>
        <w:widowControl/>
        <w:kinsoku w:val="0"/>
        <w:wordWrap/>
        <w:overflowPunct/>
        <w:topLinePunct w:val="0"/>
        <w:autoSpaceDE w:val="0"/>
        <w:autoSpaceDN w:val="0"/>
        <w:bidi w:val="0"/>
        <w:adjustRightInd w:val="0"/>
        <w:snapToGrid w:val="0"/>
        <w:spacing w:line="360" w:lineRule="auto"/>
        <w:ind w:left="960" w:hanging="96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6.2  如果卖方在收到通知后</w:t>
      </w:r>
      <w:r>
        <w:rPr>
          <w:rFonts w:hint="eastAsia" w:ascii="宋体" w:hAnsi="宋体" w:eastAsia="宋体" w:cs="宋体"/>
          <w:color w:val="auto"/>
          <w:sz w:val="24"/>
          <w:highlight w:val="none"/>
          <w:u w:val="single"/>
        </w:rPr>
        <w:t xml:space="preserve"> 7 </w:t>
      </w:r>
      <w:r>
        <w:rPr>
          <w:rFonts w:hint="eastAsia" w:ascii="宋体" w:hAnsi="宋体" w:eastAsia="宋体" w:cs="宋体"/>
          <w:color w:val="auto"/>
          <w:sz w:val="24"/>
          <w:highlight w:val="none"/>
        </w:rPr>
        <w:t>天内没有弥补缺陷，买方可采取必要的补救措施，但风险和费用将由卖方承担。</w:t>
      </w:r>
    </w:p>
    <w:p w14:paraId="3BB2E32B">
      <w:pPr>
        <w:keepNext w:val="0"/>
        <w:keepLines w:val="0"/>
        <w:pageBreakBefore w:val="0"/>
        <w:widowControl/>
        <w:numPr>
          <w:ilvl w:val="1"/>
          <w:numId w:val="13"/>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合同项下产品的质量保证期为自产品通过最终验收起</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p>
    <w:p w14:paraId="57B9AB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7、检验和验收:</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698A8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8、索赔:</w:t>
      </w:r>
      <w:r>
        <w:rPr>
          <w:rFonts w:hint="eastAsia" w:ascii="宋体" w:hAnsi="宋体" w:eastAsia="宋体" w:cs="宋体"/>
          <w:color w:val="auto"/>
          <w:sz w:val="24"/>
          <w:highlight w:val="none"/>
          <w:u w:val="single"/>
        </w:rPr>
        <w:t>按合同约定</w:t>
      </w:r>
      <w:r>
        <w:rPr>
          <w:rFonts w:hint="eastAsia" w:ascii="宋体" w:hAnsi="宋体" w:eastAsia="宋体" w:cs="宋体"/>
          <w:color w:val="auto"/>
          <w:sz w:val="24"/>
          <w:highlight w:val="none"/>
        </w:rPr>
        <w:t>。</w:t>
      </w:r>
    </w:p>
    <w:p w14:paraId="48F5C5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9、不可抗力:</w:t>
      </w:r>
    </w:p>
    <w:p w14:paraId="20E131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10、不可抗力通知送达时间:事故发生后</w:t>
      </w:r>
      <w:r>
        <w:rPr>
          <w:rFonts w:hint="eastAsia" w:ascii="宋体" w:hAnsi="宋体" w:eastAsia="宋体" w:cs="宋体"/>
          <w:color w:val="auto"/>
          <w:sz w:val="24"/>
          <w:highlight w:val="none"/>
          <w:u w:val="single"/>
        </w:rPr>
        <w:t>7</w:t>
      </w:r>
      <w:r>
        <w:rPr>
          <w:rFonts w:hint="eastAsia" w:ascii="宋体" w:hAnsi="宋体" w:eastAsia="宋体" w:cs="宋体"/>
          <w:color w:val="auto"/>
          <w:sz w:val="24"/>
          <w:highlight w:val="none"/>
        </w:rPr>
        <w:t>天内。</w:t>
      </w:r>
    </w:p>
    <w:p w14:paraId="3C6E66E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争议解决</w:t>
      </w:r>
    </w:p>
    <w:p w14:paraId="046014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.1 买卖双方应通过友好协商，解决在执行本合同中所发生的或与本合同有关的一切争端。如果协商不成的，任何一方均可向合同签订地（北京市</w:t>
      </w:r>
      <w:r>
        <w:rPr>
          <w:rFonts w:hint="eastAsia" w:ascii="宋体" w:hAnsi="宋体" w:cs="宋体"/>
          <w:color w:val="auto"/>
          <w:sz w:val="24"/>
          <w:highlight w:val="none"/>
          <w:lang w:val="en-US" w:eastAsia="zh-CN"/>
        </w:rPr>
        <w:t>大兴</w:t>
      </w:r>
      <w:r>
        <w:rPr>
          <w:rFonts w:hint="eastAsia" w:ascii="宋体" w:hAnsi="宋体" w:eastAsia="宋体" w:cs="宋体"/>
          <w:color w:val="auto"/>
          <w:sz w:val="24"/>
          <w:highlight w:val="none"/>
          <w:lang w:val="en-US" w:eastAsia="zh-CN"/>
        </w:rPr>
        <w:t>区</w:t>
      </w:r>
      <w:r>
        <w:rPr>
          <w:rFonts w:hint="eastAsia" w:ascii="宋体" w:hAnsi="宋体" w:eastAsia="宋体" w:cs="宋体"/>
          <w:color w:val="auto"/>
          <w:sz w:val="24"/>
          <w:highlight w:val="none"/>
        </w:rPr>
        <w:t>）有管辖权的人民法院申请诉讼裁决。</w:t>
      </w:r>
    </w:p>
    <w:p w14:paraId="0264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.2 在诉讼期间，除正在进行诉讼的合同条款外，合同的其它部分应继续执行。</w:t>
      </w:r>
    </w:p>
    <w:p w14:paraId="5B5C34CB">
      <w:pPr>
        <w:tabs>
          <w:tab w:val="left" w:pos="900"/>
          <w:tab w:val="left" w:pos="108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其他专用条款还包括本招标文件中的项目服务要求及在合同谈判时具体协商的有关内容。</w:t>
      </w:r>
    </w:p>
    <w:p w14:paraId="47E43E09">
      <w:pPr>
        <w:rPr>
          <w:rFonts w:ascii="宋体" w:hAnsi="宋体" w:cs="宋体"/>
          <w:highlight w:val="none"/>
        </w:rPr>
      </w:pPr>
      <w:r>
        <w:rPr>
          <w:rFonts w:hint="eastAsia" w:ascii="宋体" w:hAnsi="宋体" w:cs="宋体"/>
          <w:color w:val="auto"/>
          <w:sz w:val="24"/>
          <w:highlight w:val="none"/>
          <w:lang w:val="en-US" w:eastAsia="zh-CN"/>
        </w:rPr>
        <w:t xml:space="preserve">12. </w:t>
      </w:r>
      <w:bookmarkEnd w:id="828"/>
      <w:r>
        <w:rPr>
          <w:rFonts w:hint="eastAsia" w:ascii="宋体" w:hAnsi="宋体" w:cs="宋体"/>
          <w:sz w:val="24"/>
          <w:highlight w:val="none"/>
        </w:rPr>
        <w:t>履约保证</w:t>
      </w:r>
    </w:p>
    <w:p w14:paraId="5C4F4452">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12.1</w:t>
      </w:r>
      <w:r>
        <w:rPr>
          <w:rFonts w:hint="eastAsia" w:ascii="宋体" w:hAnsi="宋体" w:cs="宋体"/>
          <w:sz w:val="24"/>
          <w:szCs w:val="24"/>
          <w:highlight w:val="none"/>
          <w:lang w:eastAsia="zh-CN"/>
        </w:rPr>
        <w:t>签订合同后7个日历日内中标人提供相应的履约保证金，同时履约保证金转为质保金，质保金在质保期满后，无息退还给乙方。</w:t>
      </w:r>
    </w:p>
    <w:p w14:paraId="0DF21807">
      <w:pPr>
        <w:tabs>
          <w:tab w:val="left" w:pos="900"/>
          <w:tab w:val="left" w:pos="1080"/>
        </w:tabs>
        <w:snapToGrid w:val="0"/>
        <w:spacing w:line="360" w:lineRule="auto"/>
        <w:jc w:val="center"/>
        <w:rPr>
          <w:b/>
          <w:spacing w:val="0"/>
          <w:kern w:val="0"/>
          <w:position w:val="0"/>
          <w:sz w:val="36"/>
          <w:szCs w:val="36"/>
        </w:rPr>
      </w:pPr>
      <w:r>
        <w:rPr>
          <w:b/>
          <w:spacing w:val="0"/>
          <w:kern w:val="0"/>
          <w:position w:val="0"/>
          <w:sz w:val="36"/>
          <w:szCs w:val="36"/>
        </w:rPr>
        <w:br w:type="page"/>
      </w:r>
      <w:bookmarkStart w:id="991" w:name="_Toc99301426"/>
      <w:r>
        <w:rPr>
          <w:b/>
          <w:spacing w:val="0"/>
          <w:kern w:val="0"/>
          <w:position w:val="0"/>
          <w:sz w:val="36"/>
          <w:szCs w:val="36"/>
        </w:rPr>
        <w:t>第七章   投标文件格式</w:t>
      </w:r>
      <w:bookmarkEnd w:id="991"/>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项目编号/包号：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4"/>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5"/>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5"/>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5"/>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5"/>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5"/>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ED3D8EB">
      <w:pPr>
        <w:spacing w:line="360" w:lineRule="auto"/>
        <w:ind w:right="360" w:firstLine="480"/>
        <w:jc w:val="right"/>
        <w:rPr>
          <w:spacing w:val="0"/>
          <w:kern w:val="0"/>
          <w:position w:val="0"/>
          <w:sz w:val="24"/>
        </w:rPr>
      </w:pPr>
      <w:r>
        <w:rPr>
          <w:color w:val="000000"/>
          <w:spacing w:val="0"/>
          <w:kern w:val="0"/>
          <w:position w:val="0"/>
          <w:sz w:val="24"/>
          <w:szCs w:val="20"/>
        </w:rPr>
        <w:t xml:space="preserve">日期：_____年______月______日   </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18" w:right="1134" w:bottom="1418" w:left="1134" w:header="851" w:footer="851" w:gutter="0"/>
          <w:pgNumType w:fmt="decimal"/>
          <w:cols w:space="720" w:num="1"/>
          <w:docGrid w:linePitch="462" w:charSpace="0"/>
        </w:sectPr>
      </w:pPr>
    </w:p>
    <w:p w14:paraId="292053FE">
      <w:pPr>
        <w:numPr>
          <w:ilvl w:val="0"/>
          <w:numId w:val="14"/>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992" w:name="_Hlk145526067"/>
      <w:r>
        <w:rPr>
          <w:spacing w:val="0"/>
          <w:kern w:val="0"/>
          <w:position w:val="0"/>
          <w:sz w:val="24"/>
        </w:rPr>
        <w:t>如供应商为联合体的，</w:t>
      </w:r>
      <w:bookmarkEnd w:id="992"/>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6"/>
        <w:rPr>
          <w:spacing w:val="0"/>
          <w:kern w:val="0"/>
          <w:position w:val="0"/>
        </w:rPr>
      </w:pPr>
      <w:r>
        <w:rPr>
          <w:spacing w:val="0"/>
          <w:kern w:val="0"/>
          <w:position w:val="0"/>
        </w:rPr>
        <w:t>2-1-1 中小企业证明文件</w:t>
      </w:r>
    </w:p>
    <w:p w14:paraId="1AAFE50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68F108F7">
      <w:pPr>
        <w:spacing w:line="360" w:lineRule="auto"/>
        <w:ind w:firstLine="504"/>
        <w:rPr>
          <w:spacing w:val="0"/>
          <w:kern w:val="0"/>
          <w:position w:val="0"/>
          <w:sz w:val="24"/>
        </w:rPr>
      </w:pPr>
      <w:r>
        <w:rPr>
          <w:spacing w:val="0"/>
          <w:kern w:val="0"/>
          <w:position w:val="0"/>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spacing w:val="0"/>
          <w:kern w:val="0"/>
          <w:position w:val="0"/>
          <w:sz w:val="24"/>
        </w:rPr>
      </w:pPr>
      <w:r>
        <w:rPr>
          <w:spacing w:val="0"/>
          <w:kern w:val="0"/>
          <w:position w:val="0"/>
          <w:sz w:val="24"/>
        </w:rPr>
        <w:t>1.</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w:t>
      </w:r>
      <w:r>
        <w:rPr>
          <w:spacing w:val="0"/>
          <w:kern w:val="0"/>
          <w:position w:val="0"/>
          <w:sz w:val="24"/>
          <w:vertAlign w:val="superscript"/>
        </w:rPr>
        <w:t>1</w:t>
      </w:r>
      <w:r>
        <w:rPr>
          <w:spacing w:val="0"/>
          <w:kern w:val="0"/>
          <w:position w:val="0"/>
          <w:sz w:val="24"/>
        </w:rPr>
        <w:t>，属于</w:t>
      </w:r>
      <w:r>
        <w:rPr>
          <w:spacing w:val="0"/>
          <w:kern w:val="0"/>
          <w:position w:val="0"/>
          <w:sz w:val="24"/>
          <w:u w:val="single"/>
        </w:rPr>
        <w:t>（中型企业、小型企业、微型企业）</w:t>
      </w:r>
      <w:r>
        <w:rPr>
          <w:spacing w:val="0"/>
          <w:kern w:val="0"/>
          <w:position w:val="0"/>
          <w:sz w:val="24"/>
        </w:rPr>
        <w:t>；</w:t>
      </w:r>
    </w:p>
    <w:p w14:paraId="349F736B">
      <w:pPr>
        <w:spacing w:line="360" w:lineRule="auto"/>
        <w:ind w:firstLine="504"/>
        <w:rPr>
          <w:spacing w:val="0"/>
          <w:kern w:val="0"/>
          <w:position w:val="0"/>
          <w:sz w:val="24"/>
        </w:rPr>
      </w:pPr>
      <w:r>
        <w:rPr>
          <w:spacing w:val="0"/>
          <w:kern w:val="0"/>
          <w:position w:val="0"/>
          <w:sz w:val="24"/>
        </w:rPr>
        <w:t>2.</w:t>
      </w:r>
      <w:r>
        <w:rPr>
          <w:spacing w:val="0"/>
          <w:kern w:val="0"/>
          <w:position w:val="0"/>
          <w:sz w:val="24"/>
          <w:u w:val="single"/>
        </w:rPr>
        <w:t>（标的名称）</w:t>
      </w:r>
      <w:r>
        <w:rPr>
          <w:spacing w:val="0"/>
          <w:kern w:val="0"/>
          <w:position w:val="0"/>
          <w:sz w:val="24"/>
        </w:rPr>
        <w:t>，属于</w:t>
      </w:r>
      <w:r>
        <w:rPr>
          <w:spacing w:val="0"/>
          <w:kern w:val="0"/>
          <w:position w:val="0"/>
          <w:sz w:val="24"/>
          <w:u w:val="single"/>
        </w:rPr>
        <w:t>（采购文件中明确的所属行业）</w:t>
      </w:r>
      <w:r>
        <w:rPr>
          <w:spacing w:val="0"/>
          <w:kern w:val="0"/>
          <w:position w:val="0"/>
          <w:sz w:val="24"/>
        </w:rPr>
        <w:t>行业；制造商为</w:t>
      </w:r>
      <w:r>
        <w:rPr>
          <w:spacing w:val="0"/>
          <w:kern w:val="0"/>
          <w:position w:val="0"/>
          <w:sz w:val="24"/>
          <w:u w:val="single"/>
        </w:rPr>
        <w:t>（企业名称）</w:t>
      </w:r>
      <w:r>
        <w:rPr>
          <w:spacing w:val="0"/>
          <w:kern w:val="0"/>
          <w:position w:val="0"/>
          <w:sz w:val="24"/>
        </w:rPr>
        <w:t>，从业人员______人，营业收入为______万元，资产总额为______万元，属于</w:t>
      </w:r>
      <w:r>
        <w:rPr>
          <w:spacing w:val="0"/>
          <w:kern w:val="0"/>
          <w:position w:val="0"/>
          <w:sz w:val="24"/>
          <w:u w:val="single"/>
        </w:rPr>
        <w:t>（中型企业、小型企业、微型企业）</w:t>
      </w:r>
      <w:r>
        <w:rPr>
          <w:spacing w:val="0"/>
          <w:kern w:val="0"/>
          <w:position w:val="0"/>
          <w:sz w:val="24"/>
        </w:rPr>
        <w:t>；</w:t>
      </w:r>
    </w:p>
    <w:p w14:paraId="641B94BB">
      <w:pPr>
        <w:spacing w:line="360" w:lineRule="auto"/>
        <w:ind w:firstLine="504"/>
        <w:rPr>
          <w:spacing w:val="0"/>
          <w:kern w:val="0"/>
          <w:position w:val="0"/>
          <w:sz w:val="24"/>
        </w:rPr>
      </w:pPr>
      <w:r>
        <w:rPr>
          <w:spacing w:val="0"/>
          <w:kern w:val="0"/>
          <w:position w:val="0"/>
          <w:sz w:val="24"/>
        </w:rPr>
        <w:t>……</w:t>
      </w:r>
    </w:p>
    <w:p w14:paraId="1125B802">
      <w:pPr>
        <w:spacing w:line="360" w:lineRule="auto"/>
        <w:ind w:firstLine="504"/>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6F10D1AE">
      <w:pPr>
        <w:spacing w:line="360" w:lineRule="auto"/>
        <w:ind w:firstLine="504"/>
        <w:rPr>
          <w:spacing w:val="0"/>
          <w:kern w:val="0"/>
          <w:position w:val="0"/>
          <w:sz w:val="24"/>
        </w:rPr>
      </w:pPr>
      <w:r>
        <w:rPr>
          <w:spacing w:val="0"/>
          <w:kern w:val="0"/>
          <w:position w:val="0"/>
          <w:sz w:val="24"/>
        </w:rPr>
        <w:t>本企业对上述声明内容的真实性负责。如有虚假，将依法承担相应责任。</w:t>
      </w:r>
    </w:p>
    <w:p w14:paraId="7348FFD0">
      <w:pPr>
        <w:spacing w:line="360" w:lineRule="auto"/>
        <w:ind w:firstLine="504"/>
        <w:rPr>
          <w:spacing w:val="0"/>
          <w:kern w:val="0"/>
          <w:position w:val="0"/>
          <w:sz w:val="24"/>
        </w:rPr>
      </w:pPr>
    </w:p>
    <w:p w14:paraId="528AB54A">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2E59B2EC">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4231D5CF">
      <w:pPr>
        <w:spacing w:line="360" w:lineRule="auto"/>
        <w:ind w:right="360" w:firstLine="480"/>
        <w:jc w:val="right"/>
        <w:rPr>
          <w:color w:val="000000"/>
          <w:spacing w:val="0"/>
          <w:kern w:val="0"/>
          <w:position w:val="0"/>
          <w:sz w:val="24"/>
        </w:rPr>
      </w:pPr>
    </w:p>
    <w:p w14:paraId="0CE44A62">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700B87C6">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6"/>
        <w:rPr>
          <w:spacing w:val="0"/>
          <w:kern w:val="0"/>
          <w:position w:val="0"/>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49"/>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49"/>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49"/>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49"/>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4"/>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6"/>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6"/>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6"/>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6"/>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6"/>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6"/>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6"/>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6"/>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4"/>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项目编号/包号：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7"/>
        </w:numPr>
        <w:tabs>
          <w:tab w:val="left" w:pos="360"/>
        </w:tabs>
        <w:snapToGrid w:val="0"/>
        <w:spacing w:line="360" w:lineRule="auto"/>
        <w:outlineLvl w:val="1"/>
        <w:rPr>
          <w:color w:val="000000"/>
          <w:spacing w:val="0"/>
          <w:kern w:val="0"/>
          <w:position w:val="0"/>
          <w:sz w:val="24"/>
          <w:szCs w:val="20"/>
        </w:rPr>
      </w:pPr>
      <w:bookmarkStart w:id="993" w:name="_Hlt520355504"/>
      <w:bookmarkEnd w:id="993"/>
      <w:bookmarkStart w:id="994" w:name="_Hlt520350918"/>
      <w:bookmarkEnd w:id="994"/>
      <w:bookmarkStart w:id="995" w:name="_Hlt520274065"/>
      <w:bookmarkEnd w:id="995"/>
      <w:bookmarkStart w:id="996" w:name="_Hlt520343392"/>
      <w:bookmarkEnd w:id="996"/>
      <w:bookmarkStart w:id="997" w:name="_Hlt520274407"/>
      <w:bookmarkEnd w:id="997"/>
      <w:bookmarkStart w:id="998" w:name="_Hlt520343000"/>
      <w:bookmarkEnd w:id="998"/>
      <w:bookmarkStart w:id="999" w:name="_Hlt520274121"/>
      <w:bookmarkEnd w:id="999"/>
      <w:bookmarkStart w:id="1000" w:name="_Hlt520273711"/>
      <w:bookmarkEnd w:id="1000"/>
      <w:bookmarkStart w:id="1001" w:name="_Hlt520274393"/>
      <w:bookmarkEnd w:id="1001"/>
      <w:bookmarkStart w:id="1002" w:name="_Hlt520271212"/>
      <w:bookmarkEnd w:id="1002"/>
      <w:bookmarkStart w:id="1003" w:name="_Toc480942349"/>
      <w:bookmarkStart w:id="1004" w:name="_Ref467988698"/>
      <w:bookmarkStart w:id="1005" w:name="_Toc150480794"/>
      <w:bookmarkStart w:id="1006" w:name="_Toc226337252"/>
      <w:bookmarkStart w:id="1007" w:name="_Toc195842921"/>
      <w:bookmarkStart w:id="1008" w:name="_Toc127151556"/>
      <w:bookmarkStart w:id="1009" w:name="_Toc150774761"/>
      <w:bookmarkStart w:id="1010" w:name="_Toc226965746"/>
      <w:bookmarkStart w:id="1011" w:name="_Toc142311058"/>
      <w:bookmarkStart w:id="1012" w:name="_Toc226309800"/>
      <w:bookmarkStart w:id="1013" w:name="_Toc226965829"/>
      <w:bookmarkStart w:id="1014" w:name="_Toc520356217"/>
      <w:r>
        <w:rPr>
          <w:color w:val="000000"/>
          <w:spacing w:val="0"/>
          <w:kern w:val="0"/>
          <w:position w:val="0"/>
          <w:sz w:val="24"/>
        </w:rPr>
        <w:t>投标</w:t>
      </w:r>
      <w:bookmarkEnd w:id="1003"/>
      <w:bookmarkEnd w:id="1004"/>
      <w:r>
        <w:rPr>
          <w:color w:val="000000"/>
          <w:spacing w:val="0"/>
          <w:kern w:val="0"/>
          <w:position w:val="0"/>
          <w:sz w:val="24"/>
        </w:rPr>
        <w:t>书</w:t>
      </w:r>
      <w:bookmarkEnd w:id="1005"/>
      <w:bookmarkEnd w:id="1006"/>
      <w:bookmarkEnd w:id="1007"/>
      <w:bookmarkEnd w:id="1008"/>
      <w:bookmarkEnd w:id="1009"/>
      <w:bookmarkEnd w:id="1010"/>
      <w:bookmarkEnd w:id="1011"/>
      <w:bookmarkEnd w:id="1012"/>
      <w:bookmarkEnd w:id="1013"/>
      <w:bookmarkEnd w:id="1014"/>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我方参加你方就___________（项目名称，项目编号/包号）组织的招标活动，并对此项目进行投标。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1015" w:name="_Hlt520356243"/>
      <w:bookmarkEnd w:id="1015"/>
      <w:bookmarkStart w:id="1016" w:name="_Hlt520355938"/>
      <w:bookmarkEnd w:id="1016"/>
      <w:bookmarkStart w:id="1017" w:name="_Toc142311059"/>
      <w:bookmarkStart w:id="1018" w:name="_Ref467988705"/>
      <w:bookmarkStart w:id="1019" w:name="_Toc195842922"/>
      <w:bookmarkStart w:id="1020" w:name="_Toc226309801"/>
      <w:bookmarkStart w:id="1021" w:name="_Toc480942350"/>
      <w:bookmarkStart w:id="1022" w:name="_Toc226337253"/>
      <w:bookmarkStart w:id="1023" w:name="_Toc150480795"/>
      <w:bookmarkStart w:id="1024" w:name="_Toc264969247"/>
      <w:bookmarkStart w:id="1025" w:name="_Toc226965830"/>
      <w:bookmarkStart w:id="1026" w:name="_Toc520356218"/>
      <w:bookmarkStart w:id="1027" w:name="_Toc265228395"/>
      <w:bookmarkStart w:id="1028" w:name="_Toc305158825"/>
      <w:bookmarkStart w:id="1029" w:name="_Toc226965747"/>
      <w:bookmarkStart w:id="1030" w:name="_Toc127151557"/>
      <w:bookmarkStart w:id="1031" w:name="_Toc305158899"/>
      <w:bookmarkStart w:id="1032" w:name="_Toc150774762"/>
      <w:r>
        <w:rPr>
          <w:color w:val="000000"/>
          <w:spacing w:val="0"/>
          <w:kern w:val="0"/>
          <w:position w:val="0"/>
          <w:sz w:val="24"/>
        </w:rPr>
        <w:br w:type="page"/>
      </w:r>
    </w:p>
    <w:p w14:paraId="6E14AF97">
      <w:pPr>
        <w:numPr>
          <w:ilvl w:val="0"/>
          <w:numId w:val="17"/>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w:t>
      </w:r>
      <w:r>
        <w:rPr>
          <w:color w:val="000000"/>
          <w:spacing w:val="0"/>
          <w:kern w:val="0"/>
          <w:position w:val="0"/>
          <w:sz w:val="24"/>
        </w:rPr>
        <w:t xml:space="preserve">    </w:t>
      </w:r>
      <w:r>
        <w:rPr>
          <w:color w:val="000000"/>
          <w:spacing w:val="0"/>
          <w:kern w:val="0"/>
          <w:position w:val="0"/>
          <w:sz w:val="24"/>
          <w:lang w:val="zh-CN"/>
        </w:rPr>
        <w:t xml:space="preserve">                      </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17"/>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17"/>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w:t>
      </w:r>
    </w:p>
    <w:p w14:paraId="76087184">
      <w:pPr>
        <w:pStyle w:val="17"/>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1033" w:name="_Toc226965831"/>
      <w:bookmarkStart w:id="1034" w:name="_Toc305158900"/>
      <w:bookmarkStart w:id="1035" w:name="_Toc226337254"/>
      <w:bookmarkStart w:id="1036" w:name="_Toc305158826"/>
      <w:bookmarkStart w:id="1037" w:name="_Toc264969248"/>
      <w:bookmarkStart w:id="1038" w:name="_Toc226309802"/>
      <w:bookmarkStart w:id="1039" w:name="_Toc164608672"/>
      <w:bookmarkStart w:id="1040" w:name="_Toc226965748"/>
      <w:bookmarkStart w:id="1041" w:name="_Toc265228396"/>
      <w:bookmarkStart w:id="1042" w:name="_Toc195842923"/>
      <w:bookmarkStart w:id="1043" w:name="_Toc164608827"/>
      <w:r>
        <w:rPr>
          <w:b/>
          <w:color w:val="000000"/>
          <w:spacing w:val="0"/>
          <w:kern w:val="0"/>
          <w:position w:val="0"/>
          <w:sz w:val="36"/>
          <w:szCs w:val="36"/>
        </w:rPr>
        <w:t>开标一览表</w:t>
      </w:r>
      <w:bookmarkEnd w:id="1033"/>
      <w:bookmarkEnd w:id="1034"/>
      <w:bookmarkEnd w:id="1035"/>
      <w:bookmarkEnd w:id="1036"/>
      <w:bookmarkEnd w:id="1037"/>
      <w:bookmarkEnd w:id="1038"/>
      <w:bookmarkEnd w:id="1039"/>
      <w:bookmarkEnd w:id="1040"/>
      <w:bookmarkEnd w:id="1041"/>
      <w:bookmarkEnd w:id="1042"/>
      <w:bookmarkEnd w:id="1043"/>
    </w:p>
    <w:p w14:paraId="0925B5EE">
      <w:pPr>
        <w:tabs>
          <w:tab w:val="left" w:pos="1800"/>
          <w:tab w:val="left" w:pos="5580"/>
        </w:tabs>
        <w:spacing w:line="360" w:lineRule="auto"/>
        <w:jc w:val="left"/>
        <w:rPr>
          <w:i/>
          <w:color w:val="FF0000"/>
          <w:spacing w:val="0"/>
          <w:kern w:val="0"/>
          <w:position w:val="0"/>
          <w:sz w:val="24"/>
        </w:rPr>
      </w:pPr>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4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2731"/>
        <w:gridCol w:w="1464"/>
        <w:gridCol w:w="1462"/>
        <w:gridCol w:w="2925"/>
      </w:tblGrid>
      <w:tr w14:paraId="5EFE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5" w:type="dxa"/>
            <w:vMerge w:val="restart"/>
            <w:vAlign w:val="center"/>
          </w:tcPr>
          <w:p w14:paraId="08B769FC">
            <w:pPr>
              <w:tabs>
                <w:tab w:val="left" w:pos="5580"/>
              </w:tabs>
              <w:jc w:val="center"/>
              <w:rPr>
                <w:b/>
                <w:spacing w:val="0"/>
                <w:kern w:val="0"/>
                <w:position w:val="0"/>
                <w:sz w:val="24"/>
              </w:rPr>
            </w:pPr>
            <w:r>
              <w:rPr>
                <w:b/>
                <w:spacing w:val="0"/>
                <w:kern w:val="0"/>
                <w:position w:val="0"/>
                <w:sz w:val="24"/>
              </w:rPr>
              <w:t>包号</w:t>
            </w:r>
          </w:p>
        </w:tc>
        <w:tc>
          <w:tcPr>
            <w:tcW w:w="2731" w:type="dxa"/>
            <w:vMerge w:val="restart"/>
            <w:vAlign w:val="center"/>
          </w:tcPr>
          <w:p w14:paraId="7F69961A">
            <w:pPr>
              <w:tabs>
                <w:tab w:val="left" w:pos="5580"/>
              </w:tabs>
              <w:jc w:val="center"/>
              <w:rPr>
                <w:b/>
                <w:spacing w:val="0"/>
                <w:kern w:val="0"/>
                <w:position w:val="0"/>
                <w:sz w:val="24"/>
              </w:rPr>
            </w:pPr>
            <w:r>
              <w:rPr>
                <w:b/>
                <w:spacing w:val="0"/>
                <w:kern w:val="0"/>
                <w:position w:val="0"/>
                <w:sz w:val="24"/>
              </w:rPr>
              <w:t>投标人名称</w:t>
            </w:r>
          </w:p>
        </w:tc>
        <w:tc>
          <w:tcPr>
            <w:tcW w:w="2926" w:type="dxa"/>
            <w:gridSpan w:val="2"/>
            <w:vAlign w:val="center"/>
          </w:tcPr>
          <w:p w14:paraId="10B04E12">
            <w:pPr>
              <w:tabs>
                <w:tab w:val="left" w:pos="5580"/>
              </w:tabs>
              <w:jc w:val="center"/>
              <w:rPr>
                <w:b/>
                <w:spacing w:val="0"/>
                <w:kern w:val="0"/>
                <w:position w:val="0"/>
                <w:sz w:val="24"/>
              </w:rPr>
            </w:pPr>
            <w:r>
              <w:rPr>
                <w:b/>
                <w:spacing w:val="0"/>
                <w:kern w:val="0"/>
                <w:position w:val="0"/>
                <w:sz w:val="24"/>
              </w:rPr>
              <w:t>投标报价</w:t>
            </w:r>
          </w:p>
        </w:tc>
        <w:tc>
          <w:tcPr>
            <w:tcW w:w="2925" w:type="dxa"/>
            <w:vMerge w:val="restart"/>
            <w:vAlign w:val="center"/>
          </w:tcPr>
          <w:p w14:paraId="3233E7CF">
            <w:pPr>
              <w:tabs>
                <w:tab w:val="left" w:pos="5580"/>
              </w:tabs>
              <w:jc w:val="center"/>
              <w:rPr>
                <w:b/>
                <w:spacing w:val="0"/>
                <w:kern w:val="0"/>
                <w:position w:val="0"/>
                <w:sz w:val="24"/>
              </w:rPr>
            </w:pPr>
            <w:r>
              <w:rPr>
                <w:rFonts w:hint="eastAsia" w:eastAsia="宋体"/>
                <w:b/>
                <w:spacing w:val="0"/>
                <w:kern w:val="0"/>
                <w:position w:val="0"/>
                <w:sz w:val="24"/>
                <w:lang w:val="en-US" w:eastAsia="zh-CN"/>
              </w:rPr>
              <w:t>合同履行期限</w:t>
            </w:r>
          </w:p>
        </w:tc>
      </w:tr>
      <w:tr w14:paraId="349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5" w:type="dxa"/>
            <w:vMerge w:val="continue"/>
            <w:vAlign w:val="center"/>
          </w:tcPr>
          <w:p w14:paraId="7C4FB9E0">
            <w:pPr>
              <w:tabs>
                <w:tab w:val="left" w:pos="5580"/>
              </w:tabs>
              <w:jc w:val="center"/>
              <w:rPr>
                <w:spacing w:val="0"/>
                <w:kern w:val="0"/>
                <w:position w:val="0"/>
                <w:sz w:val="24"/>
              </w:rPr>
            </w:pPr>
          </w:p>
        </w:tc>
        <w:tc>
          <w:tcPr>
            <w:tcW w:w="2731" w:type="dxa"/>
            <w:vMerge w:val="continue"/>
            <w:vAlign w:val="center"/>
          </w:tcPr>
          <w:p w14:paraId="199ACA54">
            <w:pPr>
              <w:tabs>
                <w:tab w:val="left" w:pos="5580"/>
              </w:tabs>
              <w:jc w:val="center"/>
              <w:rPr>
                <w:spacing w:val="0"/>
                <w:kern w:val="0"/>
                <w:position w:val="0"/>
                <w:sz w:val="24"/>
              </w:rPr>
            </w:pPr>
          </w:p>
        </w:tc>
        <w:tc>
          <w:tcPr>
            <w:tcW w:w="1464" w:type="dxa"/>
            <w:vAlign w:val="center"/>
          </w:tcPr>
          <w:p w14:paraId="6250A70B">
            <w:pPr>
              <w:tabs>
                <w:tab w:val="left" w:pos="5580"/>
              </w:tabs>
              <w:jc w:val="center"/>
              <w:rPr>
                <w:b/>
                <w:spacing w:val="0"/>
                <w:kern w:val="0"/>
                <w:position w:val="0"/>
                <w:sz w:val="24"/>
              </w:rPr>
            </w:pPr>
            <w:r>
              <w:rPr>
                <w:b/>
                <w:spacing w:val="0"/>
                <w:kern w:val="0"/>
                <w:position w:val="0"/>
                <w:sz w:val="24"/>
              </w:rPr>
              <w:t>大写</w:t>
            </w:r>
          </w:p>
        </w:tc>
        <w:tc>
          <w:tcPr>
            <w:tcW w:w="1462" w:type="dxa"/>
            <w:vAlign w:val="center"/>
          </w:tcPr>
          <w:p w14:paraId="4B25497B">
            <w:pPr>
              <w:tabs>
                <w:tab w:val="left" w:pos="5580"/>
              </w:tabs>
              <w:jc w:val="center"/>
              <w:rPr>
                <w:b/>
                <w:spacing w:val="0"/>
                <w:kern w:val="0"/>
                <w:position w:val="0"/>
                <w:sz w:val="24"/>
              </w:rPr>
            </w:pPr>
            <w:r>
              <w:rPr>
                <w:b/>
                <w:spacing w:val="0"/>
                <w:kern w:val="0"/>
                <w:position w:val="0"/>
                <w:sz w:val="24"/>
              </w:rPr>
              <w:t>小写</w:t>
            </w:r>
          </w:p>
        </w:tc>
        <w:tc>
          <w:tcPr>
            <w:tcW w:w="2925" w:type="dxa"/>
            <w:vMerge w:val="continue"/>
            <w:tcBorders/>
            <w:vAlign w:val="center"/>
          </w:tcPr>
          <w:p w14:paraId="4D30D520">
            <w:pPr>
              <w:tabs>
                <w:tab w:val="left" w:pos="5580"/>
              </w:tabs>
              <w:jc w:val="center"/>
              <w:rPr>
                <w:b/>
                <w:spacing w:val="0"/>
                <w:kern w:val="0"/>
                <w:position w:val="0"/>
                <w:sz w:val="24"/>
              </w:rPr>
            </w:pPr>
          </w:p>
        </w:tc>
      </w:tr>
      <w:tr w14:paraId="64E9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5" w:type="dxa"/>
            <w:vAlign w:val="center"/>
          </w:tcPr>
          <w:p w14:paraId="359B7DCA">
            <w:pPr>
              <w:tabs>
                <w:tab w:val="left" w:pos="5580"/>
              </w:tabs>
              <w:jc w:val="center"/>
              <w:rPr>
                <w:spacing w:val="0"/>
                <w:kern w:val="0"/>
                <w:position w:val="0"/>
                <w:sz w:val="24"/>
              </w:rPr>
            </w:pPr>
          </w:p>
        </w:tc>
        <w:tc>
          <w:tcPr>
            <w:tcW w:w="2731" w:type="dxa"/>
            <w:vAlign w:val="center"/>
          </w:tcPr>
          <w:p w14:paraId="29357677">
            <w:pPr>
              <w:tabs>
                <w:tab w:val="left" w:pos="5580"/>
              </w:tabs>
              <w:jc w:val="center"/>
              <w:rPr>
                <w:spacing w:val="0"/>
                <w:kern w:val="0"/>
                <w:position w:val="0"/>
                <w:sz w:val="24"/>
              </w:rPr>
            </w:pPr>
          </w:p>
        </w:tc>
        <w:tc>
          <w:tcPr>
            <w:tcW w:w="1464" w:type="dxa"/>
            <w:vAlign w:val="center"/>
          </w:tcPr>
          <w:p w14:paraId="030E8308">
            <w:pPr>
              <w:tabs>
                <w:tab w:val="left" w:pos="5580"/>
              </w:tabs>
              <w:jc w:val="center"/>
              <w:rPr>
                <w:spacing w:val="0"/>
                <w:kern w:val="0"/>
                <w:position w:val="0"/>
                <w:sz w:val="24"/>
              </w:rPr>
            </w:pPr>
          </w:p>
        </w:tc>
        <w:tc>
          <w:tcPr>
            <w:tcW w:w="1462" w:type="dxa"/>
            <w:vAlign w:val="center"/>
          </w:tcPr>
          <w:p w14:paraId="5EC58E8A">
            <w:pPr>
              <w:tabs>
                <w:tab w:val="left" w:pos="5580"/>
              </w:tabs>
              <w:jc w:val="center"/>
              <w:rPr>
                <w:spacing w:val="0"/>
                <w:kern w:val="0"/>
                <w:position w:val="0"/>
                <w:sz w:val="24"/>
              </w:rPr>
            </w:pPr>
          </w:p>
        </w:tc>
        <w:tc>
          <w:tcPr>
            <w:tcW w:w="2925" w:type="dxa"/>
            <w:vAlign w:val="center"/>
          </w:tcPr>
          <w:p w14:paraId="1D57ABD4">
            <w:pPr>
              <w:tabs>
                <w:tab w:val="left" w:pos="5580"/>
              </w:tabs>
              <w:jc w:val="center"/>
              <w:rPr>
                <w:spacing w:val="0"/>
                <w:kern w:val="0"/>
                <w:position w:val="0"/>
                <w:sz w:val="24"/>
              </w:rPr>
            </w:pPr>
          </w:p>
        </w:tc>
      </w:tr>
    </w:tbl>
    <w:p w14:paraId="0850F608">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bookmarkStart w:id="1086" w:name="_GoBack"/>
      <w:bookmarkEnd w:id="1086"/>
    </w:p>
    <w:p w14:paraId="7B656FAD">
      <w:pPr>
        <w:autoSpaceDE w:val="0"/>
        <w:autoSpaceDN w:val="0"/>
        <w:adjustRightInd w:val="0"/>
        <w:snapToGrid w:val="0"/>
        <w:spacing w:before="25" w:after="25" w:line="360" w:lineRule="auto"/>
        <w:rPr>
          <w:color w:val="000000"/>
          <w:spacing w:val="0"/>
          <w:kern w:val="0"/>
          <w:position w:val="0"/>
          <w:sz w:val="24"/>
          <w:lang w:val="zh-CN"/>
        </w:rPr>
      </w:pPr>
    </w:p>
    <w:p w14:paraId="7D7A4092">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AC01522">
      <w:pPr>
        <w:widowControl/>
        <w:jc w:val="left"/>
        <w:rPr>
          <w:color w:val="000000"/>
          <w:spacing w:val="0"/>
          <w:kern w:val="0"/>
          <w:position w:val="0"/>
          <w:sz w:val="24"/>
          <w:szCs w:val="20"/>
        </w:rPr>
      </w:pPr>
      <w:bookmarkStart w:id="1044" w:name="_Toc305158827"/>
      <w:bookmarkStart w:id="1045" w:name="_Toc226309803"/>
      <w:bookmarkStart w:id="1046" w:name="_Toc150480796"/>
      <w:bookmarkStart w:id="1047" w:name="_Toc127151558"/>
      <w:bookmarkStart w:id="1048" w:name="_Toc305158901"/>
      <w:bookmarkStart w:id="1049" w:name="_Toc264969249"/>
      <w:bookmarkStart w:id="1050" w:name="_Toc265228397"/>
      <w:bookmarkStart w:id="1051" w:name="_Toc150774763"/>
      <w:bookmarkStart w:id="1052" w:name="_Toc142311060"/>
      <w:bookmarkStart w:id="1053" w:name="_Toc226965832"/>
      <w:bookmarkStart w:id="1054" w:name="_Toc226965749"/>
      <w:bookmarkStart w:id="1055" w:name="_Toc195842924"/>
      <w:bookmarkStart w:id="1056" w:name="_Toc226337255"/>
    </w:p>
    <w:p w14:paraId="498C5BE9">
      <w:pPr>
        <w:widowControl/>
        <w:jc w:val="left"/>
        <w:rPr>
          <w:color w:val="000000"/>
          <w:spacing w:val="0"/>
          <w:kern w:val="0"/>
          <w:position w:val="0"/>
          <w:sz w:val="24"/>
          <w:szCs w:val="20"/>
        </w:rPr>
      </w:pPr>
    </w:p>
    <w:p w14:paraId="726E16C5">
      <w:pPr>
        <w:numPr>
          <w:ilvl w:val="0"/>
          <w:numId w:val="17"/>
        </w:numPr>
        <w:tabs>
          <w:tab w:val="left" w:pos="360"/>
        </w:tabs>
        <w:snapToGrid w:val="0"/>
        <w:spacing w:line="360" w:lineRule="auto"/>
        <w:outlineLvl w:val="1"/>
        <w:rPr>
          <w:color w:val="000000"/>
          <w:spacing w:val="0"/>
          <w:kern w:val="0"/>
          <w:position w:val="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14:paraId="25F788ED">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4638EF26">
      <w:pPr>
        <w:adjustRightInd w:val="0"/>
        <w:snapToGrid w:val="0"/>
        <w:spacing w:before="240" w:beforeLines="100" w:after="240" w:afterLines="100"/>
        <w:jc w:val="left"/>
        <w:rPr>
          <w:b/>
          <w:i/>
          <w:color w:val="FF0000"/>
          <w:spacing w:val="0"/>
          <w:kern w:val="0"/>
          <w:position w:val="0"/>
          <w:sz w:val="24"/>
        </w:rPr>
      </w:pPr>
    </w:p>
    <w:p w14:paraId="19DDF64F">
      <w:pPr>
        <w:tabs>
          <w:tab w:val="left" w:pos="1800"/>
          <w:tab w:val="left" w:pos="5580"/>
        </w:tabs>
        <w:rPr>
          <w:color w:val="000000"/>
          <w:spacing w:val="0"/>
          <w:kern w:val="0"/>
          <w:position w:val="0"/>
          <w:sz w:val="24"/>
        </w:rPr>
      </w:pPr>
      <w:r>
        <w:rPr>
          <w:color w:val="000000"/>
          <w:spacing w:val="0"/>
          <w:kern w:val="0"/>
          <w:position w:val="0"/>
          <w:sz w:val="24"/>
        </w:rPr>
        <w:t>项目编号/包号：________ 项目名称：__________报价单位：人民币元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42CA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733EFA74">
            <w:pPr>
              <w:adjustRightInd w:val="0"/>
              <w:snapToGrid w:val="0"/>
              <w:jc w:val="left"/>
              <w:rPr>
                <w:b/>
                <w:color w:val="000000"/>
                <w:spacing w:val="0"/>
                <w:kern w:val="0"/>
                <w:position w:val="0"/>
                <w:sz w:val="24"/>
              </w:rPr>
            </w:pPr>
            <w:r>
              <w:rPr>
                <w:b/>
                <w:color w:val="000000"/>
                <w:spacing w:val="0"/>
                <w:kern w:val="0"/>
                <w:position w:val="0"/>
                <w:sz w:val="24"/>
              </w:rPr>
              <w:t>序号</w:t>
            </w:r>
          </w:p>
        </w:tc>
        <w:tc>
          <w:tcPr>
            <w:tcW w:w="370" w:type="pct"/>
            <w:vAlign w:val="center"/>
          </w:tcPr>
          <w:p w14:paraId="521B3877">
            <w:pPr>
              <w:adjustRightInd w:val="0"/>
              <w:snapToGrid w:val="0"/>
              <w:jc w:val="left"/>
              <w:rPr>
                <w:b/>
                <w:color w:val="000000"/>
                <w:spacing w:val="0"/>
                <w:kern w:val="0"/>
                <w:position w:val="0"/>
                <w:sz w:val="24"/>
              </w:rPr>
            </w:pPr>
            <w:r>
              <w:rPr>
                <w:b/>
                <w:color w:val="000000"/>
                <w:spacing w:val="0"/>
                <w:kern w:val="0"/>
                <w:position w:val="0"/>
                <w:sz w:val="24"/>
              </w:rPr>
              <w:t>分项名称</w:t>
            </w:r>
          </w:p>
        </w:tc>
        <w:tc>
          <w:tcPr>
            <w:tcW w:w="466" w:type="pct"/>
            <w:vAlign w:val="center"/>
          </w:tcPr>
          <w:p w14:paraId="59A41DB2">
            <w:pPr>
              <w:adjustRightInd w:val="0"/>
              <w:snapToGrid w:val="0"/>
              <w:jc w:val="left"/>
              <w:rPr>
                <w:b/>
                <w:color w:val="000000"/>
                <w:spacing w:val="0"/>
                <w:kern w:val="0"/>
                <w:position w:val="0"/>
                <w:sz w:val="24"/>
              </w:rPr>
            </w:pPr>
            <w:r>
              <w:rPr>
                <w:b/>
                <w:color w:val="000000"/>
                <w:spacing w:val="0"/>
                <w:kern w:val="0"/>
                <w:position w:val="0"/>
                <w:sz w:val="24"/>
              </w:rPr>
              <w:t>制造商</w:t>
            </w:r>
          </w:p>
        </w:tc>
        <w:tc>
          <w:tcPr>
            <w:tcW w:w="332" w:type="pct"/>
            <w:vAlign w:val="center"/>
          </w:tcPr>
          <w:p w14:paraId="08141068">
            <w:pPr>
              <w:adjustRightInd w:val="0"/>
              <w:snapToGrid w:val="0"/>
              <w:jc w:val="left"/>
              <w:rPr>
                <w:b/>
                <w:color w:val="000000"/>
                <w:spacing w:val="0"/>
                <w:kern w:val="0"/>
                <w:position w:val="0"/>
                <w:sz w:val="24"/>
              </w:rPr>
            </w:pPr>
            <w:r>
              <w:rPr>
                <w:b/>
                <w:color w:val="000000"/>
                <w:spacing w:val="0"/>
                <w:kern w:val="0"/>
                <w:position w:val="0"/>
                <w:sz w:val="24"/>
              </w:rPr>
              <w:t>产地/国别</w:t>
            </w:r>
          </w:p>
        </w:tc>
        <w:tc>
          <w:tcPr>
            <w:tcW w:w="441" w:type="pct"/>
            <w:vAlign w:val="center"/>
          </w:tcPr>
          <w:p w14:paraId="453EBC9C">
            <w:pPr>
              <w:jc w:val="center"/>
              <w:rPr>
                <w:b/>
                <w:color w:val="000000"/>
                <w:spacing w:val="0"/>
                <w:kern w:val="0"/>
                <w:position w:val="0"/>
                <w:sz w:val="24"/>
              </w:rPr>
            </w:pPr>
            <w:r>
              <w:rPr>
                <w:b/>
                <w:color w:val="000000"/>
                <w:spacing w:val="0"/>
                <w:kern w:val="0"/>
                <w:position w:val="0"/>
                <w:sz w:val="24"/>
              </w:rPr>
              <w:t>制造商</w:t>
            </w:r>
          </w:p>
          <w:p w14:paraId="36C06626">
            <w:pPr>
              <w:adjustRightInd w:val="0"/>
              <w:snapToGrid w:val="0"/>
              <w:jc w:val="center"/>
              <w:rPr>
                <w:b/>
                <w:color w:val="000000"/>
                <w:spacing w:val="0"/>
                <w:kern w:val="0"/>
                <w:position w:val="0"/>
                <w:sz w:val="24"/>
              </w:rPr>
            </w:pPr>
            <w:r>
              <w:rPr>
                <w:b/>
                <w:color w:val="000000"/>
                <w:spacing w:val="0"/>
                <w:kern w:val="0"/>
                <w:position w:val="0"/>
                <w:sz w:val="24"/>
              </w:rPr>
              <w:t>统一</w:t>
            </w:r>
            <w:r>
              <w:rPr>
                <w:rFonts w:hint="eastAsia"/>
                <w:b/>
                <w:color w:val="000000"/>
                <w:spacing w:val="0"/>
                <w:kern w:val="0"/>
                <w:position w:val="0"/>
                <w:sz w:val="24"/>
              </w:rPr>
              <w:t>社会</w:t>
            </w:r>
            <w:r>
              <w:rPr>
                <w:b/>
                <w:color w:val="000000"/>
                <w:spacing w:val="0"/>
                <w:kern w:val="0"/>
                <w:position w:val="0"/>
                <w:sz w:val="24"/>
              </w:rPr>
              <w:t>信用代码</w:t>
            </w:r>
          </w:p>
        </w:tc>
        <w:tc>
          <w:tcPr>
            <w:tcW w:w="441" w:type="pct"/>
            <w:vAlign w:val="center"/>
          </w:tcPr>
          <w:p w14:paraId="2D6E7E26">
            <w:pPr>
              <w:jc w:val="center"/>
              <w:rPr>
                <w:b/>
                <w:color w:val="000000"/>
                <w:spacing w:val="0"/>
                <w:kern w:val="0"/>
                <w:position w:val="0"/>
                <w:sz w:val="24"/>
              </w:rPr>
            </w:pPr>
            <w:r>
              <w:rPr>
                <w:b/>
                <w:color w:val="000000"/>
                <w:spacing w:val="0"/>
                <w:kern w:val="0"/>
                <w:position w:val="0"/>
                <w:sz w:val="24"/>
              </w:rPr>
              <w:t>制造商</w:t>
            </w:r>
          </w:p>
          <w:p w14:paraId="0E1B82B8">
            <w:pPr>
              <w:adjustRightInd w:val="0"/>
              <w:snapToGrid w:val="0"/>
              <w:jc w:val="center"/>
              <w:rPr>
                <w:b/>
                <w:color w:val="000000"/>
                <w:spacing w:val="0"/>
                <w:kern w:val="0"/>
                <w:position w:val="0"/>
                <w:sz w:val="24"/>
              </w:rPr>
            </w:pPr>
            <w:r>
              <w:rPr>
                <w:b/>
                <w:color w:val="000000"/>
                <w:spacing w:val="0"/>
                <w:kern w:val="0"/>
                <w:position w:val="0"/>
                <w:sz w:val="24"/>
              </w:rPr>
              <w:t>规模</w:t>
            </w:r>
          </w:p>
        </w:tc>
        <w:tc>
          <w:tcPr>
            <w:tcW w:w="441" w:type="pct"/>
          </w:tcPr>
          <w:p w14:paraId="6808159C">
            <w:pPr>
              <w:adjustRightInd w:val="0"/>
              <w:snapToGrid w:val="0"/>
              <w:jc w:val="center"/>
              <w:rPr>
                <w:b/>
                <w:color w:val="000000"/>
                <w:spacing w:val="0"/>
                <w:kern w:val="0"/>
                <w:position w:val="0"/>
                <w:sz w:val="24"/>
              </w:rPr>
            </w:pPr>
            <w:r>
              <w:rPr>
                <w:b/>
                <w:color w:val="000000"/>
                <w:spacing w:val="0"/>
                <w:kern w:val="0"/>
                <w:position w:val="0"/>
                <w:sz w:val="24"/>
              </w:rPr>
              <w:t>制造商所属性别</w:t>
            </w:r>
          </w:p>
        </w:tc>
        <w:tc>
          <w:tcPr>
            <w:tcW w:w="441" w:type="pct"/>
          </w:tcPr>
          <w:p w14:paraId="46F4D976">
            <w:pPr>
              <w:adjustRightInd w:val="0"/>
              <w:snapToGrid w:val="0"/>
              <w:jc w:val="center"/>
              <w:rPr>
                <w:b/>
                <w:color w:val="000000"/>
                <w:spacing w:val="0"/>
                <w:kern w:val="0"/>
                <w:position w:val="0"/>
                <w:sz w:val="24"/>
              </w:rPr>
            </w:pPr>
            <w:r>
              <w:rPr>
                <w:b/>
                <w:color w:val="000000"/>
                <w:spacing w:val="0"/>
                <w:kern w:val="0"/>
                <w:position w:val="0"/>
                <w:sz w:val="24"/>
              </w:rPr>
              <w:t>外商投资类型</w:t>
            </w:r>
          </w:p>
        </w:tc>
        <w:tc>
          <w:tcPr>
            <w:tcW w:w="441" w:type="pct"/>
            <w:vAlign w:val="center"/>
          </w:tcPr>
          <w:p w14:paraId="50728830">
            <w:pPr>
              <w:adjustRightInd w:val="0"/>
              <w:snapToGrid w:val="0"/>
              <w:jc w:val="center"/>
              <w:rPr>
                <w:b/>
                <w:color w:val="000000"/>
                <w:spacing w:val="0"/>
                <w:kern w:val="0"/>
                <w:position w:val="0"/>
                <w:sz w:val="24"/>
              </w:rPr>
            </w:pPr>
            <w:r>
              <w:rPr>
                <w:b/>
                <w:color w:val="000000"/>
                <w:spacing w:val="0"/>
                <w:kern w:val="0"/>
                <w:position w:val="0"/>
                <w:sz w:val="24"/>
              </w:rPr>
              <w:t>品牌</w:t>
            </w:r>
          </w:p>
        </w:tc>
        <w:tc>
          <w:tcPr>
            <w:tcW w:w="441" w:type="pct"/>
            <w:vAlign w:val="center"/>
          </w:tcPr>
          <w:p w14:paraId="04C617FD">
            <w:pPr>
              <w:adjustRightInd w:val="0"/>
              <w:snapToGrid w:val="0"/>
              <w:jc w:val="left"/>
              <w:rPr>
                <w:b/>
                <w:color w:val="000000"/>
                <w:spacing w:val="0"/>
                <w:kern w:val="0"/>
                <w:position w:val="0"/>
                <w:sz w:val="24"/>
              </w:rPr>
            </w:pPr>
            <w:r>
              <w:rPr>
                <w:b/>
                <w:color w:val="000000"/>
                <w:spacing w:val="0"/>
                <w:kern w:val="0"/>
                <w:position w:val="0"/>
                <w:sz w:val="24"/>
              </w:rPr>
              <w:t>规格、型号</w:t>
            </w:r>
          </w:p>
        </w:tc>
        <w:tc>
          <w:tcPr>
            <w:tcW w:w="360" w:type="pct"/>
            <w:vAlign w:val="center"/>
          </w:tcPr>
          <w:p w14:paraId="3E92ECD9">
            <w:pPr>
              <w:adjustRightInd w:val="0"/>
              <w:snapToGrid w:val="0"/>
              <w:jc w:val="left"/>
              <w:rPr>
                <w:b/>
                <w:color w:val="000000"/>
                <w:spacing w:val="0"/>
                <w:kern w:val="0"/>
                <w:position w:val="0"/>
                <w:sz w:val="24"/>
              </w:rPr>
            </w:pPr>
            <w:r>
              <w:rPr>
                <w:b/>
                <w:color w:val="000000"/>
                <w:spacing w:val="0"/>
                <w:kern w:val="0"/>
                <w:position w:val="0"/>
                <w:sz w:val="24"/>
              </w:rPr>
              <w:t>单价（元）</w:t>
            </w:r>
          </w:p>
        </w:tc>
        <w:tc>
          <w:tcPr>
            <w:tcW w:w="292" w:type="pct"/>
            <w:vAlign w:val="center"/>
          </w:tcPr>
          <w:p w14:paraId="2595138E">
            <w:pPr>
              <w:adjustRightInd w:val="0"/>
              <w:snapToGrid w:val="0"/>
              <w:jc w:val="left"/>
              <w:rPr>
                <w:b/>
                <w:color w:val="000000"/>
                <w:spacing w:val="0"/>
                <w:kern w:val="0"/>
                <w:position w:val="0"/>
                <w:sz w:val="24"/>
              </w:rPr>
            </w:pPr>
            <w:r>
              <w:rPr>
                <w:b/>
                <w:color w:val="000000"/>
                <w:spacing w:val="0"/>
                <w:kern w:val="0"/>
                <w:position w:val="0"/>
                <w:sz w:val="24"/>
              </w:rPr>
              <w:t>数量</w:t>
            </w:r>
          </w:p>
        </w:tc>
        <w:tc>
          <w:tcPr>
            <w:tcW w:w="359" w:type="pct"/>
            <w:vAlign w:val="center"/>
          </w:tcPr>
          <w:p w14:paraId="631BF671">
            <w:pPr>
              <w:adjustRightInd w:val="0"/>
              <w:snapToGrid w:val="0"/>
              <w:jc w:val="left"/>
              <w:rPr>
                <w:b/>
                <w:color w:val="000000"/>
                <w:spacing w:val="0"/>
                <w:kern w:val="0"/>
                <w:position w:val="0"/>
                <w:sz w:val="24"/>
              </w:rPr>
            </w:pPr>
            <w:r>
              <w:rPr>
                <w:b/>
                <w:color w:val="000000"/>
                <w:spacing w:val="0"/>
                <w:kern w:val="0"/>
                <w:position w:val="0"/>
                <w:sz w:val="24"/>
              </w:rPr>
              <w:t>合价（元）</w:t>
            </w:r>
          </w:p>
        </w:tc>
      </w:tr>
      <w:tr w14:paraId="4AB9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15F5DB2">
            <w:pPr>
              <w:adjustRightInd w:val="0"/>
              <w:snapToGrid w:val="0"/>
              <w:jc w:val="left"/>
              <w:rPr>
                <w:color w:val="000000"/>
                <w:spacing w:val="0"/>
                <w:kern w:val="0"/>
                <w:position w:val="0"/>
                <w:sz w:val="24"/>
              </w:rPr>
            </w:pPr>
            <w:r>
              <w:rPr>
                <w:color w:val="000000"/>
                <w:spacing w:val="0"/>
                <w:kern w:val="0"/>
                <w:position w:val="0"/>
                <w:sz w:val="24"/>
              </w:rPr>
              <w:t>1</w:t>
            </w:r>
          </w:p>
        </w:tc>
        <w:tc>
          <w:tcPr>
            <w:tcW w:w="370" w:type="pct"/>
            <w:vAlign w:val="center"/>
          </w:tcPr>
          <w:p w14:paraId="229A5D11">
            <w:pPr>
              <w:adjustRightInd w:val="0"/>
              <w:snapToGrid w:val="0"/>
              <w:jc w:val="left"/>
              <w:rPr>
                <w:color w:val="000000"/>
                <w:spacing w:val="0"/>
                <w:kern w:val="0"/>
                <w:position w:val="0"/>
                <w:sz w:val="24"/>
              </w:rPr>
            </w:pPr>
          </w:p>
        </w:tc>
        <w:tc>
          <w:tcPr>
            <w:tcW w:w="466" w:type="pct"/>
            <w:vAlign w:val="center"/>
          </w:tcPr>
          <w:p w14:paraId="16F12221">
            <w:pPr>
              <w:adjustRightInd w:val="0"/>
              <w:snapToGrid w:val="0"/>
              <w:jc w:val="left"/>
              <w:rPr>
                <w:color w:val="000000"/>
                <w:spacing w:val="0"/>
                <w:kern w:val="0"/>
                <w:position w:val="0"/>
                <w:sz w:val="24"/>
              </w:rPr>
            </w:pPr>
          </w:p>
        </w:tc>
        <w:tc>
          <w:tcPr>
            <w:tcW w:w="332" w:type="pct"/>
          </w:tcPr>
          <w:p w14:paraId="3BB7145F">
            <w:pPr>
              <w:adjustRightInd w:val="0"/>
              <w:snapToGrid w:val="0"/>
              <w:jc w:val="left"/>
              <w:rPr>
                <w:color w:val="000000"/>
                <w:spacing w:val="0"/>
                <w:kern w:val="0"/>
                <w:position w:val="0"/>
                <w:sz w:val="24"/>
              </w:rPr>
            </w:pPr>
          </w:p>
        </w:tc>
        <w:tc>
          <w:tcPr>
            <w:tcW w:w="441" w:type="pct"/>
            <w:vAlign w:val="center"/>
          </w:tcPr>
          <w:p w14:paraId="1A8745C7">
            <w:pPr>
              <w:adjustRightInd w:val="0"/>
              <w:snapToGrid w:val="0"/>
              <w:jc w:val="center"/>
              <w:rPr>
                <w:color w:val="000000"/>
                <w:spacing w:val="0"/>
                <w:kern w:val="0"/>
                <w:position w:val="0"/>
                <w:sz w:val="24"/>
              </w:rPr>
            </w:pPr>
          </w:p>
        </w:tc>
        <w:tc>
          <w:tcPr>
            <w:tcW w:w="441" w:type="pct"/>
            <w:vAlign w:val="center"/>
          </w:tcPr>
          <w:p w14:paraId="528CB27E">
            <w:pPr>
              <w:adjustRightInd w:val="0"/>
              <w:snapToGrid w:val="0"/>
              <w:jc w:val="center"/>
              <w:rPr>
                <w:color w:val="000000"/>
                <w:spacing w:val="0"/>
                <w:kern w:val="0"/>
                <w:position w:val="0"/>
                <w:sz w:val="24"/>
              </w:rPr>
            </w:pPr>
          </w:p>
        </w:tc>
        <w:tc>
          <w:tcPr>
            <w:tcW w:w="441" w:type="pct"/>
          </w:tcPr>
          <w:p w14:paraId="2999786F">
            <w:pPr>
              <w:adjustRightInd w:val="0"/>
              <w:snapToGrid w:val="0"/>
              <w:jc w:val="center"/>
              <w:rPr>
                <w:color w:val="000000"/>
                <w:spacing w:val="0"/>
                <w:kern w:val="0"/>
                <w:position w:val="0"/>
                <w:sz w:val="24"/>
              </w:rPr>
            </w:pPr>
          </w:p>
        </w:tc>
        <w:tc>
          <w:tcPr>
            <w:tcW w:w="441" w:type="pct"/>
          </w:tcPr>
          <w:p w14:paraId="60DCA3AA">
            <w:pPr>
              <w:adjustRightInd w:val="0"/>
              <w:snapToGrid w:val="0"/>
              <w:jc w:val="center"/>
              <w:rPr>
                <w:color w:val="000000"/>
                <w:spacing w:val="0"/>
                <w:kern w:val="0"/>
                <w:position w:val="0"/>
                <w:sz w:val="24"/>
              </w:rPr>
            </w:pPr>
          </w:p>
        </w:tc>
        <w:tc>
          <w:tcPr>
            <w:tcW w:w="441" w:type="pct"/>
            <w:vAlign w:val="center"/>
          </w:tcPr>
          <w:p w14:paraId="7AA86562">
            <w:pPr>
              <w:adjustRightInd w:val="0"/>
              <w:snapToGrid w:val="0"/>
              <w:jc w:val="center"/>
              <w:rPr>
                <w:color w:val="000000"/>
                <w:spacing w:val="0"/>
                <w:kern w:val="0"/>
                <w:position w:val="0"/>
                <w:sz w:val="24"/>
              </w:rPr>
            </w:pPr>
          </w:p>
        </w:tc>
        <w:tc>
          <w:tcPr>
            <w:tcW w:w="441" w:type="pct"/>
            <w:vAlign w:val="center"/>
          </w:tcPr>
          <w:p w14:paraId="799545D1">
            <w:pPr>
              <w:adjustRightInd w:val="0"/>
              <w:snapToGrid w:val="0"/>
              <w:jc w:val="left"/>
              <w:rPr>
                <w:color w:val="000000"/>
                <w:spacing w:val="0"/>
                <w:kern w:val="0"/>
                <w:position w:val="0"/>
                <w:sz w:val="24"/>
              </w:rPr>
            </w:pPr>
          </w:p>
        </w:tc>
        <w:tc>
          <w:tcPr>
            <w:tcW w:w="360" w:type="pct"/>
            <w:vAlign w:val="center"/>
          </w:tcPr>
          <w:p w14:paraId="6EA463CD">
            <w:pPr>
              <w:adjustRightInd w:val="0"/>
              <w:snapToGrid w:val="0"/>
              <w:jc w:val="left"/>
              <w:rPr>
                <w:color w:val="000000"/>
                <w:spacing w:val="0"/>
                <w:kern w:val="0"/>
                <w:position w:val="0"/>
                <w:sz w:val="24"/>
              </w:rPr>
            </w:pPr>
          </w:p>
        </w:tc>
        <w:tc>
          <w:tcPr>
            <w:tcW w:w="292" w:type="pct"/>
            <w:vAlign w:val="center"/>
          </w:tcPr>
          <w:p w14:paraId="3395997F">
            <w:pPr>
              <w:adjustRightInd w:val="0"/>
              <w:snapToGrid w:val="0"/>
              <w:jc w:val="left"/>
              <w:rPr>
                <w:color w:val="000000"/>
                <w:spacing w:val="0"/>
                <w:kern w:val="0"/>
                <w:position w:val="0"/>
                <w:sz w:val="24"/>
              </w:rPr>
            </w:pPr>
          </w:p>
        </w:tc>
        <w:tc>
          <w:tcPr>
            <w:tcW w:w="359" w:type="pct"/>
            <w:vAlign w:val="center"/>
          </w:tcPr>
          <w:p w14:paraId="0D2E77E1">
            <w:pPr>
              <w:adjustRightInd w:val="0"/>
              <w:snapToGrid w:val="0"/>
              <w:jc w:val="left"/>
              <w:rPr>
                <w:color w:val="000000"/>
                <w:spacing w:val="0"/>
                <w:kern w:val="0"/>
                <w:position w:val="0"/>
                <w:sz w:val="24"/>
              </w:rPr>
            </w:pPr>
          </w:p>
        </w:tc>
      </w:tr>
      <w:tr w14:paraId="173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EF97FDA">
            <w:pPr>
              <w:adjustRightInd w:val="0"/>
              <w:snapToGrid w:val="0"/>
              <w:jc w:val="left"/>
              <w:rPr>
                <w:color w:val="000000"/>
                <w:spacing w:val="0"/>
                <w:kern w:val="0"/>
                <w:position w:val="0"/>
                <w:sz w:val="24"/>
              </w:rPr>
            </w:pPr>
            <w:r>
              <w:rPr>
                <w:color w:val="000000"/>
                <w:spacing w:val="0"/>
                <w:kern w:val="0"/>
                <w:position w:val="0"/>
                <w:sz w:val="24"/>
              </w:rPr>
              <w:t>2</w:t>
            </w:r>
          </w:p>
        </w:tc>
        <w:tc>
          <w:tcPr>
            <w:tcW w:w="370" w:type="pct"/>
            <w:vAlign w:val="center"/>
          </w:tcPr>
          <w:p w14:paraId="54AAA0EA">
            <w:pPr>
              <w:adjustRightInd w:val="0"/>
              <w:snapToGrid w:val="0"/>
              <w:jc w:val="left"/>
              <w:rPr>
                <w:color w:val="000000"/>
                <w:spacing w:val="0"/>
                <w:kern w:val="0"/>
                <w:position w:val="0"/>
                <w:sz w:val="24"/>
              </w:rPr>
            </w:pPr>
          </w:p>
        </w:tc>
        <w:tc>
          <w:tcPr>
            <w:tcW w:w="466" w:type="pct"/>
            <w:vAlign w:val="center"/>
          </w:tcPr>
          <w:p w14:paraId="30EC1F3B">
            <w:pPr>
              <w:adjustRightInd w:val="0"/>
              <w:snapToGrid w:val="0"/>
              <w:jc w:val="left"/>
              <w:rPr>
                <w:color w:val="000000"/>
                <w:spacing w:val="0"/>
                <w:kern w:val="0"/>
                <w:position w:val="0"/>
                <w:sz w:val="24"/>
              </w:rPr>
            </w:pPr>
          </w:p>
        </w:tc>
        <w:tc>
          <w:tcPr>
            <w:tcW w:w="332" w:type="pct"/>
          </w:tcPr>
          <w:p w14:paraId="6D76D553">
            <w:pPr>
              <w:adjustRightInd w:val="0"/>
              <w:snapToGrid w:val="0"/>
              <w:jc w:val="left"/>
              <w:rPr>
                <w:color w:val="000000"/>
                <w:spacing w:val="0"/>
                <w:kern w:val="0"/>
                <w:position w:val="0"/>
                <w:sz w:val="24"/>
              </w:rPr>
            </w:pPr>
          </w:p>
        </w:tc>
        <w:tc>
          <w:tcPr>
            <w:tcW w:w="441" w:type="pct"/>
            <w:vAlign w:val="center"/>
          </w:tcPr>
          <w:p w14:paraId="0D61008D">
            <w:pPr>
              <w:adjustRightInd w:val="0"/>
              <w:snapToGrid w:val="0"/>
              <w:jc w:val="center"/>
              <w:rPr>
                <w:color w:val="000000"/>
                <w:spacing w:val="0"/>
                <w:kern w:val="0"/>
                <w:position w:val="0"/>
                <w:sz w:val="24"/>
              </w:rPr>
            </w:pPr>
          </w:p>
        </w:tc>
        <w:tc>
          <w:tcPr>
            <w:tcW w:w="441" w:type="pct"/>
            <w:vAlign w:val="center"/>
          </w:tcPr>
          <w:p w14:paraId="5D5ECEED">
            <w:pPr>
              <w:adjustRightInd w:val="0"/>
              <w:snapToGrid w:val="0"/>
              <w:jc w:val="center"/>
              <w:rPr>
                <w:color w:val="000000"/>
                <w:spacing w:val="0"/>
                <w:kern w:val="0"/>
                <w:position w:val="0"/>
                <w:sz w:val="24"/>
              </w:rPr>
            </w:pPr>
          </w:p>
        </w:tc>
        <w:tc>
          <w:tcPr>
            <w:tcW w:w="441" w:type="pct"/>
          </w:tcPr>
          <w:p w14:paraId="5345AC91">
            <w:pPr>
              <w:adjustRightInd w:val="0"/>
              <w:snapToGrid w:val="0"/>
              <w:jc w:val="center"/>
              <w:rPr>
                <w:color w:val="000000"/>
                <w:spacing w:val="0"/>
                <w:kern w:val="0"/>
                <w:position w:val="0"/>
                <w:sz w:val="24"/>
              </w:rPr>
            </w:pPr>
          </w:p>
        </w:tc>
        <w:tc>
          <w:tcPr>
            <w:tcW w:w="441" w:type="pct"/>
          </w:tcPr>
          <w:p w14:paraId="376D9BD3">
            <w:pPr>
              <w:adjustRightInd w:val="0"/>
              <w:snapToGrid w:val="0"/>
              <w:jc w:val="center"/>
              <w:rPr>
                <w:color w:val="000000"/>
                <w:spacing w:val="0"/>
                <w:kern w:val="0"/>
                <w:position w:val="0"/>
                <w:sz w:val="24"/>
              </w:rPr>
            </w:pPr>
          </w:p>
        </w:tc>
        <w:tc>
          <w:tcPr>
            <w:tcW w:w="441" w:type="pct"/>
            <w:vAlign w:val="center"/>
          </w:tcPr>
          <w:p w14:paraId="193552A9">
            <w:pPr>
              <w:adjustRightInd w:val="0"/>
              <w:snapToGrid w:val="0"/>
              <w:jc w:val="center"/>
              <w:rPr>
                <w:color w:val="000000"/>
                <w:spacing w:val="0"/>
                <w:kern w:val="0"/>
                <w:position w:val="0"/>
                <w:sz w:val="24"/>
              </w:rPr>
            </w:pPr>
          </w:p>
        </w:tc>
        <w:tc>
          <w:tcPr>
            <w:tcW w:w="441" w:type="pct"/>
            <w:vAlign w:val="center"/>
          </w:tcPr>
          <w:p w14:paraId="02E2C884">
            <w:pPr>
              <w:adjustRightInd w:val="0"/>
              <w:snapToGrid w:val="0"/>
              <w:jc w:val="left"/>
              <w:rPr>
                <w:color w:val="000000"/>
                <w:spacing w:val="0"/>
                <w:kern w:val="0"/>
                <w:position w:val="0"/>
                <w:sz w:val="24"/>
              </w:rPr>
            </w:pPr>
          </w:p>
        </w:tc>
        <w:tc>
          <w:tcPr>
            <w:tcW w:w="360" w:type="pct"/>
            <w:vAlign w:val="center"/>
          </w:tcPr>
          <w:p w14:paraId="51333111">
            <w:pPr>
              <w:adjustRightInd w:val="0"/>
              <w:snapToGrid w:val="0"/>
              <w:jc w:val="left"/>
              <w:rPr>
                <w:color w:val="000000"/>
                <w:spacing w:val="0"/>
                <w:kern w:val="0"/>
                <w:position w:val="0"/>
                <w:sz w:val="24"/>
              </w:rPr>
            </w:pPr>
          </w:p>
        </w:tc>
        <w:tc>
          <w:tcPr>
            <w:tcW w:w="292" w:type="pct"/>
            <w:vAlign w:val="center"/>
          </w:tcPr>
          <w:p w14:paraId="33EE2D19">
            <w:pPr>
              <w:adjustRightInd w:val="0"/>
              <w:snapToGrid w:val="0"/>
              <w:jc w:val="left"/>
              <w:rPr>
                <w:color w:val="000000"/>
                <w:spacing w:val="0"/>
                <w:kern w:val="0"/>
                <w:position w:val="0"/>
                <w:sz w:val="24"/>
              </w:rPr>
            </w:pPr>
          </w:p>
        </w:tc>
        <w:tc>
          <w:tcPr>
            <w:tcW w:w="359" w:type="pct"/>
            <w:vAlign w:val="center"/>
          </w:tcPr>
          <w:p w14:paraId="5344F358">
            <w:pPr>
              <w:adjustRightInd w:val="0"/>
              <w:snapToGrid w:val="0"/>
              <w:jc w:val="left"/>
              <w:rPr>
                <w:color w:val="000000"/>
                <w:spacing w:val="0"/>
                <w:kern w:val="0"/>
                <w:position w:val="0"/>
                <w:sz w:val="24"/>
              </w:rPr>
            </w:pPr>
          </w:p>
        </w:tc>
      </w:tr>
      <w:tr w14:paraId="367D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7DF9717">
            <w:pPr>
              <w:adjustRightInd w:val="0"/>
              <w:snapToGrid w:val="0"/>
              <w:jc w:val="left"/>
              <w:rPr>
                <w:color w:val="000000"/>
                <w:spacing w:val="0"/>
                <w:kern w:val="0"/>
                <w:position w:val="0"/>
                <w:sz w:val="24"/>
              </w:rPr>
            </w:pPr>
            <w:r>
              <w:rPr>
                <w:color w:val="000000"/>
                <w:spacing w:val="0"/>
                <w:kern w:val="0"/>
                <w:position w:val="0"/>
                <w:sz w:val="24"/>
              </w:rPr>
              <w:t>3</w:t>
            </w:r>
          </w:p>
        </w:tc>
        <w:tc>
          <w:tcPr>
            <w:tcW w:w="370" w:type="pct"/>
            <w:vAlign w:val="center"/>
          </w:tcPr>
          <w:p w14:paraId="07B44911">
            <w:pPr>
              <w:adjustRightInd w:val="0"/>
              <w:snapToGrid w:val="0"/>
              <w:jc w:val="left"/>
              <w:rPr>
                <w:color w:val="000000"/>
                <w:spacing w:val="0"/>
                <w:kern w:val="0"/>
                <w:position w:val="0"/>
                <w:sz w:val="24"/>
              </w:rPr>
            </w:pPr>
          </w:p>
        </w:tc>
        <w:tc>
          <w:tcPr>
            <w:tcW w:w="466" w:type="pct"/>
            <w:vAlign w:val="center"/>
          </w:tcPr>
          <w:p w14:paraId="2A63C062">
            <w:pPr>
              <w:adjustRightInd w:val="0"/>
              <w:snapToGrid w:val="0"/>
              <w:jc w:val="left"/>
              <w:rPr>
                <w:color w:val="000000"/>
                <w:spacing w:val="0"/>
                <w:kern w:val="0"/>
                <w:position w:val="0"/>
                <w:sz w:val="24"/>
              </w:rPr>
            </w:pPr>
          </w:p>
        </w:tc>
        <w:tc>
          <w:tcPr>
            <w:tcW w:w="332" w:type="pct"/>
          </w:tcPr>
          <w:p w14:paraId="4FD833B6">
            <w:pPr>
              <w:adjustRightInd w:val="0"/>
              <w:snapToGrid w:val="0"/>
              <w:jc w:val="left"/>
              <w:rPr>
                <w:color w:val="000000"/>
                <w:spacing w:val="0"/>
                <w:kern w:val="0"/>
                <w:position w:val="0"/>
                <w:sz w:val="24"/>
              </w:rPr>
            </w:pPr>
          </w:p>
        </w:tc>
        <w:tc>
          <w:tcPr>
            <w:tcW w:w="441" w:type="pct"/>
            <w:vAlign w:val="center"/>
          </w:tcPr>
          <w:p w14:paraId="74C81B7B">
            <w:pPr>
              <w:adjustRightInd w:val="0"/>
              <w:snapToGrid w:val="0"/>
              <w:jc w:val="center"/>
              <w:rPr>
                <w:color w:val="000000"/>
                <w:spacing w:val="0"/>
                <w:kern w:val="0"/>
                <w:position w:val="0"/>
                <w:sz w:val="24"/>
              </w:rPr>
            </w:pPr>
          </w:p>
        </w:tc>
        <w:tc>
          <w:tcPr>
            <w:tcW w:w="441" w:type="pct"/>
            <w:vAlign w:val="center"/>
          </w:tcPr>
          <w:p w14:paraId="3BD3326C">
            <w:pPr>
              <w:adjustRightInd w:val="0"/>
              <w:snapToGrid w:val="0"/>
              <w:jc w:val="center"/>
              <w:rPr>
                <w:color w:val="000000"/>
                <w:spacing w:val="0"/>
                <w:kern w:val="0"/>
                <w:position w:val="0"/>
                <w:sz w:val="24"/>
              </w:rPr>
            </w:pPr>
          </w:p>
        </w:tc>
        <w:tc>
          <w:tcPr>
            <w:tcW w:w="441" w:type="pct"/>
          </w:tcPr>
          <w:p w14:paraId="421E3E2C">
            <w:pPr>
              <w:adjustRightInd w:val="0"/>
              <w:snapToGrid w:val="0"/>
              <w:jc w:val="center"/>
              <w:rPr>
                <w:color w:val="000000"/>
                <w:spacing w:val="0"/>
                <w:kern w:val="0"/>
                <w:position w:val="0"/>
                <w:sz w:val="24"/>
              </w:rPr>
            </w:pPr>
          </w:p>
        </w:tc>
        <w:tc>
          <w:tcPr>
            <w:tcW w:w="441" w:type="pct"/>
          </w:tcPr>
          <w:p w14:paraId="2692A11B">
            <w:pPr>
              <w:adjustRightInd w:val="0"/>
              <w:snapToGrid w:val="0"/>
              <w:jc w:val="center"/>
              <w:rPr>
                <w:color w:val="000000"/>
                <w:spacing w:val="0"/>
                <w:kern w:val="0"/>
                <w:position w:val="0"/>
                <w:sz w:val="24"/>
              </w:rPr>
            </w:pPr>
          </w:p>
        </w:tc>
        <w:tc>
          <w:tcPr>
            <w:tcW w:w="441" w:type="pct"/>
            <w:vAlign w:val="center"/>
          </w:tcPr>
          <w:p w14:paraId="30423313">
            <w:pPr>
              <w:adjustRightInd w:val="0"/>
              <w:snapToGrid w:val="0"/>
              <w:jc w:val="center"/>
              <w:rPr>
                <w:color w:val="000000"/>
                <w:spacing w:val="0"/>
                <w:kern w:val="0"/>
                <w:position w:val="0"/>
                <w:sz w:val="24"/>
              </w:rPr>
            </w:pPr>
          </w:p>
        </w:tc>
        <w:tc>
          <w:tcPr>
            <w:tcW w:w="441" w:type="pct"/>
            <w:vAlign w:val="center"/>
          </w:tcPr>
          <w:p w14:paraId="3444AB3A">
            <w:pPr>
              <w:adjustRightInd w:val="0"/>
              <w:snapToGrid w:val="0"/>
              <w:jc w:val="left"/>
              <w:rPr>
                <w:color w:val="000000"/>
                <w:spacing w:val="0"/>
                <w:kern w:val="0"/>
                <w:position w:val="0"/>
                <w:sz w:val="24"/>
              </w:rPr>
            </w:pPr>
          </w:p>
        </w:tc>
        <w:tc>
          <w:tcPr>
            <w:tcW w:w="360" w:type="pct"/>
            <w:vAlign w:val="center"/>
          </w:tcPr>
          <w:p w14:paraId="4969AF4E">
            <w:pPr>
              <w:adjustRightInd w:val="0"/>
              <w:snapToGrid w:val="0"/>
              <w:jc w:val="left"/>
              <w:rPr>
                <w:color w:val="000000"/>
                <w:spacing w:val="0"/>
                <w:kern w:val="0"/>
                <w:position w:val="0"/>
                <w:sz w:val="24"/>
              </w:rPr>
            </w:pPr>
          </w:p>
        </w:tc>
        <w:tc>
          <w:tcPr>
            <w:tcW w:w="292" w:type="pct"/>
            <w:vAlign w:val="center"/>
          </w:tcPr>
          <w:p w14:paraId="76771800">
            <w:pPr>
              <w:adjustRightInd w:val="0"/>
              <w:snapToGrid w:val="0"/>
              <w:jc w:val="left"/>
              <w:rPr>
                <w:color w:val="000000"/>
                <w:spacing w:val="0"/>
                <w:kern w:val="0"/>
                <w:position w:val="0"/>
                <w:sz w:val="24"/>
              </w:rPr>
            </w:pPr>
          </w:p>
        </w:tc>
        <w:tc>
          <w:tcPr>
            <w:tcW w:w="359" w:type="pct"/>
            <w:vAlign w:val="center"/>
          </w:tcPr>
          <w:p w14:paraId="51E0C1F1">
            <w:pPr>
              <w:adjustRightInd w:val="0"/>
              <w:snapToGrid w:val="0"/>
              <w:jc w:val="left"/>
              <w:rPr>
                <w:color w:val="000000"/>
                <w:spacing w:val="0"/>
                <w:kern w:val="0"/>
                <w:position w:val="0"/>
                <w:sz w:val="24"/>
              </w:rPr>
            </w:pPr>
          </w:p>
        </w:tc>
      </w:tr>
      <w:tr w14:paraId="528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79D4375B">
            <w:pPr>
              <w:adjustRightInd w:val="0"/>
              <w:snapToGrid w:val="0"/>
              <w:jc w:val="left"/>
              <w:rPr>
                <w:color w:val="000000"/>
                <w:spacing w:val="0"/>
                <w:kern w:val="0"/>
                <w:position w:val="0"/>
                <w:sz w:val="24"/>
              </w:rPr>
            </w:pPr>
            <w:r>
              <w:rPr>
                <w:color w:val="000000"/>
                <w:spacing w:val="0"/>
                <w:kern w:val="0"/>
                <w:position w:val="0"/>
                <w:sz w:val="24"/>
              </w:rPr>
              <w:t>4</w:t>
            </w:r>
          </w:p>
        </w:tc>
        <w:tc>
          <w:tcPr>
            <w:tcW w:w="370" w:type="pct"/>
            <w:vAlign w:val="center"/>
          </w:tcPr>
          <w:p w14:paraId="5D5C98DD">
            <w:pPr>
              <w:adjustRightInd w:val="0"/>
              <w:snapToGrid w:val="0"/>
              <w:jc w:val="left"/>
              <w:rPr>
                <w:color w:val="000000"/>
                <w:spacing w:val="0"/>
                <w:kern w:val="0"/>
                <w:position w:val="0"/>
                <w:sz w:val="24"/>
              </w:rPr>
            </w:pPr>
          </w:p>
        </w:tc>
        <w:tc>
          <w:tcPr>
            <w:tcW w:w="466" w:type="pct"/>
            <w:vAlign w:val="center"/>
          </w:tcPr>
          <w:p w14:paraId="44614B66">
            <w:pPr>
              <w:adjustRightInd w:val="0"/>
              <w:snapToGrid w:val="0"/>
              <w:jc w:val="left"/>
              <w:rPr>
                <w:color w:val="000000"/>
                <w:spacing w:val="0"/>
                <w:kern w:val="0"/>
                <w:position w:val="0"/>
                <w:sz w:val="24"/>
              </w:rPr>
            </w:pPr>
          </w:p>
        </w:tc>
        <w:tc>
          <w:tcPr>
            <w:tcW w:w="332" w:type="pct"/>
          </w:tcPr>
          <w:p w14:paraId="63965E38">
            <w:pPr>
              <w:adjustRightInd w:val="0"/>
              <w:snapToGrid w:val="0"/>
              <w:jc w:val="left"/>
              <w:rPr>
                <w:color w:val="000000"/>
                <w:spacing w:val="0"/>
                <w:kern w:val="0"/>
                <w:position w:val="0"/>
                <w:sz w:val="24"/>
              </w:rPr>
            </w:pPr>
          </w:p>
        </w:tc>
        <w:tc>
          <w:tcPr>
            <w:tcW w:w="441" w:type="pct"/>
            <w:vAlign w:val="center"/>
          </w:tcPr>
          <w:p w14:paraId="13B0ADCB">
            <w:pPr>
              <w:adjustRightInd w:val="0"/>
              <w:snapToGrid w:val="0"/>
              <w:jc w:val="center"/>
              <w:rPr>
                <w:color w:val="000000"/>
                <w:spacing w:val="0"/>
                <w:kern w:val="0"/>
                <w:position w:val="0"/>
                <w:sz w:val="24"/>
              </w:rPr>
            </w:pPr>
          </w:p>
        </w:tc>
        <w:tc>
          <w:tcPr>
            <w:tcW w:w="441" w:type="pct"/>
            <w:vAlign w:val="center"/>
          </w:tcPr>
          <w:p w14:paraId="7C08130B">
            <w:pPr>
              <w:adjustRightInd w:val="0"/>
              <w:snapToGrid w:val="0"/>
              <w:jc w:val="center"/>
              <w:rPr>
                <w:color w:val="000000"/>
                <w:spacing w:val="0"/>
                <w:kern w:val="0"/>
                <w:position w:val="0"/>
                <w:sz w:val="24"/>
              </w:rPr>
            </w:pPr>
          </w:p>
        </w:tc>
        <w:tc>
          <w:tcPr>
            <w:tcW w:w="441" w:type="pct"/>
          </w:tcPr>
          <w:p w14:paraId="52EBF24F">
            <w:pPr>
              <w:adjustRightInd w:val="0"/>
              <w:snapToGrid w:val="0"/>
              <w:jc w:val="center"/>
              <w:rPr>
                <w:color w:val="000000"/>
                <w:spacing w:val="0"/>
                <w:kern w:val="0"/>
                <w:position w:val="0"/>
                <w:sz w:val="24"/>
              </w:rPr>
            </w:pPr>
          </w:p>
        </w:tc>
        <w:tc>
          <w:tcPr>
            <w:tcW w:w="441" w:type="pct"/>
          </w:tcPr>
          <w:p w14:paraId="19FCB1BA">
            <w:pPr>
              <w:adjustRightInd w:val="0"/>
              <w:snapToGrid w:val="0"/>
              <w:jc w:val="center"/>
              <w:rPr>
                <w:color w:val="000000"/>
                <w:spacing w:val="0"/>
                <w:kern w:val="0"/>
                <w:position w:val="0"/>
                <w:sz w:val="24"/>
              </w:rPr>
            </w:pPr>
          </w:p>
        </w:tc>
        <w:tc>
          <w:tcPr>
            <w:tcW w:w="441" w:type="pct"/>
            <w:vAlign w:val="center"/>
          </w:tcPr>
          <w:p w14:paraId="5CCF8614">
            <w:pPr>
              <w:adjustRightInd w:val="0"/>
              <w:snapToGrid w:val="0"/>
              <w:jc w:val="center"/>
              <w:rPr>
                <w:color w:val="000000"/>
                <w:spacing w:val="0"/>
                <w:kern w:val="0"/>
                <w:position w:val="0"/>
                <w:sz w:val="24"/>
              </w:rPr>
            </w:pPr>
          </w:p>
        </w:tc>
        <w:tc>
          <w:tcPr>
            <w:tcW w:w="441" w:type="pct"/>
            <w:vAlign w:val="center"/>
          </w:tcPr>
          <w:p w14:paraId="1AA98634">
            <w:pPr>
              <w:adjustRightInd w:val="0"/>
              <w:snapToGrid w:val="0"/>
              <w:jc w:val="left"/>
              <w:rPr>
                <w:color w:val="000000"/>
                <w:spacing w:val="0"/>
                <w:kern w:val="0"/>
                <w:position w:val="0"/>
                <w:sz w:val="24"/>
              </w:rPr>
            </w:pPr>
          </w:p>
        </w:tc>
        <w:tc>
          <w:tcPr>
            <w:tcW w:w="360" w:type="pct"/>
            <w:vAlign w:val="center"/>
          </w:tcPr>
          <w:p w14:paraId="748E3607">
            <w:pPr>
              <w:adjustRightInd w:val="0"/>
              <w:snapToGrid w:val="0"/>
              <w:jc w:val="left"/>
              <w:rPr>
                <w:color w:val="000000"/>
                <w:spacing w:val="0"/>
                <w:kern w:val="0"/>
                <w:position w:val="0"/>
                <w:sz w:val="24"/>
              </w:rPr>
            </w:pPr>
          </w:p>
        </w:tc>
        <w:tc>
          <w:tcPr>
            <w:tcW w:w="292" w:type="pct"/>
            <w:vAlign w:val="center"/>
          </w:tcPr>
          <w:p w14:paraId="0EBBB324">
            <w:pPr>
              <w:adjustRightInd w:val="0"/>
              <w:snapToGrid w:val="0"/>
              <w:jc w:val="left"/>
              <w:rPr>
                <w:color w:val="000000"/>
                <w:spacing w:val="0"/>
                <w:kern w:val="0"/>
                <w:position w:val="0"/>
                <w:sz w:val="24"/>
              </w:rPr>
            </w:pPr>
          </w:p>
        </w:tc>
        <w:tc>
          <w:tcPr>
            <w:tcW w:w="359" w:type="pct"/>
            <w:vAlign w:val="center"/>
          </w:tcPr>
          <w:p w14:paraId="51D424A6">
            <w:pPr>
              <w:adjustRightInd w:val="0"/>
              <w:snapToGrid w:val="0"/>
              <w:jc w:val="left"/>
              <w:rPr>
                <w:color w:val="000000"/>
                <w:spacing w:val="0"/>
                <w:kern w:val="0"/>
                <w:position w:val="0"/>
                <w:sz w:val="24"/>
              </w:rPr>
            </w:pPr>
          </w:p>
        </w:tc>
      </w:tr>
      <w:tr w14:paraId="6E8E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C5349EE">
            <w:pPr>
              <w:adjustRightInd w:val="0"/>
              <w:snapToGrid w:val="0"/>
              <w:jc w:val="left"/>
              <w:rPr>
                <w:color w:val="000000"/>
                <w:spacing w:val="0"/>
                <w:kern w:val="0"/>
                <w:position w:val="0"/>
                <w:sz w:val="24"/>
              </w:rPr>
            </w:pPr>
            <w:r>
              <w:rPr>
                <w:color w:val="000000"/>
                <w:spacing w:val="0"/>
                <w:kern w:val="0"/>
                <w:position w:val="0"/>
                <w:sz w:val="24"/>
              </w:rPr>
              <w:t>…</w:t>
            </w:r>
          </w:p>
        </w:tc>
        <w:tc>
          <w:tcPr>
            <w:tcW w:w="370" w:type="pct"/>
            <w:vAlign w:val="center"/>
          </w:tcPr>
          <w:p w14:paraId="3248172A">
            <w:pPr>
              <w:adjustRightInd w:val="0"/>
              <w:snapToGrid w:val="0"/>
              <w:jc w:val="left"/>
              <w:rPr>
                <w:color w:val="000000"/>
                <w:spacing w:val="0"/>
                <w:kern w:val="0"/>
                <w:position w:val="0"/>
                <w:sz w:val="24"/>
              </w:rPr>
            </w:pPr>
          </w:p>
        </w:tc>
        <w:tc>
          <w:tcPr>
            <w:tcW w:w="466" w:type="pct"/>
            <w:vAlign w:val="center"/>
          </w:tcPr>
          <w:p w14:paraId="12AD68B9">
            <w:pPr>
              <w:adjustRightInd w:val="0"/>
              <w:snapToGrid w:val="0"/>
              <w:jc w:val="left"/>
              <w:rPr>
                <w:color w:val="000000"/>
                <w:spacing w:val="0"/>
                <w:kern w:val="0"/>
                <w:position w:val="0"/>
                <w:sz w:val="24"/>
              </w:rPr>
            </w:pPr>
          </w:p>
        </w:tc>
        <w:tc>
          <w:tcPr>
            <w:tcW w:w="332" w:type="pct"/>
          </w:tcPr>
          <w:p w14:paraId="2197391B">
            <w:pPr>
              <w:adjustRightInd w:val="0"/>
              <w:snapToGrid w:val="0"/>
              <w:jc w:val="left"/>
              <w:rPr>
                <w:color w:val="000000"/>
                <w:spacing w:val="0"/>
                <w:kern w:val="0"/>
                <w:position w:val="0"/>
                <w:sz w:val="24"/>
              </w:rPr>
            </w:pPr>
          </w:p>
        </w:tc>
        <w:tc>
          <w:tcPr>
            <w:tcW w:w="441" w:type="pct"/>
            <w:vAlign w:val="center"/>
          </w:tcPr>
          <w:p w14:paraId="5BF4C54D">
            <w:pPr>
              <w:adjustRightInd w:val="0"/>
              <w:snapToGrid w:val="0"/>
              <w:jc w:val="center"/>
              <w:rPr>
                <w:color w:val="000000"/>
                <w:spacing w:val="0"/>
                <w:kern w:val="0"/>
                <w:position w:val="0"/>
                <w:sz w:val="24"/>
              </w:rPr>
            </w:pPr>
          </w:p>
        </w:tc>
        <w:tc>
          <w:tcPr>
            <w:tcW w:w="441" w:type="pct"/>
            <w:vAlign w:val="center"/>
          </w:tcPr>
          <w:p w14:paraId="58421255">
            <w:pPr>
              <w:adjustRightInd w:val="0"/>
              <w:snapToGrid w:val="0"/>
              <w:jc w:val="center"/>
              <w:rPr>
                <w:color w:val="000000"/>
                <w:spacing w:val="0"/>
                <w:kern w:val="0"/>
                <w:position w:val="0"/>
                <w:sz w:val="24"/>
              </w:rPr>
            </w:pPr>
          </w:p>
        </w:tc>
        <w:tc>
          <w:tcPr>
            <w:tcW w:w="441" w:type="pct"/>
          </w:tcPr>
          <w:p w14:paraId="76EDFFC5">
            <w:pPr>
              <w:adjustRightInd w:val="0"/>
              <w:snapToGrid w:val="0"/>
              <w:jc w:val="center"/>
              <w:rPr>
                <w:color w:val="000000"/>
                <w:spacing w:val="0"/>
                <w:kern w:val="0"/>
                <w:position w:val="0"/>
                <w:sz w:val="24"/>
              </w:rPr>
            </w:pPr>
          </w:p>
        </w:tc>
        <w:tc>
          <w:tcPr>
            <w:tcW w:w="441" w:type="pct"/>
          </w:tcPr>
          <w:p w14:paraId="03AF1E2A">
            <w:pPr>
              <w:adjustRightInd w:val="0"/>
              <w:snapToGrid w:val="0"/>
              <w:jc w:val="center"/>
              <w:rPr>
                <w:color w:val="000000"/>
                <w:spacing w:val="0"/>
                <w:kern w:val="0"/>
                <w:position w:val="0"/>
                <w:sz w:val="24"/>
              </w:rPr>
            </w:pPr>
          </w:p>
        </w:tc>
        <w:tc>
          <w:tcPr>
            <w:tcW w:w="441" w:type="pct"/>
            <w:vAlign w:val="center"/>
          </w:tcPr>
          <w:p w14:paraId="79C62E47">
            <w:pPr>
              <w:adjustRightInd w:val="0"/>
              <w:snapToGrid w:val="0"/>
              <w:jc w:val="center"/>
              <w:rPr>
                <w:color w:val="000000"/>
                <w:spacing w:val="0"/>
                <w:kern w:val="0"/>
                <w:position w:val="0"/>
                <w:sz w:val="24"/>
              </w:rPr>
            </w:pPr>
          </w:p>
        </w:tc>
        <w:tc>
          <w:tcPr>
            <w:tcW w:w="441" w:type="pct"/>
            <w:vAlign w:val="center"/>
          </w:tcPr>
          <w:p w14:paraId="4176879E">
            <w:pPr>
              <w:adjustRightInd w:val="0"/>
              <w:snapToGrid w:val="0"/>
              <w:jc w:val="left"/>
              <w:rPr>
                <w:color w:val="000000"/>
                <w:spacing w:val="0"/>
                <w:kern w:val="0"/>
                <w:position w:val="0"/>
                <w:sz w:val="24"/>
              </w:rPr>
            </w:pPr>
          </w:p>
        </w:tc>
        <w:tc>
          <w:tcPr>
            <w:tcW w:w="360" w:type="pct"/>
            <w:vAlign w:val="center"/>
          </w:tcPr>
          <w:p w14:paraId="7B3D84D2">
            <w:pPr>
              <w:adjustRightInd w:val="0"/>
              <w:snapToGrid w:val="0"/>
              <w:jc w:val="left"/>
              <w:rPr>
                <w:color w:val="000000"/>
                <w:spacing w:val="0"/>
                <w:kern w:val="0"/>
                <w:position w:val="0"/>
                <w:sz w:val="24"/>
              </w:rPr>
            </w:pPr>
          </w:p>
        </w:tc>
        <w:tc>
          <w:tcPr>
            <w:tcW w:w="292" w:type="pct"/>
            <w:vAlign w:val="center"/>
          </w:tcPr>
          <w:p w14:paraId="021D76FC">
            <w:pPr>
              <w:adjustRightInd w:val="0"/>
              <w:snapToGrid w:val="0"/>
              <w:jc w:val="left"/>
              <w:rPr>
                <w:color w:val="000000"/>
                <w:spacing w:val="0"/>
                <w:kern w:val="0"/>
                <w:position w:val="0"/>
                <w:sz w:val="24"/>
              </w:rPr>
            </w:pPr>
          </w:p>
        </w:tc>
        <w:tc>
          <w:tcPr>
            <w:tcW w:w="359" w:type="pct"/>
            <w:vAlign w:val="center"/>
          </w:tcPr>
          <w:p w14:paraId="3F6A5D6A">
            <w:pPr>
              <w:adjustRightInd w:val="0"/>
              <w:snapToGrid w:val="0"/>
              <w:jc w:val="left"/>
              <w:rPr>
                <w:color w:val="000000"/>
                <w:spacing w:val="0"/>
                <w:kern w:val="0"/>
                <w:position w:val="0"/>
                <w:sz w:val="24"/>
              </w:rPr>
            </w:pPr>
          </w:p>
        </w:tc>
      </w:tr>
      <w:tr w14:paraId="06E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6D5F2757">
            <w:pPr>
              <w:jc w:val="right"/>
              <w:rPr>
                <w:b/>
                <w:spacing w:val="0"/>
                <w:kern w:val="0"/>
                <w:position w:val="0"/>
                <w:sz w:val="24"/>
              </w:rPr>
            </w:pPr>
            <w:r>
              <w:rPr>
                <w:b/>
                <w:spacing w:val="0"/>
                <w:kern w:val="0"/>
                <w:position w:val="0"/>
                <w:sz w:val="24"/>
              </w:rPr>
              <w:t>总价（元）</w:t>
            </w:r>
          </w:p>
        </w:tc>
        <w:tc>
          <w:tcPr>
            <w:tcW w:w="359" w:type="pct"/>
            <w:vAlign w:val="center"/>
          </w:tcPr>
          <w:p w14:paraId="767523B9">
            <w:pPr>
              <w:adjustRightInd w:val="0"/>
              <w:snapToGrid w:val="0"/>
              <w:jc w:val="left"/>
              <w:rPr>
                <w:color w:val="000000"/>
                <w:spacing w:val="0"/>
                <w:kern w:val="0"/>
                <w:position w:val="0"/>
                <w:sz w:val="24"/>
              </w:rPr>
            </w:pPr>
          </w:p>
        </w:tc>
      </w:tr>
    </w:tbl>
    <w:p w14:paraId="0FF340A1">
      <w:pPr>
        <w:adjustRightInd w:val="0"/>
        <w:snapToGrid w:val="0"/>
        <w:jc w:val="left"/>
        <w:rPr>
          <w:b/>
          <w:i/>
          <w:color w:val="FF0000"/>
          <w:spacing w:val="0"/>
          <w:kern w:val="0"/>
          <w:position w:val="0"/>
          <w:sz w:val="24"/>
        </w:rPr>
      </w:pPr>
      <w:r>
        <w:rPr>
          <w:b/>
          <w:i/>
          <w:color w:val="FF0000"/>
          <w:spacing w:val="0"/>
          <w:kern w:val="0"/>
          <w:position w:val="0"/>
          <w:sz w:val="24"/>
        </w:rPr>
        <w:t>说明：制造商规模请填写</w:t>
      </w:r>
      <w:bookmarkStart w:id="1057" w:name="_Hlk168431944"/>
      <w:r>
        <w:rPr>
          <w:b/>
          <w:i/>
          <w:color w:val="FF0000"/>
          <w:spacing w:val="0"/>
          <w:kern w:val="0"/>
          <w:position w:val="0"/>
          <w:sz w:val="24"/>
        </w:rPr>
        <w:t>“</w:t>
      </w:r>
      <w:r>
        <w:rPr>
          <w:rFonts w:hint="eastAsia"/>
          <w:b/>
          <w:i/>
          <w:color w:val="FF0000"/>
          <w:spacing w:val="0"/>
          <w:kern w:val="0"/>
          <w:position w:val="0"/>
          <w:sz w:val="24"/>
        </w:rPr>
        <w:t>大</w:t>
      </w:r>
      <w:r>
        <w:rPr>
          <w:b/>
          <w:i/>
          <w:color w:val="FF0000"/>
          <w:spacing w:val="0"/>
          <w:kern w:val="0"/>
          <w:position w:val="0"/>
          <w:sz w:val="24"/>
        </w:rPr>
        <w:t>型”、</w:t>
      </w:r>
      <w:bookmarkEnd w:id="1057"/>
      <w:r>
        <w:rPr>
          <w:b/>
          <w:i/>
          <w:color w:val="FF0000"/>
          <w:spacing w:val="0"/>
          <w:kern w:val="0"/>
          <w:position w:val="0"/>
          <w:sz w:val="24"/>
        </w:rPr>
        <w:t>“中型”、“小型”、“微型”或“其他”，中小企业的定义见第二章《投标人须知》。</w:t>
      </w:r>
    </w:p>
    <w:p w14:paraId="0667DC36">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制造商所属性别请填写“男”</w:t>
      </w:r>
      <w:r>
        <w:rPr>
          <w:rFonts w:hint="eastAsia"/>
          <w:b/>
          <w:i/>
          <w:color w:val="FF0000"/>
          <w:spacing w:val="0"/>
          <w:kern w:val="0"/>
          <w:position w:val="0"/>
          <w:sz w:val="24"/>
        </w:rPr>
        <w:t>或</w:t>
      </w:r>
      <w:r>
        <w:rPr>
          <w:b/>
          <w:i/>
          <w:color w:val="FF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b/>
          <w:i/>
          <w:color w:val="FF0000"/>
          <w:spacing w:val="0"/>
          <w:kern w:val="0"/>
          <w:position w:val="0"/>
          <w:sz w:val="24"/>
        </w:rPr>
        <w:t>。</w:t>
      </w:r>
    </w:p>
    <w:p w14:paraId="07B81F8E">
      <w:pPr>
        <w:tabs>
          <w:tab w:val="left" w:pos="1800"/>
          <w:tab w:val="left" w:pos="5580"/>
        </w:tabs>
        <w:ind w:firstLine="723" w:firstLineChars="300"/>
        <w:jc w:val="left"/>
        <w:rPr>
          <w:b/>
          <w:i/>
          <w:color w:val="FF0000"/>
          <w:spacing w:val="0"/>
          <w:kern w:val="0"/>
          <w:position w:val="0"/>
          <w:sz w:val="24"/>
        </w:rPr>
      </w:pPr>
      <w:r>
        <w:rPr>
          <w:b/>
          <w:i/>
          <w:color w:val="FF0000"/>
          <w:spacing w:val="0"/>
          <w:kern w:val="0"/>
          <w:position w:val="0"/>
          <w:sz w:val="24"/>
        </w:rPr>
        <w:t>外商投资类型请填写“外商单独投资”、“外商部分投资”</w:t>
      </w:r>
      <w:r>
        <w:rPr>
          <w:rFonts w:hint="eastAsia"/>
          <w:b/>
          <w:i/>
          <w:color w:val="FF0000"/>
          <w:spacing w:val="0"/>
          <w:kern w:val="0"/>
          <w:position w:val="0"/>
          <w:sz w:val="24"/>
        </w:rPr>
        <w:t>或</w:t>
      </w:r>
      <w:r>
        <w:rPr>
          <w:b/>
          <w:i/>
          <w:color w:val="FF0000"/>
          <w:spacing w:val="0"/>
          <w:kern w:val="0"/>
          <w:position w:val="0"/>
          <w:sz w:val="24"/>
        </w:rPr>
        <w:t>“内资”。</w:t>
      </w:r>
    </w:p>
    <w:p w14:paraId="05280420">
      <w:pPr>
        <w:tabs>
          <w:tab w:val="left" w:pos="1800"/>
          <w:tab w:val="left" w:pos="5580"/>
        </w:tabs>
        <w:jc w:val="left"/>
        <w:rPr>
          <w:color w:val="000000"/>
          <w:spacing w:val="0"/>
          <w:kern w:val="0"/>
          <w:position w:val="0"/>
          <w:sz w:val="24"/>
        </w:rPr>
      </w:pPr>
    </w:p>
    <w:p w14:paraId="4450C318">
      <w:pPr>
        <w:tabs>
          <w:tab w:val="left" w:pos="1800"/>
          <w:tab w:val="left" w:pos="5580"/>
        </w:tabs>
        <w:jc w:val="left"/>
        <w:rPr>
          <w:color w:val="000000"/>
          <w:spacing w:val="0"/>
          <w:kern w:val="0"/>
          <w:position w:val="0"/>
          <w:sz w:val="24"/>
        </w:rPr>
      </w:pPr>
    </w:p>
    <w:p w14:paraId="1D49E434">
      <w:pPr>
        <w:tabs>
          <w:tab w:val="left" w:pos="1800"/>
          <w:tab w:val="left" w:pos="5580"/>
        </w:tabs>
        <w:jc w:val="left"/>
        <w:rPr>
          <w:color w:val="000000"/>
          <w:spacing w:val="0"/>
          <w:kern w:val="0"/>
          <w:position w:val="0"/>
          <w:sz w:val="24"/>
        </w:rPr>
      </w:pPr>
      <w:r>
        <w:rPr>
          <w:color w:val="000000"/>
          <w:spacing w:val="0"/>
          <w:kern w:val="0"/>
          <w:position w:val="0"/>
          <w:sz w:val="24"/>
        </w:rPr>
        <w:t>注：1.本表应按包分别填写。</w:t>
      </w:r>
    </w:p>
    <w:p w14:paraId="4EBAED76">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2.如果不提供分项报价将视为没有实质性响应招标文件。</w:t>
      </w:r>
    </w:p>
    <w:p w14:paraId="1ED3F359">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3.上述各项的详细规格（如有），可另页描述。</w:t>
      </w:r>
    </w:p>
    <w:p w14:paraId="3B24F3B3">
      <w:pPr>
        <w:tabs>
          <w:tab w:val="left" w:pos="1800"/>
          <w:tab w:val="left" w:pos="5580"/>
        </w:tabs>
        <w:ind w:firstLine="480" w:firstLineChars="200"/>
        <w:jc w:val="left"/>
        <w:rPr>
          <w:color w:val="000000"/>
          <w:spacing w:val="0"/>
          <w:kern w:val="0"/>
          <w:position w:val="0"/>
          <w:sz w:val="24"/>
        </w:rPr>
      </w:pPr>
      <w:r>
        <w:rPr>
          <w:rFonts w:eastAsiaTheme="minorEastAsia"/>
          <w:color w:val="000000"/>
          <w:spacing w:val="0"/>
          <w:kern w:val="0"/>
          <w:position w:val="0"/>
          <w:sz w:val="24"/>
        </w:rPr>
        <w:t>4.制造商规模列应填写</w:t>
      </w:r>
      <w:r>
        <w:rPr>
          <w:rFonts w:hint="eastAsia" w:eastAsiaTheme="minorEastAsia"/>
          <w:color w:val="000000"/>
          <w:spacing w:val="0"/>
          <w:kern w:val="0"/>
          <w:position w:val="0"/>
          <w:sz w:val="24"/>
        </w:rPr>
        <w:t>“大型”、</w:t>
      </w:r>
      <w:r>
        <w:rPr>
          <w:rFonts w:eastAsiaTheme="minorEastAsia"/>
          <w:color w:val="000000"/>
          <w:spacing w:val="0"/>
          <w:kern w:val="0"/>
          <w:position w:val="0"/>
          <w:sz w:val="24"/>
        </w:rPr>
        <w:t>“中型”、“小型”、“微型”或“其他”，且不应与《中小企业声明函》或《拟分包情况说明》中内容矛盾。制造商所属性别请填写“男”</w:t>
      </w:r>
      <w:r>
        <w:rPr>
          <w:rFonts w:hint="eastAsia" w:eastAsiaTheme="minorEastAsia"/>
          <w:color w:val="000000"/>
          <w:spacing w:val="0"/>
          <w:kern w:val="0"/>
          <w:position w:val="0"/>
          <w:sz w:val="24"/>
        </w:rPr>
        <w:t>或</w:t>
      </w:r>
      <w:r>
        <w:rPr>
          <w:rFonts w:eastAsiaTheme="minorEastAsia"/>
          <w:color w:val="000000"/>
          <w:spacing w:val="0"/>
          <w:kern w:val="0"/>
          <w:position w:val="0"/>
          <w:sz w:val="24"/>
        </w:rPr>
        <w:t>“女”，</w:t>
      </w:r>
      <w:r>
        <w:rPr>
          <w:rFonts w:hint="eastAsia"/>
          <w:color w:val="000000"/>
          <w:spacing w:val="0"/>
          <w:kern w:val="0"/>
          <w:position w:val="0"/>
          <w:sz w:val="24"/>
        </w:rPr>
        <w:t xml:space="preserve"> 指拥有制造商5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rFonts w:eastAsiaTheme="minorEastAsia"/>
          <w:color w:val="000000"/>
          <w:spacing w:val="0"/>
          <w:kern w:val="0"/>
          <w:position w:val="0"/>
          <w:sz w:val="24"/>
        </w:rPr>
        <w:t>。外商投资类型请填写“外商单独投资”、“外商部分投资”</w:t>
      </w:r>
      <w:r>
        <w:rPr>
          <w:rFonts w:hint="eastAsia" w:eastAsiaTheme="minorEastAsia"/>
          <w:color w:val="000000"/>
          <w:spacing w:val="0"/>
          <w:kern w:val="0"/>
          <w:position w:val="0"/>
          <w:sz w:val="24"/>
        </w:rPr>
        <w:t>或</w:t>
      </w:r>
      <w:r>
        <w:rPr>
          <w:rFonts w:eastAsiaTheme="minorEastAsia"/>
          <w:color w:val="000000"/>
          <w:spacing w:val="0"/>
          <w:kern w:val="0"/>
          <w:position w:val="0"/>
          <w:sz w:val="24"/>
        </w:rPr>
        <w:t>“内资”。</w:t>
      </w:r>
    </w:p>
    <w:p w14:paraId="729E7FA6">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8B1598D">
      <w:pPr>
        <w:numPr>
          <w:ilvl w:val="0"/>
          <w:numId w:val="17"/>
        </w:numPr>
        <w:tabs>
          <w:tab w:val="left" w:pos="360"/>
        </w:tabs>
        <w:snapToGrid w:val="0"/>
        <w:spacing w:line="360" w:lineRule="auto"/>
        <w:outlineLvl w:val="1"/>
        <w:rPr>
          <w:color w:val="000000"/>
          <w:spacing w:val="0"/>
          <w:kern w:val="0"/>
          <w:position w:val="0"/>
          <w:sz w:val="24"/>
          <w:szCs w:val="20"/>
        </w:rPr>
        <w:sectPr>
          <w:pgSz w:w="16840" w:h="11907" w:orient="landscape"/>
          <w:pgMar w:top="1701" w:right="1418" w:bottom="1134" w:left="1418" w:header="851" w:footer="851" w:gutter="0"/>
          <w:pgNumType w:fmt="decimal"/>
          <w:cols w:space="720" w:num="1"/>
          <w:docGrid w:linePitch="462" w:charSpace="0"/>
        </w:sectPr>
      </w:pPr>
      <w:bookmarkStart w:id="1058" w:name="_Toc305158903"/>
      <w:bookmarkStart w:id="1059" w:name="_Toc142311062"/>
      <w:bookmarkStart w:id="1060" w:name="_Toc305158904"/>
      <w:bookmarkStart w:id="1061" w:name="_Toc150480797"/>
      <w:bookmarkStart w:id="1062" w:name="_Toc226965835"/>
      <w:bookmarkStart w:id="1063" w:name="_Toc226337258"/>
      <w:bookmarkStart w:id="1064" w:name="_Toc226965751"/>
      <w:bookmarkStart w:id="1065" w:name="_Toc142311061"/>
      <w:bookmarkStart w:id="1066" w:name="_Toc265228400"/>
      <w:bookmarkStart w:id="1067" w:name="_Toc195842926"/>
      <w:bookmarkStart w:id="1068" w:name="_Toc150774765"/>
      <w:bookmarkStart w:id="1069" w:name="_Toc150774764"/>
      <w:bookmarkStart w:id="1070" w:name="_Toc195842927"/>
      <w:bookmarkStart w:id="1071" w:name="_Toc226965752"/>
      <w:bookmarkStart w:id="1072" w:name="_Toc150480798"/>
      <w:bookmarkStart w:id="1073" w:name="_Toc264969252"/>
      <w:bookmarkStart w:id="1074" w:name="_Toc265228399"/>
      <w:bookmarkStart w:id="1075" w:name="_Toc226965834"/>
      <w:bookmarkStart w:id="1076" w:name="_Toc305158830"/>
      <w:bookmarkStart w:id="1077" w:name="_Toc305158829"/>
      <w:bookmarkStart w:id="1078" w:name="_Toc264969251"/>
      <w:bookmarkStart w:id="1079" w:name="_Toc127151561"/>
      <w:bookmarkStart w:id="1080" w:name="_Toc226309805"/>
      <w:bookmarkStart w:id="1081" w:name="_Toc226309806"/>
      <w:bookmarkStart w:id="1082" w:name="_Toc127151562"/>
      <w:bookmarkStart w:id="1083" w:name="_Toc226337257"/>
    </w:p>
    <w:p w14:paraId="1BD690DA">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337ADBDC">
      <w:pPr>
        <w:tabs>
          <w:tab w:val="left" w:pos="1800"/>
          <w:tab w:val="left" w:pos="5580"/>
        </w:tabs>
        <w:jc w:val="left"/>
        <w:rPr>
          <w:spacing w:val="0"/>
          <w:kern w:val="0"/>
          <w:position w:val="0"/>
          <w:sz w:val="24"/>
        </w:rPr>
      </w:pPr>
    </w:p>
    <w:p w14:paraId="0B5163E9">
      <w:pPr>
        <w:tabs>
          <w:tab w:val="left" w:pos="1800"/>
          <w:tab w:val="left" w:pos="5580"/>
        </w:tabs>
        <w:jc w:val="left"/>
        <w:rPr>
          <w:color w:val="000000"/>
          <w:spacing w:val="0"/>
          <w:kern w:val="0"/>
          <w:position w:val="0"/>
          <w:sz w:val="24"/>
        </w:rPr>
      </w:pPr>
    </w:p>
    <w:p w14:paraId="4C72A514">
      <w:pPr>
        <w:rPr>
          <w:color w:val="000000"/>
          <w:spacing w:val="0"/>
          <w:kern w:val="0"/>
          <w:position w:val="0"/>
          <w:sz w:val="24"/>
          <w:szCs w:val="20"/>
        </w:rPr>
      </w:pPr>
    </w:p>
    <w:p w14:paraId="6533DC6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119A9FEE">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6E5039B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312B79A">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中小企业声明函（货物）格式</w:t>
      </w:r>
    </w:p>
    <w:p w14:paraId="401A71C7">
      <w:pPr>
        <w:autoSpaceDE w:val="0"/>
        <w:autoSpaceDN w:val="0"/>
        <w:spacing w:line="360" w:lineRule="auto"/>
        <w:ind w:left="220" w:right="415" w:firstLine="640"/>
        <w:jc w:val="left"/>
        <w:rPr>
          <w:spacing w:val="0"/>
          <w:kern w:val="0"/>
          <w:position w:val="0"/>
          <w:sz w:val="24"/>
        </w:rPr>
      </w:pPr>
      <w:r>
        <w:rPr>
          <w:spacing w:val="0"/>
          <w:kern w:val="0"/>
          <w:position w:val="0"/>
          <w:sz w:val="24"/>
        </w:rPr>
        <w:t>本公司（联合体）郑重声明，根据《政府采购促进中小企业发展管理办法》（财库﹝2020﹞46号）的规定，本公司（联合体）参加</w:t>
      </w:r>
      <w:r>
        <w:rPr>
          <w:i/>
          <w:spacing w:val="0"/>
          <w:kern w:val="0"/>
          <w:position w:val="0"/>
          <w:sz w:val="24"/>
          <w:u w:val="single"/>
        </w:rPr>
        <w:t>（单位名称）</w:t>
      </w:r>
      <w:r>
        <w:rPr>
          <w:spacing w:val="0"/>
          <w:kern w:val="0"/>
          <w:position w:val="0"/>
          <w:sz w:val="24"/>
        </w:rPr>
        <w:t>的</w:t>
      </w:r>
      <w:r>
        <w:rPr>
          <w:i/>
          <w:spacing w:val="0"/>
          <w:kern w:val="0"/>
          <w:position w:val="0"/>
          <w:sz w:val="24"/>
          <w:u w:val="single"/>
        </w:rPr>
        <w:t>（项目名称）</w:t>
      </w:r>
      <w:r>
        <w:rPr>
          <w:spacing w:val="0"/>
          <w:kern w:val="0"/>
          <w:position w:val="0"/>
          <w:sz w:val="24"/>
        </w:rPr>
        <w:t>采购活动，提供的货物全部由符合政策要求的中小企业制造。相关企业（含联合体中的中小企业、签订分包意向协议的中小企业）的具体情况如下：</w:t>
      </w:r>
    </w:p>
    <w:p w14:paraId="518BA92C">
      <w:pPr>
        <w:numPr>
          <w:ilvl w:val="0"/>
          <w:numId w:val="18"/>
        </w:numPr>
        <w:tabs>
          <w:tab w:val="left" w:pos="1183"/>
          <w:tab w:val="left" w:pos="1484"/>
          <w:tab w:val="left" w:pos="4662"/>
          <w:tab w:val="left" w:pos="6903"/>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75E5DA91">
      <w:pPr>
        <w:numPr>
          <w:ilvl w:val="0"/>
          <w:numId w:val="18"/>
        </w:numPr>
        <w:tabs>
          <w:tab w:val="left" w:pos="1165"/>
          <w:tab w:val="left" w:pos="1183"/>
          <w:tab w:val="left" w:pos="4362"/>
          <w:tab w:val="left" w:pos="6577"/>
        </w:tabs>
        <w:autoSpaceDE w:val="0"/>
        <w:autoSpaceDN w:val="0"/>
        <w:spacing w:line="360" w:lineRule="auto"/>
        <w:ind w:right="169" w:firstLine="646"/>
        <w:jc w:val="left"/>
        <w:rPr>
          <w:spacing w:val="0"/>
          <w:kern w:val="0"/>
          <w:position w:val="0"/>
          <w:sz w:val="24"/>
          <w:u w:color="000000"/>
        </w:rPr>
      </w:pPr>
      <w:r>
        <w:rPr>
          <w:i/>
          <w:spacing w:val="0"/>
          <w:kern w:val="0"/>
          <w:position w:val="0"/>
          <w:sz w:val="24"/>
          <w:u w:val="single" w:color="000000"/>
        </w:rPr>
        <w:t>（标的名称）</w:t>
      </w:r>
      <w:r>
        <w:rPr>
          <w:spacing w:val="0"/>
          <w:kern w:val="0"/>
          <w:position w:val="0"/>
          <w:sz w:val="24"/>
          <w:u w:color="000000"/>
        </w:rPr>
        <w:t>，属于</w:t>
      </w:r>
      <w:r>
        <w:rPr>
          <w:i/>
          <w:spacing w:val="0"/>
          <w:kern w:val="0"/>
          <w:position w:val="0"/>
          <w:sz w:val="24"/>
          <w:u w:color="000000"/>
        </w:rPr>
        <w:t>（</w:t>
      </w:r>
      <w:r>
        <w:rPr>
          <w:i/>
          <w:spacing w:val="0"/>
          <w:kern w:val="0"/>
          <w:position w:val="0"/>
          <w:sz w:val="24"/>
          <w:u w:val="single" w:color="000000"/>
        </w:rPr>
        <w:t>采购文件中明确的所属行业）行业</w:t>
      </w:r>
      <w:r>
        <w:rPr>
          <w:spacing w:val="0"/>
          <w:kern w:val="0"/>
          <w:position w:val="0"/>
          <w:sz w:val="24"/>
          <w:u w:color="000000"/>
        </w:rPr>
        <w:t>；制造商为</w:t>
      </w:r>
      <w:r>
        <w:rPr>
          <w:i/>
          <w:spacing w:val="0"/>
          <w:kern w:val="0"/>
          <w:position w:val="0"/>
          <w:sz w:val="24"/>
          <w:u w:val="single" w:color="000000"/>
        </w:rPr>
        <w:t>（企业名称）</w:t>
      </w:r>
      <w:r>
        <w:rPr>
          <w:spacing w:val="0"/>
          <w:kern w:val="0"/>
          <w:position w:val="0"/>
          <w:sz w:val="24"/>
          <w:u w:color="000000"/>
        </w:rPr>
        <w:t>，从业人员</w:t>
      </w:r>
      <w:r>
        <w:rPr>
          <w:spacing w:val="0"/>
          <w:kern w:val="0"/>
          <w:position w:val="0"/>
          <w:sz w:val="24"/>
          <w:u w:val="single" w:color="000000"/>
        </w:rPr>
        <w:tab/>
      </w:r>
      <w:r>
        <w:rPr>
          <w:spacing w:val="0"/>
          <w:kern w:val="0"/>
          <w:position w:val="0"/>
          <w:sz w:val="24"/>
          <w:u w:color="000000"/>
        </w:rPr>
        <w:t>人，营业收入为</w:t>
      </w:r>
      <w:r>
        <w:rPr>
          <w:spacing w:val="0"/>
          <w:kern w:val="0"/>
          <w:position w:val="0"/>
          <w:sz w:val="24"/>
          <w:u w:val="single" w:color="000000"/>
        </w:rPr>
        <w:tab/>
      </w:r>
      <w:r>
        <w:rPr>
          <w:spacing w:val="0"/>
          <w:kern w:val="0"/>
          <w:position w:val="0"/>
          <w:sz w:val="24"/>
          <w:u w:color="000000"/>
        </w:rPr>
        <w:t>万元，资产总额为</w:t>
      </w:r>
      <w:r>
        <w:rPr>
          <w:spacing w:val="0"/>
          <w:kern w:val="0"/>
          <w:position w:val="0"/>
          <w:sz w:val="24"/>
          <w:u w:val="single" w:color="000000"/>
        </w:rPr>
        <w:tab/>
      </w:r>
      <w:r>
        <w:rPr>
          <w:spacing w:val="0"/>
          <w:kern w:val="0"/>
          <w:position w:val="0"/>
          <w:sz w:val="24"/>
          <w:u w:color="000000"/>
        </w:rPr>
        <w:t>万元，属于</w:t>
      </w:r>
      <w:r>
        <w:rPr>
          <w:i/>
          <w:spacing w:val="0"/>
          <w:kern w:val="0"/>
          <w:position w:val="0"/>
          <w:sz w:val="24"/>
          <w:u w:val="single" w:color="000000"/>
        </w:rPr>
        <w:t>（中型企业、小型企业、微型企业）</w:t>
      </w:r>
      <w:r>
        <w:rPr>
          <w:spacing w:val="0"/>
          <w:kern w:val="0"/>
          <w:position w:val="0"/>
          <w:sz w:val="24"/>
          <w:u w:color="000000"/>
        </w:rPr>
        <w:t>；</w:t>
      </w:r>
    </w:p>
    <w:p w14:paraId="0DFEE7DC">
      <w:pPr>
        <w:autoSpaceDE w:val="0"/>
        <w:autoSpaceDN w:val="0"/>
        <w:spacing w:line="360" w:lineRule="auto"/>
        <w:ind w:left="860"/>
        <w:jc w:val="left"/>
        <w:rPr>
          <w:spacing w:val="0"/>
          <w:kern w:val="0"/>
          <w:position w:val="0"/>
          <w:sz w:val="24"/>
        </w:rPr>
      </w:pPr>
      <w:r>
        <w:rPr>
          <w:spacing w:val="0"/>
          <w:kern w:val="0"/>
          <w:position w:val="0"/>
          <w:sz w:val="24"/>
        </w:rPr>
        <w:t>……</w:t>
      </w:r>
    </w:p>
    <w:p w14:paraId="0711AE14">
      <w:pPr>
        <w:autoSpaceDE w:val="0"/>
        <w:autoSpaceDN w:val="0"/>
        <w:spacing w:line="360" w:lineRule="auto"/>
        <w:ind w:left="220" w:right="417" w:firstLine="645"/>
        <w:rPr>
          <w:spacing w:val="0"/>
          <w:kern w:val="0"/>
          <w:position w:val="0"/>
          <w:sz w:val="24"/>
        </w:rPr>
      </w:pPr>
      <w:r>
        <w:rPr>
          <w:spacing w:val="0"/>
          <w:kern w:val="0"/>
          <w:position w:val="0"/>
          <w:sz w:val="24"/>
        </w:rPr>
        <w:t>以上企业，不属于大企业的分支机构，不存在控股股东为大企业的情形，也不存在与大企业的负责人为同一人的情形。</w:t>
      </w:r>
    </w:p>
    <w:p w14:paraId="4C4FEFDC">
      <w:pPr>
        <w:autoSpaceDE w:val="0"/>
        <w:autoSpaceDN w:val="0"/>
        <w:spacing w:line="360" w:lineRule="auto"/>
        <w:ind w:left="220" w:right="372" w:firstLine="645"/>
        <w:jc w:val="left"/>
        <w:rPr>
          <w:spacing w:val="0"/>
          <w:kern w:val="0"/>
          <w:position w:val="0"/>
          <w:sz w:val="24"/>
        </w:rPr>
      </w:pPr>
      <w:r>
        <w:rPr>
          <w:spacing w:val="0"/>
          <w:kern w:val="0"/>
          <w:position w:val="0"/>
          <w:sz w:val="24"/>
        </w:rPr>
        <w:t>本企业对上述声明内容的真实性负责。如有虚假，将依法承担相应责任。</w:t>
      </w:r>
    </w:p>
    <w:p w14:paraId="31B1A669">
      <w:pPr>
        <w:spacing w:line="360" w:lineRule="auto"/>
        <w:ind w:firstLine="504"/>
        <w:rPr>
          <w:spacing w:val="0"/>
          <w:kern w:val="0"/>
          <w:position w:val="0"/>
          <w:sz w:val="24"/>
        </w:rPr>
      </w:pPr>
    </w:p>
    <w:p w14:paraId="0749DBAC">
      <w:pPr>
        <w:spacing w:line="360" w:lineRule="auto"/>
        <w:ind w:firstLine="504"/>
        <w:rPr>
          <w:spacing w:val="0"/>
          <w:kern w:val="0"/>
          <w:position w:val="0"/>
          <w:sz w:val="24"/>
        </w:rPr>
      </w:pPr>
    </w:p>
    <w:p w14:paraId="377CFA93">
      <w:pPr>
        <w:spacing w:line="360" w:lineRule="auto"/>
        <w:ind w:right="360" w:firstLine="480"/>
        <w:jc w:val="right"/>
        <w:rPr>
          <w:color w:val="000000"/>
          <w:spacing w:val="0"/>
          <w:kern w:val="0"/>
          <w:position w:val="0"/>
          <w:sz w:val="24"/>
        </w:rPr>
      </w:pPr>
      <w:r>
        <w:rPr>
          <w:color w:val="000000"/>
          <w:spacing w:val="0"/>
          <w:kern w:val="0"/>
          <w:position w:val="0"/>
          <w:sz w:val="24"/>
        </w:rPr>
        <w:t>企业名称（盖章）：________</w:t>
      </w:r>
    </w:p>
    <w:p w14:paraId="50A5AFDE">
      <w:pPr>
        <w:spacing w:line="360" w:lineRule="auto"/>
        <w:ind w:right="360" w:firstLine="480"/>
        <w:jc w:val="right"/>
        <w:rPr>
          <w:color w:val="000000"/>
          <w:spacing w:val="0"/>
          <w:kern w:val="0"/>
          <w:position w:val="0"/>
          <w:sz w:val="24"/>
        </w:rPr>
      </w:pPr>
      <w:r>
        <w:rPr>
          <w:color w:val="000000"/>
          <w:spacing w:val="0"/>
          <w:kern w:val="0"/>
          <w:position w:val="0"/>
          <w:sz w:val="24"/>
        </w:rPr>
        <w:t>日 期：________</w:t>
      </w:r>
    </w:p>
    <w:p w14:paraId="7F58C903">
      <w:pPr>
        <w:spacing w:line="360" w:lineRule="auto"/>
        <w:ind w:right="360" w:firstLine="480"/>
        <w:jc w:val="right"/>
        <w:rPr>
          <w:color w:val="000000"/>
          <w:spacing w:val="0"/>
          <w:kern w:val="0"/>
          <w:position w:val="0"/>
          <w:sz w:val="24"/>
        </w:rPr>
      </w:pPr>
    </w:p>
    <w:p w14:paraId="0C24717A">
      <w:pPr>
        <w:spacing w:line="360" w:lineRule="auto"/>
        <w:ind w:right="360" w:firstLine="480"/>
        <w:jc w:val="right"/>
        <w:rPr>
          <w:color w:val="000000"/>
          <w:spacing w:val="0"/>
          <w:kern w:val="0"/>
          <w:position w:val="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color w:val="000000"/>
                <w:spacing w:val="0"/>
                <w:kern w:val="0"/>
                <w:position w:val="0"/>
                <w:szCs w:val="21"/>
              </w:rPr>
            </w:pPr>
            <w:r>
              <w:rPr>
                <w:color w:val="000000"/>
                <w:spacing w:val="0"/>
                <w:kern w:val="0"/>
                <w:position w:val="0"/>
                <w:szCs w:val="21"/>
                <w:vertAlign w:val="superscript"/>
              </w:rPr>
              <w:t>1</w:t>
            </w:r>
            <w:r>
              <w:rPr>
                <w:color w:val="000000"/>
                <w:spacing w:val="0"/>
                <w:kern w:val="0"/>
                <w:position w:val="0"/>
                <w:szCs w:val="21"/>
              </w:rPr>
              <w:t>从业人员、营业收入、资产总额填报上一年度数据，无上一年度数据的新成立企业可不填报。</w:t>
            </w:r>
          </w:p>
        </w:tc>
      </w:tr>
    </w:tbl>
    <w:p w14:paraId="0E8EAAC4">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49"/>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9"/>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49"/>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49"/>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49"/>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49"/>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49"/>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49"/>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49"/>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49"/>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49"/>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49"/>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49"/>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49"/>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9"/>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49"/>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49"/>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1084"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1085"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1085"/>
    </w:p>
    <w:bookmarkEnd w:id="1084"/>
    <w:p w14:paraId="2880330E">
      <w:pPr>
        <w:numPr>
          <w:ilvl w:val="0"/>
          <w:numId w:val="17"/>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color w:val="000000"/>
          <w:spacing w:val="0"/>
          <w:kern w:val="0"/>
          <w:position w:val="0"/>
          <w:sz w:val="24"/>
          <w:szCs w:val="20"/>
        </w:rPr>
        <w:t>9-1</w:t>
      </w:r>
      <w:r>
        <w:rPr>
          <w:rFonts w:hint="eastAsia"/>
          <w:color w:val="000000"/>
          <w:spacing w:val="0"/>
          <w:kern w:val="0"/>
          <w:position w:val="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9"/>
      <w:framePr w:wrap="around" w:vAnchor="text" w:hAnchor="margin" w:xAlign="right" w:y="1"/>
      <w:rPr>
        <w:rStyle w:val="49"/>
      </w:rPr>
    </w:pPr>
  </w:p>
  <w:p w14:paraId="6671B8C9">
    <w:pPr>
      <w:pStyle w:val="2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369F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369F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29"/>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4CD2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D4CD28">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7E2DFF5">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9"/>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43CB098F"/>
    <w:multiLevelType w:val="multilevel"/>
    <w:tmpl w:val="43CB098F"/>
    <w:lvl w:ilvl="0" w:tentative="0">
      <w:start w:val="6"/>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2"/>
  </w:num>
  <w:num w:numId="11">
    <w:abstractNumId w:val="9"/>
  </w:num>
  <w:num w:numId="12">
    <w:abstractNumId w:val="17"/>
  </w:num>
  <w:num w:numId="13">
    <w:abstractNumId w:val="13"/>
  </w:num>
  <w:num w:numId="14">
    <w:abstractNumId w:val="16"/>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A47"/>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2E42DB9"/>
    <w:rsid w:val="02F01399"/>
    <w:rsid w:val="03B97E1D"/>
    <w:rsid w:val="03E07A24"/>
    <w:rsid w:val="03EC5263"/>
    <w:rsid w:val="04E55C6E"/>
    <w:rsid w:val="05AA7284"/>
    <w:rsid w:val="06522B8B"/>
    <w:rsid w:val="08BF22FE"/>
    <w:rsid w:val="091D7103"/>
    <w:rsid w:val="09C457F1"/>
    <w:rsid w:val="0B2C27CD"/>
    <w:rsid w:val="0B660C1A"/>
    <w:rsid w:val="0C004AA5"/>
    <w:rsid w:val="0C004C5B"/>
    <w:rsid w:val="0D2E35AF"/>
    <w:rsid w:val="0D5A25F6"/>
    <w:rsid w:val="0DD40678"/>
    <w:rsid w:val="0DE9130A"/>
    <w:rsid w:val="0FD22917"/>
    <w:rsid w:val="13363671"/>
    <w:rsid w:val="13416C9C"/>
    <w:rsid w:val="13EB470F"/>
    <w:rsid w:val="14832432"/>
    <w:rsid w:val="15477903"/>
    <w:rsid w:val="161D04A1"/>
    <w:rsid w:val="170830C2"/>
    <w:rsid w:val="17654071"/>
    <w:rsid w:val="17F93E0B"/>
    <w:rsid w:val="194B4364"/>
    <w:rsid w:val="1AA2382E"/>
    <w:rsid w:val="1C1673CD"/>
    <w:rsid w:val="1C455CA5"/>
    <w:rsid w:val="1C5525D4"/>
    <w:rsid w:val="1CA924F7"/>
    <w:rsid w:val="1D2C69D2"/>
    <w:rsid w:val="1DFD1A31"/>
    <w:rsid w:val="1E2B5AF5"/>
    <w:rsid w:val="1FE741BD"/>
    <w:rsid w:val="20F95756"/>
    <w:rsid w:val="2209080D"/>
    <w:rsid w:val="236E0751"/>
    <w:rsid w:val="239E00B4"/>
    <w:rsid w:val="24F26FF6"/>
    <w:rsid w:val="251E74A4"/>
    <w:rsid w:val="25A6587B"/>
    <w:rsid w:val="260422C7"/>
    <w:rsid w:val="26456041"/>
    <w:rsid w:val="27843CE5"/>
    <w:rsid w:val="28F17E5A"/>
    <w:rsid w:val="2940493E"/>
    <w:rsid w:val="29E811E5"/>
    <w:rsid w:val="2A113EF2"/>
    <w:rsid w:val="2AC6613B"/>
    <w:rsid w:val="2BAC62BA"/>
    <w:rsid w:val="2BDD3B36"/>
    <w:rsid w:val="2D462127"/>
    <w:rsid w:val="2D74780B"/>
    <w:rsid w:val="2DA85C50"/>
    <w:rsid w:val="2EB110D0"/>
    <w:rsid w:val="2F154B48"/>
    <w:rsid w:val="2F5A7DDB"/>
    <w:rsid w:val="2F80253A"/>
    <w:rsid w:val="2FCC4331"/>
    <w:rsid w:val="30A06323"/>
    <w:rsid w:val="30D77936"/>
    <w:rsid w:val="3288071E"/>
    <w:rsid w:val="329F4483"/>
    <w:rsid w:val="32D86A10"/>
    <w:rsid w:val="32EB653A"/>
    <w:rsid w:val="34EA39B0"/>
    <w:rsid w:val="35BF1FF7"/>
    <w:rsid w:val="367E2601"/>
    <w:rsid w:val="39C70F39"/>
    <w:rsid w:val="3A4D5E9C"/>
    <w:rsid w:val="3B3D5859"/>
    <w:rsid w:val="3BCB6780"/>
    <w:rsid w:val="3C8B6ACE"/>
    <w:rsid w:val="3D130900"/>
    <w:rsid w:val="3ED8393F"/>
    <w:rsid w:val="3EEC47C8"/>
    <w:rsid w:val="3F1823ED"/>
    <w:rsid w:val="3F841651"/>
    <w:rsid w:val="3FDA08B8"/>
    <w:rsid w:val="40451211"/>
    <w:rsid w:val="42BA311E"/>
    <w:rsid w:val="42C20C8A"/>
    <w:rsid w:val="42CD0A98"/>
    <w:rsid w:val="431A0C09"/>
    <w:rsid w:val="43394AC8"/>
    <w:rsid w:val="435B22FC"/>
    <w:rsid w:val="43654197"/>
    <w:rsid w:val="44A616A1"/>
    <w:rsid w:val="44B43423"/>
    <w:rsid w:val="4537679D"/>
    <w:rsid w:val="45965CFE"/>
    <w:rsid w:val="461E795D"/>
    <w:rsid w:val="47CA1B4A"/>
    <w:rsid w:val="480E2158"/>
    <w:rsid w:val="4A514331"/>
    <w:rsid w:val="4AEB2393"/>
    <w:rsid w:val="4B65373A"/>
    <w:rsid w:val="4C520604"/>
    <w:rsid w:val="4C9B5863"/>
    <w:rsid w:val="4D00163A"/>
    <w:rsid w:val="4E0336C0"/>
    <w:rsid w:val="4EF06E7D"/>
    <w:rsid w:val="4F0F5BE3"/>
    <w:rsid w:val="4F4A53A9"/>
    <w:rsid w:val="50950CB1"/>
    <w:rsid w:val="51565F64"/>
    <w:rsid w:val="52422029"/>
    <w:rsid w:val="529165E2"/>
    <w:rsid w:val="52EB0BC7"/>
    <w:rsid w:val="535B4F1A"/>
    <w:rsid w:val="54FC70BB"/>
    <w:rsid w:val="55040901"/>
    <w:rsid w:val="55086820"/>
    <w:rsid w:val="551E7647"/>
    <w:rsid w:val="553D44F9"/>
    <w:rsid w:val="55F47FE6"/>
    <w:rsid w:val="55F52245"/>
    <w:rsid w:val="55F93BD0"/>
    <w:rsid w:val="56DF05DE"/>
    <w:rsid w:val="571E6D47"/>
    <w:rsid w:val="5731703D"/>
    <w:rsid w:val="577F424A"/>
    <w:rsid w:val="578F2469"/>
    <w:rsid w:val="57FC6189"/>
    <w:rsid w:val="59903AD1"/>
    <w:rsid w:val="5ACC4C55"/>
    <w:rsid w:val="5AE306A7"/>
    <w:rsid w:val="5B1A7FEC"/>
    <w:rsid w:val="5BBE331C"/>
    <w:rsid w:val="5C476060"/>
    <w:rsid w:val="5CEE707E"/>
    <w:rsid w:val="5D515AF9"/>
    <w:rsid w:val="5D54174E"/>
    <w:rsid w:val="5D7C523D"/>
    <w:rsid w:val="5DC328CC"/>
    <w:rsid w:val="5DF41277"/>
    <w:rsid w:val="5F073306"/>
    <w:rsid w:val="5F5F73B9"/>
    <w:rsid w:val="5F976276"/>
    <w:rsid w:val="5FA10F8B"/>
    <w:rsid w:val="613B1527"/>
    <w:rsid w:val="618C2A7F"/>
    <w:rsid w:val="62026145"/>
    <w:rsid w:val="626F711E"/>
    <w:rsid w:val="648C045C"/>
    <w:rsid w:val="64A5697F"/>
    <w:rsid w:val="66D957E8"/>
    <w:rsid w:val="67184229"/>
    <w:rsid w:val="677D63AA"/>
    <w:rsid w:val="6838144E"/>
    <w:rsid w:val="68961CEF"/>
    <w:rsid w:val="68AA7398"/>
    <w:rsid w:val="6AC60EF0"/>
    <w:rsid w:val="6AEB755E"/>
    <w:rsid w:val="6B9A7CA0"/>
    <w:rsid w:val="6BFA07E9"/>
    <w:rsid w:val="6CB11A07"/>
    <w:rsid w:val="6D3C22F3"/>
    <w:rsid w:val="6E171271"/>
    <w:rsid w:val="6E217E67"/>
    <w:rsid w:val="6E56558E"/>
    <w:rsid w:val="6F0106C9"/>
    <w:rsid w:val="6F935F28"/>
    <w:rsid w:val="701F03D6"/>
    <w:rsid w:val="70BF188D"/>
    <w:rsid w:val="712B2C18"/>
    <w:rsid w:val="73851852"/>
    <w:rsid w:val="73A01533"/>
    <w:rsid w:val="7413133A"/>
    <w:rsid w:val="742C597A"/>
    <w:rsid w:val="74AD1092"/>
    <w:rsid w:val="75387844"/>
    <w:rsid w:val="758B206A"/>
    <w:rsid w:val="770A48E1"/>
    <w:rsid w:val="77C45617"/>
    <w:rsid w:val="79DB2C2E"/>
    <w:rsid w:val="7A9C2F78"/>
    <w:rsid w:val="7AD305A5"/>
    <w:rsid w:val="7ADB75EF"/>
    <w:rsid w:val="7AEC0C8C"/>
    <w:rsid w:val="7B971768"/>
    <w:rsid w:val="7BED557B"/>
    <w:rsid w:val="7C50734D"/>
    <w:rsid w:val="7C806047"/>
    <w:rsid w:val="7CDB7866"/>
    <w:rsid w:val="7D580A83"/>
    <w:rsid w:val="7D67222A"/>
    <w:rsid w:val="7DF869DB"/>
    <w:rsid w:val="7E9C2B2A"/>
    <w:rsid w:val="7EBC7738"/>
    <w:rsid w:val="7F99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8"/>
    <w:link w:val="239"/>
    <w:qFormat/>
    <w:uiPriority w:val="0"/>
    <w:pPr>
      <w:tabs>
        <w:tab w:val="left" w:pos="567"/>
      </w:tabs>
      <w:spacing w:before="120" w:line="22" w:lineRule="atLeast"/>
    </w:pPr>
    <w:rPr>
      <w:rFonts w:ascii="宋体" w:hAnsi="宋体"/>
      <w:sz w:val="24"/>
    </w:rPr>
  </w:style>
  <w:style w:type="paragraph" w:styleId="18">
    <w:name w:val="Body Text 2"/>
    <w:basedOn w:val="1"/>
    <w:qFormat/>
    <w:uiPriority w:val="0"/>
    <w:pPr>
      <w:jc w:val="center"/>
    </w:pPr>
    <w:rPr>
      <w:b/>
      <w:bCs/>
      <w:sz w:val="72"/>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next w:val="43"/>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9"/>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宋体" w:hAnsi="宋体" w:eastAsia="宋体" w:cs="宋体"/>
      <w:sz w:val="24"/>
      <w:szCs w:val="24"/>
      <w:lang w:val="en-US" w:eastAsia="en-US" w:bidi="ar-SA"/>
    </w:rPr>
  </w:style>
  <w:style w:type="paragraph" w:customStyle="1" w:styleId="255">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3853</Words>
  <Characters>4437</Characters>
  <Lines>249</Lines>
  <Paragraphs>70</Paragraphs>
  <TotalTime>0</TotalTime>
  <ScaleCrop>false</ScaleCrop>
  <LinksUpToDate>false</LinksUpToDate>
  <CharactersWithSpaces>4617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2020-04-01T03:13:00Z</cp:lastPrinted>
  <dcterms:modified xsi:type="dcterms:W3CDTF">2025-09-19T01:10:40Z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C972ABFED2D945E580AE0BCA6937FE12_13</vt:lpwstr>
  </property>
  <property fmtid="{D5CDD505-2E9C-101B-9397-08002B2CF9AE}" pid="4" name="KSOTemplateDocerSaveRecord">
    <vt:lpwstr>eyJoZGlkIjoiMWU1NDVjZDE4M2EzNWU1NTIxOGRjNzVlZTNhYjg4ZjkiLCJ1c2VySWQiOiIyMTY2OTk3MTYifQ==</vt:lpwstr>
  </property>
</Properties>
</file>