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60C7D26">
      <w:pPr>
        <w:spacing w:line="360" w:lineRule="auto"/>
        <w:ind w:firstLine="300" w:firstLineChars="50"/>
        <w:rPr>
          <w:rFonts w:eastAsiaTheme="minorEastAsia"/>
          <w:sz w:val="60"/>
          <w:szCs w:val="60"/>
        </w:rPr>
      </w:pPr>
    </w:p>
    <w:p w14:paraId="6829FCE2">
      <w:pPr>
        <w:spacing w:line="360" w:lineRule="auto"/>
        <w:ind w:firstLine="300" w:firstLineChars="50"/>
        <w:rPr>
          <w:rFonts w:eastAsiaTheme="minorEastAsia"/>
          <w:sz w:val="60"/>
          <w:szCs w:val="60"/>
        </w:rPr>
      </w:pPr>
    </w:p>
    <w:p w14:paraId="0BE9A9A6">
      <w:pPr>
        <w:jc w:val="center"/>
        <w:rPr>
          <w:rFonts w:hint="eastAsia" w:eastAsiaTheme="minorEastAsia"/>
          <w:b/>
          <w:bCs/>
          <w:sz w:val="60"/>
          <w:szCs w:val="60"/>
          <w:lang w:eastAsia="zh-CN"/>
        </w:rPr>
      </w:pPr>
      <w:r>
        <w:rPr>
          <w:rFonts w:hint="eastAsia" w:eastAsiaTheme="minorEastAsia"/>
          <w:b/>
          <w:bCs/>
          <w:sz w:val="60"/>
          <w:szCs w:val="60"/>
          <w:lang w:eastAsia="zh-CN"/>
        </w:rPr>
        <w:t>昌平区百善镇善缘家园北区燃气点供替代项目</w:t>
      </w:r>
    </w:p>
    <w:p w14:paraId="43CCE092">
      <w:pPr>
        <w:jc w:val="center"/>
        <w:rPr>
          <w:b/>
          <w:bCs/>
          <w:sz w:val="60"/>
          <w:szCs w:val="60"/>
        </w:rPr>
      </w:pPr>
      <w:r>
        <w:rPr>
          <w:rFonts w:eastAsiaTheme="minorEastAsia"/>
          <w:b/>
          <w:bCs/>
          <w:sz w:val="60"/>
          <w:szCs w:val="60"/>
        </w:rPr>
        <w:t>竞争性磋商文件</w:t>
      </w:r>
    </w:p>
    <w:p w14:paraId="443FF6FF">
      <w:pPr>
        <w:spacing w:line="360" w:lineRule="auto"/>
        <w:jc w:val="center"/>
        <w:rPr>
          <w:rFonts w:eastAsiaTheme="majorEastAsia"/>
          <w:b/>
          <w:bCs/>
          <w:sz w:val="60"/>
          <w:szCs w:val="60"/>
        </w:rPr>
      </w:pPr>
    </w:p>
    <w:p w14:paraId="13AAB0DF">
      <w:pPr>
        <w:spacing w:line="360" w:lineRule="auto"/>
        <w:jc w:val="center"/>
        <w:rPr>
          <w:rFonts w:eastAsiaTheme="majorEastAsia"/>
          <w:b/>
          <w:bCs/>
          <w:sz w:val="60"/>
          <w:szCs w:val="60"/>
        </w:rPr>
      </w:pPr>
    </w:p>
    <w:p w14:paraId="64F35D8A">
      <w:pPr>
        <w:tabs>
          <w:tab w:val="left" w:pos="3240"/>
          <w:tab w:val="left" w:pos="3420"/>
        </w:tabs>
        <w:spacing w:line="360" w:lineRule="auto"/>
        <w:ind w:left="2832" w:leftChars="444" w:hanging="1900" w:hangingChars="528"/>
        <w:jc w:val="left"/>
        <w:rPr>
          <w:rFonts w:hint="eastAsia" w:eastAsiaTheme="minorEastAsia"/>
          <w:bCs/>
          <w:sz w:val="36"/>
          <w:szCs w:val="36"/>
        </w:rPr>
      </w:pPr>
      <w:r>
        <w:rPr>
          <w:rFonts w:eastAsiaTheme="minorEastAsia"/>
          <w:bCs/>
          <w:sz w:val="36"/>
          <w:szCs w:val="36"/>
        </w:rPr>
        <w:t>项目名</w:t>
      </w:r>
      <w:r>
        <w:rPr>
          <w:rFonts w:hint="eastAsia" w:eastAsiaTheme="minorEastAsia"/>
          <w:bCs/>
          <w:sz w:val="36"/>
          <w:szCs w:val="36"/>
        </w:rPr>
        <w:t>称：</w:t>
      </w:r>
      <w:r>
        <w:rPr>
          <w:rFonts w:hint="eastAsia" w:eastAsiaTheme="minorEastAsia"/>
          <w:bCs/>
          <w:sz w:val="36"/>
          <w:szCs w:val="36"/>
          <w:lang w:eastAsia="zh-CN"/>
        </w:rPr>
        <w:t>昌平区百善镇善缘家园北区燃气点供替代项目</w:t>
      </w:r>
      <w:r>
        <w:rPr>
          <w:rFonts w:hint="eastAsia" w:eastAsiaTheme="minorEastAsia"/>
          <w:bCs/>
          <w:sz w:val="36"/>
          <w:szCs w:val="36"/>
        </w:rPr>
        <w:tab/>
      </w:r>
    </w:p>
    <w:p w14:paraId="6FB6D4DE">
      <w:pPr>
        <w:keepNext w:val="0"/>
        <w:keepLines w:val="0"/>
        <w:widowControl/>
        <w:suppressLineNumbers w:val="0"/>
        <w:tabs>
          <w:tab w:val="left" w:pos="3240"/>
          <w:tab w:val="left" w:pos="3420"/>
        </w:tabs>
        <w:spacing w:line="360" w:lineRule="auto"/>
        <w:ind w:left="2832" w:leftChars="444" w:hanging="1900" w:hangingChars="528"/>
        <w:jc w:val="left"/>
        <w:rPr>
          <w:rFonts w:hint="default" w:eastAsiaTheme="minorEastAsia"/>
          <w:bCs/>
          <w:sz w:val="36"/>
          <w:szCs w:val="36"/>
          <w:lang w:val="en-US"/>
        </w:rPr>
      </w:pPr>
      <w:r>
        <w:rPr>
          <w:rFonts w:hint="eastAsia" w:eastAsiaTheme="minorEastAsia"/>
          <w:bCs/>
          <w:sz w:val="36"/>
          <w:szCs w:val="36"/>
        </w:rPr>
        <w:t>项目编号：</w:t>
      </w:r>
      <w:r>
        <w:rPr>
          <w:rFonts w:hint="eastAsia" w:ascii="宋体" w:hAnsi="宋体" w:eastAsia="宋体" w:cs="宋体"/>
          <w:bCs/>
          <w:kern w:val="2"/>
          <w:sz w:val="36"/>
          <w:szCs w:val="36"/>
          <w:u w:val="none"/>
          <w:lang w:val="en-US" w:eastAsia="zh-CN" w:bidi="ar"/>
        </w:rPr>
        <w:t>11011425210200027760-XM001</w:t>
      </w:r>
    </w:p>
    <w:p w14:paraId="2E964464">
      <w:pPr>
        <w:tabs>
          <w:tab w:val="left" w:pos="3240"/>
          <w:tab w:val="left" w:pos="3420"/>
        </w:tabs>
        <w:spacing w:line="360" w:lineRule="auto"/>
        <w:ind w:left="2832" w:leftChars="444" w:hanging="1900" w:hangingChars="528"/>
        <w:jc w:val="left"/>
        <w:rPr>
          <w:rFonts w:hint="default" w:eastAsiaTheme="minorEastAsia"/>
          <w:bCs/>
          <w:sz w:val="36"/>
          <w:szCs w:val="36"/>
          <w:lang w:val="en-US" w:eastAsia="zh-CN"/>
        </w:rPr>
      </w:pPr>
      <w:r>
        <w:rPr>
          <w:rFonts w:hint="eastAsia" w:eastAsiaTheme="minorEastAsia"/>
          <w:bCs/>
          <w:sz w:val="36"/>
          <w:szCs w:val="36"/>
          <w:lang w:val="en-US" w:eastAsia="zh-CN"/>
        </w:rPr>
        <w:t>采购文件编号：</w:t>
      </w:r>
      <w:r>
        <w:rPr>
          <w:rFonts w:hint="eastAsia" w:ascii="宋体" w:hAnsi="宋体" w:eastAsia="宋体" w:cs="宋体"/>
          <w:bCs/>
          <w:i w:val="0"/>
          <w:iCs w:val="0"/>
          <w:caps w:val="0"/>
          <w:spacing w:val="0"/>
          <w:sz w:val="36"/>
          <w:szCs w:val="36"/>
          <w:shd w:val="clear"/>
        </w:rPr>
        <w:t>FZJG-ZBDL-2025-0025</w:t>
      </w:r>
    </w:p>
    <w:p w14:paraId="4662E15F">
      <w:pPr>
        <w:tabs>
          <w:tab w:val="left" w:pos="3240"/>
          <w:tab w:val="left" w:pos="3420"/>
        </w:tabs>
        <w:spacing w:line="360" w:lineRule="auto"/>
        <w:ind w:left="2832" w:leftChars="444" w:hanging="1900" w:hangingChars="528"/>
        <w:jc w:val="left"/>
        <w:rPr>
          <w:rFonts w:hint="eastAsia" w:eastAsiaTheme="minorEastAsia"/>
          <w:bCs/>
          <w:sz w:val="36"/>
          <w:szCs w:val="36"/>
          <w:lang w:eastAsia="zh-CN"/>
        </w:rPr>
      </w:pPr>
      <w:r>
        <w:rPr>
          <w:rFonts w:eastAsiaTheme="minorEastAsia"/>
          <w:bCs/>
          <w:sz w:val="36"/>
          <w:szCs w:val="36"/>
        </w:rPr>
        <w:t>采 购 人：</w:t>
      </w:r>
      <w:r>
        <w:rPr>
          <w:rFonts w:hint="eastAsia" w:cs="Times New Roman" w:eastAsiaTheme="minorEastAsia"/>
          <w:bCs/>
          <w:sz w:val="36"/>
          <w:szCs w:val="36"/>
          <w:lang w:eastAsia="zh-CN"/>
        </w:rPr>
        <w:t>北京市昌平区百善镇人民政府</w:t>
      </w:r>
    </w:p>
    <w:p w14:paraId="5A6CE628">
      <w:pPr>
        <w:tabs>
          <w:tab w:val="left" w:pos="3240"/>
          <w:tab w:val="left" w:pos="3420"/>
        </w:tabs>
        <w:spacing w:line="360" w:lineRule="auto"/>
        <w:ind w:left="2832" w:leftChars="444" w:hanging="1900" w:hangingChars="528"/>
        <w:jc w:val="left"/>
        <w:rPr>
          <w:rFonts w:hint="eastAsia" w:eastAsiaTheme="minorEastAsia"/>
          <w:bCs/>
          <w:sz w:val="36"/>
          <w:szCs w:val="36"/>
          <w:lang w:eastAsia="zh-CN"/>
        </w:rPr>
      </w:pPr>
      <w:r>
        <w:rPr>
          <w:rFonts w:eastAsiaTheme="minorEastAsia"/>
          <w:bCs/>
          <w:sz w:val="36"/>
          <w:szCs w:val="36"/>
        </w:rPr>
        <w:t>采购代理机构：</w:t>
      </w:r>
      <w:r>
        <w:rPr>
          <w:rFonts w:hint="eastAsia" w:cs="Times New Roman" w:eastAsiaTheme="minorEastAsia"/>
          <w:bCs/>
          <w:sz w:val="36"/>
          <w:szCs w:val="36"/>
          <w:lang w:eastAsia="zh-CN"/>
        </w:rPr>
        <w:t>中咨华源(北京)咨询有限公司</w:t>
      </w:r>
    </w:p>
    <w:p w14:paraId="49E8DDBB">
      <w:pPr>
        <w:widowControl/>
        <w:jc w:val="left"/>
        <w:rPr>
          <w:rFonts w:eastAsiaTheme="minorEastAsia"/>
        </w:rPr>
        <w:sectPr>
          <w:headerReference r:id="rId3" w:type="default"/>
          <w:type w:val="nextColumn"/>
          <w:pgSz w:w="11906" w:h="16838"/>
          <w:pgMar w:top="1418" w:right="1134" w:bottom="1418" w:left="1701" w:header="851" w:footer="992" w:gutter="0"/>
          <w:cols w:space="425" w:num="1"/>
          <w:docGrid w:linePitch="312" w:charSpace="0"/>
        </w:sectPr>
      </w:pPr>
      <w:r>
        <w:rPr>
          <w:rFonts w:eastAsiaTheme="minorEastAsia"/>
          <w:b/>
          <w:bCs/>
          <w:sz w:val="44"/>
        </w:rPr>
        <w:br w:type="page"/>
      </w:r>
    </w:p>
    <w:p w14:paraId="65CB6A0D">
      <w:pPr>
        <w:spacing w:line="360" w:lineRule="auto"/>
        <w:jc w:val="center"/>
        <w:outlineLvl w:val="0"/>
        <w:rPr>
          <w:rFonts w:eastAsiaTheme="minorEastAsia"/>
          <w:b/>
          <w:sz w:val="36"/>
          <w:szCs w:val="36"/>
        </w:rPr>
      </w:pPr>
      <w:r>
        <w:rPr>
          <w:rFonts w:eastAsiaTheme="minorEastAsia"/>
          <w:b/>
          <w:sz w:val="36"/>
          <w:szCs w:val="36"/>
        </w:rPr>
        <w:t>目      录</w:t>
      </w:r>
    </w:p>
    <w:p w14:paraId="47B069E9">
      <w:pPr>
        <w:rPr>
          <w:rFonts w:eastAsiaTheme="minorEastAsia"/>
        </w:rPr>
      </w:pPr>
    </w:p>
    <w:p w14:paraId="549CF614">
      <w:pPr>
        <w:rPr>
          <w:rFonts w:eastAsiaTheme="minorEastAsia"/>
        </w:rPr>
      </w:pPr>
    </w:p>
    <w:p w14:paraId="55DBECC8">
      <w:pPr>
        <w:rPr>
          <w:rFonts w:eastAsiaTheme="minorEastAsia"/>
        </w:rPr>
      </w:pPr>
    </w:p>
    <w:p w14:paraId="71178607">
      <w:pPr>
        <w:rPr>
          <w:rFonts w:eastAsiaTheme="minorEastAsia"/>
        </w:rPr>
      </w:pPr>
    </w:p>
    <w:p w14:paraId="27908E22">
      <w:pPr>
        <w:pStyle w:val="30"/>
        <w:spacing w:line="360" w:lineRule="auto"/>
        <w:rPr>
          <w:rFonts w:ascii="Times New Roman" w:hAnsi="Times New Roman" w:eastAsiaTheme="minorEastAsia"/>
          <w:b w:val="0"/>
          <w:sz w:val="21"/>
          <w:szCs w:val="22"/>
        </w:rPr>
      </w:pPr>
      <w:r>
        <w:rPr>
          <w:rFonts w:ascii="Times New Roman" w:hAnsi="Times New Roman" w:eastAsiaTheme="minorEastAsia"/>
          <w:b w:val="0"/>
        </w:rPr>
        <w:fldChar w:fldCharType="begin"/>
      </w:r>
      <w:r>
        <w:rPr>
          <w:rFonts w:ascii="Times New Roman" w:hAnsi="Times New Roman" w:eastAsiaTheme="minorEastAsia"/>
          <w:b w:val="0"/>
        </w:rPr>
        <w:instrText xml:space="preserve"> TOC \o "1-1" \h \z \u </w:instrText>
      </w:r>
      <w:r>
        <w:rPr>
          <w:rFonts w:ascii="Times New Roman" w:hAnsi="Times New Roman" w:eastAsiaTheme="minorEastAsia"/>
          <w:b w:val="0"/>
        </w:rPr>
        <w:fldChar w:fldCharType="separate"/>
      </w:r>
      <w:r>
        <w:fldChar w:fldCharType="begin"/>
      </w:r>
      <w:r>
        <w:instrText xml:space="preserve"> HYPERLINK \l "_Toc97371941" </w:instrText>
      </w:r>
      <w:r>
        <w:fldChar w:fldCharType="separate"/>
      </w:r>
      <w:r>
        <w:rPr>
          <w:rStyle w:val="50"/>
          <w:rFonts w:ascii="Times New Roman" w:hAnsi="Times New Roman" w:eastAsiaTheme="minorEastAsia"/>
        </w:rPr>
        <w:t>第一章   采购邀请</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_Toc97371941 \h </w:instrText>
      </w:r>
      <w:r>
        <w:rPr>
          <w:rFonts w:ascii="Times New Roman" w:hAnsi="Times New Roman" w:eastAsiaTheme="minorEastAsia"/>
        </w:rPr>
        <w:fldChar w:fldCharType="separate"/>
      </w:r>
      <w:r>
        <w:rPr>
          <w:rFonts w:ascii="Times New Roman" w:hAnsi="Times New Roman" w:eastAsiaTheme="minorEastAsia"/>
        </w:rPr>
        <w:t>1</w:t>
      </w:r>
      <w:r>
        <w:rPr>
          <w:rFonts w:ascii="Times New Roman" w:hAnsi="Times New Roman" w:eastAsiaTheme="minorEastAsia"/>
        </w:rPr>
        <w:fldChar w:fldCharType="end"/>
      </w:r>
      <w:r>
        <w:rPr>
          <w:rFonts w:ascii="Times New Roman" w:hAnsi="Times New Roman" w:eastAsiaTheme="minorEastAsia"/>
        </w:rPr>
        <w:fldChar w:fldCharType="end"/>
      </w:r>
    </w:p>
    <w:p w14:paraId="6FA96E43">
      <w:pPr>
        <w:pStyle w:val="30"/>
        <w:spacing w:line="360" w:lineRule="auto"/>
        <w:rPr>
          <w:rFonts w:ascii="Times New Roman" w:hAnsi="Times New Roman" w:eastAsiaTheme="minorEastAsia"/>
          <w:b w:val="0"/>
          <w:sz w:val="21"/>
          <w:szCs w:val="22"/>
        </w:rPr>
      </w:pPr>
      <w:r>
        <w:fldChar w:fldCharType="begin"/>
      </w:r>
      <w:r>
        <w:instrText xml:space="preserve"> HYPERLINK \l "_Toc97371942" </w:instrText>
      </w:r>
      <w:r>
        <w:fldChar w:fldCharType="separate"/>
      </w:r>
      <w:r>
        <w:rPr>
          <w:rStyle w:val="50"/>
          <w:rFonts w:ascii="Times New Roman" w:hAnsi="Times New Roman" w:eastAsiaTheme="minorEastAsia"/>
        </w:rPr>
        <w:t>第二章   供应商须知</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_Toc97371942 \h </w:instrText>
      </w:r>
      <w:r>
        <w:rPr>
          <w:rFonts w:ascii="Times New Roman" w:hAnsi="Times New Roman" w:eastAsiaTheme="minorEastAsia"/>
        </w:rPr>
        <w:fldChar w:fldCharType="separate"/>
      </w:r>
      <w:r>
        <w:rPr>
          <w:rFonts w:ascii="Times New Roman" w:hAnsi="Times New Roman" w:eastAsiaTheme="minorEastAsia"/>
        </w:rPr>
        <w:t>5</w:t>
      </w:r>
      <w:r>
        <w:rPr>
          <w:rFonts w:ascii="Times New Roman" w:hAnsi="Times New Roman" w:eastAsiaTheme="minorEastAsia"/>
        </w:rPr>
        <w:fldChar w:fldCharType="end"/>
      </w:r>
      <w:r>
        <w:rPr>
          <w:rFonts w:ascii="Times New Roman" w:hAnsi="Times New Roman" w:eastAsiaTheme="minorEastAsia"/>
        </w:rPr>
        <w:fldChar w:fldCharType="end"/>
      </w:r>
    </w:p>
    <w:p w14:paraId="51F7FE38">
      <w:pPr>
        <w:pStyle w:val="30"/>
        <w:spacing w:line="360" w:lineRule="auto"/>
        <w:rPr>
          <w:rFonts w:ascii="Times New Roman" w:hAnsi="Times New Roman" w:eastAsiaTheme="minorEastAsia"/>
          <w:b w:val="0"/>
          <w:sz w:val="21"/>
          <w:szCs w:val="22"/>
        </w:rPr>
      </w:pPr>
      <w:r>
        <w:fldChar w:fldCharType="begin"/>
      </w:r>
      <w:r>
        <w:instrText xml:space="preserve"> HYPERLINK \l "_Toc97371943" </w:instrText>
      </w:r>
      <w:r>
        <w:fldChar w:fldCharType="separate"/>
      </w:r>
      <w:r>
        <w:rPr>
          <w:rStyle w:val="50"/>
          <w:rFonts w:ascii="Times New Roman" w:hAnsi="Times New Roman" w:eastAsiaTheme="minorEastAsia"/>
        </w:rPr>
        <w:t>第三章   评审方法和评审标准</w:t>
      </w:r>
      <w:bookmarkStart w:id="1315" w:name="_GoBack"/>
      <w:bookmarkEnd w:id="1315"/>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_Toc97371943 \h </w:instrText>
      </w:r>
      <w:r>
        <w:rPr>
          <w:rFonts w:ascii="Times New Roman" w:hAnsi="Times New Roman" w:eastAsiaTheme="minorEastAsia"/>
        </w:rPr>
        <w:fldChar w:fldCharType="separate"/>
      </w:r>
      <w:r>
        <w:rPr>
          <w:rFonts w:ascii="Times New Roman" w:hAnsi="Times New Roman" w:eastAsiaTheme="minorEastAsia"/>
        </w:rPr>
        <w:t>20</w:t>
      </w:r>
      <w:r>
        <w:rPr>
          <w:rFonts w:ascii="Times New Roman" w:hAnsi="Times New Roman" w:eastAsiaTheme="minorEastAsia"/>
        </w:rPr>
        <w:fldChar w:fldCharType="end"/>
      </w:r>
      <w:r>
        <w:rPr>
          <w:rFonts w:ascii="Times New Roman" w:hAnsi="Times New Roman" w:eastAsiaTheme="minorEastAsia"/>
        </w:rPr>
        <w:fldChar w:fldCharType="end"/>
      </w:r>
    </w:p>
    <w:p w14:paraId="0E21C667">
      <w:pPr>
        <w:pStyle w:val="30"/>
        <w:spacing w:line="360" w:lineRule="auto"/>
        <w:rPr>
          <w:rFonts w:ascii="Times New Roman" w:hAnsi="Times New Roman" w:eastAsiaTheme="minorEastAsia"/>
          <w:b w:val="0"/>
          <w:sz w:val="21"/>
          <w:szCs w:val="22"/>
        </w:rPr>
      </w:pPr>
      <w:r>
        <w:fldChar w:fldCharType="begin"/>
      </w:r>
      <w:r>
        <w:instrText xml:space="preserve"> HYPERLINK \l "_Toc97371945" </w:instrText>
      </w:r>
      <w:r>
        <w:fldChar w:fldCharType="separate"/>
      </w:r>
      <w:r>
        <w:rPr>
          <w:rStyle w:val="50"/>
          <w:rFonts w:ascii="Times New Roman" w:hAnsi="Times New Roman" w:eastAsiaTheme="minorEastAsia"/>
        </w:rPr>
        <w:t>第四章   采购需求</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_Toc97371945 \h </w:instrText>
      </w:r>
      <w:r>
        <w:rPr>
          <w:rFonts w:ascii="Times New Roman" w:hAnsi="Times New Roman" w:eastAsiaTheme="minorEastAsia"/>
        </w:rPr>
        <w:fldChar w:fldCharType="separate"/>
      </w:r>
      <w:r>
        <w:rPr>
          <w:rFonts w:ascii="Times New Roman" w:hAnsi="Times New Roman" w:eastAsiaTheme="minorEastAsia"/>
        </w:rPr>
        <w:t>31</w:t>
      </w:r>
      <w:r>
        <w:rPr>
          <w:rFonts w:ascii="Times New Roman" w:hAnsi="Times New Roman" w:eastAsiaTheme="minorEastAsia"/>
        </w:rPr>
        <w:fldChar w:fldCharType="end"/>
      </w:r>
      <w:r>
        <w:rPr>
          <w:rFonts w:ascii="Times New Roman" w:hAnsi="Times New Roman" w:eastAsiaTheme="minorEastAsia"/>
        </w:rPr>
        <w:fldChar w:fldCharType="end"/>
      </w:r>
    </w:p>
    <w:p w14:paraId="40C52008">
      <w:pPr>
        <w:pStyle w:val="30"/>
        <w:spacing w:line="360" w:lineRule="auto"/>
        <w:rPr>
          <w:rFonts w:ascii="Times New Roman" w:hAnsi="Times New Roman" w:eastAsiaTheme="minorEastAsia"/>
          <w:b w:val="0"/>
          <w:sz w:val="21"/>
          <w:szCs w:val="22"/>
        </w:rPr>
      </w:pPr>
      <w:r>
        <w:fldChar w:fldCharType="begin"/>
      </w:r>
      <w:r>
        <w:instrText xml:space="preserve"> HYPERLINK \l "_Toc97371946" </w:instrText>
      </w:r>
      <w:r>
        <w:fldChar w:fldCharType="separate"/>
      </w:r>
      <w:r>
        <w:rPr>
          <w:rStyle w:val="50"/>
          <w:rFonts w:ascii="Times New Roman" w:hAnsi="Times New Roman" w:eastAsiaTheme="minorEastAsia"/>
        </w:rPr>
        <w:t>第五章   合同草案条款</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_Toc97371946 \h </w:instrText>
      </w:r>
      <w:r>
        <w:rPr>
          <w:rFonts w:ascii="Times New Roman" w:hAnsi="Times New Roman" w:eastAsiaTheme="minorEastAsia"/>
        </w:rPr>
        <w:fldChar w:fldCharType="separate"/>
      </w:r>
      <w:r>
        <w:rPr>
          <w:rFonts w:ascii="Times New Roman" w:hAnsi="Times New Roman" w:eastAsiaTheme="minorEastAsia"/>
        </w:rPr>
        <w:t>33</w:t>
      </w:r>
      <w:r>
        <w:rPr>
          <w:rFonts w:ascii="Times New Roman" w:hAnsi="Times New Roman" w:eastAsiaTheme="minorEastAsia"/>
        </w:rPr>
        <w:fldChar w:fldCharType="end"/>
      </w:r>
      <w:r>
        <w:rPr>
          <w:rFonts w:ascii="Times New Roman" w:hAnsi="Times New Roman" w:eastAsiaTheme="minorEastAsia"/>
        </w:rPr>
        <w:fldChar w:fldCharType="end"/>
      </w:r>
    </w:p>
    <w:p w14:paraId="656A98BD">
      <w:pPr>
        <w:pStyle w:val="30"/>
        <w:spacing w:line="360" w:lineRule="auto"/>
        <w:rPr>
          <w:rFonts w:hint="default" w:ascii="Times New Roman" w:hAnsi="Times New Roman" w:eastAsiaTheme="minorEastAsia"/>
          <w:b w:val="0"/>
          <w:sz w:val="21"/>
          <w:szCs w:val="22"/>
          <w:lang w:val="en-US" w:eastAsia="zh-CN"/>
        </w:rPr>
      </w:pPr>
      <w:r>
        <w:fldChar w:fldCharType="begin"/>
      </w:r>
      <w:r>
        <w:instrText xml:space="preserve"> HYPERLINK \l "_Toc97371947" </w:instrText>
      </w:r>
      <w:r>
        <w:fldChar w:fldCharType="separate"/>
      </w:r>
      <w:r>
        <w:rPr>
          <w:rStyle w:val="50"/>
          <w:rFonts w:ascii="Times New Roman" w:hAnsi="Times New Roman" w:eastAsiaTheme="minorEastAsia"/>
        </w:rPr>
        <w:t>第六章   响应文件格式</w:t>
      </w:r>
      <w:r>
        <w:rPr>
          <w:rFonts w:ascii="Times New Roman" w:hAnsi="Times New Roman" w:eastAsiaTheme="minorEastAsia"/>
        </w:rPr>
        <w:tab/>
      </w:r>
      <w:r>
        <w:rPr>
          <w:rFonts w:hint="eastAsia" w:ascii="Times New Roman" w:hAnsi="Times New Roman" w:eastAsiaTheme="minorEastAsia"/>
          <w:lang w:val="en-US" w:eastAsia="zh-CN"/>
        </w:rPr>
        <w:t>1</w:t>
      </w:r>
      <w:r>
        <w:rPr>
          <w:rFonts w:ascii="Times New Roman" w:hAnsi="Times New Roman" w:eastAsiaTheme="minorEastAsia"/>
        </w:rPr>
        <w:fldChar w:fldCharType="end"/>
      </w:r>
      <w:r>
        <w:rPr>
          <w:rFonts w:hint="eastAsia" w:ascii="Times New Roman" w:hAnsi="Times New Roman" w:eastAsiaTheme="minorEastAsia"/>
          <w:lang w:val="en-US" w:eastAsia="zh-CN"/>
        </w:rPr>
        <w:t>14</w:t>
      </w:r>
    </w:p>
    <w:p w14:paraId="62A4E2DE">
      <w:pPr>
        <w:pStyle w:val="30"/>
        <w:spacing w:line="480" w:lineRule="auto"/>
        <w:rPr>
          <w:rFonts w:ascii="Times New Roman" w:hAnsi="Times New Roman" w:eastAsiaTheme="minorEastAsia"/>
          <w:b w:val="0"/>
        </w:rPr>
      </w:pPr>
      <w:r>
        <w:rPr>
          <w:rFonts w:ascii="Times New Roman" w:hAnsi="Times New Roman" w:eastAsiaTheme="minorEastAsia"/>
          <w:b w:val="0"/>
        </w:rPr>
        <w:fldChar w:fldCharType="end"/>
      </w:r>
    </w:p>
    <w:p w14:paraId="6AA03770"/>
    <w:p w14:paraId="1F7BA6E5">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22D2FD6C">
      <w:pPr>
        <w:pStyle w:val="30"/>
        <w:spacing w:line="360" w:lineRule="auto"/>
        <w:rPr>
          <w:rFonts w:ascii="Times New Roman" w:hAnsi="Times New Roman" w:eastAsiaTheme="minorEastAsia"/>
          <w:b w:val="0"/>
        </w:rPr>
      </w:pPr>
    </w:p>
    <w:p w14:paraId="32832DD3">
      <w:pPr>
        <w:pStyle w:val="30"/>
        <w:spacing w:line="360" w:lineRule="auto"/>
        <w:rPr>
          <w:rFonts w:ascii="Times New Roman" w:hAnsi="Times New Roman" w:eastAsiaTheme="minorEastAsia"/>
          <w:b w:val="0"/>
          <w:sz w:val="36"/>
          <w:szCs w:val="36"/>
        </w:rPr>
      </w:pPr>
      <w:bookmarkStart w:id="0" w:name="_Toc97371941"/>
    </w:p>
    <w:p w14:paraId="687D0EB3">
      <w:pPr>
        <w:spacing w:line="360" w:lineRule="auto"/>
        <w:jc w:val="center"/>
        <w:outlineLvl w:val="0"/>
        <w:rPr>
          <w:rFonts w:eastAsiaTheme="minorEastAsia"/>
          <w:b/>
          <w:sz w:val="36"/>
          <w:szCs w:val="36"/>
        </w:rPr>
        <w:sectPr>
          <w:headerReference r:id="rId5" w:type="first"/>
          <w:footerReference r:id="rId8" w:type="first"/>
          <w:headerReference r:id="rId4" w:type="default"/>
          <w:footerReference r:id="rId6" w:type="default"/>
          <w:footerReference r:id="rId7" w:type="even"/>
          <w:type w:val="nextColumn"/>
          <w:pgSz w:w="11907" w:h="16840"/>
          <w:pgMar w:top="1418" w:right="1134" w:bottom="1418" w:left="1701" w:header="851" w:footer="851" w:gutter="0"/>
          <w:pgNumType w:start="1"/>
          <w:cols w:space="720" w:num="1"/>
          <w:titlePg/>
          <w:docGrid w:linePitch="462" w:charSpace="0"/>
        </w:sectPr>
      </w:pPr>
    </w:p>
    <w:p w14:paraId="0F67C4C0">
      <w:pPr>
        <w:spacing w:line="360" w:lineRule="auto"/>
        <w:jc w:val="center"/>
        <w:outlineLvl w:val="0"/>
        <w:rPr>
          <w:rFonts w:eastAsiaTheme="minorEastAsia"/>
          <w:b/>
          <w:sz w:val="36"/>
          <w:szCs w:val="36"/>
        </w:rPr>
      </w:pPr>
      <w:r>
        <w:rPr>
          <w:rFonts w:eastAsiaTheme="minorEastAsia"/>
          <w:b/>
          <w:sz w:val="36"/>
          <w:szCs w:val="36"/>
        </w:rPr>
        <w:t>第一章   采购邀请</w:t>
      </w:r>
      <w:bookmarkEnd w:id="0"/>
      <w:bookmarkStart w:id="1" w:name="_Toc28359002"/>
      <w:bookmarkStart w:id="2" w:name="_Toc28359079"/>
      <w:bookmarkStart w:id="3" w:name="_Toc35393621"/>
      <w:bookmarkStart w:id="4" w:name="_Toc35393790"/>
      <w:bookmarkStart w:id="5" w:name="_Hlk24379207"/>
    </w:p>
    <w:p w14:paraId="37B8EB2B">
      <w:pPr>
        <w:spacing w:line="360" w:lineRule="auto"/>
        <w:ind w:firstLine="480" w:firstLineChars="200"/>
        <w:rPr>
          <w:rFonts w:eastAsiaTheme="minorEastAsia"/>
          <w:sz w:val="24"/>
        </w:rPr>
      </w:pPr>
    </w:p>
    <w:p w14:paraId="4AA9E608">
      <w:pPr>
        <w:pStyle w:val="3"/>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一、项目基本情况</w:t>
      </w:r>
      <w:bookmarkEnd w:id="1"/>
      <w:bookmarkEnd w:id="2"/>
      <w:bookmarkEnd w:id="3"/>
      <w:bookmarkEnd w:id="4"/>
    </w:p>
    <w:p w14:paraId="72EA9054">
      <w:pPr>
        <w:spacing w:line="360" w:lineRule="auto"/>
        <w:ind w:firstLine="480" w:firstLineChars="200"/>
        <w:rPr>
          <w:rFonts w:hint="default" w:eastAsiaTheme="minorEastAsia"/>
          <w:sz w:val="24"/>
          <w:u w:val="single"/>
          <w:lang w:val="en-US"/>
        </w:rPr>
      </w:pPr>
      <w:r>
        <w:rPr>
          <w:rFonts w:eastAsiaTheme="minorEastAsia"/>
          <w:sz w:val="24"/>
        </w:rPr>
        <w:t>1.项目编号：</w:t>
      </w:r>
      <w:r>
        <w:rPr>
          <w:rFonts w:hint="eastAsia" w:ascii="宋体" w:hAnsi="宋体" w:eastAsia="宋体" w:cs="宋体"/>
          <w:bCs w:val="0"/>
          <w:kern w:val="2"/>
          <w:sz w:val="24"/>
          <w:szCs w:val="24"/>
          <w:u w:val="single"/>
          <w:lang w:val="en-US" w:eastAsia="zh-CN" w:bidi="ar"/>
        </w:rPr>
        <w:t xml:space="preserve"> 11011425210200027760-XM001 </w:t>
      </w:r>
    </w:p>
    <w:p w14:paraId="2BAFD509">
      <w:pPr>
        <w:spacing w:line="360" w:lineRule="auto"/>
        <w:ind w:firstLine="480" w:firstLineChars="200"/>
        <w:rPr>
          <w:rFonts w:hint="eastAsia" w:eastAsiaTheme="minorEastAsia"/>
          <w:sz w:val="24"/>
          <w:lang w:eastAsia="zh-CN"/>
        </w:rPr>
      </w:pPr>
      <w:r>
        <w:rPr>
          <w:rFonts w:eastAsiaTheme="minorEastAsia"/>
          <w:sz w:val="24"/>
        </w:rPr>
        <w:t>2.项目名称：</w:t>
      </w:r>
      <w:r>
        <w:rPr>
          <w:rFonts w:hint="eastAsia" w:eastAsiaTheme="minorEastAsia"/>
          <w:sz w:val="24"/>
          <w:u w:val="single"/>
          <w:lang w:eastAsia="zh-CN"/>
        </w:rPr>
        <w:t>昌平区百善镇善缘家园北区燃气点供替代项目</w:t>
      </w:r>
    </w:p>
    <w:p w14:paraId="329CCAAF">
      <w:pPr>
        <w:spacing w:line="360" w:lineRule="auto"/>
        <w:ind w:firstLine="480" w:firstLineChars="200"/>
        <w:rPr>
          <w:rFonts w:eastAsiaTheme="minorEastAsia"/>
          <w:sz w:val="24"/>
        </w:rPr>
      </w:pPr>
      <w:r>
        <w:rPr>
          <w:rFonts w:eastAsiaTheme="minorEastAsia"/>
          <w:sz w:val="24"/>
        </w:rPr>
        <w:t>3.采购方式：竞争性磋商</w:t>
      </w:r>
    </w:p>
    <w:bookmarkEnd w:id="5"/>
    <w:p w14:paraId="30DD5754">
      <w:pPr>
        <w:widowControl/>
        <w:spacing w:line="360" w:lineRule="auto"/>
        <w:ind w:firstLine="480" w:firstLineChars="200"/>
        <w:jc w:val="left"/>
        <w:rPr>
          <w:rFonts w:eastAsiaTheme="minorEastAsia"/>
          <w:sz w:val="24"/>
        </w:rPr>
      </w:pPr>
      <w:r>
        <w:rPr>
          <w:rFonts w:eastAsiaTheme="minorEastAsia"/>
          <w:sz w:val="24"/>
        </w:rPr>
        <w:t>4.项目预算金额</w:t>
      </w:r>
      <w:r>
        <w:rPr>
          <w:rFonts w:hint="eastAsia" w:ascii="宋体" w:hAnsi="宋体" w:eastAsia="宋体" w:cs="宋体"/>
          <w:color w:val="000000"/>
          <w:kern w:val="0"/>
          <w:sz w:val="24"/>
          <w:u w:val="none"/>
          <w:lang w:bidi="ar"/>
        </w:rPr>
        <w:t>：</w:t>
      </w:r>
      <w:r>
        <w:rPr>
          <w:rFonts w:hint="eastAsia" w:ascii="宋体" w:hAnsi="宋体" w:eastAsia="宋体" w:cs="宋体"/>
          <w:color w:val="000000"/>
          <w:kern w:val="0"/>
          <w:sz w:val="24"/>
          <w:szCs w:val="24"/>
          <w:u w:val="single"/>
          <w:lang w:val="en-US" w:eastAsia="zh-CN" w:bidi="ar"/>
        </w:rPr>
        <w:t>168.599913</w:t>
      </w:r>
      <w:r>
        <w:rPr>
          <w:rFonts w:hint="eastAsia" w:eastAsiaTheme="minorEastAsia"/>
          <w:sz w:val="24"/>
          <w:u w:val="none"/>
        </w:rPr>
        <w:t>万</w:t>
      </w:r>
      <w:r>
        <w:rPr>
          <w:rFonts w:eastAsiaTheme="minorEastAsia"/>
          <w:sz w:val="24"/>
        </w:rPr>
        <w:t>元、项目最高</w:t>
      </w:r>
      <w:r>
        <w:rPr>
          <w:rFonts w:hint="eastAsia" w:eastAsiaTheme="minorEastAsia"/>
          <w:sz w:val="24"/>
          <w:lang w:val="en-US" w:eastAsia="zh-CN"/>
        </w:rPr>
        <w:t>投标</w:t>
      </w:r>
      <w:r>
        <w:rPr>
          <w:rFonts w:eastAsiaTheme="minorEastAsia"/>
          <w:sz w:val="24"/>
        </w:rPr>
        <w:t>限价（如有）：</w:t>
      </w:r>
      <w:r>
        <w:rPr>
          <w:rFonts w:hint="eastAsia" w:ascii="宋体" w:hAnsi="宋体" w:cs="宋体"/>
          <w:color w:val="000000"/>
          <w:kern w:val="0"/>
          <w:sz w:val="24"/>
          <w:szCs w:val="24"/>
          <w:u w:val="single"/>
          <w:lang w:val="en-US" w:eastAsia="zh-CN" w:bidi="ar"/>
        </w:rPr>
        <w:t>168.597001</w:t>
      </w:r>
      <w:r>
        <w:rPr>
          <w:rFonts w:eastAsiaTheme="minorEastAsia"/>
          <w:sz w:val="24"/>
        </w:rPr>
        <w:t>万元</w:t>
      </w:r>
    </w:p>
    <w:p w14:paraId="12A7CD05">
      <w:pPr>
        <w:spacing w:line="360" w:lineRule="auto"/>
        <w:ind w:firstLine="480" w:firstLineChars="200"/>
        <w:rPr>
          <w:rFonts w:eastAsiaTheme="minorEastAsia"/>
          <w:sz w:val="24"/>
        </w:rPr>
      </w:pPr>
      <w:r>
        <w:rPr>
          <w:rFonts w:eastAsiaTheme="minorEastAsia"/>
          <w:sz w:val="24"/>
        </w:rPr>
        <w:t>5.采购需求：</w:t>
      </w:r>
    </w:p>
    <w:tbl>
      <w:tblPr>
        <w:tblStyle w:val="42"/>
        <w:tblW w:w="4860" w:type="pct"/>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467"/>
        <w:gridCol w:w="1783"/>
        <w:gridCol w:w="1250"/>
        <w:gridCol w:w="3781"/>
      </w:tblGrid>
      <w:tr w14:paraId="4C302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4" w:type="pct"/>
            <w:vAlign w:val="center"/>
          </w:tcPr>
          <w:p w14:paraId="4A70F73B">
            <w:pPr>
              <w:jc w:val="center"/>
              <w:rPr>
                <w:rFonts w:eastAsiaTheme="minorEastAsia"/>
                <w:bCs/>
                <w:szCs w:val="21"/>
              </w:rPr>
            </w:pPr>
            <w:r>
              <w:rPr>
                <w:rFonts w:eastAsiaTheme="minorEastAsia"/>
                <w:bCs/>
                <w:szCs w:val="21"/>
              </w:rPr>
              <w:t>包号</w:t>
            </w:r>
          </w:p>
        </w:tc>
        <w:tc>
          <w:tcPr>
            <w:tcW w:w="812" w:type="pct"/>
            <w:vAlign w:val="center"/>
          </w:tcPr>
          <w:p w14:paraId="6AC97809">
            <w:pPr>
              <w:jc w:val="center"/>
              <w:rPr>
                <w:rFonts w:eastAsiaTheme="minorEastAsia"/>
                <w:bCs/>
                <w:szCs w:val="21"/>
              </w:rPr>
            </w:pPr>
            <w:r>
              <w:rPr>
                <w:rFonts w:eastAsiaTheme="minorEastAsia"/>
                <w:bCs/>
                <w:szCs w:val="21"/>
              </w:rPr>
              <w:t>标的名称</w:t>
            </w:r>
          </w:p>
        </w:tc>
        <w:tc>
          <w:tcPr>
            <w:tcW w:w="987" w:type="pct"/>
            <w:vAlign w:val="center"/>
          </w:tcPr>
          <w:p w14:paraId="17F8065A">
            <w:pPr>
              <w:jc w:val="center"/>
              <w:rPr>
                <w:rFonts w:eastAsiaTheme="minorEastAsia"/>
                <w:bCs/>
                <w:szCs w:val="21"/>
              </w:rPr>
            </w:pPr>
            <w:r>
              <w:rPr>
                <w:rFonts w:eastAsiaTheme="minorEastAsia"/>
                <w:bCs/>
                <w:szCs w:val="21"/>
              </w:rPr>
              <w:t>采购包预算金额</w:t>
            </w:r>
          </w:p>
          <w:p w14:paraId="2536D524">
            <w:pPr>
              <w:jc w:val="center"/>
              <w:rPr>
                <w:rFonts w:eastAsiaTheme="minorEastAsia"/>
                <w:bCs/>
                <w:szCs w:val="21"/>
              </w:rPr>
            </w:pPr>
            <w:r>
              <w:rPr>
                <w:rFonts w:eastAsiaTheme="minorEastAsia"/>
                <w:bCs/>
                <w:szCs w:val="21"/>
              </w:rPr>
              <w:t>（万元）</w:t>
            </w:r>
          </w:p>
        </w:tc>
        <w:tc>
          <w:tcPr>
            <w:tcW w:w="692" w:type="pct"/>
            <w:vAlign w:val="center"/>
          </w:tcPr>
          <w:p w14:paraId="4E0ED6CC">
            <w:pPr>
              <w:jc w:val="center"/>
              <w:rPr>
                <w:rFonts w:eastAsiaTheme="minorEastAsia"/>
                <w:bCs/>
                <w:szCs w:val="21"/>
              </w:rPr>
            </w:pPr>
            <w:r>
              <w:rPr>
                <w:rFonts w:eastAsiaTheme="minorEastAsia"/>
                <w:bCs/>
                <w:szCs w:val="21"/>
              </w:rPr>
              <w:t>数量</w:t>
            </w:r>
          </w:p>
        </w:tc>
        <w:tc>
          <w:tcPr>
            <w:tcW w:w="2093" w:type="pct"/>
            <w:vAlign w:val="center"/>
          </w:tcPr>
          <w:p w14:paraId="6CEFF252">
            <w:pPr>
              <w:jc w:val="center"/>
              <w:rPr>
                <w:rFonts w:eastAsiaTheme="minorEastAsia"/>
                <w:szCs w:val="21"/>
              </w:rPr>
            </w:pPr>
            <w:r>
              <w:rPr>
                <w:rFonts w:eastAsiaTheme="minorEastAsia"/>
                <w:szCs w:val="21"/>
              </w:rPr>
              <w:t>简要技术需求或服务要求</w:t>
            </w:r>
          </w:p>
        </w:tc>
      </w:tr>
      <w:tr w14:paraId="53AE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trPr>
        <w:tc>
          <w:tcPr>
            <w:tcW w:w="414" w:type="pct"/>
            <w:vAlign w:val="center"/>
          </w:tcPr>
          <w:p w14:paraId="6EE2F90E">
            <w:pPr>
              <w:jc w:val="center"/>
              <w:rPr>
                <w:rFonts w:eastAsiaTheme="minorEastAsia"/>
                <w:bCs/>
                <w:szCs w:val="21"/>
              </w:rPr>
            </w:pPr>
            <w:r>
              <w:rPr>
                <w:rFonts w:eastAsiaTheme="minorEastAsia"/>
                <w:bCs/>
                <w:szCs w:val="21"/>
              </w:rPr>
              <w:t>01</w:t>
            </w:r>
          </w:p>
        </w:tc>
        <w:tc>
          <w:tcPr>
            <w:tcW w:w="812" w:type="pct"/>
            <w:vAlign w:val="center"/>
          </w:tcPr>
          <w:p w14:paraId="14797ABC">
            <w:pPr>
              <w:jc w:val="center"/>
              <w:rPr>
                <w:rFonts w:hint="eastAsia" w:eastAsiaTheme="minorEastAsia"/>
                <w:bCs/>
                <w:szCs w:val="21"/>
                <w:lang w:eastAsia="zh-CN"/>
              </w:rPr>
            </w:pPr>
            <w:r>
              <w:rPr>
                <w:rFonts w:hint="eastAsia" w:cs="Times New Roman" w:eastAsiaTheme="minorEastAsia"/>
                <w:bCs/>
                <w:szCs w:val="21"/>
                <w:lang w:eastAsia="zh-CN"/>
              </w:rPr>
              <w:t>昌平区百善镇善缘家园北区燃气点供替代项目</w:t>
            </w:r>
          </w:p>
        </w:tc>
        <w:tc>
          <w:tcPr>
            <w:tcW w:w="987" w:type="pct"/>
            <w:vAlign w:val="center"/>
          </w:tcPr>
          <w:p w14:paraId="426FE1C5">
            <w:pPr>
              <w:jc w:val="center"/>
              <w:rPr>
                <w:rFonts w:hint="eastAsia" w:eastAsiaTheme="minorEastAsia"/>
                <w:bCs/>
                <w:szCs w:val="21"/>
              </w:rPr>
            </w:pPr>
            <w:r>
              <w:rPr>
                <w:rFonts w:hint="eastAsia" w:ascii="宋体" w:hAnsi="宋体" w:eastAsia="宋体" w:cs="宋体"/>
                <w:bCs/>
                <w:kern w:val="2"/>
                <w:sz w:val="21"/>
                <w:szCs w:val="21"/>
                <w:u w:val="none"/>
                <w:lang w:val="en-US" w:eastAsia="zh-CN" w:bidi="ar"/>
              </w:rPr>
              <w:t>168.599913</w:t>
            </w:r>
          </w:p>
        </w:tc>
        <w:tc>
          <w:tcPr>
            <w:tcW w:w="692" w:type="pct"/>
            <w:vAlign w:val="center"/>
          </w:tcPr>
          <w:p w14:paraId="13664076">
            <w:pPr>
              <w:jc w:val="center"/>
              <w:rPr>
                <w:rFonts w:hint="eastAsia" w:eastAsiaTheme="minorEastAsia"/>
                <w:bCs/>
                <w:szCs w:val="21"/>
                <w:lang w:val="en-US" w:eastAsia="zh-CN"/>
              </w:rPr>
            </w:pPr>
            <w:r>
              <w:rPr>
                <w:rFonts w:hint="eastAsia" w:eastAsiaTheme="minorEastAsia"/>
                <w:bCs/>
                <w:szCs w:val="21"/>
                <w:lang w:val="en-US" w:eastAsia="zh-CN"/>
              </w:rPr>
              <w:t>1</w:t>
            </w:r>
          </w:p>
        </w:tc>
        <w:tc>
          <w:tcPr>
            <w:tcW w:w="2093" w:type="pct"/>
            <w:vAlign w:val="center"/>
          </w:tcPr>
          <w:p w14:paraId="0E04C6F3">
            <w:pPr>
              <w:jc w:val="center"/>
              <w:rPr>
                <w:rFonts w:eastAsiaTheme="minorEastAsia"/>
                <w:kern w:val="0"/>
                <w:szCs w:val="21"/>
              </w:rPr>
            </w:pPr>
            <w:r>
              <w:rPr>
                <w:rFonts w:hint="eastAsia" w:cs="Times New Roman" w:eastAsiaTheme="minorEastAsia"/>
                <w:bCs/>
                <w:szCs w:val="21"/>
                <w:lang w:val="en-US" w:eastAsia="zh-CN"/>
              </w:rPr>
              <w:t>主要工程内容包括外线部分:拟敷设中压(A)无缝钢管燃气管线，新建调压箱一座，敷设低压聚乙烯燃气管线，废除现状带气管线，破除恢复沥青路面、混凝土路面、透水砖路面等</w:t>
            </w:r>
            <w:r>
              <w:rPr>
                <w:rFonts w:hint="eastAsia" w:ascii="Times New Roman" w:hAnsi="Times New Roman" w:cs="Times New Roman" w:eastAsiaTheme="minorEastAsia"/>
                <w:bCs/>
                <w:szCs w:val="21"/>
                <w:lang w:val="en-US" w:eastAsia="zh-CN"/>
              </w:rPr>
              <w:t>。具体内容详见工程量清单所示全部工程内容。</w:t>
            </w:r>
          </w:p>
        </w:tc>
      </w:tr>
    </w:tbl>
    <w:p w14:paraId="32B70F0A">
      <w:pPr>
        <w:spacing w:line="360" w:lineRule="auto"/>
        <w:ind w:firstLine="480" w:firstLineChars="200"/>
        <w:rPr>
          <w:rFonts w:eastAsiaTheme="minorEastAsia"/>
          <w:sz w:val="24"/>
        </w:rPr>
      </w:pPr>
    </w:p>
    <w:p w14:paraId="2122E755">
      <w:pPr>
        <w:spacing w:line="360" w:lineRule="auto"/>
        <w:ind w:firstLine="480" w:firstLineChars="200"/>
        <w:rPr>
          <w:rFonts w:eastAsiaTheme="minorEastAsia"/>
          <w:sz w:val="24"/>
          <w:u w:val="single"/>
        </w:rPr>
      </w:pPr>
      <w:r>
        <w:rPr>
          <w:rFonts w:eastAsiaTheme="minorEastAsia"/>
          <w:sz w:val="24"/>
        </w:rPr>
        <w:t>6.</w:t>
      </w:r>
      <w:r>
        <w:rPr>
          <w:rFonts w:hint="eastAsia" w:eastAsiaTheme="minorEastAsia"/>
          <w:sz w:val="24"/>
          <w:lang w:val="en-US" w:eastAsia="zh-CN"/>
        </w:rPr>
        <w:t>工期</w:t>
      </w:r>
      <w:r>
        <w:rPr>
          <w:rFonts w:eastAsiaTheme="minorEastAsia"/>
          <w:sz w:val="24"/>
        </w:rPr>
        <w:t>：</w:t>
      </w:r>
      <w:r>
        <w:rPr>
          <w:rFonts w:hint="eastAsia" w:eastAsiaTheme="minorEastAsia"/>
          <w:sz w:val="24"/>
          <w:u w:val="single"/>
          <w:lang w:val="en-US" w:eastAsia="zh-CN"/>
        </w:rPr>
        <w:t xml:space="preserve"> </w:t>
      </w:r>
      <w:r>
        <w:rPr>
          <w:rFonts w:hint="eastAsia" w:asciiTheme="minorEastAsia" w:hAnsiTheme="minorEastAsia" w:eastAsiaTheme="minorEastAsia" w:cstheme="minorEastAsia"/>
          <w:sz w:val="24"/>
          <w:u w:val="single"/>
          <w:lang w:val="en-US" w:eastAsia="zh-CN"/>
        </w:rPr>
        <w:t>90</w:t>
      </w:r>
      <w:r>
        <w:rPr>
          <w:rFonts w:hint="eastAsia" w:eastAsiaTheme="minorEastAsia"/>
          <w:sz w:val="24"/>
          <w:u w:val="single"/>
          <w:lang w:val="en-US" w:eastAsia="zh-CN"/>
        </w:rPr>
        <w:t xml:space="preserve"> </w:t>
      </w:r>
      <w:r>
        <w:rPr>
          <w:rFonts w:hint="eastAsia" w:eastAsiaTheme="minorEastAsia"/>
          <w:sz w:val="24"/>
          <w:u w:val="none"/>
          <w:lang w:val="en-US" w:eastAsia="zh-CN"/>
        </w:rPr>
        <w:t>日历天</w:t>
      </w:r>
    </w:p>
    <w:p w14:paraId="5D7731E2">
      <w:pPr>
        <w:spacing w:line="360" w:lineRule="auto"/>
        <w:ind w:firstLine="480" w:firstLineChars="200"/>
        <w:rPr>
          <w:rFonts w:eastAsiaTheme="minorEastAsia"/>
          <w:sz w:val="24"/>
        </w:rPr>
      </w:pPr>
      <w:r>
        <w:rPr>
          <w:rFonts w:eastAsiaTheme="minorEastAsia"/>
          <w:sz w:val="24"/>
        </w:rPr>
        <w:t>7.本项目是否接受联合体：</w:t>
      </w:r>
      <w:r>
        <w:rPr>
          <w:rFonts w:eastAsiaTheme="minorEastAsia"/>
        </w:rPr>
        <w:t>□</w:t>
      </w:r>
      <w:r>
        <w:rPr>
          <w:rFonts w:eastAsiaTheme="minorEastAsia"/>
          <w:sz w:val="24"/>
        </w:rPr>
        <w:t>是  ■否。</w:t>
      </w:r>
    </w:p>
    <w:p w14:paraId="40C18B3C">
      <w:pPr>
        <w:pStyle w:val="3"/>
        <w:spacing w:before="0" w:line="360" w:lineRule="auto"/>
        <w:jc w:val="left"/>
        <w:rPr>
          <w:rFonts w:ascii="Times New Roman" w:hAnsi="Times New Roman" w:eastAsiaTheme="minorEastAsia"/>
          <w:sz w:val="24"/>
          <w:szCs w:val="24"/>
        </w:rPr>
      </w:pPr>
      <w:bookmarkStart w:id="6" w:name="_Toc28359003"/>
      <w:bookmarkStart w:id="7" w:name="_Toc35393791"/>
      <w:bookmarkStart w:id="8" w:name="_Toc28359080"/>
      <w:bookmarkStart w:id="9" w:name="_Toc35393622"/>
      <w:r>
        <w:rPr>
          <w:rFonts w:ascii="Times New Roman" w:hAnsi="Times New Roman" w:eastAsiaTheme="minorEastAsia"/>
          <w:sz w:val="24"/>
          <w:szCs w:val="24"/>
        </w:rPr>
        <w:t>二、申请人的资格要求（须同时满足）</w:t>
      </w:r>
      <w:bookmarkEnd w:id="6"/>
      <w:bookmarkEnd w:id="7"/>
      <w:bookmarkEnd w:id="8"/>
      <w:bookmarkEnd w:id="9"/>
    </w:p>
    <w:p w14:paraId="5C07585C">
      <w:pPr>
        <w:spacing w:line="360" w:lineRule="auto"/>
        <w:ind w:firstLine="480" w:firstLineChars="200"/>
        <w:rPr>
          <w:rFonts w:eastAsiaTheme="minorEastAsia"/>
          <w:sz w:val="24"/>
        </w:rPr>
      </w:pPr>
      <w:r>
        <w:rPr>
          <w:rFonts w:eastAsiaTheme="minorEastAsia"/>
          <w:sz w:val="24"/>
        </w:rPr>
        <w:t>1.满足《中华人民共和国政府采购法》第二十二条规定；</w:t>
      </w:r>
    </w:p>
    <w:p w14:paraId="17B52C62">
      <w:pPr>
        <w:spacing w:line="360" w:lineRule="auto"/>
        <w:ind w:firstLine="480" w:firstLineChars="200"/>
        <w:rPr>
          <w:rFonts w:eastAsiaTheme="minorEastAsia"/>
          <w:sz w:val="24"/>
        </w:rPr>
      </w:pPr>
      <w:bookmarkStart w:id="10" w:name="_Toc28359004"/>
      <w:bookmarkStart w:id="11" w:name="_Toc28359081"/>
      <w:r>
        <w:rPr>
          <w:rFonts w:eastAsiaTheme="minorEastAsia"/>
          <w:sz w:val="24"/>
        </w:rPr>
        <w:t>2.落实政府采购政策需满足的资格要求：</w:t>
      </w:r>
    </w:p>
    <w:p w14:paraId="51BA74B8">
      <w:pPr>
        <w:spacing w:line="360" w:lineRule="auto"/>
        <w:ind w:firstLine="480" w:firstLineChars="200"/>
        <w:rPr>
          <w:rFonts w:eastAsiaTheme="minorEastAsia"/>
          <w:sz w:val="24"/>
        </w:rPr>
      </w:pPr>
      <w:r>
        <w:rPr>
          <w:rFonts w:eastAsiaTheme="minorEastAsia"/>
          <w:sz w:val="24"/>
        </w:rPr>
        <w:t>2.1 中小企业政策</w:t>
      </w:r>
    </w:p>
    <w:p w14:paraId="02DBB9CA">
      <w:pPr>
        <w:spacing w:line="360" w:lineRule="auto"/>
        <w:ind w:firstLine="420" w:firstLineChars="200"/>
        <w:rPr>
          <w:rFonts w:eastAsiaTheme="minorEastAsia"/>
          <w:sz w:val="24"/>
        </w:rPr>
      </w:pPr>
      <w:r>
        <w:rPr>
          <w:rFonts w:eastAsiaTheme="minorEastAsia"/>
        </w:rPr>
        <w:t>□</w:t>
      </w:r>
      <w:r>
        <w:rPr>
          <w:rFonts w:eastAsiaTheme="minorEastAsia"/>
          <w:sz w:val="24"/>
        </w:rPr>
        <w:t>本项目不专门面向中小企业预留采购份额。</w:t>
      </w:r>
    </w:p>
    <w:p w14:paraId="42733294">
      <w:pPr>
        <w:spacing w:line="360" w:lineRule="auto"/>
        <w:ind w:firstLine="480" w:firstLineChars="200"/>
        <w:rPr>
          <w:rFonts w:eastAsiaTheme="minorEastAsia"/>
          <w:sz w:val="24"/>
        </w:rPr>
      </w:pPr>
      <w:r>
        <w:rPr>
          <w:rFonts w:eastAsiaTheme="minorEastAsia"/>
          <w:sz w:val="24"/>
        </w:rPr>
        <w:t xml:space="preserve">■本项目专门面向  </w:t>
      </w:r>
      <w:r>
        <w:rPr>
          <w:rFonts w:eastAsiaTheme="minorEastAsia"/>
        </w:rPr>
        <w:t>□</w:t>
      </w:r>
      <w:r>
        <w:rPr>
          <w:rFonts w:eastAsiaTheme="minorEastAsia"/>
          <w:sz w:val="24"/>
        </w:rPr>
        <w:t>中小 ■小微企业  采购。即：提供的货物全部由符合政策要求的中小/小微企业制造、服务全部由符合政策要求的中小/小微企业承接。</w:t>
      </w:r>
    </w:p>
    <w:p w14:paraId="58683A73">
      <w:pPr>
        <w:spacing w:line="360" w:lineRule="auto"/>
        <w:ind w:firstLine="420" w:firstLineChars="200"/>
        <w:rPr>
          <w:rFonts w:eastAsiaTheme="minorEastAsia"/>
          <w:sz w:val="24"/>
        </w:rPr>
      </w:pPr>
      <w:r>
        <w:rPr>
          <w:rFonts w:eastAsiaTheme="minorEastAsia"/>
        </w:rPr>
        <w:t>□</w:t>
      </w:r>
      <w:r>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u w:val="single"/>
        </w:rPr>
        <w:t xml:space="preserve"> / </w:t>
      </w:r>
      <w:r>
        <w:rPr>
          <w:rFonts w:hint="eastAsia" w:ascii="宋体" w:hAnsi="宋体" w:cs="宋体"/>
          <w:sz w:val="24"/>
        </w:rPr>
        <w:t>。</w:t>
      </w:r>
    </w:p>
    <w:p w14:paraId="199D8C6D">
      <w:pPr>
        <w:spacing w:line="360" w:lineRule="auto"/>
        <w:ind w:firstLine="480" w:firstLineChars="200"/>
        <w:rPr>
          <w:rFonts w:eastAsiaTheme="minorEastAsia"/>
          <w:sz w:val="24"/>
        </w:rPr>
      </w:pPr>
      <w:r>
        <w:rPr>
          <w:rFonts w:eastAsiaTheme="minorEastAsia"/>
          <w:sz w:val="24"/>
        </w:rPr>
        <w:t>2.2 其它落实政府采购政策的资格要求（如有）：</w:t>
      </w:r>
      <w:r>
        <w:rPr>
          <w:rFonts w:hint="eastAsia" w:ascii="宋体" w:hAnsi="宋体" w:cs="宋体"/>
          <w:sz w:val="24"/>
          <w:u w:val="single"/>
        </w:rPr>
        <w:t xml:space="preserve"> / </w:t>
      </w:r>
      <w:r>
        <w:rPr>
          <w:rFonts w:eastAsiaTheme="minorEastAsia"/>
          <w:sz w:val="24"/>
        </w:rPr>
        <w:t>。</w:t>
      </w:r>
    </w:p>
    <w:p w14:paraId="5BF78740">
      <w:pPr>
        <w:spacing w:line="360" w:lineRule="auto"/>
        <w:ind w:firstLine="480" w:firstLineChars="200"/>
        <w:rPr>
          <w:rFonts w:ascii="宋体" w:hAnsi="宋体" w:cs="宋体"/>
          <w:color w:val="auto"/>
          <w:sz w:val="24"/>
        </w:rPr>
      </w:pPr>
      <w:r>
        <w:rPr>
          <w:rFonts w:hint="eastAsia" w:ascii="Times New Roman" w:hAnsi="Times New Roman" w:cs="Times New Roman" w:eastAsiaTheme="minorEastAsia"/>
          <w:color w:val="auto"/>
          <w:sz w:val="24"/>
        </w:rPr>
        <w:t>2.3 在“信用中国”网站(www.creditchina.gov.cn)信用报告中，中国政府采购网(www.ccgp.gov.cn)查询信用记录，未列入失信被执行人、重大税收违法失信主体名单、政府采购严重违法失信行为记录名单的供应商</w:t>
      </w:r>
      <w:r>
        <w:rPr>
          <w:rFonts w:hint="eastAsia" w:ascii="宋体" w:hAnsi="宋体" w:cs="宋体"/>
          <w:color w:val="auto"/>
          <w:sz w:val="24"/>
        </w:rPr>
        <w:t>。</w:t>
      </w:r>
    </w:p>
    <w:p w14:paraId="7BD8D457">
      <w:pPr>
        <w:spacing w:line="360" w:lineRule="auto"/>
        <w:ind w:firstLine="480" w:firstLineChars="200"/>
        <w:rPr>
          <w:rFonts w:eastAsiaTheme="minorEastAsia"/>
          <w:color w:val="FF0000"/>
          <w:sz w:val="24"/>
        </w:rPr>
      </w:pPr>
      <w:r>
        <w:rPr>
          <w:rFonts w:eastAsiaTheme="minorEastAsia"/>
          <w:sz w:val="24"/>
        </w:rPr>
        <w:t>3.本项目的特定资格要求：</w:t>
      </w:r>
    </w:p>
    <w:p w14:paraId="690A9197">
      <w:pPr>
        <w:tabs>
          <w:tab w:val="left" w:pos="900"/>
          <w:tab w:val="left" w:pos="1134"/>
          <w:tab w:val="left" w:pos="1589"/>
          <w:tab w:val="left" w:pos="5521"/>
        </w:tabs>
        <w:snapToGrid w:val="0"/>
        <w:spacing w:line="360" w:lineRule="auto"/>
        <w:ind w:firstLine="480" w:firstLineChars="200"/>
        <w:rPr>
          <w:rFonts w:eastAsiaTheme="minorEastAsia"/>
          <w:sz w:val="24"/>
        </w:rPr>
      </w:pPr>
      <w:r>
        <w:rPr>
          <w:rFonts w:eastAsiaTheme="minorEastAsia"/>
          <w:sz w:val="24"/>
        </w:rPr>
        <w:t>3.1本项目是否属于政府购买服务：</w:t>
      </w:r>
    </w:p>
    <w:p w14:paraId="62914222">
      <w:pPr>
        <w:tabs>
          <w:tab w:val="left" w:pos="900"/>
          <w:tab w:val="left" w:pos="1134"/>
          <w:tab w:val="left" w:pos="1589"/>
          <w:tab w:val="left" w:pos="5521"/>
        </w:tabs>
        <w:snapToGrid w:val="0"/>
        <w:spacing w:line="360" w:lineRule="auto"/>
        <w:ind w:left="991" w:leftChars="472" w:firstLine="2"/>
        <w:rPr>
          <w:rFonts w:eastAsiaTheme="minorEastAsia"/>
          <w:sz w:val="24"/>
        </w:rPr>
      </w:pPr>
      <w:r>
        <w:rPr>
          <w:rFonts w:eastAsiaTheme="minorEastAsia"/>
          <w:sz w:val="24"/>
        </w:rPr>
        <w:t>■否</w:t>
      </w:r>
    </w:p>
    <w:p w14:paraId="52BD2AEF">
      <w:pPr>
        <w:tabs>
          <w:tab w:val="left" w:pos="900"/>
          <w:tab w:val="left" w:pos="1134"/>
          <w:tab w:val="left" w:pos="1589"/>
          <w:tab w:val="left" w:pos="5521"/>
        </w:tabs>
        <w:snapToGrid w:val="0"/>
        <w:spacing w:line="360" w:lineRule="auto"/>
        <w:ind w:left="991" w:leftChars="472" w:firstLine="2"/>
        <w:rPr>
          <w:rFonts w:eastAsiaTheme="minorEastAsia"/>
          <w:sz w:val="24"/>
        </w:rPr>
      </w:pPr>
      <w:r>
        <w:rPr>
          <w:rFonts w:eastAsiaTheme="minorEastAsia"/>
        </w:rPr>
        <w:t>□</w:t>
      </w:r>
      <w:r>
        <w:rPr>
          <w:rFonts w:eastAsiaTheme="minorEastAsia"/>
          <w:sz w:val="24"/>
        </w:rPr>
        <w:t>是，公益一类事业单位、使用事业编制且由财政拨款保障的群团组织，不得作为承接主体；</w:t>
      </w:r>
    </w:p>
    <w:p w14:paraId="783BC22D">
      <w:pPr>
        <w:tabs>
          <w:tab w:val="left" w:pos="900"/>
          <w:tab w:val="left" w:pos="1134"/>
          <w:tab w:val="left" w:pos="1589"/>
          <w:tab w:val="left" w:pos="5521"/>
        </w:tabs>
        <w:snapToGrid w:val="0"/>
        <w:spacing w:line="360" w:lineRule="auto"/>
        <w:ind w:firstLine="480" w:firstLineChars="200"/>
      </w:pPr>
      <w:r>
        <w:rPr>
          <w:rFonts w:eastAsiaTheme="minorEastAsia"/>
          <w:sz w:val="24"/>
        </w:rPr>
        <w:t>3.2其他特定资格要求：</w:t>
      </w:r>
    </w:p>
    <w:p w14:paraId="31D0C42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.1供应商须具</w:t>
      </w:r>
      <w:r>
        <w:rPr>
          <w:rFonts w:hint="default" w:ascii="Times New Roman" w:hAnsi="Times New Roman" w:cs="Times New Roman" w:eastAsiaTheme="minorEastAsia"/>
          <w:color w:val="auto"/>
          <w:sz w:val="24"/>
          <w:highlight w:val="none"/>
        </w:rPr>
        <w:t>备</w:t>
      </w:r>
      <w:r>
        <w:rPr>
          <w:rFonts w:ascii="Times New Roman" w:hAnsi="Times New Roman" w:cs="Times New Roman" w:eastAsiaTheme="minorEastAsia"/>
          <w:color w:val="auto"/>
          <w:spacing w:val="0"/>
          <w:sz w:val="24"/>
        </w:rPr>
        <w:t>市政公用工程</w:t>
      </w:r>
      <w:r>
        <w:rPr>
          <w:rFonts w:hint="default" w:ascii="Times New Roman" w:hAnsi="Times New Roman" w:cs="Times New Roman" w:eastAsiaTheme="minorEastAsia"/>
          <w:color w:val="auto"/>
          <w:sz w:val="24"/>
          <w:highlight w:val="none"/>
        </w:rPr>
        <w:t>施</w:t>
      </w:r>
      <w:r>
        <w:rPr>
          <w:rFonts w:hint="eastAsia" w:ascii="宋体" w:hAnsi="宋体" w:eastAsia="宋体" w:cs="宋体"/>
          <w:color w:val="auto"/>
          <w:sz w:val="24"/>
          <w:highlight w:val="none"/>
        </w:rPr>
        <w:t>工总承包叁级(含)以上资质；</w:t>
      </w:r>
    </w:p>
    <w:p w14:paraId="7A01C34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2供应商须</w:t>
      </w:r>
      <w:r>
        <w:rPr>
          <w:rFonts w:hint="eastAsia" w:ascii="宋体" w:hAnsi="宋体" w:eastAsia="宋体" w:cs="宋体"/>
          <w:color w:val="auto"/>
          <w:sz w:val="24"/>
          <w:highlight w:val="none"/>
        </w:rPr>
        <w:t>具备有效的安全生产许可证并在有效期范围内；</w:t>
      </w:r>
    </w:p>
    <w:p w14:paraId="14E388C3">
      <w:pPr>
        <w:spacing w:line="360" w:lineRule="auto"/>
        <w:ind w:firstLine="480" w:firstLineChars="200"/>
        <w:rPr>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供应商拟派项目负责人须具有</w:t>
      </w:r>
      <w:r>
        <w:rPr>
          <w:rFonts w:hint="eastAsia" w:ascii="宋体" w:hAnsi="宋体" w:cs="宋体"/>
          <w:sz w:val="24"/>
        </w:rPr>
        <w:t>市政公用工程</w:t>
      </w:r>
      <w:r>
        <w:rPr>
          <w:rFonts w:hint="eastAsia" w:ascii="宋体" w:hAnsi="宋体" w:eastAsia="宋体" w:cs="宋体"/>
          <w:color w:val="auto"/>
          <w:sz w:val="24"/>
          <w:highlight w:val="none"/>
        </w:rPr>
        <w:t>专业二级(含)以上建造师注册证书，具有安全生产考核合格证书(B)本，并在有效期范围内</w:t>
      </w:r>
      <w:r>
        <w:rPr>
          <w:rFonts w:hint="eastAsia" w:ascii="宋体" w:hAnsi="宋体" w:eastAsia="宋体" w:cs="宋体"/>
          <w:color w:val="auto"/>
          <w:sz w:val="24"/>
          <w:highlight w:val="none"/>
          <w:lang w:val="en-US" w:eastAsia="zh-CN"/>
        </w:rPr>
        <w:t>，且在确定成交人时不得担任其他在施建设工程的项目经理</w:t>
      </w:r>
      <w:r>
        <w:rPr>
          <w:rFonts w:hint="eastAsia" w:ascii="宋体" w:hAnsi="宋体" w:cs="宋体"/>
          <w:color w:val="auto"/>
          <w:sz w:val="24"/>
          <w:highlight w:val="none"/>
          <w:lang w:val="en-US" w:eastAsia="zh-CN"/>
        </w:rPr>
        <w:t>。</w:t>
      </w:r>
    </w:p>
    <w:bookmarkEnd w:id="10"/>
    <w:bookmarkEnd w:id="11"/>
    <w:p w14:paraId="278A0DE1">
      <w:pPr>
        <w:pStyle w:val="3"/>
        <w:widowControl/>
        <w:spacing w:before="0" w:line="360" w:lineRule="auto"/>
        <w:jc w:val="left"/>
        <w:rPr>
          <w:rFonts w:ascii="Times New Roman" w:hAnsi="Times New Roman" w:eastAsiaTheme="minorEastAsia"/>
          <w:sz w:val="24"/>
          <w:szCs w:val="24"/>
          <w:highlight w:val="none"/>
        </w:rPr>
      </w:pPr>
      <w:bookmarkStart w:id="12" w:name="_Toc35393792"/>
      <w:bookmarkStart w:id="13" w:name="_Toc35393623"/>
      <w:r>
        <w:rPr>
          <w:rFonts w:ascii="Times New Roman" w:hAnsi="Times New Roman" w:eastAsiaTheme="minorEastAsia"/>
          <w:sz w:val="24"/>
          <w:szCs w:val="24"/>
        </w:rPr>
        <w:t>三、获取</w:t>
      </w:r>
      <w:r>
        <w:rPr>
          <w:rFonts w:ascii="Times New Roman" w:hAnsi="Times New Roman" w:eastAsiaTheme="minorEastAsia"/>
          <w:sz w:val="24"/>
          <w:szCs w:val="24"/>
          <w:highlight w:val="none"/>
        </w:rPr>
        <w:t>采购文件</w:t>
      </w:r>
      <w:bookmarkEnd w:id="12"/>
      <w:bookmarkEnd w:id="13"/>
    </w:p>
    <w:p w14:paraId="1924B017">
      <w:pPr>
        <w:adjustRightInd w:val="0"/>
        <w:snapToGrid w:val="0"/>
        <w:spacing w:line="360" w:lineRule="auto"/>
        <w:ind w:firstLine="480" w:firstLineChars="200"/>
        <w:rPr>
          <w:rFonts w:eastAsiaTheme="minorEastAsia"/>
          <w:sz w:val="24"/>
          <w:highlight w:val="none"/>
          <w:lang w:bidi="ar"/>
        </w:rPr>
      </w:pPr>
      <w:r>
        <w:rPr>
          <w:rFonts w:eastAsiaTheme="minorEastAsia"/>
          <w:sz w:val="24"/>
          <w:highlight w:val="none"/>
          <w:lang w:bidi="ar"/>
        </w:rPr>
        <w:t>1.时间</w:t>
      </w:r>
      <w:r>
        <w:rPr>
          <w:rFonts w:hint="eastAsia" w:ascii="宋体" w:hAnsi="宋体" w:eastAsia="宋体" w:cs="宋体"/>
          <w:sz w:val="24"/>
          <w:highlight w:val="none"/>
          <w:lang w:bidi="ar"/>
        </w:rPr>
        <w:t>：</w:t>
      </w:r>
      <w:r>
        <w:rPr>
          <w:rFonts w:hint="eastAsia" w:ascii="宋体" w:hAnsi="宋体" w:eastAsia="宋体" w:cs="宋体"/>
          <w:sz w:val="24"/>
          <w:highlight w:val="none"/>
          <w:u w:val="single"/>
          <w:lang w:val="en-US" w:eastAsia="zh-CN"/>
        </w:rPr>
        <w:t>2025</w:t>
      </w:r>
      <w:r>
        <w:rPr>
          <w:rFonts w:hint="eastAsia" w:ascii="宋体" w:hAnsi="宋体" w:eastAsia="宋体" w:cs="宋体"/>
          <w:sz w:val="24"/>
          <w:highlight w:val="none"/>
          <w:lang w:bidi="ar"/>
        </w:rPr>
        <w:t>年</w:t>
      </w:r>
      <w:r>
        <w:rPr>
          <w:rFonts w:hint="eastAsia" w:ascii="宋体" w:hAnsi="宋体" w:eastAsia="宋体" w:cs="宋体"/>
          <w:sz w:val="24"/>
          <w:highlight w:val="none"/>
          <w:u w:val="single"/>
          <w:lang w:val="en-US" w:eastAsia="zh-CN" w:bidi="ar"/>
        </w:rPr>
        <w:t xml:space="preserve"> 09</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bidi="ar"/>
        </w:rPr>
        <w:t>月</w:t>
      </w:r>
      <w:r>
        <w:rPr>
          <w:rFonts w:hint="eastAsia" w:ascii="宋体" w:hAnsi="宋体" w:eastAsia="宋体" w:cs="宋体"/>
          <w:sz w:val="24"/>
          <w:highlight w:val="none"/>
          <w:u w:val="single"/>
          <w:lang w:val="en-US" w:eastAsia="zh-CN"/>
        </w:rPr>
        <w:t xml:space="preserve"> 29 </w:t>
      </w:r>
      <w:r>
        <w:rPr>
          <w:rFonts w:hint="eastAsia" w:ascii="宋体" w:hAnsi="宋体" w:eastAsia="宋体" w:cs="宋体"/>
          <w:sz w:val="24"/>
          <w:highlight w:val="none"/>
          <w:lang w:bidi="ar"/>
        </w:rPr>
        <w:t>日至</w:t>
      </w:r>
      <w:r>
        <w:rPr>
          <w:rFonts w:hint="eastAsia" w:ascii="宋体" w:hAnsi="宋体" w:eastAsia="宋体" w:cs="宋体"/>
          <w:sz w:val="24"/>
          <w:highlight w:val="none"/>
          <w:u w:val="single"/>
          <w:lang w:val="en-US" w:eastAsia="zh-CN"/>
        </w:rPr>
        <w:t>2025</w:t>
      </w:r>
      <w:r>
        <w:rPr>
          <w:rFonts w:hint="eastAsia" w:ascii="宋体" w:hAnsi="宋体" w:eastAsia="宋体" w:cs="宋体"/>
          <w:sz w:val="24"/>
          <w:highlight w:val="none"/>
          <w:lang w:bidi="ar"/>
        </w:rPr>
        <w:t>年</w:t>
      </w:r>
      <w:r>
        <w:rPr>
          <w:rFonts w:hint="eastAsia" w:ascii="宋体" w:hAnsi="宋体" w:eastAsia="宋体" w:cs="宋体"/>
          <w:sz w:val="24"/>
          <w:highlight w:val="none"/>
          <w:u w:val="single"/>
          <w:lang w:val="en-US" w:eastAsia="zh-CN" w:bidi="ar"/>
        </w:rPr>
        <w:t xml:space="preserve"> 10</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bidi="ar"/>
        </w:rPr>
        <w:t>月</w:t>
      </w:r>
      <w:r>
        <w:rPr>
          <w:rFonts w:hint="eastAsia" w:ascii="宋体" w:hAnsi="宋体" w:eastAsia="宋体" w:cs="宋体"/>
          <w:sz w:val="24"/>
          <w:highlight w:val="none"/>
          <w:u w:val="single"/>
          <w:lang w:val="en-US" w:eastAsia="zh-CN" w:bidi="ar"/>
        </w:rPr>
        <w:t xml:space="preserve"> 11</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bidi="ar"/>
        </w:rPr>
        <w:t>日，每天上午</w:t>
      </w:r>
      <w:r>
        <w:rPr>
          <w:rFonts w:hint="eastAsia" w:ascii="宋体" w:hAnsi="宋体" w:eastAsia="宋体" w:cs="宋体"/>
          <w:sz w:val="24"/>
          <w:highlight w:val="none"/>
          <w:u w:val="single"/>
          <w:lang w:val="en-US" w:eastAsia="zh-CN" w:bidi="ar"/>
        </w:rPr>
        <w:t>09：30</w:t>
      </w:r>
      <w:r>
        <w:rPr>
          <w:rFonts w:hint="eastAsia" w:ascii="宋体" w:hAnsi="宋体" w:eastAsia="宋体" w:cs="宋体"/>
          <w:sz w:val="24"/>
          <w:highlight w:val="none"/>
          <w:lang w:bidi="ar"/>
        </w:rPr>
        <w:t>至</w:t>
      </w:r>
      <w:r>
        <w:rPr>
          <w:rFonts w:hint="eastAsia" w:ascii="宋体" w:hAnsi="宋体" w:eastAsia="宋体" w:cs="宋体"/>
          <w:sz w:val="24"/>
          <w:highlight w:val="none"/>
          <w:u w:val="single"/>
          <w:lang w:val="en-US" w:eastAsia="zh-CN" w:bidi="ar"/>
        </w:rPr>
        <w:t>12:00</w:t>
      </w:r>
      <w:r>
        <w:rPr>
          <w:rFonts w:hint="eastAsia" w:ascii="宋体" w:hAnsi="宋体" w:eastAsia="宋体" w:cs="宋体"/>
          <w:sz w:val="24"/>
          <w:highlight w:val="none"/>
          <w:lang w:bidi="ar"/>
        </w:rPr>
        <w:t>，下午</w:t>
      </w:r>
      <w:r>
        <w:rPr>
          <w:rFonts w:hint="eastAsia" w:ascii="宋体" w:hAnsi="宋体" w:eastAsia="宋体" w:cs="宋体"/>
          <w:sz w:val="24"/>
          <w:highlight w:val="none"/>
          <w:u w:val="single"/>
          <w:lang w:val="en-US" w:eastAsia="zh-CN" w:bidi="ar"/>
        </w:rPr>
        <w:t>12:00</w:t>
      </w:r>
      <w:r>
        <w:rPr>
          <w:rFonts w:hint="eastAsia" w:ascii="宋体" w:hAnsi="宋体" w:eastAsia="宋体" w:cs="宋体"/>
          <w:sz w:val="24"/>
          <w:highlight w:val="none"/>
          <w:lang w:bidi="ar"/>
        </w:rPr>
        <w:t>至</w:t>
      </w:r>
      <w:r>
        <w:rPr>
          <w:rFonts w:hint="eastAsia" w:ascii="宋体" w:hAnsi="宋体" w:eastAsia="宋体" w:cs="宋体"/>
          <w:sz w:val="24"/>
          <w:highlight w:val="none"/>
          <w:u w:val="single"/>
          <w:lang w:val="en-US" w:eastAsia="zh-CN" w:bidi="ar"/>
        </w:rPr>
        <w:t>17:30</w:t>
      </w:r>
      <w:r>
        <w:rPr>
          <w:rFonts w:eastAsiaTheme="minorEastAsia"/>
          <w:sz w:val="24"/>
          <w:highlight w:val="none"/>
          <w:lang w:bidi="ar"/>
        </w:rPr>
        <w:t>（北京时间，法定节假日除外）。</w:t>
      </w:r>
    </w:p>
    <w:p w14:paraId="5FBE22B7">
      <w:pPr>
        <w:adjustRightInd w:val="0"/>
        <w:snapToGrid w:val="0"/>
        <w:spacing w:line="360" w:lineRule="auto"/>
        <w:ind w:firstLine="480" w:firstLineChars="200"/>
        <w:rPr>
          <w:rFonts w:eastAsiaTheme="minorEastAsia"/>
          <w:sz w:val="24"/>
          <w:highlight w:val="none"/>
        </w:rPr>
      </w:pPr>
      <w:r>
        <w:rPr>
          <w:rFonts w:eastAsiaTheme="minorEastAsia"/>
          <w:sz w:val="24"/>
          <w:highlight w:val="none"/>
          <w:lang w:bidi="ar"/>
        </w:rPr>
        <w:t>2.地点：北京市政府采购电子交易平台</w:t>
      </w:r>
    </w:p>
    <w:p w14:paraId="3D77E3CE">
      <w:pPr>
        <w:widowControl/>
        <w:adjustRightInd w:val="0"/>
        <w:snapToGrid w:val="0"/>
        <w:spacing w:line="360" w:lineRule="auto"/>
        <w:ind w:firstLine="480" w:firstLineChars="200"/>
        <w:jc w:val="left"/>
        <w:rPr>
          <w:rFonts w:eastAsiaTheme="minorEastAsia"/>
          <w:sz w:val="24"/>
          <w:highlight w:val="none"/>
          <w:lang w:bidi="ar"/>
        </w:rPr>
      </w:pPr>
      <w:r>
        <w:rPr>
          <w:rFonts w:eastAsiaTheme="minorEastAsia"/>
          <w:sz w:val="24"/>
          <w:highlight w:val="none"/>
          <w:lang w:bidi="ar"/>
        </w:rPr>
        <w:t>3.方式：供应商使用CA数字证书</w:t>
      </w:r>
      <w:r>
        <w:rPr>
          <w:sz w:val="24"/>
          <w:highlight w:val="none"/>
          <w:lang w:bidi="ar"/>
        </w:rPr>
        <w:t>或电子营业执照</w:t>
      </w:r>
      <w:r>
        <w:rPr>
          <w:rFonts w:eastAsiaTheme="minorEastAsia"/>
          <w:sz w:val="24"/>
          <w:highlight w:val="none"/>
          <w:lang w:bidi="ar"/>
        </w:rPr>
        <w:t>登录北京市政府采购电子交易平台（http://zbcg-bjzc.zhongcy.com/bjczj-portal-site/index.html#/home）获取电子版竞争性磋商文件。</w:t>
      </w:r>
    </w:p>
    <w:p w14:paraId="2F840ECA">
      <w:pPr>
        <w:widowControl/>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lang w:bidi="ar"/>
        </w:rPr>
        <w:t>4.售价：</w:t>
      </w:r>
      <w:r>
        <w:rPr>
          <w:rFonts w:hint="eastAsia" w:ascii="宋体" w:hAnsi="宋体" w:eastAsia="宋体" w:cs="宋体"/>
          <w:sz w:val="24"/>
          <w:highlight w:val="none"/>
          <w:lang w:bidi="ar"/>
        </w:rPr>
        <w:t>0</w:t>
      </w:r>
      <w:r>
        <w:rPr>
          <w:rFonts w:eastAsiaTheme="minorEastAsia"/>
          <w:sz w:val="24"/>
          <w:highlight w:val="none"/>
          <w:lang w:bidi="ar"/>
        </w:rPr>
        <w:t>元。</w:t>
      </w:r>
    </w:p>
    <w:p w14:paraId="5A367829">
      <w:pPr>
        <w:pStyle w:val="3"/>
        <w:widowControl/>
        <w:spacing w:before="0" w:line="360" w:lineRule="auto"/>
        <w:jc w:val="left"/>
        <w:rPr>
          <w:rFonts w:ascii="Times New Roman" w:hAnsi="Times New Roman" w:eastAsiaTheme="minorEastAsia"/>
          <w:sz w:val="24"/>
          <w:szCs w:val="24"/>
          <w:highlight w:val="none"/>
        </w:rPr>
      </w:pPr>
      <w:bookmarkStart w:id="14" w:name="_Toc28359082"/>
      <w:bookmarkStart w:id="15" w:name="_Toc35393624"/>
      <w:bookmarkStart w:id="16" w:name="_Toc28359005"/>
      <w:bookmarkStart w:id="17" w:name="_Toc35393793"/>
      <w:r>
        <w:rPr>
          <w:rFonts w:ascii="Times New Roman" w:hAnsi="Times New Roman" w:eastAsiaTheme="minorEastAsia"/>
          <w:sz w:val="24"/>
          <w:szCs w:val="24"/>
          <w:highlight w:val="none"/>
        </w:rPr>
        <w:t>四、</w:t>
      </w:r>
      <w:bookmarkEnd w:id="14"/>
      <w:bookmarkEnd w:id="15"/>
      <w:bookmarkEnd w:id="16"/>
      <w:bookmarkEnd w:id="17"/>
      <w:r>
        <w:rPr>
          <w:rFonts w:ascii="Times New Roman" w:hAnsi="Times New Roman" w:eastAsiaTheme="minorEastAsia"/>
          <w:sz w:val="24"/>
          <w:szCs w:val="24"/>
          <w:highlight w:val="none"/>
        </w:rPr>
        <w:t>响应文件提交</w:t>
      </w:r>
    </w:p>
    <w:p w14:paraId="00136798">
      <w:pPr>
        <w:spacing w:line="360" w:lineRule="auto"/>
        <w:ind w:firstLine="480" w:firstLineChars="200"/>
        <w:rPr>
          <w:rFonts w:eastAsiaTheme="minorEastAsia"/>
          <w:bCs/>
          <w:sz w:val="24"/>
          <w:highlight w:val="none"/>
          <w:u w:val="single"/>
        </w:rPr>
      </w:pPr>
      <w:r>
        <w:rPr>
          <w:rFonts w:eastAsiaTheme="minorEastAsia"/>
          <w:sz w:val="24"/>
          <w:highlight w:val="none"/>
          <w:lang w:bidi="ar"/>
        </w:rPr>
        <w:t>截止时间：</w:t>
      </w:r>
      <w:r>
        <w:rPr>
          <w:rFonts w:hint="eastAsia" w:ascii="宋体" w:hAnsi="宋体" w:eastAsia="宋体" w:cs="宋体"/>
          <w:sz w:val="24"/>
          <w:highlight w:val="none"/>
          <w:u w:val="single"/>
          <w:lang w:val="en-US" w:eastAsia="zh-CN" w:bidi="ar"/>
        </w:rPr>
        <w:t>2025</w:t>
      </w:r>
      <w:r>
        <w:rPr>
          <w:rFonts w:hint="eastAsia" w:ascii="宋体" w:hAnsi="宋体" w:eastAsia="宋体" w:cs="宋体"/>
          <w:sz w:val="24"/>
          <w:highlight w:val="none"/>
          <w:lang w:bidi="ar"/>
        </w:rPr>
        <w:t>年</w:t>
      </w:r>
      <w:r>
        <w:rPr>
          <w:rFonts w:hint="eastAsia" w:ascii="宋体" w:hAnsi="宋体" w:eastAsia="宋体" w:cs="宋体"/>
          <w:sz w:val="24"/>
          <w:highlight w:val="none"/>
          <w:u w:val="single"/>
          <w:lang w:val="en-US" w:eastAsia="zh-CN" w:bidi="ar"/>
        </w:rPr>
        <w:t xml:space="preserve"> 10 </w:t>
      </w:r>
      <w:r>
        <w:rPr>
          <w:rFonts w:hint="eastAsia" w:ascii="宋体" w:hAnsi="宋体" w:eastAsia="宋体" w:cs="宋体"/>
          <w:sz w:val="24"/>
          <w:highlight w:val="none"/>
          <w:lang w:bidi="ar"/>
        </w:rPr>
        <w:t>月</w:t>
      </w:r>
      <w:r>
        <w:rPr>
          <w:rFonts w:hint="eastAsia" w:ascii="宋体" w:hAnsi="宋体" w:eastAsia="宋体" w:cs="宋体"/>
          <w:sz w:val="24"/>
          <w:highlight w:val="none"/>
          <w:u w:val="single"/>
          <w:lang w:val="en-US" w:eastAsia="zh-CN" w:bidi="ar"/>
        </w:rPr>
        <w:t xml:space="preserve"> 13 </w:t>
      </w:r>
      <w:r>
        <w:rPr>
          <w:rFonts w:hint="eastAsia" w:ascii="宋体" w:hAnsi="宋体" w:eastAsia="宋体" w:cs="宋体"/>
          <w:sz w:val="24"/>
          <w:highlight w:val="none"/>
          <w:lang w:bidi="ar"/>
        </w:rPr>
        <w:t>日</w:t>
      </w:r>
      <w:r>
        <w:rPr>
          <w:rFonts w:hint="eastAsia" w:ascii="宋体" w:hAnsi="宋体" w:eastAsia="宋体" w:cs="宋体"/>
          <w:sz w:val="24"/>
          <w:highlight w:val="none"/>
          <w:u w:val="single"/>
          <w:lang w:val="en-US" w:eastAsia="zh-CN" w:bidi="ar"/>
        </w:rPr>
        <w:t>09</w:t>
      </w:r>
      <w:r>
        <w:rPr>
          <w:rFonts w:hint="eastAsia" w:ascii="宋体" w:hAnsi="宋体" w:eastAsia="宋体" w:cs="宋体"/>
          <w:sz w:val="24"/>
          <w:highlight w:val="none"/>
          <w:lang w:bidi="ar"/>
        </w:rPr>
        <w:t>点</w:t>
      </w:r>
      <w:r>
        <w:rPr>
          <w:rFonts w:hint="eastAsia" w:ascii="宋体" w:hAnsi="宋体" w:eastAsia="宋体" w:cs="宋体"/>
          <w:sz w:val="24"/>
          <w:highlight w:val="none"/>
          <w:u w:val="single"/>
          <w:lang w:val="en-US" w:eastAsia="zh-CN" w:bidi="ar"/>
        </w:rPr>
        <w:t>30</w:t>
      </w:r>
      <w:r>
        <w:rPr>
          <w:sz w:val="24"/>
          <w:highlight w:val="none"/>
          <w:lang w:bidi="ar"/>
        </w:rPr>
        <w:t>分</w:t>
      </w:r>
      <w:r>
        <w:rPr>
          <w:rFonts w:eastAsiaTheme="minorEastAsia"/>
          <w:bCs/>
          <w:sz w:val="24"/>
          <w:highlight w:val="none"/>
          <w:lang w:bidi="ar"/>
        </w:rPr>
        <w:t>（北京时间）</w:t>
      </w:r>
      <w:r>
        <w:rPr>
          <w:rFonts w:eastAsiaTheme="minorEastAsia"/>
          <w:iCs/>
          <w:sz w:val="24"/>
          <w:highlight w:val="none"/>
          <w:lang w:bidi="ar"/>
        </w:rPr>
        <w:t>。</w:t>
      </w:r>
    </w:p>
    <w:p w14:paraId="66777AF7">
      <w:pPr>
        <w:spacing w:line="360" w:lineRule="auto"/>
        <w:ind w:firstLine="480" w:firstLineChars="200"/>
        <w:jc w:val="left"/>
        <w:rPr>
          <w:rFonts w:hint="eastAsia" w:eastAsiaTheme="minorEastAsia"/>
          <w:sz w:val="24"/>
          <w:highlight w:val="none"/>
          <w:lang w:val="zh-TW" w:eastAsia="zh-CN" w:bidi="ar"/>
        </w:rPr>
      </w:pPr>
      <w:r>
        <w:rPr>
          <w:rFonts w:eastAsiaTheme="minorEastAsia"/>
          <w:sz w:val="24"/>
          <w:highlight w:val="none"/>
          <w:lang w:bidi="ar"/>
        </w:rPr>
        <w:t>地点：</w:t>
      </w:r>
      <w:bookmarkStart w:id="18" w:name="OLE_LINK17"/>
      <w:r>
        <w:rPr>
          <w:rFonts w:hint="default" w:ascii="Times New Roman" w:hAnsi="Times New Roman" w:eastAsia="宋体" w:cs="Times New Roman"/>
          <w:sz w:val="24"/>
          <w:highlight w:val="none"/>
          <w:u w:val="none"/>
          <w:lang w:val="zh-TW" w:bidi="ar"/>
        </w:rPr>
        <w:t>上传至北京市政府采购电子交易平台</w:t>
      </w:r>
      <w:r>
        <w:rPr>
          <w:rFonts w:eastAsia="宋体"/>
          <w:sz w:val="24"/>
          <w:highlight w:val="none"/>
          <w:lang w:bidi="ar"/>
        </w:rPr>
        <w:t>（http://zbcg-bjzc.zhongcy.com/bjczj-portal-site/index.html#/home）</w:t>
      </w:r>
      <w:bookmarkEnd w:id="18"/>
      <w:r>
        <w:rPr>
          <w:rFonts w:hint="eastAsia" w:eastAsiaTheme="minorEastAsia"/>
          <w:sz w:val="24"/>
          <w:highlight w:val="none"/>
          <w:lang w:val="zh-TW" w:eastAsia="zh-CN" w:bidi="ar"/>
        </w:rPr>
        <w:t>。</w:t>
      </w:r>
    </w:p>
    <w:p w14:paraId="19A7B8EF">
      <w:pPr>
        <w:pStyle w:val="3"/>
        <w:spacing w:before="0" w:line="360" w:lineRule="auto"/>
        <w:jc w:val="left"/>
        <w:rPr>
          <w:rFonts w:ascii="Times New Roman" w:hAnsi="Times New Roman" w:eastAsiaTheme="minorEastAsia"/>
          <w:sz w:val="24"/>
          <w:szCs w:val="24"/>
          <w:highlight w:val="none"/>
        </w:rPr>
      </w:pPr>
      <w:r>
        <w:rPr>
          <w:rFonts w:ascii="Times New Roman" w:hAnsi="Times New Roman" w:eastAsiaTheme="minorEastAsia"/>
          <w:sz w:val="24"/>
          <w:szCs w:val="24"/>
          <w:highlight w:val="none"/>
        </w:rPr>
        <w:t>五、开启</w:t>
      </w:r>
    </w:p>
    <w:p w14:paraId="4ECB27A9">
      <w:pPr>
        <w:spacing w:line="360" w:lineRule="auto"/>
        <w:ind w:firstLine="480" w:firstLineChars="200"/>
        <w:rPr>
          <w:rFonts w:eastAsiaTheme="minorEastAsia"/>
          <w:bCs/>
          <w:sz w:val="24"/>
          <w:highlight w:val="none"/>
          <w:u w:val="single"/>
        </w:rPr>
      </w:pPr>
      <w:r>
        <w:rPr>
          <w:rFonts w:eastAsiaTheme="minorEastAsia"/>
          <w:sz w:val="24"/>
          <w:highlight w:val="none"/>
          <w:lang w:bidi="ar"/>
        </w:rPr>
        <w:t>时间：</w:t>
      </w:r>
      <w:r>
        <w:rPr>
          <w:rFonts w:hint="eastAsia" w:ascii="宋体" w:hAnsi="宋体" w:eastAsia="宋体" w:cs="宋体"/>
          <w:sz w:val="24"/>
          <w:highlight w:val="none"/>
          <w:u w:val="single"/>
          <w:lang w:val="en-US" w:eastAsia="zh-CN" w:bidi="ar"/>
        </w:rPr>
        <w:t>2025</w:t>
      </w:r>
      <w:r>
        <w:rPr>
          <w:rFonts w:hint="eastAsia" w:ascii="宋体" w:hAnsi="宋体" w:eastAsia="宋体" w:cs="宋体"/>
          <w:sz w:val="24"/>
          <w:highlight w:val="none"/>
          <w:lang w:bidi="ar"/>
        </w:rPr>
        <w:t>年</w:t>
      </w:r>
      <w:r>
        <w:rPr>
          <w:rFonts w:hint="eastAsia" w:ascii="宋体" w:hAnsi="宋体" w:eastAsia="宋体" w:cs="宋体"/>
          <w:sz w:val="24"/>
          <w:highlight w:val="none"/>
          <w:u w:val="single"/>
          <w:lang w:val="en-US" w:eastAsia="zh-CN" w:bidi="ar"/>
        </w:rPr>
        <w:t xml:space="preserve"> 10 </w:t>
      </w:r>
      <w:r>
        <w:rPr>
          <w:rFonts w:hint="eastAsia" w:ascii="宋体" w:hAnsi="宋体" w:eastAsia="宋体" w:cs="宋体"/>
          <w:sz w:val="24"/>
          <w:highlight w:val="none"/>
          <w:lang w:bidi="ar"/>
        </w:rPr>
        <w:t>月</w:t>
      </w:r>
      <w:r>
        <w:rPr>
          <w:rFonts w:hint="eastAsia" w:ascii="宋体" w:hAnsi="宋体" w:eastAsia="宋体" w:cs="宋体"/>
          <w:sz w:val="24"/>
          <w:highlight w:val="none"/>
          <w:u w:val="single"/>
          <w:lang w:val="en-US" w:eastAsia="zh-CN" w:bidi="ar"/>
        </w:rPr>
        <w:t xml:space="preserve"> 13 </w:t>
      </w:r>
      <w:r>
        <w:rPr>
          <w:rFonts w:hint="eastAsia" w:ascii="宋体" w:hAnsi="宋体" w:eastAsia="宋体" w:cs="宋体"/>
          <w:sz w:val="24"/>
          <w:highlight w:val="none"/>
          <w:lang w:bidi="ar"/>
        </w:rPr>
        <w:t>日</w:t>
      </w:r>
      <w:r>
        <w:rPr>
          <w:rFonts w:hint="eastAsia" w:ascii="宋体" w:hAnsi="宋体" w:eastAsia="宋体" w:cs="宋体"/>
          <w:sz w:val="24"/>
          <w:highlight w:val="none"/>
          <w:u w:val="single"/>
          <w:lang w:val="en-US" w:eastAsia="zh-CN" w:bidi="ar"/>
        </w:rPr>
        <w:t>09</w:t>
      </w:r>
      <w:r>
        <w:rPr>
          <w:rFonts w:hint="eastAsia" w:ascii="宋体" w:hAnsi="宋体" w:eastAsia="宋体" w:cs="宋体"/>
          <w:sz w:val="24"/>
          <w:highlight w:val="none"/>
          <w:lang w:bidi="ar"/>
        </w:rPr>
        <w:t>点</w:t>
      </w:r>
      <w:r>
        <w:rPr>
          <w:rFonts w:hint="eastAsia" w:ascii="宋体" w:hAnsi="宋体" w:eastAsia="宋体" w:cs="宋体"/>
          <w:sz w:val="24"/>
          <w:highlight w:val="none"/>
          <w:u w:val="single"/>
          <w:lang w:val="en-US" w:eastAsia="zh-CN" w:bidi="ar"/>
        </w:rPr>
        <w:t>30</w:t>
      </w:r>
      <w:r>
        <w:rPr>
          <w:rFonts w:hint="eastAsia" w:ascii="宋体" w:hAnsi="宋体" w:eastAsia="宋体" w:cs="宋体"/>
          <w:sz w:val="24"/>
          <w:highlight w:val="none"/>
          <w:lang w:bidi="ar"/>
        </w:rPr>
        <w:t>分</w:t>
      </w:r>
      <w:r>
        <w:rPr>
          <w:rFonts w:hint="eastAsia" w:ascii="宋体" w:hAnsi="宋体" w:eastAsia="宋体" w:cs="宋体"/>
          <w:bCs/>
          <w:sz w:val="24"/>
          <w:highlight w:val="none"/>
          <w:lang w:bidi="ar"/>
        </w:rPr>
        <w:t>（</w:t>
      </w:r>
      <w:r>
        <w:rPr>
          <w:rFonts w:eastAsiaTheme="minorEastAsia"/>
          <w:bCs/>
          <w:sz w:val="24"/>
          <w:highlight w:val="none"/>
          <w:lang w:bidi="ar"/>
        </w:rPr>
        <w:t>北京时间）</w:t>
      </w:r>
      <w:r>
        <w:rPr>
          <w:rFonts w:eastAsiaTheme="minorEastAsia"/>
          <w:iCs/>
          <w:sz w:val="24"/>
          <w:highlight w:val="none"/>
          <w:lang w:bidi="ar"/>
        </w:rPr>
        <w:t>。</w:t>
      </w:r>
    </w:p>
    <w:p w14:paraId="5A9AFC5D">
      <w:pPr>
        <w:spacing w:line="360" w:lineRule="auto"/>
        <w:ind w:firstLine="480" w:firstLineChars="200"/>
        <w:rPr>
          <w:rFonts w:eastAsiaTheme="minorEastAsia"/>
          <w:sz w:val="24"/>
          <w:highlight w:val="none"/>
          <w:lang w:val="zh-TW" w:bidi="ar"/>
        </w:rPr>
      </w:pPr>
      <w:r>
        <w:rPr>
          <w:rFonts w:eastAsiaTheme="minorEastAsia"/>
          <w:sz w:val="24"/>
          <w:highlight w:val="none"/>
          <w:lang w:bidi="ar"/>
        </w:rPr>
        <w:t>地点：</w:t>
      </w:r>
      <w:r>
        <w:rPr>
          <w:rFonts w:hint="eastAsia" w:ascii="宋体" w:hAnsi="宋体" w:cs="宋体"/>
          <w:sz w:val="24"/>
          <w:highlight w:val="none"/>
          <w:u w:val="single"/>
        </w:rPr>
        <w:t>本项目采用远程电子开标方式，由投标人自行对电子投标文件进行解密。</w:t>
      </w:r>
    </w:p>
    <w:p w14:paraId="095A378D">
      <w:pPr>
        <w:spacing w:line="360" w:lineRule="auto"/>
        <w:ind w:firstLine="480" w:firstLineChars="200"/>
        <w:rPr>
          <w:rFonts w:eastAsiaTheme="minorEastAsia"/>
          <w:bCs/>
          <w:sz w:val="24"/>
          <w:highlight w:val="none"/>
          <w:u w:val="single"/>
        </w:rPr>
      </w:pPr>
    </w:p>
    <w:p w14:paraId="593C8A3A">
      <w:pPr>
        <w:pStyle w:val="3"/>
        <w:spacing w:before="0" w:line="360" w:lineRule="auto"/>
        <w:jc w:val="left"/>
        <w:rPr>
          <w:rFonts w:ascii="Times New Roman" w:hAnsi="Times New Roman" w:eastAsiaTheme="minorEastAsia"/>
          <w:sz w:val="24"/>
          <w:szCs w:val="24"/>
          <w:highlight w:val="none"/>
        </w:rPr>
      </w:pPr>
      <w:bookmarkStart w:id="19" w:name="_Toc28359007"/>
      <w:bookmarkStart w:id="20" w:name="_Toc28359084"/>
      <w:bookmarkStart w:id="21" w:name="_Toc35393794"/>
      <w:bookmarkStart w:id="22" w:name="_Toc35393625"/>
      <w:r>
        <w:rPr>
          <w:rFonts w:ascii="Times New Roman" w:hAnsi="Times New Roman" w:eastAsiaTheme="minorEastAsia"/>
          <w:sz w:val="24"/>
          <w:szCs w:val="24"/>
          <w:highlight w:val="none"/>
        </w:rPr>
        <w:t>六、公告期限</w:t>
      </w:r>
      <w:bookmarkEnd w:id="19"/>
      <w:bookmarkEnd w:id="20"/>
      <w:bookmarkEnd w:id="21"/>
      <w:bookmarkEnd w:id="22"/>
    </w:p>
    <w:p w14:paraId="5DE91845">
      <w:pPr>
        <w:spacing w:line="360" w:lineRule="auto"/>
        <w:ind w:firstLine="480" w:firstLineChars="200"/>
        <w:rPr>
          <w:rFonts w:eastAsiaTheme="minorEastAsia"/>
          <w:kern w:val="0"/>
          <w:sz w:val="24"/>
          <w:highlight w:val="none"/>
        </w:rPr>
      </w:pPr>
      <w:r>
        <w:rPr>
          <w:rFonts w:eastAsiaTheme="minorEastAsia"/>
          <w:kern w:val="0"/>
          <w:sz w:val="24"/>
          <w:highlight w:val="none"/>
        </w:rPr>
        <w:t>自本公告发布之日起3个工作日。</w:t>
      </w:r>
    </w:p>
    <w:p w14:paraId="5254F14D">
      <w:pPr>
        <w:pStyle w:val="3"/>
        <w:spacing w:before="0" w:line="360" w:lineRule="auto"/>
        <w:jc w:val="left"/>
        <w:rPr>
          <w:rFonts w:ascii="Times New Roman" w:hAnsi="Times New Roman" w:eastAsiaTheme="minorEastAsia"/>
          <w:sz w:val="24"/>
          <w:szCs w:val="24"/>
          <w:highlight w:val="none"/>
        </w:rPr>
      </w:pPr>
      <w:bookmarkStart w:id="23" w:name="_Toc35393795"/>
      <w:bookmarkStart w:id="24" w:name="_Toc35393626"/>
      <w:r>
        <w:rPr>
          <w:rFonts w:ascii="Times New Roman" w:hAnsi="Times New Roman" w:eastAsiaTheme="minorEastAsia"/>
          <w:sz w:val="24"/>
          <w:szCs w:val="24"/>
          <w:highlight w:val="none"/>
        </w:rPr>
        <w:t>七、其他补充事宜</w:t>
      </w:r>
      <w:bookmarkEnd w:id="23"/>
      <w:bookmarkEnd w:id="24"/>
    </w:p>
    <w:p w14:paraId="1670EF1B">
      <w:pPr>
        <w:spacing w:line="360" w:lineRule="auto"/>
        <w:ind w:firstLine="480" w:firstLineChars="200"/>
        <w:rPr>
          <w:rFonts w:eastAsiaTheme="minorEastAsia"/>
          <w:sz w:val="24"/>
          <w:highlight w:val="none"/>
        </w:rPr>
      </w:pPr>
      <w:r>
        <w:rPr>
          <w:rFonts w:eastAsiaTheme="minorEastAsia"/>
          <w:sz w:val="24"/>
          <w:highlight w:val="none"/>
        </w:rPr>
        <w:t>1.本项目需要落实的政府采购政策：</w:t>
      </w:r>
      <w:r>
        <w:rPr>
          <w:rFonts w:hint="eastAsia" w:ascii="宋体" w:hAnsi="宋体" w:cs="宋体"/>
          <w:sz w:val="24"/>
          <w:highlight w:val="none"/>
          <w:u w:val="single"/>
        </w:rPr>
        <w:t>节约能源、保护环境、扶持不发达地区和少数民族地区、促进中小企业发展、支持监狱、戒毒企业发展、促进残疾人就业、优先采购贫困地区农副产品、支持创新、绿色发展等政府采购政策</w:t>
      </w:r>
      <w:r>
        <w:rPr>
          <w:rFonts w:eastAsiaTheme="minorEastAsia"/>
          <w:sz w:val="24"/>
          <w:highlight w:val="none"/>
          <w:lang w:bidi="ar"/>
        </w:rPr>
        <w:t>。</w:t>
      </w:r>
    </w:p>
    <w:p w14:paraId="6DAB556D">
      <w:pPr>
        <w:widowControl/>
        <w:adjustRightInd w:val="0"/>
        <w:snapToGrid w:val="0"/>
        <w:spacing w:line="360" w:lineRule="auto"/>
        <w:ind w:firstLine="480" w:firstLineChars="200"/>
        <w:jc w:val="left"/>
        <w:rPr>
          <w:rFonts w:eastAsiaTheme="minorEastAsia"/>
          <w:bCs/>
          <w:sz w:val="24"/>
          <w:highlight w:val="none"/>
          <w:lang w:bidi="ar"/>
        </w:rPr>
      </w:pPr>
      <w:r>
        <w:rPr>
          <w:rFonts w:hint="eastAsia" w:eastAsiaTheme="minorEastAsia"/>
          <w:sz w:val="24"/>
          <w:highlight w:val="none"/>
          <w:lang w:val="en-US" w:eastAsia="zh-CN" w:bidi="ar"/>
        </w:rPr>
        <w:t>2</w:t>
      </w:r>
      <w:r>
        <w:rPr>
          <w:rFonts w:eastAsiaTheme="minorEastAsia"/>
          <w:sz w:val="24"/>
          <w:highlight w:val="none"/>
          <w:lang w:bidi="ar"/>
        </w:rPr>
        <w:t>.本项目采用全流程电子化采购方式，请供应商认真学习北京市政府采购电子交易平台发布的相关操作手册</w:t>
      </w:r>
      <w:r>
        <w:rPr>
          <w:sz w:val="24"/>
          <w:highlight w:val="none"/>
          <w:lang w:bidi="ar"/>
        </w:rPr>
        <w:t>（供应商可在交易平台下载相关手册）</w:t>
      </w:r>
      <w:r>
        <w:rPr>
          <w:rFonts w:eastAsiaTheme="minorEastAsia"/>
          <w:sz w:val="24"/>
          <w:highlight w:val="none"/>
          <w:lang w:bidi="ar"/>
        </w:rPr>
        <w:t>，办理CA数字证书</w:t>
      </w:r>
      <w:r>
        <w:rPr>
          <w:sz w:val="24"/>
          <w:highlight w:val="none"/>
          <w:lang w:bidi="ar"/>
        </w:rPr>
        <w:t>或电子营业执照</w:t>
      </w:r>
      <w:r>
        <w:rPr>
          <w:rFonts w:eastAsiaTheme="minorEastAsia"/>
          <w:sz w:val="24"/>
          <w:highlight w:val="none"/>
          <w:lang w:bidi="ar"/>
        </w:rPr>
        <w:t>、进行北京市政府采购电子交易平台注册绑定，并认真核实</w:t>
      </w:r>
      <w:r>
        <w:rPr>
          <w:rFonts w:eastAsiaTheme="minorEastAsia"/>
          <w:bCs/>
          <w:sz w:val="24"/>
          <w:highlight w:val="none"/>
          <w:lang w:bidi="ar"/>
        </w:rPr>
        <w:t>CA数字证书</w:t>
      </w:r>
      <w:r>
        <w:rPr>
          <w:sz w:val="24"/>
          <w:highlight w:val="none"/>
          <w:lang w:bidi="ar"/>
        </w:rPr>
        <w:t>或电子营业执照</w:t>
      </w:r>
      <w:r>
        <w:rPr>
          <w:rFonts w:eastAsiaTheme="minorEastAsia"/>
          <w:bCs/>
          <w:sz w:val="24"/>
          <w:highlight w:val="none"/>
          <w:lang w:bidi="ar"/>
        </w:rPr>
        <w:t>情况确认是否符合本项目电子化采购流程要求。</w:t>
      </w:r>
    </w:p>
    <w:p w14:paraId="6876BF88">
      <w:pPr>
        <w:adjustRightInd w:val="0"/>
        <w:snapToGrid w:val="0"/>
        <w:spacing w:line="360" w:lineRule="auto"/>
        <w:ind w:firstLine="480" w:firstLineChars="200"/>
        <w:rPr>
          <w:rFonts w:eastAsiaTheme="minorEastAsia"/>
          <w:sz w:val="24"/>
          <w:highlight w:val="none"/>
        </w:rPr>
      </w:pPr>
      <w:r>
        <w:rPr>
          <w:rFonts w:eastAsiaTheme="minorEastAsia"/>
          <w:sz w:val="24"/>
          <w:highlight w:val="none"/>
          <w:lang w:bidi="ar"/>
        </w:rPr>
        <w:t>CA数字证书服务热线 010-58511086</w:t>
      </w:r>
    </w:p>
    <w:p w14:paraId="58D35422">
      <w:pPr>
        <w:adjustRightInd w:val="0"/>
        <w:snapToGrid w:val="0"/>
        <w:spacing w:line="360" w:lineRule="auto"/>
        <w:ind w:firstLine="480" w:firstLineChars="200"/>
        <w:rPr>
          <w:sz w:val="24"/>
          <w:highlight w:val="none"/>
        </w:rPr>
      </w:pPr>
      <w:r>
        <w:rPr>
          <w:sz w:val="24"/>
          <w:highlight w:val="none"/>
          <w:lang w:bidi="ar"/>
        </w:rPr>
        <w:t>电子营业执照服务热线 400-699-7000</w:t>
      </w:r>
    </w:p>
    <w:p w14:paraId="23D814F5">
      <w:pPr>
        <w:adjustRightInd w:val="0"/>
        <w:snapToGrid w:val="0"/>
        <w:spacing w:line="360" w:lineRule="auto"/>
        <w:ind w:firstLine="480" w:firstLineChars="200"/>
        <w:rPr>
          <w:rFonts w:eastAsiaTheme="minorEastAsia"/>
          <w:sz w:val="24"/>
          <w:highlight w:val="none"/>
        </w:rPr>
      </w:pPr>
      <w:r>
        <w:rPr>
          <w:rFonts w:eastAsiaTheme="minorEastAsia"/>
          <w:sz w:val="24"/>
          <w:highlight w:val="none"/>
          <w:lang w:bidi="ar"/>
        </w:rPr>
        <w:t xml:space="preserve">技术支持服务热线    010-86483801    </w:t>
      </w:r>
    </w:p>
    <w:p w14:paraId="77B94022">
      <w:pPr>
        <w:widowControl/>
        <w:adjustRightInd w:val="0"/>
        <w:snapToGrid w:val="0"/>
        <w:spacing w:line="360" w:lineRule="auto"/>
        <w:ind w:firstLine="480" w:firstLineChars="200"/>
        <w:jc w:val="left"/>
        <w:rPr>
          <w:rFonts w:eastAsiaTheme="minorEastAsia"/>
          <w:sz w:val="24"/>
          <w:highlight w:val="none"/>
          <w:lang w:bidi="ar"/>
        </w:rPr>
      </w:pPr>
      <w:r>
        <w:rPr>
          <w:rFonts w:hint="eastAsia" w:eastAsiaTheme="minorEastAsia"/>
          <w:sz w:val="24"/>
          <w:highlight w:val="none"/>
          <w:lang w:val="en-US" w:eastAsia="zh-CN" w:bidi="ar"/>
        </w:rPr>
        <w:t>2</w:t>
      </w:r>
      <w:r>
        <w:rPr>
          <w:rFonts w:eastAsiaTheme="minorEastAsia"/>
          <w:sz w:val="24"/>
          <w:highlight w:val="none"/>
          <w:lang w:bidi="ar"/>
        </w:rPr>
        <w:t>.1办理CA数字证书</w:t>
      </w:r>
      <w:r>
        <w:rPr>
          <w:sz w:val="24"/>
          <w:highlight w:val="none"/>
          <w:lang w:bidi="ar"/>
        </w:rPr>
        <w:t>或电子营业执照</w:t>
      </w:r>
    </w:p>
    <w:p w14:paraId="57FC4119">
      <w:pPr>
        <w:widowControl/>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lang w:bidi="ar"/>
        </w:rPr>
        <w:t>供应商登录北京市政府采购电子交易平台查阅 “用户指南”—“操作指南”—“市场主体CA办理操作流程指引”</w:t>
      </w:r>
      <w:r>
        <w:rPr>
          <w:sz w:val="24"/>
          <w:highlight w:val="none"/>
          <w:lang w:bidi="ar"/>
        </w:rPr>
        <w:t xml:space="preserve"> /“电子营业执照使用指南”</w:t>
      </w:r>
      <w:r>
        <w:rPr>
          <w:rFonts w:eastAsiaTheme="minorEastAsia"/>
          <w:sz w:val="24"/>
          <w:highlight w:val="none"/>
          <w:lang w:bidi="ar"/>
        </w:rPr>
        <w:t>，按照程序要求办理。</w:t>
      </w:r>
    </w:p>
    <w:p w14:paraId="7DBD4403">
      <w:pPr>
        <w:adjustRightInd w:val="0"/>
        <w:snapToGrid w:val="0"/>
        <w:spacing w:line="360" w:lineRule="auto"/>
        <w:ind w:firstLine="480" w:firstLineChars="200"/>
        <w:rPr>
          <w:rFonts w:eastAsiaTheme="minorEastAsia"/>
          <w:sz w:val="24"/>
          <w:highlight w:val="none"/>
          <w:lang w:bidi="ar"/>
        </w:rPr>
      </w:pPr>
      <w:r>
        <w:rPr>
          <w:rFonts w:hint="eastAsia" w:eastAsiaTheme="minorEastAsia"/>
          <w:sz w:val="24"/>
          <w:highlight w:val="none"/>
          <w:lang w:val="en-US" w:eastAsia="zh-CN" w:bidi="ar"/>
        </w:rPr>
        <w:t>2</w:t>
      </w:r>
      <w:r>
        <w:rPr>
          <w:rFonts w:eastAsiaTheme="minorEastAsia"/>
          <w:sz w:val="24"/>
          <w:highlight w:val="none"/>
          <w:lang w:bidi="ar"/>
        </w:rPr>
        <w:t>.2注册</w:t>
      </w:r>
    </w:p>
    <w:p w14:paraId="1BF515E5">
      <w:pPr>
        <w:adjustRightInd w:val="0"/>
        <w:snapToGrid w:val="0"/>
        <w:spacing w:line="360" w:lineRule="auto"/>
        <w:ind w:firstLine="480" w:firstLineChars="200"/>
        <w:rPr>
          <w:rFonts w:eastAsiaTheme="minorEastAsia"/>
          <w:sz w:val="24"/>
          <w:highlight w:val="none"/>
        </w:rPr>
      </w:pPr>
      <w:r>
        <w:rPr>
          <w:rFonts w:eastAsiaTheme="minorEastAsia"/>
          <w:sz w:val="24"/>
          <w:highlight w:val="none"/>
          <w:lang w:bidi="ar"/>
        </w:rPr>
        <w:t>供应商登录北京市政府采购电子交易平台“用户指南”—“操作指南”—“市场主体注册入库操作流程指引”进行自助注册绑定。</w:t>
      </w:r>
    </w:p>
    <w:p w14:paraId="0F8C8268">
      <w:pPr>
        <w:widowControl/>
        <w:adjustRightInd w:val="0"/>
        <w:snapToGrid w:val="0"/>
        <w:spacing w:line="360" w:lineRule="auto"/>
        <w:ind w:firstLine="480" w:firstLineChars="200"/>
        <w:jc w:val="left"/>
        <w:rPr>
          <w:rFonts w:eastAsiaTheme="minorEastAsia"/>
          <w:sz w:val="24"/>
          <w:highlight w:val="none"/>
          <w:lang w:bidi="ar"/>
        </w:rPr>
      </w:pPr>
      <w:r>
        <w:rPr>
          <w:rFonts w:hint="eastAsia" w:eastAsiaTheme="minorEastAsia"/>
          <w:sz w:val="24"/>
          <w:highlight w:val="none"/>
          <w:lang w:val="en-US" w:eastAsia="zh-CN" w:bidi="ar"/>
        </w:rPr>
        <w:t>2</w:t>
      </w:r>
      <w:r>
        <w:rPr>
          <w:rFonts w:eastAsiaTheme="minorEastAsia"/>
          <w:sz w:val="24"/>
          <w:highlight w:val="none"/>
          <w:lang w:bidi="ar"/>
        </w:rPr>
        <w:t>.3驱动、客户端下载</w:t>
      </w:r>
    </w:p>
    <w:p w14:paraId="2546B0A2">
      <w:pPr>
        <w:widowControl/>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lang w:bidi="ar"/>
        </w:rPr>
        <w:t>供应商登录北京市政府采购电子交易平台“用户指南”—“工具下载”—“招标采购系统文件驱动安装包”下载相关驱动。</w:t>
      </w:r>
    </w:p>
    <w:p w14:paraId="0F0F1E21">
      <w:pPr>
        <w:adjustRightInd w:val="0"/>
        <w:snapToGrid w:val="0"/>
        <w:spacing w:line="360" w:lineRule="auto"/>
        <w:ind w:firstLine="480" w:firstLineChars="200"/>
        <w:rPr>
          <w:rFonts w:eastAsiaTheme="minorEastAsia"/>
          <w:sz w:val="24"/>
          <w:highlight w:val="none"/>
          <w:lang w:bidi="ar"/>
        </w:rPr>
      </w:pPr>
      <w:r>
        <w:rPr>
          <w:rFonts w:eastAsiaTheme="minorEastAsia"/>
          <w:sz w:val="24"/>
          <w:highlight w:val="none"/>
          <w:lang w:bidi="ar"/>
        </w:rPr>
        <w:t>供应商登录北京市政府采购电子交易平台“用户指南”—“工具下载”—“投标文件编制工具”下载相关客户端。</w:t>
      </w:r>
    </w:p>
    <w:p w14:paraId="4A9DD7A3">
      <w:pPr>
        <w:adjustRightInd w:val="0"/>
        <w:snapToGrid w:val="0"/>
        <w:spacing w:line="360" w:lineRule="auto"/>
        <w:ind w:firstLine="480" w:firstLineChars="200"/>
        <w:rPr>
          <w:rFonts w:eastAsiaTheme="minorEastAsia"/>
          <w:sz w:val="24"/>
          <w:highlight w:val="none"/>
          <w:lang w:bidi="ar"/>
        </w:rPr>
      </w:pPr>
      <w:r>
        <w:rPr>
          <w:rFonts w:hint="eastAsia" w:eastAsiaTheme="minorEastAsia"/>
          <w:sz w:val="24"/>
          <w:highlight w:val="none"/>
          <w:lang w:val="en-US" w:eastAsia="zh-CN" w:bidi="ar"/>
        </w:rPr>
        <w:t>2</w:t>
      </w:r>
      <w:r>
        <w:rPr>
          <w:rFonts w:eastAsiaTheme="minorEastAsia"/>
          <w:sz w:val="24"/>
          <w:highlight w:val="none"/>
          <w:lang w:bidi="ar"/>
        </w:rPr>
        <w:t>.4 获取电子竞争性磋商文件</w:t>
      </w:r>
    </w:p>
    <w:p w14:paraId="10358400">
      <w:pPr>
        <w:adjustRightInd w:val="0"/>
        <w:snapToGrid w:val="0"/>
        <w:spacing w:line="360" w:lineRule="auto"/>
        <w:ind w:firstLine="480" w:firstLineChars="200"/>
        <w:rPr>
          <w:rFonts w:eastAsiaTheme="minorEastAsia"/>
          <w:sz w:val="24"/>
          <w:highlight w:val="none"/>
          <w:lang w:bidi="ar"/>
        </w:rPr>
      </w:pPr>
      <w:r>
        <w:rPr>
          <w:rFonts w:eastAsiaTheme="minorEastAsia"/>
          <w:sz w:val="24"/>
          <w:highlight w:val="none"/>
          <w:lang w:bidi="ar"/>
        </w:rPr>
        <w:t>供应商使用CA数字证书</w:t>
      </w:r>
      <w:r>
        <w:rPr>
          <w:sz w:val="24"/>
          <w:highlight w:val="none"/>
          <w:lang w:bidi="ar"/>
        </w:rPr>
        <w:t>或电子营业执照</w:t>
      </w:r>
      <w:r>
        <w:rPr>
          <w:rFonts w:eastAsiaTheme="minorEastAsia"/>
          <w:sz w:val="24"/>
          <w:highlight w:val="none"/>
          <w:lang w:bidi="ar"/>
        </w:rPr>
        <w:t>登录北京市政府采购电子交易平台获取电子竞争性磋商文件。</w:t>
      </w:r>
    </w:p>
    <w:p w14:paraId="732FAA76">
      <w:pPr>
        <w:adjustRightInd w:val="0"/>
        <w:snapToGrid w:val="0"/>
        <w:spacing w:line="360" w:lineRule="auto"/>
        <w:ind w:firstLine="480" w:firstLineChars="200"/>
        <w:rPr>
          <w:rFonts w:eastAsiaTheme="minorEastAsia"/>
          <w:sz w:val="24"/>
          <w:highlight w:val="none"/>
          <w:lang w:bidi="ar"/>
        </w:rPr>
      </w:pPr>
      <w:r>
        <w:rPr>
          <w:sz w:val="24"/>
          <w:highlight w:val="none"/>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2F1CB40D">
      <w:pPr>
        <w:adjustRightInd w:val="0"/>
        <w:snapToGrid w:val="0"/>
        <w:spacing w:line="360" w:lineRule="auto"/>
        <w:ind w:firstLine="480" w:firstLineChars="200"/>
        <w:rPr>
          <w:rFonts w:eastAsiaTheme="minorEastAsia"/>
          <w:sz w:val="24"/>
          <w:highlight w:val="none"/>
          <w:lang w:bidi="ar"/>
        </w:rPr>
      </w:pPr>
      <w:r>
        <w:rPr>
          <w:rFonts w:hint="eastAsia" w:eastAsiaTheme="minorEastAsia"/>
          <w:sz w:val="24"/>
          <w:highlight w:val="none"/>
          <w:lang w:val="en-US" w:eastAsia="zh-CN" w:bidi="ar"/>
        </w:rPr>
        <w:t>2</w:t>
      </w:r>
      <w:r>
        <w:rPr>
          <w:rFonts w:eastAsiaTheme="minorEastAsia"/>
          <w:sz w:val="24"/>
          <w:highlight w:val="none"/>
          <w:lang w:bidi="ar"/>
        </w:rPr>
        <w:t>.5编制电子响应文件</w:t>
      </w:r>
    </w:p>
    <w:p w14:paraId="644A891B">
      <w:pPr>
        <w:adjustRightInd w:val="0"/>
        <w:snapToGrid w:val="0"/>
        <w:spacing w:line="360" w:lineRule="auto"/>
        <w:ind w:firstLine="480" w:firstLineChars="200"/>
        <w:rPr>
          <w:rFonts w:eastAsiaTheme="minorEastAsia"/>
          <w:sz w:val="24"/>
          <w:highlight w:val="none"/>
          <w:lang w:bidi="ar"/>
        </w:rPr>
      </w:pPr>
      <w:r>
        <w:rPr>
          <w:rFonts w:eastAsiaTheme="minorEastAsia"/>
          <w:sz w:val="24"/>
          <w:highlight w:val="none"/>
          <w:lang w:bidi="ar"/>
        </w:rPr>
        <w:t>供应商应使用电子投标客户端编制电子响应文件并进行线上响应，供应商电子响应文件需要加密并加盖电子签章</w:t>
      </w:r>
      <w:r>
        <w:rPr>
          <w:rFonts w:eastAsiaTheme="minorEastAsia"/>
          <w:bCs/>
          <w:sz w:val="24"/>
          <w:highlight w:val="none"/>
          <w:lang w:bidi="ar"/>
        </w:rPr>
        <w:t>，如无法按照要求在电子响应文件中加盖电子签章和加密，请及时通过技术支持服务热线联系技术人员</w:t>
      </w:r>
      <w:r>
        <w:rPr>
          <w:rFonts w:eastAsiaTheme="minorEastAsia"/>
          <w:sz w:val="24"/>
          <w:highlight w:val="none"/>
          <w:lang w:bidi="ar"/>
        </w:rPr>
        <w:t>。</w:t>
      </w:r>
    </w:p>
    <w:p w14:paraId="645F1527">
      <w:pPr>
        <w:widowControl/>
        <w:spacing w:line="360" w:lineRule="auto"/>
        <w:ind w:firstLine="480" w:firstLineChars="200"/>
        <w:jc w:val="left"/>
        <w:rPr>
          <w:rFonts w:eastAsiaTheme="minorEastAsia"/>
          <w:sz w:val="24"/>
          <w:highlight w:val="none"/>
          <w:lang w:val="zh-TW" w:bidi="ar"/>
        </w:rPr>
      </w:pPr>
      <w:r>
        <w:rPr>
          <w:rFonts w:hint="eastAsia" w:eastAsiaTheme="minorEastAsia"/>
          <w:sz w:val="24"/>
          <w:highlight w:val="none"/>
          <w:lang w:val="en-US" w:eastAsia="zh-CN" w:bidi="ar"/>
        </w:rPr>
        <w:t>2</w:t>
      </w:r>
      <w:r>
        <w:rPr>
          <w:rFonts w:eastAsiaTheme="minorEastAsia"/>
          <w:sz w:val="24"/>
          <w:highlight w:val="none"/>
          <w:lang w:val="zh-TW" w:eastAsia="zh-TW" w:bidi="ar"/>
        </w:rPr>
        <w:t>.6</w:t>
      </w:r>
      <w:r>
        <w:rPr>
          <w:rFonts w:eastAsiaTheme="minorEastAsia"/>
          <w:sz w:val="24"/>
          <w:highlight w:val="none"/>
          <w:lang w:val="zh-TW" w:bidi="ar"/>
        </w:rPr>
        <w:t>提交电子响应文件</w:t>
      </w:r>
    </w:p>
    <w:p w14:paraId="261868E4">
      <w:pPr>
        <w:widowControl/>
        <w:spacing w:line="360" w:lineRule="auto"/>
        <w:ind w:firstLine="480" w:firstLineChars="200"/>
        <w:jc w:val="left"/>
        <w:rPr>
          <w:rFonts w:eastAsiaTheme="minorEastAsia"/>
          <w:sz w:val="24"/>
          <w:highlight w:val="none"/>
          <w:lang w:bidi="ar"/>
        </w:rPr>
      </w:pPr>
      <w:r>
        <w:rPr>
          <w:rFonts w:eastAsiaTheme="minorEastAsia"/>
          <w:sz w:val="24"/>
          <w:highlight w:val="none"/>
          <w:lang w:bidi="ar"/>
        </w:rPr>
        <w:t>供应商应于</w:t>
      </w:r>
      <w:r>
        <w:rPr>
          <w:rFonts w:eastAsiaTheme="minorEastAsia"/>
          <w:sz w:val="24"/>
          <w:highlight w:val="none"/>
        </w:rPr>
        <w:t>响应文件提交</w:t>
      </w:r>
      <w:r>
        <w:rPr>
          <w:rFonts w:eastAsiaTheme="minorEastAsia"/>
          <w:sz w:val="24"/>
          <w:highlight w:val="none"/>
          <w:lang w:bidi="ar"/>
        </w:rPr>
        <w:t>截止时间前在</w:t>
      </w:r>
      <w:r>
        <w:rPr>
          <w:sz w:val="24"/>
          <w:highlight w:val="none"/>
          <w:lang w:bidi="ar"/>
        </w:rPr>
        <w:t>北京市政府采购电子交易平台</w:t>
      </w:r>
      <w:r>
        <w:rPr>
          <w:rFonts w:eastAsiaTheme="minorEastAsia"/>
          <w:sz w:val="24"/>
          <w:highlight w:val="none"/>
          <w:lang w:bidi="ar"/>
        </w:rPr>
        <w:t>提交电子响应文件，上传电子响应文件过程中请保持与互联网的连接畅通。</w:t>
      </w:r>
    </w:p>
    <w:p w14:paraId="429868BA">
      <w:pPr>
        <w:spacing w:line="360" w:lineRule="auto"/>
        <w:ind w:firstLine="480" w:firstLineChars="200"/>
        <w:rPr>
          <w:rFonts w:eastAsiaTheme="minorEastAsia"/>
          <w:sz w:val="24"/>
          <w:highlight w:val="none"/>
          <w:lang w:eastAsia="zh-TW"/>
        </w:rPr>
      </w:pPr>
      <w:r>
        <w:rPr>
          <w:rFonts w:hint="eastAsia" w:eastAsiaTheme="minorEastAsia"/>
          <w:sz w:val="24"/>
          <w:highlight w:val="none"/>
          <w:lang w:val="en-US" w:eastAsia="zh-CN" w:bidi="ar"/>
        </w:rPr>
        <w:t>2</w:t>
      </w:r>
      <w:r>
        <w:rPr>
          <w:rFonts w:eastAsiaTheme="minorEastAsia"/>
          <w:sz w:val="24"/>
          <w:highlight w:val="none"/>
          <w:lang w:val="zh-TW" w:bidi="ar"/>
        </w:rPr>
        <w:t>.</w:t>
      </w:r>
      <w:r>
        <w:rPr>
          <w:rFonts w:eastAsiaTheme="minorEastAsia"/>
          <w:sz w:val="24"/>
          <w:highlight w:val="none"/>
          <w:lang w:val="zh-TW" w:eastAsia="zh-TW" w:bidi="ar"/>
        </w:rPr>
        <w:t xml:space="preserve">7 </w:t>
      </w:r>
      <w:r>
        <w:rPr>
          <w:rFonts w:eastAsiaTheme="minorEastAsia"/>
          <w:sz w:val="24"/>
          <w:highlight w:val="none"/>
          <w:lang w:val="zh-TW" w:bidi="ar"/>
        </w:rPr>
        <w:t>开启响应文件</w:t>
      </w:r>
    </w:p>
    <w:p w14:paraId="64F98CDC">
      <w:pPr>
        <w:spacing w:line="360" w:lineRule="auto"/>
        <w:ind w:firstLine="480" w:firstLineChars="200"/>
        <w:rPr>
          <w:rFonts w:eastAsiaTheme="minorEastAsia"/>
          <w:sz w:val="24"/>
          <w:highlight w:val="none"/>
          <w:lang w:bidi="ar"/>
        </w:rPr>
      </w:pPr>
      <w:r>
        <w:rPr>
          <w:rFonts w:eastAsiaTheme="minorEastAsia"/>
          <w:sz w:val="24"/>
          <w:highlight w:val="none"/>
        </w:rPr>
        <w:t>供应商于</w:t>
      </w:r>
      <w:r>
        <w:rPr>
          <w:rFonts w:eastAsiaTheme="minorEastAsia"/>
          <w:sz w:val="24"/>
          <w:highlight w:val="none"/>
          <w:lang w:val="zh-TW" w:bidi="ar"/>
        </w:rPr>
        <w:t>磋商文件规定的开启时间、在开启地点使用</w:t>
      </w:r>
      <w:r>
        <w:rPr>
          <w:rFonts w:eastAsiaTheme="minorEastAsia"/>
          <w:sz w:val="24"/>
          <w:highlight w:val="none"/>
          <w:lang w:bidi="ar"/>
        </w:rPr>
        <w:t>CA数字证书</w:t>
      </w:r>
      <w:r>
        <w:rPr>
          <w:sz w:val="24"/>
          <w:highlight w:val="none"/>
          <w:lang w:bidi="ar"/>
        </w:rPr>
        <w:t>或电子营业执照</w:t>
      </w:r>
      <w:r>
        <w:rPr>
          <w:rFonts w:eastAsiaTheme="minorEastAsia"/>
          <w:sz w:val="24"/>
          <w:highlight w:val="none"/>
          <w:lang w:val="zh-TW" w:bidi="ar"/>
        </w:rPr>
        <w:t>登录</w:t>
      </w:r>
      <w:r>
        <w:rPr>
          <w:rFonts w:eastAsiaTheme="minorEastAsia"/>
          <w:sz w:val="24"/>
          <w:highlight w:val="none"/>
          <w:lang w:bidi="ar"/>
        </w:rPr>
        <w:t>北京市政府采购电子交易平台解密并开启响应文件。如因供应商问题，解密不成功，则</w:t>
      </w:r>
      <w:r>
        <w:rPr>
          <w:rFonts w:eastAsiaTheme="minorEastAsia"/>
          <w:b/>
          <w:sz w:val="24"/>
          <w:highlight w:val="none"/>
          <w:lang w:bidi="ar"/>
        </w:rPr>
        <w:t>响应无效</w:t>
      </w:r>
      <w:r>
        <w:rPr>
          <w:rFonts w:eastAsiaTheme="minorEastAsia"/>
          <w:sz w:val="24"/>
          <w:highlight w:val="none"/>
          <w:lang w:bidi="ar"/>
        </w:rPr>
        <w:t>。</w:t>
      </w:r>
    </w:p>
    <w:p w14:paraId="06F21FA2">
      <w:pPr>
        <w:spacing w:line="480" w:lineRule="auto"/>
        <w:ind w:firstLine="482" w:firstLineChars="200"/>
        <w:rPr>
          <w:sz w:val="24"/>
        </w:rPr>
      </w:pPr>
      <w:r>
        <w:rPr>
          <w:rFonts w:hint="eastAsia" w:ascii="宋体" w:hAnsi="宋体" w:eastAsia="宋体" w:cs="宋体"/>
          <w:b/>
          <w:sz w:val="24"/>
          <w:highlight w:val="none"/>
          <w:lang w:val="en-US" w:eastAsia="zh-CN"/>
        </w:rPr>
        <w:t>3.</w:t>
      </w:r>
      <w:r>
        <w:rPr>
          <w:rFonts w:hint="eastAsia" w:ascii="宋体" w:hAnsi="宋体" w:eastAsia="宋体" w:cs="宋体"/>
          <w:b/>
          <w:sz w:val="24"/>
          <w:highlight w:val="none"/>
        </w:rPr>
        <w:t>投标人应准备纸质投标文件（上传电子投标</w:t>
      </w:r>
      <w:r>
        <w:rPr>
          <w:rFonts w:hint="eastAsia" w:ascii="宋体" w:hAnsi="宋体" w:eastAsia="宋体" w:cs="宋体"/>
          <w:b/>
          <w:sz w:val="24"/>
        </w:rPr>
        <w:t>文件的打印版）2份，交由招标代理机构。递</w:t>
      </w:r>
      <w:r>
        <w:rPr>
          <w:rFonts w:hint="eastAsia" w:ascii="宋体" w:hAnsi="宋体" w:eastAsia="宋体" w:cs="宋体"/>
          <w:b/>
          <w:sz w:val="24"/>
          <w:highlight w:val="none"/>
        </w:rPr>
        <w:t>交时间为</w:t>
      </w:r>
      <w:r>
        <w:rPr>
          <w:rFonts w:hint="eastAsia" w:ascii="宋体" w:hAnsi="宋体" w:cs="宋体"/>
          <w:b/>
          <w:sz w:val="24"/>
          <w:highlight w:val="none"/>
          <w:lang w:eastAsia="zh-CN"/>
        </w:rPr>
        <w:t>2025</w:t>
      </w:r>
      <w:r>
        <w:rPr>
          <w:rFonts w:hint="eastAsia" w:ascii="宋体" w:hAnsi="宋体" w:eastAsia="宋体" w:cs="宋体"/>
          <w:b/>
          <w:sz w:val="24"/>
          <w:highlight w:val="none"/>
        </w:rPr>
        <w:t>年</w:t>
      </w:r>
      <w:r>
        <w:rPr>
          <w:rFonts w:hint="eastAsia" w:ascii="宋体" w:hAnsi="宋体" w:cs="宋体"/>
          <w:b/>
          <w:sz w:val="24"/>
          <w:highlight w:val="none"/>
          <w:lang w:val="en-US" w:eastAsia="zh-CN"/>
        </w:rPr>
        <w:t xml:space="preserve"> 10 </w:t>
      </w:r>
      <w:r>
        <w:rPr>
          <w:rFonts w:hint="eastAsia" w:ascii="宋体" w:hAnsi="宋体" w:eastAsia="宋体" w:cs="宋体"/>
          <w:b/>
          <w:sz w:val="24"/>
          <w:highlight w:val="none"/>
        </w:rPr>
        <w:t>月</w:t>
      </w:r>
      <w:r>
        <w:rPr>
          <w:rFonts w:hint="eastAsia" w:ascii="宋体" w:hAnsi="宋体" w:cs="宋体"/>
          <w:b/>
          <w:sz w:val="24"/>
          <w:highlight w:val="none"/>
          <w:lang w:val="en-US" w:eastAsia="zh-CN"/>
        </w:rPr>
        <w:t xml:space="preserve"> 13 </w:t>
      </w:r>
      <w:r>
        <w:rPr>
          <w:rFonts w:hint="eastAsia" w:ascii="宋体" w:hAnsi="宋体" w:eastAsia="宋体" w:cs="宋体"/>
          <w:b/>
          <w:sz w:val="24"/>
          <w:highlight w:val="none"/>
        </w:rPr>
        <w:t>日9点30分，</w:t>
      </w:r>
      <w:r>
        <w:rPr>
          <w:rFonts w:hint="eastAsia" w:ascii="宋体" w:hAnsi="宋体" w:eastAsia="宋体" w:cs="宋体"/>
          <w:b/>
          <w:sz w:val="24"/>
        </w:rPr>
        <w:t>递交地点为</w:t>
      </w:r>
      <w:r>
        <w:rPr>
          <w:rFonts w:hint="eastAsia" w:ascii="宋体" w:hAnsi="宋体" w:cs="宋体"/>
          <w:b/>
          <w:color w:val="000000"/>
          <w:sz w:val="24"/>
          <w:lang w:eastAsia="zh-CN"/>
        </w:rPr>
        <w:t>北京市昌平区公共资源交易中心</w:t>
      </w:r>
      <w:r>
        <w:rPr>
          <w:rFonts w:hint="eastAsia" w:ascii="宋体" w:hAnsi="宋体" w:eastAsia="宋体" w:cs="宋体"/>
          <w:b/>
          <w:sz w:val="24"/>
        </w:rPr>
        <w:t>。若纸质文件与</w:t>
      </w:r>
      <w:r>
        <w:rPr>
          <w:rFonts w:hint="eastAsia" w:ascii="宋体" w:hAnsi="宋体" w:eastAsia="宋体" w:cs="宋体"/>
          <w:b/>
          <w:sz w:val="24"/>
          <w:lang w:val="zh-TW"/>
        </w:rPr>
        <w:t>上传电子投标文件不符</w:t>
      </w:r>
      <w:r>
        <w:rPr>
          <w:rFonts w:hint="eastAsia" w:ascii="宋体" w:hAnsi="宋体" w:eastAsia="宋体" w:cs="宋体"/>
          <w:b/>
          <w:sz w:val="24"/>
        </w:rPr>
        <w:t>，以</w:t>
      </w:r>
      <w:r>
        <w:rPr>
          <w:rFonts w:hint="eastAsia" w:ascii="宋体" w:hAnsi="宋体" w:eastAsia="宋体" w:cs="宋体"/>
          <w:b/>
          <w:sz w:val="24"/>
          <w:lang w:val="zh-TW"/>
        </w:rPr>
        <w:t>上传电子投标文件</w:t>
      </w:r>
      <w:r>
        <w:rPr>
          <w:rFonts w:hint="eastAsia" w:ascii="宋体" w:hAnsi="宋体" w:eastAsia="宋体" w:cs="宋体"/>
          <w:b/>
          <w:sz w:val="24"/>
        </w:rPr>
        <w:t>为准。</w:t>
      </w:r>
    </w:p>
    <w:p w14:paraId="035830A3">
      <w:pPr>
        <w:pStyle w:val="3"/>
        <w:spacing w:before="0" w:line="360" w:lineRule="auto"/>
        <w:jc w:val="left"/>
        <w:rPr>
          <w:rFonts w:ascii="Times New Roman" w:hAnsi="Times New Roman" w:eastAsiaTheme="minorEastAsia"/>
          <w:sz w:val="24"/>
          <w:szCs w:val="24"/>
        </w:rPr>
      </w:pPr>
      <w:bookmarkStart w:id="25" w:name="_Toc35393627"/>
      <w:bookmarkStart w:id="26" w:name="_Toc35393796"/>
      <w:bookmarkStart w:id="27" w:name="_Toc28359008"/>
      <w:bookmarkStart w:id="28" w:name="_Toc28359085"/>
      <w:r>
        <w:rPr>
          <w:rFonts w:ascii="Times New Roman" w:hAnsi="Times New Roman" w:eastAsiaTheme="minorEastAsia"/>
          <w:sz w:val="24"/>
          <w:szCs w:val="24"/>
        </w:rPr>
        <w:t>八、对本次采购提出询问，请按以下方式联系。</w:t>
      </w:r>
      <w:bookmarkEnd w:id="25"/>
      <w:bookmarkEnd w:id="26"/>
      <w:bookmarkEnd w:id="27"/>
      <w:bookmarkEnd w:id="28"/>
    </w:p>
    <w:p w14:paraId="694E854D">
      <w:pPr>
        <w:widowControl/>
        <w:spacing w:line="360" w:lineRule="auto"/>
        <w:jc w:val="left"/>
        <w:rPr>
          <w:rFonts w:eastAsiaTheme="minorEastAsia"/>
          <w:b/>
          <w:sz w:val="24"/>
        </w:rPr>
      </w:pPr>
      <w:r>
        <w:rPr>
          <w:rFonts w:eastAsiaTheme="minorEastAsia"/>
          <w:sz w:val="24"/>
        </w:rPr>
        <w:t>　　　</w:t>
      </w:r>
      <w:r>
        <w:rPr>
          <w:rFonts w:eastAsiaTheme="minorEastAsia"/>
          <w:b/>
          <w:sz w:val="24"/>
        </w:rPr>
        <w:t>1.采购人信息</w:t>
      </w:r>
    </w:p>
    <w:p w14:paraId="0E1E38C5">
      <w:pPr>
        <w:spacing w:line="360" w:lineRule="auto"/>
        <w:ind w:left="1079" w:leftChars="371" w:hanging="300" w:hangingChars="125"/>
        <w:jc w:val="left"/>
        <w:rPr>
          <w:rFonts w:eastAsiaTheme="minorEastAsia"/>
          <w:sz w:val="24"/>
        </w:rPr>
      </w:pPr>
      <w:bookmarkStart w:id="29" w:name="_Toc28359086"/>
      <w:bookmarkStart w:id="30" w:name="_Toc28359009"/>
      <w:r>
        <w:rPr>
          <w:rFonts w:eastAsiaTheme="minorEastAsia"/>
          <w:sz w:val="24"/>
        </w:rPr>
        <w:t>名    称：</w:t>
      </w:r>
      <w:r>
        <w:rPr>
          <w:rFonts w:hint="eastAsia" w:ascii="宋体" w:hAnsi="宋体" w:eastAsia="宋体" w:cs="宋体"/>
          <w:sz w:val="24"/>
          <w:szCs w:val="24"/>
          <w:highlight w:val="none"/>
          <w:u w:val="single"/>
          <w:shd w:val="clear" w:color="auto" w:fill="auto"/>
          <w:lang w:eastAsia="zh-CN"/>
        </w:rPr>
        <w:t>北京市昌平区百善镇人民政府</w:t>
      </w:r>
    </w:p>
    <w:p w14:paraId="7496F576">
      <w:pPr>
        <w:spacing w:line="360" w:lineRule="auto"/>
        <w:ind w:left="1079" w:leftChars="371" w:hanging="300" w:hangingChars="125"/>
        <w:jc w:val="left"/>
        <w:rPr>
          <w:rFonts w:eastAsiaTheme="minorEastAsia"/>
          <w:sz w:val="24"/>
        </w:rPr>
      </w:pPr>
      <w:r>
        <w:rPr>
          <w:rFonts w:eastAsiaTheme="minorEastAsia"/>
          <w:sz w:val="24"/>
        </w:rPr>
        <w:t>地    址：</w:t>
      </w:r>
      <w:r>
        <w:rPr>
          <w:rFonts w:hint="eastAsia" w:ascii="宋体" w:hAnsi="宋体" w:eastAsia="宋体" w:cs="宋体"/>
          <w:sz w:val="24"/>
          <w:highlight w:val="none"/>
          <w:u w:val="single"/>
          <w:shd w:val="clear" w:color="auto" w:fill="auto"/>
          <w:lang w:eastAsia="zh-CN"/>
        </w:rPr>
        <w:t>北京市昌平区百善镇百善村</w:t>
      </w:r>
    </w:p>
    <w:p w14:paraId="1B3B9AA5">
      <w:pPr>
        <w:spacing w:line="360" w:lineRule="auto"/>
        <w:ind w:left="1079" w:leftChars="371" w:hanging="300" w:hangingChars="125"/>
        <w:jc w:val="left"/>
        <w:rPr>
          <w:rFonts w:hint="default" w:eastAsiaTheme="minorEastAsia"/>
          <w:sz w:val="24"/>
          <w:u w:val="single"/>
          <w:lang w:val="en-US"/>
        </w:rPr>
      </w:pPr>
      <w:r>
        <w:rPr>
          <w:rFonts w:eastAsiaTheme="minorEastAsia"/>
          <w:sz w:val="24"/>
        </w:rPr>
        <w:t>联系方式：</w:t>
      </w:r>
      <w:bookmarkStart w:id="31" w:name="OLE_LINK7"/>
      <w:r>
        <w:rPr>
          <w:rFonts w:hint="eastAsia" w:ascii="宋体" w:hAnsi="宋体" w:eastAsia="宋体" w:cs="宋体"/>
          <w:sz w:val="24"/>
          <w:highlight w:val="none"/>
          <w:u w:val="single"/>
          <w:shd w:val="clear" w:color="auto" w:fill="auto"/>
          <w:lang w:val="en-US" w:eastAsia="zh-CN"/>
        </w:rPr>
        <w:t>马赫迪</w:t>
      </w:r>
      <w:bookmarkEnd w:id="31"/>
      <w:r>
        <w:rPr>
          <w:rFonts w:hint="eastAsia" w:ascii="宋体" w:hAnsi="宋体" w:eastAsia="宋体" w:cs="宋体"/>
          <w:sz w:val="24"/>
          <w:highlight w:val="none"/>
          <w:u w:val="single"/>
          <w:shd w:val="clear" w:color="auto" w:fill="auto"/>
          <w:lang w:eastAsia="zh-CN"/>
        </w:rPr>
        <w:t>、</w:t>
      </w:r>
      <w:bookmarkStart w:id="32" w:name="OLE_LINK10"/>
      <w:r>
        <w:rPr>
          <w:rFonts w:hint="eastAsia" w:ascii="宋体" w:hAnsi="宋体" w:eastAsia="宋体" w:cs="宋体"/>
          <w:sz w:val="24"/>
          <w:szCs w:val="24"/>
          <w:highlight w:val="none"/>
          <w:u w:val="single"/>
          <w:shd w:val="clear" w:color="auto" w:fill="auto"/>
        </w:rPr>
        <w:t>010-61730878</w:t>
      </w:r>
      <w:bookmarkEnd w:id="32"/>
    </w:p>
    <w:p w14:paraId="59F02B16">
      <w:pPr>
        <w:spacing w:line="360" w:lineRule="auto"/>
        <w:ind w:left="1078" w:leftChars="371" w:hanging="299" w:hangingChars="124"/>
        <w:jc w:val="left"/>
        <w:rPr>
          <w:rFonts w:eastAsiaTheme="minorEastAsia"/>
          <w:b/>
          <w:sz w:val="24"/>
        </w:rPr>
      </w:pPr>
      <w:r>
        <w:rPr>
          <w:rFonts w:eastAsiaTheme="minorEastAsia"/>
          <w:b/>
          <w:sz w:val="24"/>
        </w:rPr>
        <w:t>2.采购代理机构信息</w:t>
      </w:r>
      <w:bookmarkEnd w:id="29"/>
      <w:bookmarkEnd w:id="30"/>
    </w:p>
    <w:p w14:paraId="5ACD4A8A">
      <w:pPr>
        <w:spacing w:line="360" w:lineRule="auto"/>
        <w:ind w:firstLine="720" w:firstLineChars="300"/>
        <w:jc w:val="left"/>
        <w:rPr>
          <w:rFonts w:hint="eastAsia" w:ascii="宋体" w:hAnsi="宋体" w:eastAsia="宋体" w:cs="宋体"/>
          <w:sz w:val="24"/>
          <w:lang w:eastAsia="zh-CN"/>
        </w:rPr>
      </w:pPr>
      <w:bookmarkStart w:id="33" w:name="_Toc28359087"/>
      <w:bookmarkStart w:id="34" w:name="_Toc28359010"/>
      <w:r>
        <w:rPr>
          <w:sz w:val="24"/>
        </w:rPr>
        <w:t>名 称：</w:t>
      </w:r>
      <w:r>
        <w:rPr>
          <w:rFonts w:hint="eastAsia" w:ascii="宋体" w:hAnsi="宋体" w:cs="宋体"/>
          <w:sz w:val="24"/>
          <w:u w:val="single"/>
          <w:lang w:eastAsia="zh-CN"/>
        </w:rPr>
        <w:t>中咨华源(北京)咨询有限公司</w:t>
      </w:r>
    </w:p>
    <w:p w14:paraId="30DC48F2">
      <w:pPr>
        <w:spacing w:line="360" w:lineRule="auto"/>
        <w:ind w:firstLine="720" w:firstLineChars="300"/>
        <w:jc w:val="left"/>
        <w:rPr>
          <w:sz w:val="24"/>
          <w:u w:val="single"/>
        </w:rPr>
      </w:pPr>
      <w:r>
        <w:rPr>
          <w:sz w:val="24"/>
        </w:rPr>
        <w:t>地 址：</w:t>
      </w:r>
      <w:bookmarkStart w:id="35" w:name="OLE_LINK1"/>
      <w:r>
        <w:rPr>
          <w:rFonts w:hint="eastAsia" w:ascii="宋体" w:hAnsi="宋体" w:eastAsia="宋体" w:cs="宋体"/>
          <w:sz w:val="24"/>
          <w:u w:val="single"/>
          <w:lang w:eastAsia="zh-CN"/>
        </w:rPr>
        <w:t>北京市房山区广阳西路21号</w:t>
      </w:r>
      <w:bookmarkEnd w:id="35"/>
    </w:p>
    <w:p w14:paraId="757F1CAE">
      <w:pPr>
        <w:spacing w:line="360" w:lineRule="auto"/>
        <w:ind w:firstLine="720" w:firstLineChars="300"/>
        <w:jc w:val="left"/>
        <w:rPr>
          <w:rFonts w:hint="eastAsia" w:ascii="宋体" w:hAnsi="宋体" w:cs="宋体"/>
          <w:sz w:val="24"/>
          <w:lang w:val="en-US" w:eastAsia="zh-CN"/>
        </w:rPr>
      </w:pPr>
      <w:r>
        <w:rPr>
          <w:sz w:val="24"/>
        </w:rPr>
        <w:t>联系方式：</w:t>
      </w:r>
      <w:r>
        <w:rPr>
          <w:rFonts w:hint="eastAsia" w:ascii="宋体" w:hAnsi="宋体" w:cs="宋体"/>
          <w:sz w:val="24"/>
          <w:u w:val="single"/>
        </w:rPr>
        <w:t>刘旭坤、张振华、史利铁、王蕾、郭春霞</w:t>
      </w:r>
      <w:r>
        <w:rPr>
          <w:rFonts w:hint="eastAsia" w:ascii="宋体" w:hAnsi="宋体" w:cs="宋体"/>
          <w:sz w:val="24"/>
          <w:u w:val="single"/>
          <w:lang w:val="en-US" w:eastAsia="zh-CN"/>
        </w:rPr>
        <w:t>13241916611</w:t>
      </w:r>
    </w:p>
    <w:p w14:paraId="5AAC0419">
      <w:pPr>
        <w:spacing w:line="360" w:lineRule="auto"/>
        <w:ind w:firstLine="720" w:firstLineChars="300"/>
        <w:rPr>
          <w:rFonts w:hint="eastAsia" w:ascii="宋体" w:hAnsi="宋体" w:cs="宋体"/>
          <w:sz w:val="24"/>
          <w:u w:val="single"/>
        </w:rPr>
      </w:pPr>
      <w:r>
        <w:rPr>
          <w:rFonts w:hint="eastAsia" w:ascii="宋体" w:hAnsi="宋体" w:cs="宋体"/>
          <w:sz w:val="24"/>
        </w:rPr>
        <w:t>电子邮箱：</w:t>
      </w:r>
      <w:r>
        <w:rPr>
          <w:rFonts w:hint="eastAsia" w:ascii="宋体" w:hAnsi="宋体" w:eastAsia="宋体" w:cs="宋体"/>
          <w:b w:val="0"/>
          <w:bCs w:val="0"/>
          <w:sz w:val="24"/>
          <w:szCs w:val="24"/>
          <w:u w:val="single"/>
        </w:rPr>
        <w:t>LIUjinz0328@163.com</w:t>
      </w:r>
    </w:p>
    <w:p w14:paraId="1A3DAAD8">
      <w:pPr>
        <w:spacing w:line="360" w:lineRule="auto"/>
        <w:ind w:left="1078" w:leftChars="371" w:hanging="299" w:hangingChars="124"/>
        <w:rPr>
          <w:rFonts w:eastAsiaTheme="minorEastAsia"/>
          <w:b/>
          <w:sz w:val="24"/>
          <w:u w:val="single"/>
        </w:rPr>
      </w:pPr>
      <w:r>
        <w:rPr>
          <w:rFonts w:eastAsiaTheme="minorEastAsia"/>
          <w:b/>
          <w:sz w:val="24"/>
        </w:rPr>
        <w:t>3.项目联系方式</w:t>
      </w:r>
      <w:bookmarkEnd w:id="33"/>
      <w:bookmarkEnd w:id="34"/>
    </w:p>
    <w:p w14:paraId="340C4B9D">
      <w:pPr>
        <w:pStyle w:val="23"/>
        <w:spacing w:line="360" w:lineRule="auto"/>
        <w:ind w:left="1076" w:leftChars="371" w:hanging="297" w:hangingChars="124"/>
        <w:rPr>
          <w:rFonts w:hint="default" w:ascii="Times New Roman" w:hAnsi="Times New Roman" w:eastAsiaTheme="minorEastAsia"/>
          <w:sz w:val="24"/>
          <w:u w:val="single"/>
          <w:lang w:bidi="ar"/>
        </w:rPr>
      </w:pPr>
      <w:r>
        <w:rPr>
          <w:rFonts w:hint="default" w:ascii="Times New Roman" w:hAnsi="Times New Roman" w:eastAsiaTheme="minorEastAsia"/>
          <w:sz w:val="24"/>
          <w:szCs w:val="24"/>
        </w:rPr>
        <w:t>项目联系人：</w:t>
      </w:r>
      <w:r>
        <w:rPr>
          <w:rFonts w:hint="eastAsia" w:ascii="宋体" w:hAnsi="宋体" w:cs="宋体"/>
          <w:sz w:val="24"/>
          <w:u w:val="single"/>
        </w:rPr>
        <w:t>刘旭坤、张振华、史利铁、王蕾、郭春霞</w:t>
      </w:r>
    </w:p>
    <w:p w14:paraId="5CD05C0C">
      <w:pPr>
        <w:spacing w:line="360" w:lineRule="auto"/>
        <w:ind w:firstLine="720" w:firstLineChars="300"/>
        <w:jc w:val="both"/>
        <w:rPr>
          <w:rFonts w:eastAsiaTheme="minorEastAsia"/>
          <w:sz w:val="24"/>
        </w:rPr>
      </w:pPr>
      <w:r>
        <w:rPr>
          <w:rFonts w:hint="default" w:ascii="Times New Roman" w:hAnsi="Times New Roman" w:eastAsiaTheme="minorEastAsia"/>
          <w:sz w:val="24"/>
        </w:rPr>
        <w:t>电      话：</w:t>
      </w:r>
      <w:r>
        <w:rPr>
          <w:rFonts w:hint="eastAsia" w:ascii="宋体" w:hAnsi="宋体" w:cs="宋体"/>
          <w:sz w:val="24"/>
          <w:u w:val="single"/>
          <w:lang w:val="en-US" w:eastAsia="zh-CN"/>
        </w:rPr>
        <w:t>13241916611</w:t>
      </w:r>
    </w:p>
    <w:p w14:paraId="3F7E5B89">
      <w:pPr>
        <w:spacing w:line="360" w:lineRule="auto"/>
        <w:jc w:val="center"/>
        <w:outlineLvl w:val="0"/>
        <w:rPr>
          <w:rFonts w:eastAsiaTheme="minorEastAsia"/>
          <w:b/>
          <w:sz w:val="32"/>
          <w:szCs w:val="32"/>
        </w:rPr>
      </w:pPr>
      <w:r>
        <w:rPr>
          <w:rFonts w:eastAsiaTheme="minorEastAsia"/>
          <w:sz w:val="24"/>
        </w:rPr>
        <w:br w:type="page"/>
      </w:r>
      <w:bookmarkStart w:id="36" w:name="_Toc264969275"/>
      <w:bookmarkStart w:id="37" w:name="_Toc127151777"/>
      <w:bookmarkStart w:id="38" w:name="_Toc512937850"/>
      <w:bookmarkStart w:id="39" w:name="_Toc353825548"/>
      <w:bookmarkStart w:id="40" w:name="_Toc195842950"/>
      <w:bookmarkStart w:id="41" w:name="_Toc305158854"/>
      <w:bookmarkStart w:id="42" w:name="_Toc353873938"/>
      <w:bookmarkStart w:id="43" w:name="_Toc265228423"/>
      <w:bookmarkStart w:id="44" w:name="_Toc226965856"/>
      <w:bookmarkStart w:id="45" w:name="_Toc305158928"/>
      <w:bookmarkStart w:id="46" w:name="_Toc127161488"/>
      <w:bookmarkStart w:id="47" w:name="_Toc150774783"/>
      <w:bookmarkStart w:id="48" w:name="_Toc97371942"/>
      <w:r>
        <w:rPr>
          <w:rFonts w:eastAsiaTheme="minorEastAsia"/>
          <w:b/>
          <w:sz w:val="36"/>
          <w:szCs w:val="36"/>
        </w:rPr>
        <w:t>第二章   供应商须知</w:t>
      </w:r>
      <w:bookmarkEnd w:id="36"/>
      <w:bookmarkEnd w:id="37"/>
      <w:bookmarkEnd w:id="38"/>
      <w:bookmarkEnd w:id="39"/>
      <w:bookmarkEnd w:id="40"/>
      <w:bookmarkEnd w:id="41"/>
      <w:bookmarkEnd w:id="42"/>
      <w:bookmarkEnd w:id="43"/>
      <w:bookmarkEnd w:id="44"/>
      <w:bookmarkEnd w:id="45"/>
      <w:bookmarkEnd w:id="46"/>
      <w:bookmarkEnd w:id="47"/>
      <w:bookmarkEnd w:id="48"/>
    </w:p>
    <w:p w14:paraId="6FCDD878">
      <w:pPr>
        <w:pStyle w:val="3"/>
        <w:tabs>
          <w:tab w:val="center" w:pos="4592"/>
          <w:tab w:val="left" w:pos="7860"/>
        </w:tabs>
        <w:spacing w:before="0" w:line="360" w:lineRule="auto"/>
        <w:rPr>
          <w:rFonts w:ascii="Times New Roman" w:hAnsi="Times New Roman" w:eastAsiaTheme="minorEastAsia"/>
          <w:b w:val="0"/>
          <w:sz w:val="28"/>
        </w:rPr>
      </w:pPr>
      <w:bookmarkStart w:id="49" w:name="_Toc164608633"/>
      <w:bookmarkStart w:id="50" w:name="_Toc127151720"/>
      <w:bookmarkStart w:id="51" w:name="_Toc127161433"/>
      <w:bookmarkStart w:id="52" w:name="_Toc195842884"/>
      <w:bookmarkStart w:id="53" w:name="_Toc226965709"/>
      <w:bookmarkStart w:id="54" w:name="_Toc127151519"/>
      <w:bookmarkStart w:id="55" w:name="_Toc164351613"/>
      <w:bookmarkStart w:id="56" w:name="_Toc150509270"/>
      <w:bookmarkStart w:id="57" w:name="_Toc150774619"/>
      <w:bookmarkStart w:id="58" w:name="_Toc226309763"/>
      <w:bookmarkStart w:id="59" w:name="_Toc149720812"/>
      <w:bookmarkStart w:id="60" w:name="_Toc150774724"/>
      <w:bookmarkStart w:id="61" w:name="_Toc151193617"/>
      <w:bookmarkStart w:id="62" w:name="_Toc142311021"/>
      <w:bookmarkStart w:id="63" w:name="_Toc520356144"/>
      <w:bookmarkStart w:id="64" w:name="_Toc226337215"/>
      <w:bookmarkStart w:id="65" w:name="_Toc164229214"/>
      <w:bookmarkStart w:id="66" w:name="_Toc151193907"/>
      <w:bookmarkStart w:id="67" w:name="_Toc151193761"/>
      <w:bookmarkStart w:id="68" w:name="_Toc150480757"/>
      <w:bookmarkStart w:id="69" w:name="_Toc151193689"/>
      <w:bookmarkStart w:id="70" w:name="_Toc164608788"/>
      <w:bookmarkStart w:id="71" w:name="_Toc226965792"/>
      <w:bookmarkStart w:id="72" w:name="_Toc151190146"/>
      <w:bookmarkStart w:id="73" w:name="_Toc151193833"/>
      <w:bookmarkStart w:id="74" w:name="_Toc164229360"/>
      <w:r>
        <w:rPr>
          <w:rFonts w:ascii="Times New Roman" w:hAnsi="Times New Roman" w:eastAsiaTheme="minorEastAsia"/>
          <w:sz w:val="28"/>
        </w:rPr>
        <w:t>供应商须知资料表</w:t>
      </w:r>
    </w:p>
    <w:p w14:paraId="46F66376">
      <w:pPr>
        <w:jc w:val="center"/>
        <w:rPr>
          <w:rFonts w:eastAsiaTheme="minorEastAsia"/>
          <w:b/>
          <w:sz w:val="28"/>
          <w:szCs w:val="28"/>
        </w:rPr>
      </w:pPr>
    </w:p>
    <w:p w14:paraId="7552870C">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Style w:val="42"/>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6CC5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7A13C7C0">
            <w:pPr>
              <w:jc w:val="center"/>
              <w:rPr>
                <w:rFonts w:eastAsiaTheme="minorEastAsia"/>
                <w:b/>
                <w:bCs/>
                <w:sz w:val="24"/>
              </w:rPr>
            </w:pPr>
            <w:r>
              <w:rPr>
                <w:rFonts w:eastAsiaTheme="minorEastAsia"/>
                <w:b/>
                <w:sz w:val="24"/>
              </w:rPr>
              <w:t>条款号</w:t>
            </w:r>
          </w:p>
        </w:tc>
        <w:tc>
          <w:tcPr>
            <w:tcW w:w="1701" w:type="dxa"/>
            <w:vAlign w:val="center"/>
          </w:tcPr>
          <w:p w14:paraId="63E2FC45">
            <w:pPr>
              <w:jc w:val="center"/>
              <w:rPr>
                <w:rFonts w:eastAsiaTheme="minorEastAsia"/>
                <w:b/>
                <w:bCs/>
                <w:sz w:val="24"/>
              </w:rPr>
            </w:pPr>
            <w:r>
              <w:rPr>
                <w:rFonts w:eastAsiaTheme="minorEastAsia"/>
                <w:b/>
                <w:bCs/>
                <w:sz w:val="24"/>
              </w:rPr>
              <w:t>条目</w:t>
            </w:r>
          </w:p>
        </w:tc>
        <w:tc>
          <w:tcPr>
            <w:tcW w:w="7253" w:type="dxa"/>
            <w:vAlign w:val="center"/>
          </w:tcPr>
          <w:p w14:paraId="15F4D616">
            <w:pPr>
              <w:jc w:val="center"/>
              <w:rPr>
                <w:rFonts w:eastAsiaTheme="minorEastAsia"/>
                <w:b/>
                <w:bCs/>
                <w:sz w:val="24"/>
              </w:rPr>
            </w:pPr>
            <w:r>
              <w:rPr>
                <w:rFonts w:eastAsiaTheme="minorEastAsia"/>
                <w:b/>
                <w:bCs/>
                <w:sz w:val="24"/>
              </w:rPr>
              <w:t>内容</w:t>
            </w:r>
          </w:p>
        </w:tc>
      </w:tr>
      <w:tr w14:paraId="45500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915E3DA">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2.2</w:t>
            </w:r>
          </w:p>
        </w:tc>
        <w:tc>
          <w:tcPr>
            <w:tcW w:w="1701" w:type="dxa"/>
            <w:vAlign w:val="center"/>
          </w:tcPr>
          <w:p w14:paraId="57D322FF">
            <w:pPr>
              <w:jc w:val="center"/>
              <w:rPr>
                <w:rFonts w:eastAsiaTheme="minorEastAsia"/>
                <w:sz w:val="24"/>
              </w:rPr>
            </w:pPr>
            <w:r>
              <w:rPr>
                <w:rFonts w:eastAsiaTheme="minorEastAsia"/>
                <w:sz w:val="24"/>
              </w:rPr>
              <w:t>项目属性</w:t>
            </w:r>
          </w:p>
        </w:tc>
        <w:tc>
          <w:tcPr>
            <w:tcW w:w="7253" w:type="dxa"/>
            <w:vAlign w:val="center"/>
          </w:tcPr>
          <w:p w14:paraId="12C9D781">
            <w:pPr>
              <w:jc w:val="left"/>
              <w:rPr>
                <w:rFonts w:eastAsiaTheme="minorEastAsia"/>
                <w:sz w:val="24"/>
              </w:rPr>
            </w:pPr>
            <w:r>
              <w:rPr>
                <w:rFonts w:eastAsiaTheme="minorEastAsia"/>
                <w:sz w:val="24"/>
              </w:rPr>
              <w:t>项目属性：</w:t>
            </w:r>
          </w:p>
          <w:p w14:paraId="645D3731">
            <w:pPr>
              <w:jc w:val="left"/>
              <w:rPr>
                <w:rFonts w:eastAsiaTheme="minorEastAsia"/>
                <w:sz w:val="24"/>
              </w:rPr>
            </w:pPr>
            <w:r>
              <w:rPr>
                <w:rFonts w:eastAsiaTheme="minorEastAsia"/>
              </w:rPr>
              <w:t>□</w:t>
            </w:r>
            <w:r>
              <w:rPr>
                <w:rFonts w:eastAsiaTheme="minorEastAsia"/>
                <w:sz w:val="24"/>
              </w:rPr>
              <w:t>服务</w:t>
            </w:r>
          </w:p>
          <w:p w14:paraId="671B5001">
            <w:pPr>
              <w:jc w:val="left"/>
              <w:rPr>
                <w:rFonts w:eastAsiaTheme="minorEastAsia"/>
                <w:sz w:val="24"/>
              </w:rPr>
            </w:pPr>
            <w:r>
              <w:rPr>
                <w:rFonts w:eastAsiaTheme="minorEastAsia"/>
              </w:rPr>
              <w:t>□</w:t>
            </w:r>
            <w:r>
              <w:rPr>
                <w:rFonts w:eastAsiaTheme="minorEastAsia"/>
                <w:sz w:val="24"/>
              </w:rPr>
              <w:t>货物</w:t>
            </w:r>
          </w:p>
          <w:p w14:paraId="59F273C4">
            <w:pPr>
              <w:jc w:val="left"/>
              <w:rPr>
                <w:rFonts w:eastAsiaTheme="minorEastAsia"/>
                <w:sz w:val="24"/>
              </w:rPr>
            </w:pPr>
            <w:r>
              <w:rPr>
                <w:rFonts w:eastAsiaTheme="minorEastAsia"/>
                <w:sz w:val="24"/>
              </w:rPr>
              <w:t>■</w:t>
            </w:r>
            <w:r>
              <w:rPr>
                <w:sz w:val="24"/>
              </w:rPr>
              <w:t>工程</w:t>
            </w:r>
          </w:p>
        </w:tc>
      </w:tr>
      <w:tr w14:paraId="30BD4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9F608AD">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w:t>
            </w:r>
          </w:p>
        </w:tc>
        <w:tc>
          <w:tcPr>
            <w:tcW w:w="1701" w:type="dxa"/>
            <w:vAlign w:val="center"/>
          </w:tcPr>
          <w:p w14:paraId="7EB7B4C1">
            <w:pPr>
              <w:jc w:val="center"/>
              <w:rPr>
                <w:rFonts w:eastAsiaTheme="minorEastAsia"/>
                <w:sz w:val="24"/>
              </w:rPr>
            </w:pPr>
            <w:r>
              <w:rPr>
                <w:rFonts w:eastAsiaTheme="minorEastAsia"/>
                <w:sz w:val="24"/>
              </w:rPr>
              <w:t>科研仪器设备</w:t>
            </w:r>
          </w:p>
        </w:tc>
        <w:tc>
          <w:tcPr>
            <w:tcW w:w="7253" w:type="dxa"/>
            <w:vAlign w:val="center"/>
          </w:tcPr>
          <w:p w14:paraId="689E3D22">
            <w:pPr>
              <w:jc w:val="left"/>
              <w:rPr>
                <w:rFonts w:eastAsiaTheme="minorEastAsia"/>
                <w:sz w:val="24"/>
              </w:rPr>
            </w:pPr>
            <w:r>
              <w:rPr>
                <w:rFonts w:eastAsiaTheme="minorEastAsia"/>
                <w:sz w:val="24"/>
              </w:rPr>
              <w:t>是否属于科研仪器设备采购项目：</w:t>
            </w:r>
          </w:p>
          <w:p w14:paraId="199C2648">
            <w:pPr>
              <w:jc w:val="left"/>
              <w:rPr>
                <w:rFonts w:eastAsiaTheme="minorEastAsia"/>
                <w:sz w:val="24"/>
              </w:rPr>
            </w:pPr>
            <w:r>
              <w:rPr>
                <w:rFonts w:eastAsiaTheme="minorEastAsia"/>
              </w:rPr>
              <w:t>□</w:t>
            </w:r>
            <w:r>
              <w:rPr>
                <w:rFonts w:eastAsiaTheme="minorEastAsia"/>
                <w:sz w:val="24"/>
              </w:rPr>
              <w:t>是</w:t>
            </w:r>
          </w:p>
          <w:p w14:paraId="16756556">
            <w:pPr>
              <w:jc w:val="left"/>
              <w:rPr>
                <w:rFonts w:eastAsiaTheme="minorEastAsia"/>
                <w:sz w:val="24"/>
              </w:rPr>
            </w:pPr>
            <w:r>
              <w:rPr>
                <w:rFonts w:eastAsiaTheme="minorEastAsia"/>
                <w:sz w:val="24"/>
              </w:rPr>
              <w:t>■否</w:t>
            </w:r>
          </w:p>
        </w:tc>
      </w:tr>
      <w:tr w14:paraId="38E9F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68F96990">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3.1</w:t>
            </w:r>
          </w:p>
        </w:tc>
        <w:tc>
          <w:tcPr>
            <w:tcW w:w="1701" w:type="dxa"/>
            <w:vAlign w:val="center"/>
          </w:tcPr>
          <w:p w14:paraId="4353BB50">
            <w:pPr>
              <w:jc w:val="center"/>
              <w:rPr>
                <w:rFonts w:eastAsiaTheme="minorEastAsia"/>
                <w:sz w:val="24"/>
              </w:rPr>
            </w:pPr>
            <w:r>
              <w:rPr>
                <w:rFonts w:eastAsiaTheme="minorEastAsia"/>
                <w:sz w:val="24"/>
              </w:rPr>
              <w:t>现场考察</w:t>
            </w:r>
          </w:p>
        </w:tc>
        <w:tc>
          <w:tcPr>
            <w:tcW w:w="7253" w:type="dxa"/>
            <w:vAlign w:val="center"/>
          </w:tcPr>
          <w:p w14:paraId="50D5278C">
            <w:pPr>
              <w:jc w:val="left"/>
              <w:rPr>
                <w:sz w:val="24"/>
              </w:rPr>
            </w:pPr>
            <w:r>
              <w:rPr>
                <w:rFonts w:eastAsiaTheme="minorEastAsia"/>
                <w:sz w:val="24"/>
              </w:rPr>
              <w:t>■</w:t>
            </w:r>
            <w:r>
              <w:rPr>
                <w:sz w:val="24"/>
              </w:rPr>
              <w:t>不组织</w:t>
            </w:r>
          </w:p>
          <w:p w14:paraId="4F9AF3F1">
            <w:pPr>
              <w:jc w:val="left"/>
              <w:rPr>
                <w:bCs/>
                <w:sz w:val="24"/>
              </w:rPr>
            </w:pPr>
            <w:r>
              <w:rPr>
                <w:sz w:val="24"/>
              </w:rPr>
              <w:t>□组织，考察时间：</w:t>
            </w:r>
            <w:r>
              <w:rPr>
                <w:rFonts w:hint="eastAsia"/>
                <w:sz w:val="24"/>
                <w:u w:val="single"/>
                <w:lang w:val="en-US" w:eastAsia="zh-CN"/>
              </w:rPr>
              <w:t xml:space="preserve"> / </w:t>
            </w:r>
            <w:r>
              <w:rPr>
                <w:sz w:val="24"/>
              </w:rPr>
              <w:t>年</w:t>
            </w:r>
            <w:r>
              <w:rPr>
                <w:rFonts w:hint="eastAsia"/>
                <w:sz w:val="24"/>
                <w:u w:val="single"/>
                <w:lang w:val="en-US" w:eastAsia="zh-CN"/>
              </w:rPr>
              <w:t xml:space="preserve"> / </w:t>
            </w:r>
            <w:r>
              <w:rPr>
                <w:sz w:val="24"/>
              </w:rPr>
              <w:t>月</w:t>
            </w:r>
            <w:r>
              <w:rPr>
                <w:rFonts w:hint="eastAsia"/>
                <w:sz w:val="24"/>
                <w:u w:val="single"/>
                <w:lang w:val="en-US" w:eastAsia="zh-CN"/>
              </w:rPr>
              <w:t xml:space="preserve"> / </w:t>
            </w:r>
            <w:r>
              <w:rPr>
                <w:sz w:val="24"/>
              </w:rPr>
              <w:t>日</w:t>
            </w:r>
            <w:r>
              <w:rPr>
                <w:rFonts w:hint="eastAsia"/>
                <w:sz w:val="24"/>
                <w:u w:val="single"/>
                <w:lang w:val="en-US" w:eastAsia="zh-CN"/>
              </w:rPr>
              <w:t xml:space="preserve"> / </w:t>
            </w:r>
            <w:r>
              <w:rPr>
                <w:bCs/>
                <w:sz w:val="24"/>
              </w:rPr>
              <w:t>点</w:t>
            </w:r>
            <w:r>
              <w:rPr>
                <w:rFonts w:hint="eastAsia"/>
                <w:sz w:val="24"/>
                <w:u w:val="single"/>
                <w:lang w:val="en-US" w:eastAsia="zh-CN"/>
              </w:rPr>
              <w:t xml:space="preserve"> / </w:t>
            </w:r>
            <w:r>
              <w:rPr>
                <w:bCs/>
                <w:sz w:val="24"/>
              </w:rPr>
              <w:t>分</w:t>
            </w:r>
          </w:p>
          <w:p w14:paraId="04D26DDC">
            <w:pPr>
              <w:pStyle w:val="23"/>
              <w:adjustRightInd w:val="0"/>
              <w:snapToGrid w:val="0"/>
              <w:rPr>
                <w:rFonts w:hint="default" w:ascii="Times New Roman" w:hAnsi="Times New Roman" w:eastAsiaTheme="minorEastAsia"/>
                <w:sz w:val="24"/>
              </w:rPr>
            </w:pPr>
            <w:r>
              <w:rPr>
                <w:rFonts w:hint="default" w:ascii="Times New Roman" w:hAnsi="Times New Roman"/>
                <w:sz w:val="24"/>
              </w:rPr>
              <w:t>考察地点：</w:t>
            </w:r>
            <w:r>
              <w:rPr>
                <w:rFonts w:hint="eastAsia" w:ascii="Times New Roman" w:hAnsi="Times New Roman"/>
                <w:sz w:val="24"/>
                <w:u w:val="single"/>
                <w:lang w:val="en-US" w:eastAsia="zh-CN"/>
              </w:rPr>
              <w:t xml:space="preserve"> / </w:t>
            </w:r>
            <w:r>
              <w:rPr>
                <w:rFonts w:hint="default" w:ascii="Times New Roman" w:hAnsi="Times New Roman"/>
                <w:sz w:val="24"/>
              </w:rPr>
              <w:t>。</w:t>
            </w:r>
          </w:p>
        </w:tc>
      </w:tr>
      <w:tr w14:paraId="2BC3A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01B053DB">
            <w:pPr>
              <w:pStyle w:val="23"/>
              <w:adjustRightInd w:val="0"/>
              <w:snapToGrid w:val="0"/>
              <w:jc w:val="center"/>
              <w:rPr>
                <w:rFonts w:hint="default" w:ascii="Times New Roman" w:hAnsi="Times New Roman" w:eastAsiaTheme="minorEastAsia"/>
                <w:sz w:val="24"/>
                <w:szCs w:val="24"/>
              </w:rPr>
            </w:pPr>
          </w:p>
        </w:tc>
        <w:tc>
          <w:tcPr>
            <w:tcW w:w="1701" w:type="dxa"/>
            <w:vAlign w:val="center"/>
          </w:tcPr>
          <w:p w14:paraId="648DBA0B">
            <w:pPr>
              <w:jc w:val="center"/>
              <w:rPr>
                <w:rFonts w:eastAsiaTheme="minorEastAsia"/>
                <w:sz w:val="24"/>
              </w:rPr>
            </w:pPr>
            <w:r>
              <w:rPr>
                <w:rFonts w:eastAsiaTheme="minorEastAsia"/>
                <w:sz w:val="24"/>
              </w:rPr>
              <w:t>磋商前答疑会</w:t>
            </w:r>
          </w:p>
        </w:tc>
        <w:tc>
          <w:tcPr>
            <w:tcW w:w="7253" w:type="dxa"/>
            <w:vAlign w:val="center"/>
          </w:tcPr>
          <w:p w14:paraId="3495A7C0">
            <w:pPr>
              <w:jc w:val="left"/>
              <w:rPr>
                <w:sz w:val="24"/>
              </w:rPr>
            </w:pPr>
            <w:r>
              <w:rPr>
                <w:rFonts w:eastAsiaTheme="minorEastAsia"/>
                <w:sz w:val="24"/>
              </w:rPr>
              <w:t>■</w:t>
            </w:r>
            <w:r>
              <w:rPr>
                <w:sz w:val="24"/>
              </w:rPr>
              <w:t>不组织</w:t>
            </w:r>
          </w:p>
          <w:p w14:paraId="3FA9D82E">
            <w:pPr>
              <w:jc w:val="left"/>
              <w:rPr>
                <w:bCs/>
                <w:sz w:val="24"/>
              </w:rPr>
            </w:pPr>
            <w:r>
              <w:rPr>
                <w:sz w:val="24"/>
              </w:rPr>
              <w:t>□组织，考察时间：</w:t>
            </w:r>
            <w:r>
              <w:rPr>
                <w:rFonts w:hint="eastAsia"/>
                <w:sz w:val="24"/>
                <w:u w:val="single"/>
                <w:lang w:val="en-US" w:eastAsia="zh-CN"/>
              </w:rPr>
              <w:t xml:space="preserve"> / </w:t>
            </w:r>
            <w:r>
              <w:rPr>
                <w:sz w:val="24"/>
              </w:rPr>
              <w:t>年</w:t>
            </w:r>
            <w:r>
              <w:rPr>
                <w:rFonts w:hint="eastAsia"/>
                <w:sz w:val="24"/>
                <w:u w:val="single"/>
                <w:lang w:val="en-US" w:eastAsia="zh-CN"/>
              </w:rPr>
              <w:t xml:space="preserve"> / </w:t>
            </w:r>
            <w:r>
              <w:rPr>
                <w:sz w:val="24"/>
              </w:rPr>
              <w:t>月</w:t>
            </w:r>
            <w:r>
              <w:rPr>
                <w:rFonts w:hint="eastAsia"/>
                <w:sz w:val="24"/>
                <w:u w:val="single"/>
                <w:lang w:val="en-US" w:eastAsia="zh-CN"/>
              </w:rPr>
              <w:t xml:space="preserve"> / </w:t>
            </w:r>
            <w:r>
              <w:rPr>
                <w:sz w:val="24"/>
              </w:rPr>
              <w:t>日</w:t>
            </w:r>
            <w:r>
              <w:rPr>
                <w:rFonts w:hint="eastAsia"/>
                <w:sz w:val="24"/>
                <w:u w:val="single"/>
                <w:lang w:val="en-US" w:eastAsia="zh-CN"/>
              </w:rPr>
              <w:t xml:space="preserve"> / </w:t>
            </w:r>
            <w:r>
              <w:rPr>
                <w:bCs/>
                <w:sz w:val="24"/>
              </w:rPr>
              <w:t>点</w:t>
            </w:r>
            <w:r>
              <w:rPr>
                <w:rFonts w:hint="eastAsia"/>
                <w:sz w:val="24"/>
                <w:u w:val="single"/>
                <w:lang w:val="en-US" w:eastAsia="zh-CN"/>
              </w:rPr>
              <w:t xml:space="preserve"> / </w:t>
            </w:r>
            <w:r>
              <w:rPr>
                <w:bCs/>
                <w:sz w:val="24"/>
              </w:rPr>
              <w:t>分</w:t>
            </w:r>
          </w:p>
          <w:p w14:paraId="216B6862">
            <w:pPr>
              <w:jc w:val="left"/>
              <w:rPr>
                <w:rFonts w:eastAsiaTheme="minorEastAsia"/>
                <w:sz w:val="24"/>
              </w:rPr>
            </w:pPr>
            <w:r>
              <w:rPr>
                <w:rFonts w:hint="default" w:ascii="Times New Roman" w:hAnsi="Times New Roman"/>
                <w:sz w:val="24"/>
              </w:rPr>
              <w:t>考察地点：</w:t>
            </w:r>
            <w:r>
              <w:rPr>
                <w:rFonts w:hint="eastAsia" w:ascii="Times New Roman" w:hAnsi="Times New Roman"/>
                <w:sz w:val="24"/>
                <w:u w:val="single"/>
                <w:lang w:val="en-US" w:eastAsia="zh-CN"/>
              </w:rPr>
              <w:t xml:space="preserve"> / </w:t>
            </w:r>
            <w:r>
              <w:rPr>
                <w:rFonts w:hint="default" w:ascii="Times New Roman" w:hAnsi="Times New Roman"/>
                <w:sz w:val="24"/>
              </w:rPr>
              <w:t>。</w:t>
            </w:r>
          </w:p>
        </w:tc>
      </w:tr>
      <w:tr w14:paraId="0392D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0D35A2D6">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4.2.5</w:t>
            </w:r>
          </w:p>
        </w:tc>
        <w:tc>
          <w:tcPr>
            <w:tcW w:w="1701" w:type="dxa"/>
            <w:vAlign w:val="center"/>
          </w:tcPr>
          <w:p w14:paraId="5DB49C12">
            <w:pPr>
              <w:jc w:val="center"/>
              <w:rPr>
                <w:rFonts w:eastAsiaTheme="minorEastAsia"/>
                <w:sz w:val="24"/>
              </w:rPr>
            </w:pPr>
            <w:r>
              <w:rPr>
                <w:rFonts w:eastAsiaTheme="minorEastAsia"/>
                <w:sz w:val="24"/>
              </w:rPr>
              <w:t>标的所属行业</w:t>
            </w:r>
          </w:p>
        </w:tc>
        <w:tc>
          <w:tcPr>
            <w:tcW w:w="7253" w:type="dxa"/>
            <w:vAlign w:val="center"/>
          </w:tcPr>
          <w:p w14:paraId="74D43E72">
            <w:pPr>
              <w:jc w:val="left"/>
              <w:rPr>
                <w:rFonts w:eastAsiaTheme="minorEastAsia"/>
                <w:sz w:val="24"/>
              </w:rPr>
            </w:pPr>
            <w:r>
              <w:rPr>
                <w:rFonts w:eastAsiaTheme="minorEastAsia"/>
                <w:sz w:val="24"/>
              </w:rPr>
              <w:t>本项目采购标的对应的中小企业划分标准所属行业：</w:t>
            </w:r>
          </w:p>
          <w:tbl>
            <w:tblPr>
              <w:tblStyle w:val="42"/>
              <w:tblW w:w="46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0"/>
              <w:gridCol w:w="3112"/>
            </w:tblGrid>
            <w:tr w14:paraId="05B84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7308CBB8">
                  <w:pPr>
                    <w:jc w:val="center"/>
                    <w:rPr>
                      <w:rFonts w:eastAsiaTheme="minorEastAsia"/>
                      <w:bCs/>
                      <w:sz w:val="24"/>
                    </w:rPr>
                  </w:pPr>
                  <w:r>
                    <w:rPr>
                      <w:rFonts w:eastAsiaTheme="minorEastAsia"/>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337C57F7">
                  <w:pPr>
                    <w:jc w:val="center"/>
                    <w:rPr>
                      <w:rFonts w:eastAsiaTheme="minorEastAsia"/>
                      <w:bCs/>
                      <w:sz w:val="24"/>
                    </w:rPr>
                  </w:pPr>
                  <w:r>
                    <w:rPr>
                      <w:rFonts w:eastAsiaTheme="minorEastAsia"/>
                      <w:bCs/>
                      <w:sz w:val="24"/>
                    </w:rPr>
                    <w:t>标的名称</w:t>
                  </w:r>
                </w:p>
              </w:tc>
              <w:tc>
                <w:tcPr>
                  <w:tcW w:w="2382" w:type="pct"/>
                  <w:tcBorders>
                    <w:top w:val="single" w:color="auto" w:sz="4" w:space="0"/>
                    <w:left w:val="single" w:color="auto" w:sz="4" w:space="0"/>
                    <w:bottom w:val="single" w:color="auto" w:sz="4" w:space="0"/>
                    <w:right w:val="single" w:color="auto" w:sz="4" w:space="0"/>
                  </w:tcBorders>
                  <w:vAlign w:val="center"/>
                </w:tcPr>
                <w:p w14:paraId="44477DF7">
                  <w:pPr>
                    <w:jc w:val="center"/>
                    <w:rPr>
                      <w:rFonts w:eastAsiaTheme="minorEastAsia"/>
                      <w:sz w:val="24"/>
                    </w:rPr>
                  </w:pPr>
                  <w:r>
                    <w:rPr>
                      <w:rFonts w:eastAsiaTheme="minorEastAsia"/>
                      <w:sz w:val="24"/>
                    </w:rPr>
                    <w:t>中小企业划分标准所属行业</w:t>
                  </w:r>
                </w:p>
              </w:tc>
            </w:tr>
            <w:tr w14:paraId="72109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08B1C9A3">
                  <w:pPr>
                    <w:jc w:val="center"/>
                    <w:rPr>
                      <w:rFonts w:hint="default" w:eastAsiaTheme="minorEastAsia"/>
                      <w:bCs/>
                      <w:sz w:val="24"/>
                      <w:lang w:val="en-US" w:eastAsia="zh-CN"/>
                    </w:rPr>
                  </w:pPr>
                  <w:r>
                    <w:rPr>
                      <w:rFonts w:hint="eastAsia" w:eastAsiaTheme="minorEastAsia"/>
                      <w:bCs/>
                      <w:sz w:val="24"/>
                      <w:lang w:val="en-US" w:eastAsia="zh-CN"/>
                    </w:rPr>
                    <w:t>01</w:t>
                  </w:r>
                </w:p>
              </w:tc>
              <w:tc>
                <w:tcPr>
                  <w:tcW w:w="2058" w:type="pct"/>
                  <w:tcBorders>
                    <w:top w:val="single" w:color="auto" w:sz="4" w:space="0"/>
                    <w:left w:val="single" w:color="auto" w:sz="4" w:space="0"/>
                    <w:bottom w:val="single" w:color="auto" w:sz="4" w:space="0"/>
                    <w:right w:val="single" w:color="auto" w:sz="4" w:space="0"/>
                  </w:tcBorders>
                  <w:vAlign w:val="center"/>
                </w:tcPr>
                <w:p w14:paraId="2791350D">
                  <w:pPr>
                    <w:jc w:val="center"/>
                    <w:rPr>
                      <w:rFonts w:eastAsiaTheme="minorEastAsia"/>
                      <w:bCs/>
                      <w:sz w:val="24"/>
                    </w:rPr>
                  </w:pPr>
                  <w:r>
                    <w:rPr>
                      <w:rFonts w:hint="eastAsia" w:cs="Times New Roman" w:eastAsiaTheme="minorEastAsia"/>
                      <w:bCs/>
                      <w:sz w:val="24"/>
                      <w:lang w:eastAsia="zh-CN"/>
                    </w:rPr>
                    <w:t>昌平区百善镇善缘家园北区燃气点供替代项目</w:t>
                  </w:r>
                </w:p>
              </w:tc>
              <w:tc>
                <w:tcPr>
                  <w:tcW w:w="2382" w:type="pct"/>
                  <w:tcBorders>
                    <w:top w:val="single" w:color="auto" w:sz="4" w:space="0"/>
                    <w:left w:val="single" w:color="auto" w:sz="4" w:space="0"/>
                    <w:bottom w:val="single" w:color="auto" w:sz="4" w:space="0"/>
                    <w:right w:val="single" w:color="auto" w:sz="4" w:space="0"/>
                  </w:tcBorders>
                  <w:vAlign w:val="center"/>
                </w:tcPr>
                <w:p w14:paraId="08AD0E77">
                  <w:pPr>
                    <w:jc w:val="center"/>
                    <w:rPr>
                      <w:rFonts w:hint="eastAsia" w:eastAsiaTheme="minorEastAsia"/>
                      <w:kern w:val="0"/>
                      <w:sz w:val="24"/>
                      <w:lang w:val="en-US" w:eastAsia="zh-CN"/>
                    </w:rPr>
                  </w:pPr>
                  <w:r>
                    <w:rPr>
                      <w:rFonts w:hint="eastAsia" w:eastAsiaTheme="minorEastAsia"/>
                      <w:kern w:val="0"/>
                      <w:sz w:val="24"/>
                      <w:lang w:val="en-US" w:eastAsia="zh-CN"/>
                    </w:rPr>
                    <w:t>建筑业</w:t>
                  </w:r>
                </w:p>
              </w:tc>
            </w:tr>
          </w:tbl>
          <w:p w14:paraId="1CE11FEF">
            <w:pPr>
              <w:jc w:val="left"/>
              <w:rPr>
                <w:rFonts w:eastAsiaTheme="minorEastAsia"/>
                <w:sz w:val="24"/>
              </w:rPr>
            </w:pPr>
          </w:p>
        </w:tc>
      </w:tr>
      <w:tr w14:paraId="548DD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6EEFBC86">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10.2</w:t>
            </w:r>
          </w:p>
        </w:tc>
        <w:tc>
          <w:tcPr>
            <w:tcW w:w="1701" w:type="dxa"/>
            <w:vAlign w:val="center"/>
          </w:tcPr>
          <w:p w14:paraId="7E2048AD">
            <w:pPr>
              <w:jc w:val="center"/>
              <w:rPr>
                <w:rFonts w:eastAsiaTheme="minorEastAsia"/>
                <w:sz w:val="24"/>
              </w:rPr>
            </w:pPr>
            <w:r>
              <w:rPr>
                <w:rFonts w:eastAsiaTheme="minorEastAsia"/>
                <w:sz w:val="24"/>
              </w:rPr>
              <w:t>报价</w:t>
            </w:r>
          </w:p>
        </w:tc>
        <w:tc>
          <w:tcPr>
            <w:tcW w:w="7253" w:type="dxa"/>
            <w:vAlign w:val="center"/>
          </w:tcPr>
          <w:p w14:paraId="56691306">
            <w:pPr>
              <w:widowControl/>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本项目</w:t>
            </w:r>
            <w:r>
              <w:rPr>
                <w:rFonts w:hint="eastAsia" w:ascii="宋体" w:hAnsi="宋体" w:cs="宋体"/>
                <w:color w:val="auto"/>
                <w:kern w:val="0"/>
                <w:sz w:val="24"/>
                <w:highlight w:val="none"/>
                <w:lang w:val="en-US" w:eastAsia="zh-CN" w:bidi="ar"/>
              </w:rPr>
              <w:t>磋商</w:t>
            </w:r>
            <w:r>
              <w:rPr>
                <w:rFonts w:hint="eastAsia" w:ascii="宋体" w:hAnsi="宋体" w:eastAsia="宋体" w:cs="宋体"/>
                <w:color w:val="auto"/>
                <w:kern w:val="0"/>
                <w:sz w:val="24"/>
                <w:highlight w:val="none"/>
                <w:lang w:bidi="ar"/>
              </w:rPr>
              <w:t>最高投标限价为</w:t>
            </w:r>
            <w:r>
              <w:rPr>
                <w:rFonts w:hint="eastAsia" w:ascii="宋体" w:hAnsi="宋体" w:cs="宋体"/>
                <w:color w:val="auto"/>
                <w:kern w:val="0"/>
                <w:sz w:val="24"/>
                <w:highlight w:val="none"/>
                <w:lang w:eastAsia="zh-CN" w:bidi="ar"/>
              </w:rPr>
              <w:t>：</w:t>
            </w:r>
            <w:r>
              <w:rPr>
                <w:rFonts w:hint="eastAsia" w:ascii="宋体" w:hAnsi="宋体" w:cs="宋体"/>
                <w:color w:val="000000"/>
                <w:kern w:val="0"/>
                <w:sz w:val="24"/>
                <w:szCs w:val="24"/>
                <w:lang w:val="en-US" w:eastAsia="zh-CN" w:bidi="ar"/>
              </w:rPr>
              <w:t xml:space="preserve"> 1685970.01 </w:t>
            </w:r>
            <w:r>
              <w:rPr>
                <w:rFonts w:hint="eastAsia" w:ascii="宋体" w:hAnsi="宋体" w:eastAsia="宋体" w:cs="宋体"/>
                <w:color w:val="auto"/>
                <w:kern w:val="2"/>
                <w:sz w:val="24"/>
                <w:highlight w:val="none"/>
                <w:lang w:bidi="ar"/>
              </w:rPr>
              <w:t xml:space="preserve">元 </w:t>
            </w:r>
          </w:p>
          <w:p w14:paraId="7FE30088">
            <w:pPr>
              <w:keepNext w:val="0"/>
              <w:keepLines w:val="0"/>
              <w:widowControl/>
              <w:suppressLineNumbers w:val="0"/>
              <w:jc w:val="left"/>
              <w:rPr>
                <w:rFonts w:hint="eastAsia" w:ascii="宋体" w:hAnsi="宋体" w:eastAsia="宋体" w:cs="宋体"/>
                <w:color w:val="000000"/>
                <w:kern w:val="0"/>
                <w:sz w:val="24"/>
                <w:lang w:bidi="ar"/>
              </w:rPr>
            </w:pPr>
            <w:r>
              <w:rPr>
                <w:rFonts w:hint="eastAsia" w:ascii="宋体" w:hAnsi="宋体" w:eastAsia="宋体" w:cs="宋体"/>
                <w:color w:val="auto"/>
                <w:kern w:val="2"/>
                <w:sz w:val="24"/>
                <w:highlight w:val="none"/>
                <w:lang w:bidi="ar"/>
              </w:rPr>
              <w:t>其中：分部分项工程合价为</w:t>
            </w:r>
            <w:r>
              <w:rPr>
                <w:rFonts w:hint="eastAsia" w:ascii="宋体" w:hAnsi="宋体" w:eastAsia="宋体" w:cs="宋体"/>
                <w:color w:val="000000"/>
                <w:kern w:val="0"/>
                <w:sz w:val="24"/>
                <w:lang w:bidi="ar"/>
              </w:rPr>
              <w:t>：</w:t>
            </w:r>
            <w:r>
              <w:rPr>
                <w:rFonts w:hint="eastAsia" w:ascii="宋体" w:hAnsi="宋体" w:cs="宋体"/>
                <w:color w:val="000000"/>
                <w:kern w:val="0"/>
                <w:sz w:val="24"/>
                <w:szCs w:val="24"/>
                <w:lang w:val="en-US" w:eastAsia="zh-CN" w:bidi="ar"/>
              </w:rPr>
              <w:t xml:space="preserve"> 1344510.21 </w:t>
            </w:r>
            <w:r>
              <w:rPr>
                <w:rFonts w:hint="eastAsia" w:ascii="宋体" w:hAnsi="宋体" w:eastAsia="宋体" w:cs="宋体"/>
                <w:color w:val="000000"/>
                <w:kern w:val="0"/>
                <w:sz w:val="24"/>
                <w:lang w:bidi="ar"/>
              </w:rPr>
              <w:t xml:space="preserve">元； </w:t>
            </w:r>
          </w:p>
          <w:p w14:paraId="629F637D">
            <w:pPr>
              <w:widowControl/>
              <w:jc w:val="left"/>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措施项目合价为：</w:t>
            </w:r>
            <w:r>
              <w:rPr>
                <w:rFonts w:hint="eastAsia" w:ascii="宋体" w:hAnsi="宋体" w:cs="宋体"/>
                <w:color w:val="000000"/>
                <w:kern w:val="0"/>
                <w:sz w:val="24"/>
                <w:szCs w:val="24"/>
                <w:lang w:val="en-US" w:eastAsia="zh-CN" w:bidi="ar"/>
              </w:rPr>
              <w:t xml:space="preserve"> 202251.27 </w:t>
            </w:r>
            <w:r>
              <w:rPr>
                <w:rFonts w:hint="eastAsia" w:ascii="宋体" w:hAnsi="宋体" w:eastAsia="宋体" w:cs="宋体"/>
                <w:color w:val="000000"/>
                <w:kern w:val="0"/>
                <w:sz w:val="24"/>
                <w:lang w:bidi="ar"/>
              </w:rPr>
              <w:t xml:space="preserve">元； </w:t>
            </w:r>
          </w:p>
          <w:p w14:paraId="68C5EBF2">
            <w:pPr>
              <w:widowControl/>
              <w:jc w:val="left"/>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 xml:space="preserve">其它项目合价为：0元；  </w:t>
            </w:r>
          </w:p>
          <w:p w14:paraId="6FE01CDA">
            <w:pPr>
              <w:widowControl/>
              <w:jc w:val="left"/>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增值税</w:t>
            </w:r>
            <w:r>
              <w:rPr>
                <w:rFonts w:hint="eastAsia" w:ascii="宋体" w:hAnsi="宋体" w:cs="宋体"/>
                <w:color w:val="000000"/>
                <w:kern w:val="0"/>
                <w:sz w:val="24"/>
                <w:lang w:val="en-US" w:eastAsia="zh-CN" w:bidi="ar"/>
              </w:rPr>
              <w:t>的合价为</w:t>
            </w:r>
            <w:r>
              <w:rPr>
                <w:rFonts w:hint="eastAsia" w:ascii="宋体" w:hAnsi="宋体" w:eastAsia="宋体" w:cs="宋体"/>
                <w:color w:val="000000"/>
                <w:kern w:val="0"/>
                <w:sz w:val="24"/>
                <w:lang w:bidi="ar"/>
              </w:rPr>
              <w:t>：</w:t>
            </w:r>
            <w:r>
              <w:rPr>
                <w:rFonts w:hint="eastAsia" w:ascii="宋体" w:hAnsi="宋体" w:cs="宋体"/>
                <w:color w:val="000000"/>
                <w:kern w:val="0"/>
                <w:sz w:val="24"/>
                <w:szCs w:val="24"/>
                <w:lang w:val="en-US" w:eastAsia="zh-CN" w:bidi="ar"/>
              </w:rPr>
              <w:t xml:space="preserve"> 139208.53 </w:t>
            </w:r>
            <w:r>
              <w:rPr>
                <w:rFonts w:hint="eastAsia" w:ascii="宋体" w:hAnsi="宋体" w:eastAsia="宋体" w:cs="宋体"/>
                <w:color w:val="000000"/>
                <w:kern w:val="0"/>
                <w:sz w:val="24"/>
                <w:lang w:bidi="ar"/>
              </w:rPr>
              <w:t>元；</w:t>
            </w:r>
          </w:p>
          <w:p w14:paraId="2156A24F">
            <w:pPr>
              <w:widowControl/>
              <w:jc w:val="left"/>
              <w:rPr>
                <w:rFonts w:hint="eastAsia" w:ascii="宋体" w:hAnsi="宋体" w:eastAsia="宋体" w:cs="宋体"/>
                <w:color w:val="auto"/>
                <w:highlight w:val="none"/>
              </w:rPr>
            </w:pPr>
            <w:r>
              <w:rPr>
                <w:rFonts w:hint="eastAsia" w:ascii="宋体" w:hAnsi="宋体" w:cs="宋体"/>
                <w:color w:val="000000"/>
                <w:kern w:val="0"/>
                <w:sz w:val="24"/>
                <w:lang w:val="en-US" w:eastAsia="zh-CN" w:bidi="ar"/>
              </w:rPr>
              <w:t>其他说明：</w:t>
            </w:r>
            <w:r>
              <w:rPr>
                <w:rFonts w:hint="eastAsia" w:ascii="宋体" w:hAnsi="宋体" w:eastAsia="宋体" w:cs="宋体"/>
                <w:color w:val="000000"/>
                <w:kern w:val="0"/>
                <w:sz w:val="24"/>
                <w:lang w:bidi="ar"/>
              </w:rPr>
              <w:t xml:space="preserve">专业工程暂估价（含税）合计金额：0元； </w:t>
            </w:r>
          </w:p>
          <w:p w14:paraId="56EC5896">
            <w:pPr>
              <w:widowControl/>
              <w:jc w:val="left"/>
              <w:rPr>
                <w:rFonts w:hint="eastAsia" w:ascii="宋体" w:hAnsi="宋体" w:eastAsia="宋体" w:cs="宋体"/>
                <w:color w:val="auto"/>
                <w:highlight w:val="none"/>
              </w:rPr>
            </w:pPr>
            <w:r>
              <w:rPr>
                <w:rFonts w:hint="eastAsia" w:ascii="宋体" w:hAnsi="宋体" w:eastAsia="宋体" w:cs="宋体"/>
                <w:color w:val="auto"/>
                <w:kern w:val="0"/>
                <w:sz w:val="24"/>
                <w:highlight w:val="none"/>
                <w:lang w:bidi="ar"/>
              </w:rPr>
              <w:t xml:space="preserve">材料暂估价（含税）合计金额：0 元； </w:t>
            </w:r>
          </w:p>
          <w:p w14:paraId="6E8BE5FB">
            <w:pPr>
              <w:widowControl/>
              <w:jc w:val="left"/>
              <w:rPr>
                <w:rFonts w:hint="eastAsia" w:ascii="宋体" w:hAnsi="宋体" w:eastAsia="宋体" w:cs="宋体"/>
                <w:color w:val="auto"/>
                <w:highlight w:val="none"/>
              </w:rPr>
            </w:pPr>
            <w:r>
              <w:rPr>
                <w:rFonts w:hint="eastAsia" w:ascii="宋体" w:hAnsi="宋体" w:eastAsia="宋体" w:cs="宋体"/>
                <w:color w:val="auto"/>
                <w:kern w:val="0"/>
                <w:sz w:val="24"/>
                <w:highlight w:val="none"/>
                <w:lang w:bidi="ar"/>
              </w:rPr>
              <w:t>暂列金</w:t>
            </w:r>
            <w:r>
              <w:rPr>
                <w:rFonts w:hint="eastAsia" w:ascii="宋体" w:hAnsi="宋体" w:cs="宋体"/>
                <w:color w:val="auto"/>
                <w:kern w:val="0"/>
                <w:sz w:val="24"/>
                <w:highlight w:val="none"/>
                <w:lang w:eastAsia="zh-CN" w:bidi="ar"/>
              </w:rPr>
              <w:t>额</w:t>
            </w:r>
            <w:r>
              <w:rPr>
                <w:rFonts w:hint="eastAsia" w:ascii="宋体" w:hAnsi="宋体" w:eastAsia="宋体" w:cs="宋体"/>
                <w:color w:val="auto"/>
                <w:kern w:val="0"/>
                <w:sz w:val="24"/>
                <w:highlight w:val="none"/>
                <w:lang w:bidi="ar"/>
              </w:rPr>
              <w:t xml:space="preserve">（不含计日工）（含税）合计金额：0元； </w:t>
            </w:r>
          </w:p>
          <w:p w14:paraId="076DABB1">
            <w:pPr>
              <w:widowControl/>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安全生产标准化措施费（含税）合计金额：</w:t>
            </w:r>
            <w:r>
              <w:rPr>
                <w:rFonts w:hint="eastAsia" w:ascii="宋体" w:hAnsi="宋体" w:cs="宋体"/>
                <w:color w:val="auto"/>
                <w:kern w:val="0"/>
                <w:sz w:val="24"/>
                <w:szCs w:val="24"/>
                <w:highlight w:val="none"/>
                <w:lang w:val="en-US" w:eastAsia="zh-CN" w:bidi="ar"/>
              </w:rPr>
              <w:t xml:space="preserve"> 93463.87 </w:t>
            </w:r>
            <w:r>
              <w:rPr>
                <w:rFonts w:hint="eastAsia" w:ascii="宋体" w:hAnsi="宋体" w:eastAsia="宋体" w:cs="宋体"/>
                <w:color w:val="auto"/>
                <w:kern w:val="0"/>
                <w:sz w:val="24"/>
                <w:highlight w:val="none"/>
                <w:lang w:bidi="ar"/>
              </w:rPr>
              <w:t xml:space="preserve">元； </w:t>
            </w:r>
          </w:p>
          <w:p w14:paraId="6F926951">
            <w:pPr>
              <w:jc w:val="left"/>
              <w:rPr>
                <w:rFonts w:eastAsiaTheme="minorEastAsia"/>
                <w:sz w:val="24"/>
              </w:rPr>
            </w:pPr>
            <w:r>
              <w:rPr>
                <w:rFonts w:hint="eastAsia" w:ascii="宋体" w:hAnsi="宋体" w:eastAsia="宋体" w:cs="宋体"/>
                <w:color w:val="auto"/>
                <w:kern w:val="0"/>
                <w:sz w:val="24"/>
                <w:highlight w:val="none"/>
                <w:lang w:bidi="ar"/>
              </w:rPr>
              <w:t>赶工增加费（含税）合计金额（如有）：0元。</w:t>
            </w:r>
          </w:p>
        </w:tc>
      </w:tr>
      <w:tr w14:paraId="32534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35EAAD7">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11.1</w:t>
            </w:r>
          </w:p>
        </w:tc>
        <w:tc>
          <w:tcPr>
            <w:tcW w:w="1701" w:type="dxa"/>
            <w:vMerge w:val="restart"/>
            <w:vAlign w:val="center"/>
          </w:tcPr>
          <w:p w14:paraId="51CCCFD3">
            <w:pPr>
              <w:jc w:val="center"/>
              <w:rPr>
                <w:rFonts w:eastAsiaTheme="minorEastAsia"/>
                <w:sz w:val="24"/>
              </w:rPr>
            </w:pPr>
            <w:r>
              <w:rPr>
                <w:rFonts w:eastAsiaTheme="minorEastAsia"/>
                <w:sz w:val="24"/>
              </w:rPr>
              <w:t>磋商保证金</w:t>
            </w:r>
          </w:p>
        </w:tc>
        <w:tc>
          <w:tcPr>
            <w:tcW w:w="7253" w:type="dxa"/>
            <w:vAlign w:val="center"/>
          </w:tcPr>
          <w:p w14:paraId="4417AEDD">
            <w:pPr>
              <w:pStyle w:val="23"/>
              <w:adjustRightInd w:val="0"/>
              <w:snapToGrid w:val="0"/>
              <w:rPr>
                <w:rFonts w:hint="default" w:ascii="Times New Roman" w:hAnsi="Times New Roman" w:eastAsiaTheme="minorEastAsia"/>
                <w:sz w:val="24"/>
                <w:szCs w:val="24"/>
              </w:rPr>
            </w:pPr>
            <w:r>
              <w:rPr>
                <w:rFonts w:hint="default" w:ascii="Times New Roman" w:hAnsi="Times New Roman" w:eastAsiaTheme="minorEastAsia"/>
                <w:sz w:val="24"/>
                <w:szCs w:val="24"/>
              </w:rPr>
              <w:t>磋商保证金金额：</w:t>
            </w:r>
          </w:p>
          <w:p w14:paraId="22234151">
            <w:pPr>
              <w:pStyle w:val="23"/>
              <w:adjustRightInd w:val="0"/>
              <w:snapToGrid w:val="0"/>
              <w:rPr>
                <w:rFonts w:hint="default" w:ascii="Times New Roman" w:hAnsi="Times New Roman" w:eastAsiaTheme="minorEastAsia"/>
                <w:sz w:val="24"/>
                <w:szCs w:val="24"/>
              </w:rPr>
            </w:pPr>
            <w:r>
              <w:rPr>
                <w:rFonts w:hint="default" w:ascii="Times New Roman" w:hAnsi="Times New Roman" w:eastAsiaTheme="minorEastAsia"/>
                <w:sz w:val="24"/>
                <w:szCs w:val="24"/>
              </w:rPr>
              <w:t>01包：</w:t>
            </w:r>
            <w:r>
              <w:rPr>
                <w:rFonts w:hint="eastAsia" w:ascii="Times New Roman" w:hAnsi="Times New Roman"/>
                <w:sz w:val="24"/>
                <w:u w:val="single"/>
                <w:lang w:val="en-US" w:eastAsia="zh-CN"/>
              </w:rPr>
              <w:t>0元（不收取）</w:t>
            </w:r>
            <w:r>
              <w:rPr>
                <w:rFonts w:hint="default" w:ascii="Times New Roman" w:hAnsi="Times New Roman" w:eastAsiaTheme="minorEastAsia"/>
                <w:sz w:val="24"/>
                <w:szCs w:val="24"/>
              </w:rPr>
              <w:t>；</w:t>
            </w:r>
          </w:p>
          <w:p w14:paraId="6AC89063">
            <w:pPr>
              <w:jc w:val="left"/>
              <w:rPr>
                <w:rFonts w:eastAsiaTheme="minorEastAsia"/>
                <w:sz w:val="24"/>
              </w:rPr>
            </w:pPr>
            <w:r>
              <w:rPr>
                <w:rFonts w:eastAsiaTheme="minorEastAsia"/>
                <w:sz w:val="24"/>
              </w:rPr>
              <w:t>磋商保证金收受人信息：</w:t>
            </w:r>
            <w:r>
              <w:rPr>
                <w:rFonts w:hint="eastAsia"/>
                <w:sz w:val="24"/>
                <w:u w:val="single"/>
                <w:lang w:val="en-US" w:eastAsia="zh-CN"/>
              </w:rPr>
              <w:t xml:space="preserve"> / </w:t>
            </w:r>
            <w:r>
              <w:rPr>
                <w:rFonts w:eastAsiaTheme="minorEastAsia"/>
                <w:sz w:val="24"/>
              </w:rPr>
              <w:t>。</w:t>
            </w:r>
          </w:p>
        </w:tc>
      </w:tr>
      <w:tr w14:paraId="646C1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11BB144">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w:t>
            </w:r>
            <w:r>
              <w:rPr>
                <w:rFonts w:ascii="Times New Roman" w:hAnsi="Times New Roman" w:eastAsiaTheme="minorEastAsia"/>
                <w:sz w:val="24"/>
                <w:szCs w:val="24"/>
              </w:rPr>
              <w:t>8</w:t>
            </w:r>
            <w:r>
              <w:rPr>
                <w:rFonts w:hint="default" w:ascii="Times New Roman" w:hAnsi="Times New Roman" w:eastAsiaTheme="minorEastAsia"/>
                <w:sz w:val="24"/>
                <w:szCs w:val="24"/>
              </w:rPr>
              <w:t>.5</w:t>
            </w:r>
          </w:p>
        </w:tc>
        <w:tc>
          <w:tcPr>
            <w:tcW w:w="1701" w:type="dxa"/>
            <w:vMerge w:val="continue"/>
            <w:vAlign w:val="center"/>
          </w:tcPr>
          <w:p w14:paraId="4E6C7D75">
            <w:pPr>
              <w:jc w:val="center"/>
              <w:rPr>
                <w:rFonts w:eastAsiaTheme="minorEastAsia"/>
                <w:sz w:val="24"/>
              </w:rPr>
            </w:pPr>
          </w:p>
        </w:tc>
        <w:tc>
          <w:tcPr>
            <w:tcW w:w="7253" w:type="dxa"/>
            <w:vAlign w:val="center"/>
          </w:tcPr>
          <w:p w14:paraId="2D6A25AC">
            <w:pPr>
              <w:jc w:val="left"/>
              <w:rPr>
                <w:rFonts w:eastAsiaTheme="minorEastAsia"/>
                <w:sz w:val="24"/>
              </w:rPr>
            </w:pPr>
            <w:r>
              <w:rPr>
                <w:rFonts w:eastAsiaTheme="minorEastAsia"/>
                <w:sz w:val="24"/>
              </w:rPr>
              <w:t>磋商保证金不予退还的其他情形：</w:t>
            </w:r>
          </w:p>
          <w:p w14:paraId="4E29CE95">
            <w:pPr>
              <w:jc w:val="left"/>
              <w:rPr>
                <w:sz w:val="24"/>
              </w:rPr>
            </w:pPr>
            <w:r>
              <w:rPr>
                <w:rFonts w:ascii="Times New Roman" w:hAnsi="Times New Roman" w:eastAsia="宋体" w:cs="Times New Roman"/>
                <w:sz w:val="24"/>
              </w:rPr>
              <w:t>■</w:t>
            </w:r>
            <w:r>
              <w:rPr>
                <w:sz w:val="24"/>
              </w:rPr>
              <w:t>无</w:t>
            </w:r>
          </w:p>
          <w:p w14:paraId="5C57B669">
            <w:pPr>
              <w:pStyle w:val="23"/>
              <w:adjustRightInd w:val="0"/>
              <w:snapToGrid w:val="0"/>
              <w:rPr>
                <w:rFonts w:hint="default" w:ascii="Times New Roman" w:hAnsi="Times New Roman" w:eastAsiaTheme="minorEastAsia"/>
                <w:sz w:val="24"/>
                <w:szCs w:val="24"/>
              </w:rPr>
            </w:pPr>
            <w:r>
              <w:rPr>
                <w:sz w:val="24"/>
              </w:rPr>
              <w:t>□</w:t>
            </w:r>
            <w:r>
              <w:rPr>
                <w:rFonts w:hint="default" w:ascii="Times New Roman" w:hAnsi="Times New Roman" w:eastAsia="宋体" w:cs="Times New Roman"/>
                <w:sz w:val="24"/>
              </w:rPr>
              <w:t>有，具体情形：</w:t>
            </w:r>
            <w:r>
              <w:rPr>
                <w:rFonts w:hint="eastAsia" w:ascii="Times New Roman" w:hAnsi="Times New Roman" w:eastAsia="宋体" w:cs="Times New Roman"/>
                <w:sz w:val="24"/>
                <w:u w:val="single"/>
                <w:lang w:val="en-US" w:eastAsia="zh-CN"/>
              </w:rPr>
              <w:t xml:space="preserve"> / </w:t>
            </w:r>
            <w:r>
              <w:rPr>
                <w:rFonts w:ascii="Times New Roman" w:hAnsi="Times New Roman" w:eastAsia="宋体" w:cs="Times New Roman"/>
                <w:sz w:val="24"/>
                <w:u w:val="none"/>
              </w:rPr>
              <w:t>。</w:t>
            </w:r>
          </w:p>
        </w:tc>
      </w:tr>
      <w:tr w14:paraId="04622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EDDE030">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12.1</w:t>
            </w:r>
          </w:p>
        </w:tc>
        <w:tc>
          <w:tcPr>
            <w:tcW w:w="1701" w:type="dxa"/>
            <w:vAlign w:val="center"/>
          </w:tcPr>
          <w:p w14:paraId="60EE770A">
            <w:pPr>
              <w:jc w:val="center"/>
              <w:rPr>
                <w:rFonts w:eastAsiaTheme="minorEastAsia"/>
                <w:sz w:val="24"/>
              </w:rPr>
            </w:pPr>
            <w:r>
              <w:rPr>
                <w:rFonts w:eastAsiaTheme="minorEastAsia"/>
                <w:sz w:val="24"/>
              </w:rPr>
              <w:t>响应有效期</w:t>
            </w:r>
          </w:p>
        </w:tc>
        <w:tc>
          <w:tcPr>
            <w:tcW w:w="7253" w:type="dxa"/>
            <w:vAlign w:val="center"/>
          </w:tcPr>
          <w:p w14:paraId="3759A029">
            <w:pPr>
              <w:jc w:val="left"/>
              <w:rPr>
                <w:rFonts w:eastAsiaTheme="minorEastAsia"/>
                <w:sz w:val="24"/>
              </w:rPr>
            </w:pPr>
            <w:r>
              <w:rPr>
                <w:rFonts w:eastAsiaTheme="minorEastAsia"/>
                <w:sz w:val="24"/>
              </w:rPr>
              <w:t>自响应文件提交截止之日起算</w:t>
            </w:r>
            <w:r>
              <w:rPr>
                <w:rFonts w:hint="eastAsia" w:eastAsiaTheme="minorEastAsia"/>
                <w:sz w:val="24"/>
                <w:u w:val="single"/>
                <w:lang w:val="en-US" w:eastAsia="zh-CN"/>
              </w:rPr>
              <w:t xml:space="preserve"> 90 </w:t>
            </w:r>
            <w:r>
              <w:rPr>
                <w:rFonts w:eastAsiaTheme="minorEastAsia"/>
                <w:sz w:val="24"/>
              </w:rPr>
              <w:t>日历天。</w:t>
            </w:r>
          </w:p>
        </w:tc>
      </w:tr>
      <w:tr w14:paraId="5D4FC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920B429">
            <w:pPr>
              <w:pStyle w:val="23"/>
              <w:adjustRightInd w:val="0"/>
              <w:snapToGrid w:val="0"/>
              <w:jc w:val="center"/>
              <w:rPr>
                <w:rFonts w:hint="default" w:ascii="Times New Roman" w:hAnsi="Times New Roman" w:eastAsiaTheme="minorEastAsia"/>
                <w:sz w:val="24"/>
                <w:szCs w:val="24"/>
              </w:rPr>
            </w:pPr>
            <w:r>
              <w:rPr>
                <w:rFonts w:ascii="Times New Roman" w:hAnsi="Times New Roman" w:eastAsiaTheme="minorEastAsia"/>
                <w:sz w:val="24"/>
                <w:szCs w:val="24"/>
              </w:rPr>
              <w:t>17.2</w:t>
            </w:r>
          </w:p>
        </w:tc>
        <w:tc>
          <w:tcPr>
            <w:tcW w:w="1701" w:type="dxa"/>
            <w:vAlign w:val="center"/>
          </w:tcPr>
          <w:p w14:paraId="26AC820E">
            <w:pPr>
              <w:jc w:val="center"/>
              <w:rPr>
                <w:rFonts w:eastAsiaTheme="minorEastAsia"/>
                <w:sz w:val="24"/>
              </w:rPr>
            </w:pPr>
            <w:r>
              <w:rPr>
                <w:rFonts w:hint="eastAsia" w:eastAsiaTheme="minorEastAsia"/>
                <w:sz w:val="24"/>
              </w:rPr>
              <w:t>解密时间</w:t>
            </w:r>
          </w:p>
        </w:tc>
        <w:tc>
          <w:tcPr>
            <w:tcW w:w="7253" w:type="dxa"/>
            <w:vAlign w:val="center"/>
          </w:tcPr>
          <w:p w14:paraId="430621E9">
            <w:pPr>
              <w:jc w:val="left"/>
              <w:rPr>
                <w:rFonts w:eastAsiaTheme="minorEastAsia"/>
                <w:sz w:val="24"/>
              </w:rPr>
            </w:pPr>
            <w:r>
              <w:rPr>
                <w:rFonts w:hint="eastAsia" w:ascii="宋体" w:hAnsi="宋体"/>
                <w:sz w:val="24"/>
              </w:rPr>
              <w:t>解密时间：</w:t>
            </w:r>
            <w:r>
              <w:rPr>
                <w:rFonts w:hint="eastAsia"/>
                <w:sz w:val="24"/>
                <w:u w:val="single"/>
                <w:lang w:val="en-US" w:eastAsia="zh-CN"/>
              </w:rPr>
              <w:t xml:space="preserve"> 15 </w:t>
            </w:r>
            <w:r>
              <w:rPr>
                <w:rFonts w:hint="eastAsia" w:ascii="宋体" w:hAnsi="宋体"/>
                <w:sz w:val="24"/>
              </w:rPr>
              <w:t>分钟</w:t>
            </w:r>
          </w:p>
        </w:tc>
      </w:tr>
      <w:tr w14:paraId="526E7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3F6FBD2">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20.1</w:t>
            </w:r>
          </w:p>
        </w:tc>
        <w:tc>
          <w:tcPr>
            <w:tcW w:w="1701" w:type="dxa"/>
            <w:vAlign w:val="center"/>
          </w:tcPr>
          <w:p w14:paraId="75278998">
            <w:pPr>
              <w:jc w:val="center"/>
              <w:rPr>
                <w:rFonts w:eastAsiaTheme="minorEastAsia"/>
                <w:sz w:val="24"/>
              </w:rPr>
            </w:pPr>
            <w:r>
              <w:rPr>
                <w:sz w:val="24"/>
              </w:rPr>
              <w:t>确定成交供应商</w:t>
            </w:r>
          </w:p>
        </w:tc>
        <w:tc>
          <w:tcPr>
            <w:tcW w:w="7253" w:type="dxa"/>
            <w:vAlign w:val="center"/>
          </w:tcPr>
          <w:p w14:paraId="71954405">
            <w:pPr>
              <w:pStyle w:val="23"/>
              <w:adjustRightInd w:val="0"/>
              <w:snapToGrid w:val="0"/>
              <w:rPr>
                <w:rFonts w:hint="default" w:ascii="Times New Roman" w:hAnsi="Times New Roman" w:eastAsiaTheme="minorEastAsia"/>
                <w:sz w:val="24"/>
              </w:rPr>
            </w:pPr>
            <w:r>
              <w:rPr>
                <w:rFonts w:hint="default" w:ascii="Times New Roman" w:hAnsi="Times New Roman" w:eastAsiaTheme="minorEastAsia"/>
                <w:sz w:val="24"/>
              </w:rPr>
              <w:t>采购人是否</w:t>
            </w:r>
            <w:r>
              <w:rPr>
                <w:rFonts w:hint="default" w:ascii="Times New Roman" w:hAnsi="Times New Roman" w:eastAsiaTheme="minorEastAsia"/>
                <w:color w:val="000000"/>
                <w:sz w:val="24"/>
              </w:rPr>
              <w:t>授权磋商小组直接确定成交供应商</w:t>
            </w:r>
            <w:r>
              <w:rPr>
                <w:rFonts w:hint="default" w:ascii="Times New Roman" w:hAnsi="Times New Roman" w:eastAsiaTheme="minorEastAsia"/>
                <w:sz w:val="24"/>
              </w:rPr>
              <w:t>：</w:t>
            </w:r>
          </w:p>
          <w:p w14:paraId="36D50AA6">
            <w:pPr>
              <w:jc w:val="left"/>
              <w:rPr>
                <w:rFonts w:eastAsiaTheme="minorEastAsia"/>
                <w:sz w:val="24"/>
              </w:rPr>
            </w:pPr>
            <w:r>
              <w:rPr>
                <w:rFonts w:eastAsiaTheme="minorEastAsia"/>
                <w:sz w:val="24"/>
              </w:rPr>
              <w:t>■否</w:t>
            </w:r>
          </w:p>
          <w:p w14:paraId="792F3F33">
            <w:pPr>
              <w:jc w:val="left"/>
              <w:rPr>
                <w:rFonts w:eastAsiaTheme="minorEastAsia"/>
                <w:sz w:val="24"/>
              </w:rPr>
            </w:pPr>
            <w:r>
              <w:rPr>
                <w:rFonts w:eastAsiaTheme="minorEastAsia"/>
              </w:rPr>
              <w:t>□</w:t>
            </w:r>
            <w:r>
              <w:rPr>
                <w:rFonts w:eastAsiaTheme="minorEastAsia"/>
                <w:sz w:val="24"/>
              </w:rPr>
              <w:t>是</w:t>
            </w:r>
          </w:p>
          <w:p w14:paraId="5B53F2CE">
            <w:pPr>
              <w:jc w:val="left"/>
              <w:rPr>
                <w:rFonts w:eastAsiaTheme="minorEastAsia"/>
                <w:sz w:val="24"/>
                <w:u w:val="single"/>
              </w:rPr>
            </w:pPr>
            <w:r>
              <w:rPr>
                <w:rFonts w:eastAsiaTheme="minorEastAsia"/>
                <w:sz w:val="24"/>
              </w:rPr>
              <w:t>成交候选人并列的，按照以下方式确定成交供应商：</w:t>
            </w:r>
            <w:r>
              <w:rPr>
                <w:rFonts w:hint="eastAsia" w:ascii="宋体" w:hAnsi="宋体" w:cs="宋体"/>
                <w:sz w:val="24"/>
                <w:u w:val="single"/>
              </w:rPr>
              <w:t>得分相同的，按技术部分中整体服务方案得分高者为成交人</w:t>
            </w:r>
            <w:r>
              <w:rPr>
                <w:rFonts w:eastAsiaTheme="minorEastAsia"/>
                <w:sz w:val="24"/>
              </w:rPr>
              <w:t>。</w:t>
            </w:r>
          </w:p>
        </w:tc>
      </w:tr>
      <w:tr w14:paraId="48B57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3A09542">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23.5</w:t>
            </w:r>
          </w:p>
        </w:tc>
        <w:tc>
          <w:tcPr>
            <w:tcW w:w="1701" w:type="dxa"/>
            <w:vAlign w:val="center"/>
          </w:tcPr>
          <w:p w14:paraId="728AFD29">
            <w:pPr>
              <w:jc w:val="center"/>
              <w:rPr>
                <w:rFonts w:eastAsiaTheme="minorEastAsia"/>
                <w:sz w:val="24"/>
              </w:rPr>
            </w:pPr>
            <w:r>
              <w:rPr>
                <w:rFonts w:eastAsiaTheme="minorEastAsia"/>
                <w:sz w:val="24"/>
              </w:rPr>
              <w:t>分包</w:t>
            </w:r>
          </w:p>
        </w:tc>
        <w:tc>
          <w:tcPr>
            <w:tcW w:w="7253" w:type="dxa"/>
            <w:vAlign w:val="center"/>
          </w:tcPr>
          <w:p w14:paraId="591EF538">
            <w:pPr>
              <w:jc w:val="left"/>
              <w:rPr>
                <w:rFonts w:eastAsiaTheme="minorEastAsia"/>
                <w:sz w:val="24"/>
              </w:rPr>
            </w:pPr>
            <w:r>
              <w:rPr>
                <w:rFonts w:eastAsiaTheme="minorEastAsia"/>
                <w:sz w:val="24"/>
              </w:rPr>
              <w:t xml:space="preserve">本项目是否允许分包： </w:t>
            </w:r>
          </w:p>
          <w:p w14:paraId="5A90CE5A">
            <w:pPr>
              <w:jc w:val="left"/>
              <w:rPr>
                <w:rFonts w:eastAsiaTheme="minorEastAsia"/>
                <w:sz w:val="24"/>
              </w:rPr>
            </w:pPr>
            <w:r>
              <w:rPr>
                <w:rFonts w:eastAsiaTheme="minorEastAsia"/>
                <w:sz w:val="24"/>
              </w:rPr>
              <w:t>■不允许</w:t>
            </w:r>
          </w:p>
          <w:p w14:paraId="71136DFD">
            <w:pPr>
              <w:jc w:val="left"/>
              <w:rPr>
                <w:rFonts w:ascii="宋体" w:hAnsi="宋体" w:cs="宋体"/>
                <w:sz w:val="24"/>
              </w:rPr>
            </w:pPr>
            <w:r>
              <w:rPr>
                <w:rFonts w:eastAsiaTheme="minorEastAsia"/>
              </w:rPr>
              <w:t>□</w:t>
            </w:r>
            <w:r>
              <w:rPr>
                <w:rFonts w:eastAsiaTheme="minorEastAsia"/>
                <w:sz w:val="24"/>
              </w:rPr>
              <w:t>允许，具体要求：</w:t>
            </w:r>
            <w:r>
              <w:rPr>
                <w:rFonts w:hint="eastAsia" w:ascii="宋体" w:hAnsi="宋体" w:cs="宋体"/>
                <w:sz w:val="24"/>
                <w:u w:val="single"/>
              </w:rPr>
              <w:t xml:space="preserve">  /  </w:t>
            </w:r>
            <w:r>
              <w:rPr>
                <w:rFonts w:hint="eastAsia" w:ascii="宋体" w:hAnsi="宋体" w:cs="宋体"/>
                <w:sz w:val="24"/>
              </w:rPr>
              <w:t>。</w:t>
            </w:r>
          </w:p>
          <w:p w14:paraId="116F643F">
            <w:pPr>
              <w:jc w:val="left"/>
              <w:rPr>
                <w:rFonts w:ascii="宋体" w:hAnsi="宋体" w:cs="宋体"/>
                <w:sz w:val="24"/>
              </w:rPr>
            </w:pPr>
            <w:r>
              <w:rPr>
                <w:rFonts w:hint="eastAsia" w:ascii="宋体" w:hAnsi="宋体" w:cs="宋体"/>
                <w:sz w:val="24"/>
              </w:rPr>
              <w:t>（1）可以分包履行的具体内容：</w:t>
            </w:r>
            <w:r>
              <w:rPr>
                <w:rFonts w:hint="eastAsia" w:ascii="宋体" w:hAnsi="宋体" w:cs="宋体"/>
                <w:sz w:val="24"/>
                <w:u w:val="single"/>
              </w:rPr>
              <w:t xml:space="preserve">  /  </w:t>
            </w:r>
            <w:r>
              <w:rPr>
                <w:rFonts w:hint="eastAsia" w:ascii="宋体" w:hAnsi="宋体" w:cs="宋体"/>
                <w:sz w:val="24"/>
              </w:rPr>
              <w:t>；</w:t>
            </w:r>
          </w:p>
          <w:p w14:paraId="79657690">
            <w:pPr>
              <w:jc w:val="left"/>
              <w:rPr>
                <w:rFonts w:ascii="宋体" w:hAnsi="宋体" w:cs="宋体"/>
                <w:sz w:val="24"/>
              </w:rPr>
            </w:pPr>
            <w:r>
              <w:rPr>
                <w:rFonts w:hint="eastAsia" w:ascii="宋体" w:hAnsi="宋体" w:cs="宋体"/>
                <w:sz w:val="24"/>
              </w:rPr>
              <w:t>（2）允许分包的金额或者比例：</w:t>
            </w:r>
            <w:r>
              <w:rPr>
                <w:rFonts w:hint="eastAsia" w:ascii="宋体" w:hAnsi="宋体" w:cs="宋体"/>
                <w:sz w:val="24"/>
                <w:u w:val="single"/>
              </w:rPr>
              <w:t xml:space="preserve">  /  </w:t>
            </w:r>
            <w:r>
              <w:rPr>
                <w:rFonts w:hint="eastAsia" w:ascii="宋体" w:hAnsi="宋体" w:cs="宋体"/>
                <w:sz w:val="24"/>
              </w:rPr>
              <w:t>；</w:t>
            </w:r>
          </w:p>
          <w:p w14:paraId="7852DFC1">
            <w:pPr>
              <w:jc w:val="left"/>
              <w:rPr>
                <w:rFonts w:eastAsiaTheme="minorEastAsia"/>
                <w:sz w:val="24"/>
                <w:u w:val="single"/>
              </w:rPr>
            </w:pPr>
            <w:r>
              <w:rPr>
                <w:rFonts w:hint="eastAsia" w:ascii="宋体" w:hAnsi="宋体" w:cs="宋体"/>
                <w:sz w:val="24"/>
              </w:rPr>
              <w:t>（3）其他要求：</w:t>
            </w:r>
            <w:r>
              <w:rPr>
                <w:rFonts w:hint="eastAsia" w:ascii="宋体" w:hAnsi="宋体" w:cs="宋体"/>
                <w:sz w:val="24"/>
                <w:u w:val="single"/>
              </w:rPr>
              <w:t xml:space="preserve">  /  </w:t>
            </w:r>
            <w:r>
              <w:rPr>
                <w:rFonts w:hint="eastAsia" w:ascii="宋体" w:hAnsi="宋体" w:cs="宋体"/>
                <w:sz w:val="24"/>
              </w:rPr>
              <w:t>。</w:t>
            </w:r>
          </w:p>
        </w:tc>
      </w:tr>
      <w:tr w14:paraId="4D7B5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1B5AA19">
            <w:pPr>
              <w:pStyle w:val="23"/>
              <w:adjustRightInd w:val="0"/>
              <w:snapToGrid w:val="0"/>
              <w:jc w:val="center"/>
              <w:rPr>
                <w:rFonts w:hint="default" w:ascii="Times New Roman" w:hAnsi="Times New Roman" w:eastAsiaTheme="minorEastAsia"/>
                <w:sz w:val="24"/>
                <w:szCs w:val="24"/>
              </w:rPr>
            </w:pPr>
            <w:r>
              <w:rPr>
                <w:rFonts w:ascii="Times New Roman" w:hAnsi="Times New Roman"/>
                <w:sz w:val="24"/>
                <w:szCs w:val="24"/>
              </w:rPr>
              <w:t>2</w:t>
            </w:r>
            <w:r>
              <w:rPr>
                <w:rFonts w:hint="default" w:ascii="Times New Roman" w:hAnsi="Times New Roman"/>
                <w:sz w:val="24"/>
                <w:szCs w:val="24"/>
              </w:rPr>
              <w:t>3</w:t>
            </w:r>
            <w:r>
              <w:rPr>
                <w:rFonts w:ascii="Times New Roman" w:hAnsi="Times New Roman"/>
                <w:sz w:val="24"/>
                <w:szCs w:val="24"/>
              </w:rPr>
              <w:t>.6</w:t>
            </w:r>
          </w:p>
        </w:tc>
        <w:tc>
          <w:tcPr>
            <w:tcW w:w="1701" w:type="dxa"/>
            <w:vAlign w:val="center"/>
          </w:tcPr>
          <w:p w14:paraId="614B7824">
            <w:pPr>
              <w:jc w:val="center"/>
              <w:rPr>
                <w:rFonts w:eastAsiaTheme="minorEastAsia"/>
                <w:sz w:val="24"/>
              </w:rPr>
            </w:pPr>
            <w:r>
              <w:rPr>
                <w:rFonts w:hint="eastAsia"/>
                <w:sz w:val="24"/>
              </w:rPr>
              <w:t>政采贷</w:t>
            </w:r>
          </w:p>
        </w:tc>
        <w:tc>
          <w:tcPr>
            <w:tcW w:w="7253" w:type="dxa"/>
            <w:vAlign w:val="center"/>
          </w:tcPr>
          <w:p w14:paraId="274CEF0C">
            <w:pPr>
              <w:jc w:val="left"/>
              <w:rPr>
                <w:rFonts w:eastAsiaTheme="minorEastAsia"/>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6E6BC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C4D6718">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24.1.1</w:t>
            </w:r>
          </w:p>
        </w:tc>
        <w:tc>
          <w:tcPr>
            <w:tcW w:w="1701" w:type="dxa"/>
            <w:vAlign w:val="center"/>
          </w:tcPr>
          <w:p w14:paraId="1078BF71">
            <w:pPr>
              <w:jc w:val="center"/>
              <w:rPr>
                <w:rFonts w:eastAsiaTheme="minorEastAsia"/>
                <w:sz w:val="24"/>
              </w:rPr>
            </w:pPr>
            <w:r>
              <w:rPr>
                <w:rFonts w:eastAsiaTheme="minorEastAsia"/>
                <w:sz w:val="24"/>
              </w:rPr>
              <w:t>询问</w:t>
            </w:r>
          </w:p>
        </w:tc>
        <w:tc>
          <w:tcPr>
            <w:tcW w:w="7253" w:type="dxa"/>
            <w:vAlign w:val="center"/>
          </w:tcPr>
          <w:p w14:paraId="0354FC9D">
            <w:pPr>
              <w:jc w:val="left"/>
              <w:rPr>
                <w:rFonts w:eastAsiaTheme="minorEastAsia"/>
                <w:sz w:val="24"/>
              </w:rPr>
            </w:pPr>
            <w:r>
              <w:rPr>
                <w:rFonts w:eastAsiaTheme="minorEastAsia"/>
                <w:sz w:val="24"/>
              </w:rPr>
              <w:t>询问</w:t>
            </w:r>
            <w:r>
              <w:rPr>
                <w:rFonts w:hint="eastAsia" w:eastAsiaTheme="minorEastAsia"/>
                <w:sz w:val="24"/>
              </w:rPr>
              <w:t>提出</w:t>
            </w:r>
            <w:r>
              <w:rPr>
                <w:rFonts w:eastAsiaTheme="minorEastAsia"/>
                <w:sz w:val="24"/>
              </w:rPr>
              <w:t>形式：</w:t>
            </w:r>
            <w:r>
              <w:rPr>
                <w:rFonts w:hint="eastAsia" w:ascii="宋体" w:hAnsi="宋体" w:cs="宋体"/>
                <w:sz w:val="24"/>
                <w:u w:val="single"/>
              </w:rPr>
              <w:t>请以信函或传真的形式</w:t>
            </w:r>
            <w:r>
              <w:rPr>
                <w:rFonts w:eastAsiaTheme="minorEastAsia"/>
                <w:sz w:val="24"/>
              </w:rPr>
              <w:t>。</w:t>
            </w:r>
          </w:p>
        </w:tc>
      </w:tr>
      <w:tr w14:paraId="4FFB9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8A855E2">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24.3</w:t>
            </w:r>
          </w:p>
        </w:tc>
        <w:tc>
          <w:tcPr>
            <w:tcW w:w="1701" w:type="dxa"/>
            <w:vAlign w:val="center"/>
          </w:tcPr>
          <w:p w14:paraId="2CF39E30">
            <w:pPr>
              <w:jc w:val="center"/>
              <w:rPr>
                <w:rFonts w:eastAsiaTheme="minorEastAsia"/>
                <w:sz w:val="24"/>
              </w:rPr>
            </w:pPr>
            <w:r>
              <w:rPr>
                <w:rFonts w:eastAsiaTheme="minorEastAsia"/>
                <w:sz w:val="24"/>
              </w:rPr>
              <w:t>联系方式</w:t>
            </w:r>
          </w:p>
        </w:tc>
        <w:tc>
          <w:tcPr>
            <w:tcW w:w="7253" w:type="dxa"/>
            <w:vAlign w:val="center"/>
          </w:tcPr>
          <w:p w14:paraId="48DC279A">
            <w:pPr>
              <w:jc w:val="left"/>
              <w:rPr>
                <w:rFonts w:eastAsiaTheme="minorEastAsia"/>
                <w:sz w:val="24"/>
              </w:rPr>
            </w:pPr>
            <w:r>
              <w:rPr>
                <w:rFonts w:eastAsiaTheme="minorEastAsia"/>
                <w:sz w:val="24"/>
              </w:rPr>
              <w:t>接收询问和质疑的联系方式</w:t>
            </w:r>
          </w:p>
          <w:p w14:paraId="71EFB3A1">
            <w:pPr>
              <w:jc w:val="left"/>
              <w:rPr>
                <w:rFonts w:ascii="宋体" w:hAnsi="宋体" w:cs="宋体"/>
                <w:sz w:val="24"/>
              </w:rPr>
            </w:pPr>
            <w:r>
              <w:rPr>
                <w:rFonts w:eastAsiaTheme="minorEastAsia"/>
                <w:sz w:val="24"/>
              </w:rPr>
              <w:t>联系部门：</w:t>
            </w:r>
            <w:r>
              <w:rPr>
                <w:rFonts w:hint="eastAsia" w:ascii="宋体" w:hAnsi="宋体" w:cs="宋体"/>
                <w:sz w:val="24"/>
                <w:u w:val="single"/>
              </w:rPr>
              <w:t>招标部</w:t>
            </w:r>
            <w:r>
              <w:rPr>
                <w:rFonts w:hint="eastAsia" w:ascii="宋体" w:hAnsi="宋体" w:cs="宋体"/>
                <w:sz w:val="24"/>
              </w:rPr>
              <w:t>；</w:t>
            </w:r>
          </w:p>
          <w:p w14:paraId="13CB2081">
            <w:pPr>
              <w:jc w:val="left"/>
              <w:rPr>
                <w:rFonts w:ascii="宋体" w:hAnsi="宋体" w:cs="宋体"/>
                <w:sz w:val="24"/>
              </w:rPr>
            </w:pPr>
            <w:r>
              <w:rPr>
                <w:rFonts w:hint="eastAsia" w:ascii="宋体" w:hAnsi="宋体" w:cs="宋体"/>
                <w:sz w:val="24"/>
              </w:rPr>
              <w:t>联系电话：</w:t>
            </w:r>
            <w:r>
              <w:rPr>
                <w:rFonts w:hint="eastAsia" w:ascii="宋体" w:hAnsi="宋体" w:cs="宋体"/>
                <w:sz w:val="24"/>
                <w:u w:val="single"/>
                <w:lang w:val="en-US" w:eastAsia="zh-CN"/>
              </w:rPr>
              <w:t>13241916611</w:t>
            </w:r>
            <w:r>
              <w:rPr>
                <w:rFonts w:hint="eastAsia" w:ascii="宋体" w:hAnsi="宋体" w:cs="宋体"/>
                <w:sz w:val="24"/>
              </w:rPr>
              <w:t>；</w:t>
            </w:r>
          </w:p>
          <w:p w14:paraId="590D0EA8">
            <w:pPr>
              <w:jc w:val="left"/>
              <w:rPr>
                <w:rFonts w:eastAsiaTheme="minorEastAsia"/>
                <w:sz w:val="24"/>
              </w:rPr>
            </w:pPr>
            <w:r>
              <w:rPr>
                <w:rFonts w:hint="eastAsia" w:ascii="宋体" w:hAnsi="宋体" w:cs="宋体"/>
                <w:sz w:val="24"/>
              </w:rPr>
              <w:t>通讯地址：</w:t>
            </w:r>
            <w:r>
              <w:rPr>
                <w:rFonts w:hint="eastAsia" w:ascii="宋体" w:hAnsi="宋体" w:cs="宋体"/>
                <w:sz w:val="24"/>
                <w:u w:val="single"/>
                <w:lang w:eastAsia="zh-CN"/>
              </w:rPr>
              <w:t>北京市房山区广阳西路21号</w:t>
            </w:r>
            <w:r>
              <w:rPr>
                <w:rFonts w:hint="eastAsia" w:ascii="宋体" w:hAnsi="宋体" w:cs="宋体"/>
                <w:sz w:val="24"/>
              </w:rPr>
              <w:t>。</w:t>
            </w:r>
          </w:p>
        </w:tc>
      </w:tr>
      <w:tr w14:paraId="2F63A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11741E2">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25</w:t>
            </w:r>
          </w:p>
        </w:tc>
        <w:tc>
          <w:tcPr>
            <w:tcW w:w="1701" w:type="dxa"/>
            <w:vAlign w:val="center"/>
          </w:tcPr>
          <w:p w14:paraId="044758FE">
            <w:pPr>
              <w:jc w:val="center"/>
              <w:rPr>
                <w:rFonts w:eastAsiaTheme="minorEastAsia"/>
                <w:sz w:val="24"/>
              </w:rPr>
            </w:pPr>
            <w:r>
              <w:rPr>
                <w:rFonts w:eastAsiaTheme="minorEastAsia"/>
                <w:sz w:val="24"/>
              </w:rPr>
              <w:t>代理费</w:t>
            </w:r>
          </w:p>
        </w:tc>
        <w:tc>
          <w:tcPr>
            <w:tcW w:w="7253" w:type="dxa"/>
            <w:vAlign w:val="center"/>
          </w:tcPr>
          <w:p w14:paraId="6C1F2160">
            <w:pPr>
              <w:jc w:val="left"/>
              <w:rPr>
                <w:rFonts w:eastAsiaTheme="minorEastAsia"/>
                <w:sz w:val="24"/>
              </w:rPr>
            </w:pPr>
            <w:r>
              <w:rPr>
                <w:rFonts w:eastAsiaTheme="minorEastAsia"/>
                <w:sz w:val="24"/>
              </w:rPr>
              <w:t>收费对象：</w:t>
            </w:r>
          </w:p>
          <w:p w14:paraId="7B864604">
            <w:pPr>
              <w:jc w:val="left"/>
              <w:rPr>
                <w:rFonts w:eastAsiaTheme="minorEastAsia"/>
                <w:sz w:val="24"/>
              </w:rPr>
            </w:pPr>
            <w:r>
              <w:rPr>
                <w:rFonts w:eastAsiaTheme="minorEastAsia"/>
                <w:sz w:val="24"/>
              </w:rPr>
              <w:t>■采购人</w:t>
            </w:r>
          </w:p>
          <w:p w14:paraId="29D51CF9">
            <w:pPr>
              <w:jc w:val="left"/>
              <w:rPr>
                <w:rFonts w:eastAsiaTheme="minorEastAsia"/>
                <w:sz w:val="24"/>
              </w:rPr>
            </w:pPr>
            <w:r>
              <w:rPr>
                <w:rFonts w:eastAsiaTheme="minorEastAsia"/>
              </w:rPr>
              <w:t>□</w:t>
            </w:r>
            <w:r>
              <w:rPr>
                <w:rFonts w:eastAsiaTheme="minorEastAsia"/>
                <w:sz w:val="24"/>
              </w:rPr>
              <w:t>成交供应商</w:t>
            </w:r>
          </w:p>
          <w:p w14:paraId="668BDA6E">
            <w:pPr>
              <w:jc w:val="left"/>
              <w:rPr>
                <w:rFonts w:hint="default" w:eastAsiaTheme="minorEastAsia"/>
                <w:sz w:val="24"/>
                <w:u w:val="single"/>
                <w:lang w:val="en-US" w:eastAsia="zh-CN"/>
              </w:rPr>
            </w:pPr>
            <w:r>
              <w:rPr>
                <w:rFonts w:eastAsiaTheme="minorEastAsia"/>
                <w:sz w:val="24"/>
              </w:rPr>
              <w:t>收费标准：</w:t>
            </w:r>
            <w:r>
              <w:rPr>
                <w:rFonts w:hint="eastAsia" w:ascii="宋体" w:hAnsi="宋体" w:cs="宋体"/>
                <w:sz w:val="24"/>
                <w:u w:val="single"/>
              </w:rPr>
              <w:t>根据国家发展计划委员会颁布的《招标代理服务收费管理暂行办法》（计价格[2002]1980 号），招标代理服务费用按差额定率累进法以成交金额为基数进行计算</w:t>
            </w:r>
            <w:r>
              <w:rPr>
                <w:rFonts w:eastAsiaTheme="minorEastAsia"/>
                <w:sz w:val="24"/>
                <w:u w:val="single"/>
              </w:rPr>
              <w:t>；</w:t>
            </w:r>
            <w:r>
              <w:rPr>
                <w:rFonts w:hint="eastAsia" w:ascii="Times New Roman" w:hAnsi="Times New Roman" w:cs="Times New Roman" w:eastAsiaTheme="minorEastAsia"/>
                <w:sz w:val="24"/>
                <w:u w:val="single"/>
                <w:lang w:val="en-US" w:eastAsia="zh-CN"/>
              </w:rPr>
              <w:t>依照京价协【2022】71号文的规定计取工程量清单编制费及最高</w:t>
            </w:r>
            <w:r>
              <w:rPr>
                <w:rFonts w:hint="eastAsia" w:eastAsiaTheme="minorEastAsia"/>
                <w:sz w:val="24"/>
                <w:u w:val="single"/>
                <w:lang w:val="en-US" w:eastAsia="zh-CN"/>
              </w:rPr>
              <w:t>投标限价编制费。</w:t>
            </w:r>
          </w:p>
          <w:p w14:paraId="01A64C4C">
            <w:pPr>
              <w:jc w:val="left"/>
              <w:rPr>
                <w:rFonts w:eastAsiaTheme="minorEastAsia"/>
                <w:sz w:val="24"/>
              </w:rPr>
            </w:pPr>
            <w:r>
              <w:rPr>
                <w:rFonts w:eastAsiaTheme="minorEastAsia"/>
                <w:sz w:val="24"/>
              </w:rPr>
              <w:t>缴纳时间：</w:t>
            </w:r>
            <w:r>
              <w:rPr>
                <w:rFonts w:hint="default" w:ascii="Times New Roman" w:hAnsi="Times New Roman" w:cs="Times New Roman" w:eastAsiaTheme="minorEastAsia"/>
                <w:sz w:val="24"/>
                <w:szCs w:val="24"/>
                <w:u w:val="single"/>
                <w:lang w:val="en-US" w:eastAsia="zh-CN"/>
              </w:rPr>
              <w:t>成交供应商</w:t>
            </w:r>
            <w:r>
              <w:rPr>
                <w:rFonts w:hint="default" w:ascii="Times New Roman" w:hAnsi="Times New Roman" w:cs="Times New Roman" w:eastAsiaTheme="minorEastAsia"/>
                <w:sz w:val="24"/>
                <w:szCs w:val="24"/>
                <w:u w:val="single"/>
              </w:rPr>
              <w:t>在成交公告发布之后</w:t>
            </w:r>
            <w:r>
              <w:rPr>
                <w:rFonts w:hint="default" w:ascii="Times New Roman" w:hAnsi="Times New Roman" w:cs="Times New Roman" w:eastAsiaTheme="minorEastAsia"/>
                <w:sz w:val="24"/>
                <w:szCs w:val="24"/>
                <w:u w:val="single"/>
                <w:lang w:val="en-US" w:eastAsia="zh-CN"/>
              </w:rPr>
              <w:t>5个工作日内</w:t>
            </w:r>
            <w:r>
              <w:rPr>
                <w:rFonts w:hint="default" w:ascii="Times New Roman" w:hAnsi="Times New Roman" w:cs="Times New Roman" w:eastAsiaTheme="minorEastAsia"/>
                <w:sz w:val="24"/>
                <w:szCs w:val="24"/>
                <w:u w:val="single"/>
              </w:rPr>
              <w:t>向乙方支付代理服务费</w:t>
            </w:r>
            <w:r>
              <w:rPr>
                <w:rFonts w:hint="default" w:ascii="Times New Roman" w:hAnsi="Times New Roman" w:cs="Times New Roman" w:eastAsiaTheme="minorEastAsia"/>
                <w:sz w:val="24"/>
                <w:szCs w:val="24"/>
                <w:u w:val="single"/>
                <w:lang w:val="en-US" w:eastAsia="zh-CN"/>
              </w:rPr>
              <w:t>及</w:t>
            </w:r>
            <w:r>
              <w:rPr>
                <w:rFonts w:hint="default" w:ascii="Times New Roman" w:hAnsi="Times New Roman" w:cs="Times New Roman" w:eastAsiaTheme="minorEastAsia"/>
                <w:sz w:val="24"/>
                <w:szCs w:val="24"/>
                <w:u w:val="single"/>
              </w:rPr>
              <w:t>工程量清单编制费、</w:t>
            </w:r>
            <w:r>
              <w:rPr>
                <w:rFonts w:hint="default" w:ascii="Times New Roman" w:hAnsi="Times New Roman" w:cs="Times New Roman" w:eastAsiaTheme="minorEastAsia"/>
                <w:sz w:val="24"/>
                <w:szCs w:val="24"/>
                <w:u w:val="single"/>
                <w:lang w:val="en-US" w:eastAsia="zh-CN"/>
              </w:rPr>
              <w:t>最高投标限价编制费</w:t>
            </w:r>
            <w:r>
              <w:rPr>
                <w:rFonts w:hint="default" w:ascii="Times New Roman" w:hAnsi="Times New Roman" w:cs="Times New Roman" w:eastAsiaTheme="minorEastAsia"/>
                <w:sz w:val="24"/>
                <w:szCs w:val="24"/>
                <w:u w:val="single"/>
                <w:lang w:eastAsia="zh-CN"/>
              </w:rPr>
              <w:t>。</w:t>
            </w:r>
          </w:p>
        </w:tc>
      </w:tr>
    </w:tbl>
    <w:p w14:paraId="014F2661">
      <w:pPr>
        <w:tabs>
          <w:tab w:val="left" w:pos="5580"/>
        </w:tabs>
        <w:adjustRightInd w:val="0"/>
        <w:spacing w:line="360" w:lineRule="auto"/>
        <w:jc w:val="distribute"/>
        <w:rPr>
          <w:rFonts w:eastAsiaTheme="minorEastAsia"/>
          <w:sz w:val="24"/>
        </w:rPr>
        <w:sectPr>
          <w:footerReference r:id="rId10" w:type="first"/>
          <w:footerReference r:id="rId9" w:type="default"/>
          <w:pgSz w:w="11907" w:h="16840"/>
          <w:pgMar w:top="1418" w:right="1134" w:bottom="1418" w:left="1701" w:header="851" w:footer="851" w:gutter="0"/>
          <w:pgNumType w:start="1"/>
          <w:cols w:space="720" w:num="1"/>
          <w:titlePg/>
          <w:docGrid w:linePitch="462" w:charSpace="0"/>
        </w:sectPr>
      </w:pPr>
    </w:p>
    <w:p w14:paraId="54800132">
      <w:pPr>
        <w:spacing w:before="240" w:beforeLines="100" w:after="240" w:afterLines="100"/>
        <w:jc w:val="center"/>
        <w:rPr>
          <w:rFonts w:eastAsiaTheme="minorEastAsia"/>
          <w:b/>
          <w:sz w:val="28"/>
          <w:szCs w:val="28"/>
        </w:rPr>
      </w:pPr>
      <w:r>
        <w:rPr>
          <w:rFonts w:eastAsiaTheme="minorEastAsia"/>
          <w:b/>
          <w:sz w:val="28"/>
          <w:szCs w:val="28"/>
        </w:rPr>
        <w:t>供应商须知</w:t>
      </w:r>
    </w:p>
    <w:p w14:paraId="4DBAD094">
      <w:pPr>
        <w:pStyle w:val="3"/>
        <w:tabs>
          <w:tab w:val="center" w:pos="4592"/>
          <w:tab w:val="left" w:pos="7860"/>
        </w:tabs>
        <w:spacing w:before="0" w:line="360" w:lineRule="auto"/>
        <w:jc w:val="left"/>
        <w:rPr>
          <w:rFonts w:ascii="Times New Roman" w:hAnsi="Times New Roman" w:eastAsiaTheme="minorEastAsia"/>
          <w:sz w:val="28"/>
        </w:rPr>
      </w:pPr>
      <w:bookmarkStart w:id="75" w:name="_Toc520356143"/>
      <w:bookmarkStart w:id="76" w:name="_Toc127151518"/>
      <w:r>
        <w:rPr>
          <w:rFonts w:ascii="Times New Roman" w:hAnsi="Times New Roman" w:eastAsiaTheme="minorEastAsia"/>
          <w:sz w:val="28"/>
        </w:rPr>
        <w:tab/>
      </w:r>
      <w:bookmarkStart w:id="77" w:name="_Toc150774723"/>
      <w:bookmarkStart w:id="78" w:name="_Toc150774618"/>
      <w:bookmarkStart w:id="79" w:name="_Toc142311020"/>
      <w:bookmarkStart w:id="80" w:name="_Toc226965791"/>
      <w:bookmarkStart w:id="81" w:name="_Toc151193906"/>
      <w:bookmarkStart w:id="82" w:name="_Toc195842883"/>
      <w:bookmarkStart w:id="83" w:name="_Toc151193616"/>
      <w:bookmarkStart w:id="84" w:name="_Toc151193688"/>
      <w:bookmarkStart w:id="85" w:name="_Toc150480756"/>
      <w:bookmarkStart w:id="86" w:name="_Toc151193760"/>
      <w:bookmarkStart w:id="87" w:name="_Toc226337214"/>
      <w:bookmarkStart w:id="88" w:name="_Toc150509269"/>
      <w:bookmarkStart w:id="89" w:name="_Toc226965708"/>
      <w:bookmarkStart w:id="90" w:name="_Toc226309762"/>
      <w:bookmarkStart w:id="91" w:name="_Toc151190145"/>
      <w:bookmarkStart w:id="92" w:name="_Toc305158860"/>
      <w:bookmarkStart w:id="93" w:name="_Toc265228356"/>
      <w:bookmarkStart w:id="94" w:name="_Toc264969208"/>
      <w:bookmarkStart w:id="95" w:name="_Toc305158786"/>
      <w:bookmarkStart w:id="96" w:name="_Toc151193832"/>
      <w:r>
        <w:rPr>
          <w:rFonts w:ascii="Times New Roman" w:hAnsi="Times New Roman" w:eastAsiaTheme="minorEastAsia"/>
          <w:sz w:val="28"/>
        </w:rPr>
        <w:t>一   说  明</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eastAsiaTheme="minorEastAsia"/>
          <w:sz w:val="28"/>
        </w:rPr>
        <w:tab/>
      </w:r>
    </w:p>
    <w:p w14:paraId="12E094E9">
      <w:pPr>
        <w:numPr>
          <w:ilvl w:val="0"/>
          <w:numId w:val="8"/>
        </w:numPr>
        <w:tabs>
          <w:tab w:val="left" w:pos="360"/>
          <w:tab w:val="clear" w:pos="900"/>
        </w:tabs>
        <w:snapToGrid w:val="0"/>
        <w:spacing w:line="360" w:lineRule="auto"/>
        <w:ind w:left="357" w:hanging="357"/>
        <w:outlineLvl w:val="1"/>
        <w:rPr>
          <w:rFonts w:eastAsiaTheme="minorEastAsia"/>
          <w:sz w:val="24"/>
        </w:rPr>
      </w:pPr>
      <w:bookmarkStart w:id="97" w:name="_Toc305158787"/>
      <w:bookmarkStart w:id="98" w:name="_Toc265228357"/>
      <w:bookmarkStart w:id="99" w:name="_Toc264969209"/>
      <w:bookmarkStart w:id="100" w:name="_Toc305158861"/>
      <w:r>
        <w:rPr>
          <w:rFonts w:eastAsiaTheme="minorEastAsia"/>
          <w:sz w:val="24"/>
        </w:rPr>
        <w:t>采购人、采购代理机构、供应商</w:t>
      </w:r>
      <w:bookmarkEnd w:id="97"/>
      <w:bookmarkEnd w:id="98"/>
      <w:bookmarkEnd w:id="99"/>
      <w:bookmarkEnd w:id="100"/>
      <w:r>
        <w:rPr>
          <w:rFonts w:eastAsiaTheme="minorEastAsia"/>
          <w:sz w:val="24"/>
        </w:rPr>
        <w:t>、联合体</w:t>
      </w:r>
    </w:p>
    <w:p w14:paraId="4CBD6BA3">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19D72083">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供应商（也称“申请人”）：指向采购人提供货物、工程或者服务的法人、其他组织或者自然人。</w:t>
      </w:r>
    </w:p>
    <w:p w14:paraId="09393E94">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6D070253">
      <w:pPr>
        <w:numPr>
          <w:ilvl w:val="0"/>
          <w:numId w:val="8"/>
        </w:numPr>
        <w:tabs>
          <w:tab w:val="left" w:pos="360"/>
          <w:tab w:val="clear" w:pos="900"/>
        </w:tabs>
        <w:snapToGrid w:val="0"/>
        <w:spacing w:line="360" w:lineRule="auto"/>
        <w:ind w:left="357" w:hanging="357"/>
        <w:outlineLvl w:val="1"/>
        <w:rPr>
          <w:rFonts w:eastAsiaTheme="minorEastAsia"/>
          <w:sz w:val="24"/>
        </w:rPr>
      </w:pPr>
      <w:bookmarkStart w:id="101" w:name="_Toc150509271"/>
      <w:bookmarkStart w:id="102" w:name="_Toc151193762"/>
      <w:bookmarkStart w:id="103" w:name="_Toc265228358"/>
      <w:bookmarkStart w:id="104" w:name="_Toc195842885"/>
      <w:bookmarkStart w:id="105" w:name="_Toc226337216"/>
      <w:bookmarkStart w:id="106" w:name="_Toc151193908"/>
      <w:bookmarkStart w:id="107" w:name="_Toc150774620"/>
      <w:bookmarkStart w:id="108" w:name="_Toc151193690"/>
      <w:bookmarkStart w:id="109" w:name="_Toc127151520"/>
      <w:bookmarkStart w:id="110" w:name="_Toc151193618"/>
      <w:bookmarkStart w:id="111" w:name="_Toc149720813"/>
      <w:bookmarkStart w:id="112" w:name="_Toc226965793"/>
      <w:bookmarkStart w:id="113" w:name="_Toc164608634"/>
      <w:bookmarkStart w:id="114" w:name="_Toc164608789"/>
      <w:bookmarkStart w:id="115" w:name="_Toc305158862"/>
      <w:bookmarkStart w:id="116" w:name="_Toc264969210"/>
      <w:bookmarkStart w:id="117" w:name="_Toc127161434"/>
      <w:bookmarkStart w:id="118" w:name="_Toc150480758"/>
      <w:bookmarkStart w:id="119" w:name="_Toc142311022"/>
      <w:bookmarkStart w:id="120" w:name="_Toc151193834"/>
      <w:bookmarkStart w:id="121" w:name="_Toc127151721"/>
      <w:bookmarkStart w:id="122" w:name="_Toc150774725"/>
      <w:bookmarkStart w:id="123" w:name="_Toc305158788"/>
      <w:bookmarkStart w:id="124" w:name="_Toc164351614"/>
      <w:bookmarkStart w:id="125" w:name="_Toc226309764"/>
      <w:bookmarkStart w:id="126" w:name="_Toc151190147"/>
      <w:bookmarkStart w:id="127" w:name="_Toc164229215"/>
      <w:bookmarkStart w:id="128" w:name="_Toc164229361"/>
      <w:bookmarkStart w:id="129" w:name="_Toc226965710"/>
      <w:r>
        <w:rPr>
          <w:rFonts w:eastAsiaTheme="minorEastAsia"/>
          <w:sz w:val="24"/>
        </w:rPr>
        <w:t>资金来源</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Pr>
          <w:rFonts w:eastAsiaTheme="minorEastAsia"/>
          <w:sz w:val="24"/>
        </w:rPr>
        <w:t>、项目属性、科研仪器设备采购</w:t>
      </w:r>
    </w:p>
    <w:p w14:paraId="40F127F5">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资金来源为财政性资金和/或本项目采购中无法与财政性资金分割的非财政性资金。</w:t>
      </w:r>
    </w:p>
    <w:p w14:paraId="7E96BAF1">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14:paraId="778EA0B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35B78AEE">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14:paraId="5D59A433">
      <w:pPr>
        <w:numPr>
          <w:ilvl w:val="1"/>
          <w:numId w:val="8"/>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30" w:name="_Toc226337218"/>
      <w:bookmarkStart w:id="131" w:name="_Toc226309766"/>
      <w:bookmarkStart w:id="132" w:name="_Toc226965795"/>
      <w:bookmarkStart w:id="133" w:name="_Toc305158864"/>
      <w:bookmarkStart w:id="134" w:name="_Toc195842887"/>
      <w:bookmarkStart w:id="135" w:name="_Toc265228360"/>
      <w:bookmarkStart w:id="136" w:name="_Toc520356146"/>
      <w:bookmarkStart w:id="137" w:name="_Toc151193620"/>
      <w:bookmarkStart w:id="138" w:name="_Toc127151522"/>
      <w:bookmarkStart w:id="139" w:name="_Toc151193910"/>
      <w:bookmarkStart w:id="140" w:name="_Toc151193836"/>
      <w:bookmarkStart w:id="141" w:name="_Toc142311024"/>
      <w:bookmarkStart w:id="142" w:name="_Toc150480760"/>
      <w:bookmarkStart w:id="143" w:name="_Toc264969212"/>
      <w:bookmarkStart w:id="144" w:name="_Toc150509273"/>
      <w:bookmarkStart w:id="145" w:name="_Toc150774727"/>
      <w:bookmarkStart w:id="146" w:name="_Toc150774622"/>
      <w:bookmarkStart w:id="147" w:name="_Toc226965712"/>
      <w:bookmarkStart w:id="148" w:name="_Toc151193692"/>
      <w:bookmarkStart w:id="149" w:name="_Toc151190149"/>
      <w:bookmarkStart w:id="150" w:name="_Toc151193764"/>
      <w:bookmarkStart w:id="151" w:name="_Toc305158790"/>
    </w:p>
    <w:p w14:paraId="52FD2D44">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56F6803A">
      <w:pPr>
        <w:numPr>
          <w:ilvl w:val="0"/>
          <w:numId w:val="8"/>
        </w:numPr>
        <w:tabs>
          <w:tab w:val="left" w:pos="360"/>
          <w:tab w:val="clear" w:pos="90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14:paraId="49A224E9">
      <w:pPr>
        <w:numPr>
          <w:ilvl w:val="1"/>
          <w:numId w:val="8"/>
        </w:numPr>
        <w:tabs>
          <w:tab w:val="left" w:pos="1080"/>
          <w:tab w:val="left" w:pos="2014"/>
        </w:tabs>
        <w:snapToGrid w:val="0"/>
        <w:spacing w:line="360" w:lineRule="auto"/>
        <w:ind w:left="1080" w:hanging="720"/>
        <w:rPr>
          <w:rFonts w:eastAsiaTheme="minorEastAsia"/>
          <w:sz w:val="24"/>
        </w:rPr>
      </w:pPr>
      <w:r>
        <w:rPr>
          <w:sz w:val="24"/>
        </w:rPr>
        <w:t>采购本国货物、工程和服务</w:t>
      </w:r>
    </w:p>
    <w:p w14:paraId="0DA79A49">
      <w:pPr>
        <w:numPr>
          <w:ilvl w:val="2"/>
          <w:numId w:val="8"/>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693C6C85">
      <w:pPr>
        <w:numPr>
          <w:ilvl w:val="2"/>
          <w:numId w:val="8"/>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14:paraId="6C6ED170">
      <w:pPr>
        <w:numPr>
          <w:ilvl w:val="2"/>
          <w:numId w:val="8"/>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1593083">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14:paraId="15A6E30A">
      <w:pPr>
        <w:numPr>
          <w:ilvl w:val="2"/>
          <w:numId w:val="8"/>
        </w:numPr>
        <w:snapToGrid w:val="0"/>
        <w:spacing w:line="360" w:lineRule="auto"/>
        <w:rPr>
          <w:rFonts w:eastAsiaTheme="minorEastAsia"/>
          <w:sz w:val="24"/>
        </w:rPr>
      </w:pPr>
      <w:r>
        <w:rPr>
          <w:rFonts w:eastAsiaTheme="minorEastAsia"/>
          <w:sz w:val="24"/>
        </w:rPr>
        <w:t>中小企业定义：</w:t>
      </w:r>
    </w:p>
    <w:p w14:paraId="6BAD7DB5">
      <w:pPr>
        <w:pStyle w:val="72"/>
        <w:numPr>
          <w:ilvl w:val="0"/>
          <w:numId w:val="9"/>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5012D9DB">
      <w:pPr>
        <w:pStyle w:val="72"/>
        <w:numPr>
          <w:ilvl w:val="0"/>
          <w:numId w:val="9"/>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75A2F1DB">
      <w:pPr>
        <w:pStyle w:val="72"/>
        <w:numPr>
          <w:ilvl w:val="0"/>
          <w:numId w:val="9"/>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3FF62D7C">
      <w:pPr>
        <w:pStyle w:val="72"/>
        <w:numPr>
          <w:ilvl w:val="0"/>
          <w:numId w:val="9"/>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28175C2B">
      <w:pPr>
        <w:pStyle w:val="72"/>
        <w:numPr>
          <w:ilvl w:val="1"/>
          <w:numId w:val="9"/>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284D00A8">
      <w:pPr>
        <w:pStyle w:val="72"/>
        <w:numPr>
          <w:ilvl w:val="1"/>
          <w:numId w:val="9"/>
        </w:numPr>
        <w:tabs>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194C16B7">
      <w:pPr>
        <w:pStyle w:val="72"/>
        <w:numPr>
          <w:ilvl w:val="2"/>
          <w:numId w:val="9"/>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6119FB82">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Theme="minorEastAsia"/>
          <w:color w:val="000000" w:themeColor="text1"/>
          <w:sz w:val="24"/>
          <w14:textFill>
            <w14:solidFill>
              <w14:schemeClr w14:val="tx1"/>
            </w14:solidFill>
          </w14:textFill>
        </w:rPr>
        <w:t>判定</w:t>
      </w:r>
      <w:r>
        <w:rPr>
          <w:rFonts w:eastAsiaTheme="minorEastAsia"/>
          <w:color w:val="000000" w:themeColor="text1"/>
          <w:sz w:val="24"/>
          <w14:textFill>
            <w14:solidFill>
              <w14:schemeClr w14:val="tx1"/>
            </w14:solidFill>
          </w14:textFill>
        </w:rPr>
        <w:t>依据《中华人民共和国中小企业促进法》、</w:t>
      </w:r>
      <w:r>
        <w:rPr>
          <w:color w:val="000000" w:themeColor="text1"/>
          <w:sz w:val="24"/>
          <w14:textFill>
            <w14:solidFill>
              <w14:schemeClr w14:val="tx1"/>
            </w14:solidFill>
          </w14:textFill>
        </w:rPr>
        <w:t>《关于进一步加大政府采购支持中小企业力度的通知》（财库〔2022〕19号）、</w:t>
      </w:r>
      <w:r>
        <w:rPr>
          <w:rFonts w:eastAsiaTheme="minorEastAsia"/>
          <w:color w:val="000000" w:themeColor="text1"/>
          <w:sz w:val="24"/>
          <w14:textFill>
            <w14:solidFill>
              <w14:schemeClr w14:val="tx1"/>
            </w14:solidFill>
          </w14:textFill>
        </w:rPr>
        <w:t>《政府采购促进中小企业发展管理办法》（财库〔2020〕46号）、《关于印发中小企业划型标准规定的通知》（工信部联企业〔2011〕300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rFonts w:eastAsiaTheme="minorEastAsia"/>
          <w:color w:val="000000" w:themeColor="text1"/>
          <w:sz w:val="24"/>
          <w14:textFill>
            <w14:solidFill>
              <w14:schemeClr w14:val="tx1"/>
            </w14:solidFill>
          </w14:textFill>
        </w:rPr>
        <w:t>。</w:t>
      </w:r>
    </w:p>
    <w:p w14:paraId="3CD2972C">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供应商提供的货物、工程或者服务符合下列情形的，享受中小企业扶持政策：</w:t>
      </w:r>
    </w:p>
    <w:p w14:paraId="75FE50DE">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（1）在货物采购项目中，货物由中小企业制造，即货物由中小企业生产且使用该中小企业商号或者注册商标；</w:t>
      </w:r>
    </w:p>
    <w:p w14:paraId="38714557">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（2）在工程采购项目中，工程由中小企业承建，即工程施工单位为中小企业；</w:t>
      </w:r>
    </w:p>
    <w:p w14:paraId="6C7DFBA3">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382B7EAC">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14:paraId="77A75A08">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6A35E508">
      <w:pPr>
        <w:numPr>
          <w:ilvl w:val="2"/>
          <w:numId w:val="8"/>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0A05520">
      <w:pPr>
        <w:numPr>
          <w:ilvl w:val="2"/>
          <w:numId w:val="8"/>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14:paraId="11EE71B6">
      <w:pPr>
        <w:pStyle w:val="72"/>
        <w:numPr>
          <w:ilvl w:val="2"/>
          <w:numId w:val="9"/>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038D18BB">
      <w:pPr>
        <w:pStyle w:val="72"/>
        <w:numPr>
          <w:ilvl w:val="2"/>
          <w:numId w:val="9"/>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56FA6798">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安置的残疾人占本单位在职职工人数的比例不低于25%（含25%），并且安置的残疾人人数不少于10 人（含10 人）；</w:t>
      </w:r>
    </w:p>
    <w:p w14:paraId="5F650BC2">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依法与安置的每位残疾人签订了一年以上（含一年）的劳动合同或服务协议；</w:t>
      </w:r>
    </w:p>
    <w:p w14:paraId="4280EDA3">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为安置的每位残疾人按月足额缴纳了基本养老保险、基本医疗保险、失业保险、工伤保险和生育保险等社会保险费；</w:t>
      </w:r>
    </w:p>
    <w:p w14:paraId="67297016">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通过银行等金融机构向安置的每位残疾人，按月支付了不低于单位所在区县适用的经省级人民政府批准的月最低工资标准的工资；</w:t>
      </w:r>
    </w:p>
    <w:p w14:paraId="3BBDEF15">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14:paraId="0089D279">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425C1744">
      <w:pPr>
        <w:numPr>
          <w:ilvl w:val="2"/>
          <w:numId w:val="8"/>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61F56518">
      <w:pPr>
        <w:numPr>
          <w:ilvl w:val="2"/>
          <w:numId w:val="8"/>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1E342369">
      <w:pPr>
        <w:numPr>
          <w:ilvl w:val="2"/>
          <w:numId w:val="8"/>
        </w:numPr>
        <w:snapToGrid w:val="0"/>
        <w:spacing w:line="360" w:lineRule="auto"/>
        <w:rPr>
          <w:rFonts w:eastAsiaTheme="minorEastAsia"/>
          <w:sz w:val="24"/>
        </w:rPr>
      </w:pPr>
      <w:r>
        <w:rPr>
          <w:rFonts w:eastAsiaTheme="minorEastAsia"/>
          <w:sz w:val="24"/>
        </w:rPr>
        <w:t>小微企业价格评审优惠的政策调整：见第三章《评审方法和评审标准》。</w:t>
      </w:r>
    </w:p>
    <w:p w14:paraId="513F36E1">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14:paraId="01293760">
      <w:pPr>
        <w:numPr>
          <w:ilvl w:val="2"/>
          <w:numId w:val="8"/>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53E04FD">
      <w:pPr>
        <w:numPr>
          <w:ilvl w:val="2"/>
          <w:numId w:val="8"/>
        </w:numPr>
        <w:snapToGrid w:val="0"/>
        <w:spacing w:line="360" w:lineRule="auto"/>
        <w:rPr>
          <w:rFonts w:eastAsiaTheme="minorEastAsia"/>
          <w:sz w:val="24"/>
        </w:rPr>
      </w:pPr>
      <w:r>
        <w:rPr>
          <w:rFonts w:eastAsia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75230B5">
      <w:pPr>
        <w:numPr>
          <w:ilvl w:val="2"/>
          <w:numId w:val="8"/>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07236A15">
      <w:pPr>
        <w:numPr>
          <w:ilvl w:val="2"/>
          <w:numId w:val="8"/>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14:paraId="6AF1E004">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14:paraId="198F07D3">
      <w:pPr>
        <w:numPr>
          <w:ilvl w:val="2"/>
          <w:numId w:val="8"/>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F2BE7D8">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14:paraId="726A1A2A">
      <w:pPr>
        <w:numPr>
          <w:ilvl w:val="2"/>
          <w:numId w:val="8"/>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6B7AAF26">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推广使用低挥发性有机化合物（VOCs）</w:t>
      </w:r>
    </w:p>
    <w:p w14:paraId="5C9E223D">
      <w:pPr>
        <w:numPr>
          <w:ilvl w:val="2"/>
          <w:numId w:val="8"/>
        </w:numPr>
        <w:snapToGrid w:val="0"/>
        <w:spacing w:line="360" w:lineRule="auto"/>
        <w:rPr>
          <w:rFonts w:eastAsiaTheme="minorEastAsia"/>
          <w:sz w:val="24"/>
        </w:rPr>
      </w:pPr>
      <w:r>
        <w:rPr>
          <w:rFonts w:eastAsia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14:paraId="75AD89CA">
      <w:pPr>
        <w:numPr>
          <w:ilvl w:val="1"/>
          <w:numId w:val="8"/>
        </w:numPr>
        <w:tabs>
          <w:tab w:val="left" w:pos="1080"/>
        </w:tabs>
        <w:snapToGrid w:val="0"/>
        <w:spacing w:line="360" w:lineRule="auto"/>
        <w:rPr>
          <w:sz w:val="24"/>
        </w:rPr>
      </w:pPr>
      <w:r>
        <w:rPr>
          <w:sz w:val="24"/>
        </w:rPr>
        <w:t>采购需求标准</w:t>
      </w:r>
    </w:p>
    <w:p w14:paraId="1D8C092A">
      <w:pPr>
        <w:numPr>
          <w:ilvl w:val="2"/>
          <w:numId w:val="8"/>
        </w:numPr>
        <w:snapToGrid w:val="0"/>
        <w:spacing w:line="360" w:lineRule="auto"/>
        <w:rPr>
          <w:sz w:val="24"/>
        </w:rPr>
      </w:pPr>
      <w:r>
        <w:rPr>
          <w:sz w:val="24"/>
        </w:rPr>
        <w:t>商品包装、快递包装政府采购需求标准（试行）</w:t>
      </w:r>
    </w:p>
    <w:p w14:paraId="70F6887F">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7CA69528">
      <w:pPr>
        <w:numPr>
          <w:ilvl w:val="2"/>
          <w:numId w:val="8"/>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796EFA8F">
      <w:pPr>
        <w:tabs>
          <w:tab w:val="left" w:pos="900"/>
          <w:tab w:val="left" w:pos="1980"/>
        </w:tabs>
        <w:snapToGrid w:val="0"/>
        <w:spacing w:line="360" w:lineRule="auto"/>
        <w:ind w:left="1980"/>
        <w:rPr>
          <w:rFonts w:eastAsiaTheme="minorEastAsia"/>
          <w:sz w:val="24"/>
        </w:rPr>
      </w:pPr>
      <w:r>
        <w:rPr>
          <w:rFonts w:hint="eastAsia"/>
          <w:sz w:val="24"/>
        </w:rPr>
        <w:t>为贯彻落实《深化政府采购制度改革方案》有关要求，推动政府采购需求标准建设，</w:t>
      </w:r>
      <w:bookmarkStart w:id="152" w:name="_Hlk168431650"/>
      <w:r>
        <w:rPr>
          <w:rFonts w:hint="eastAsia"/>
          <w:sz w:val="24"/>
        </w:rPr>
        <w:t>财政部门会同有关部门制定发布的</w:t>
      </w:r>
      <w:bookmarkEnd w:id="152"/>
      <w:r>
        <w:rPr>
          <w:rFonts w:hint="eastAsia"/>
          <w:sz w:val="24"/>
        </w:rPr>
        <w:t>其他政府采购需求标准，</w:t>
      </w:r>
      <w:r>
        <w:rPr>
          <w:sz w:val="24"/>
        </w:rPr>
        <w:t>本项目如涉及，则具体要求见第四章《采购需求》。</w:t>
      </w:r>
    </w:p>
    <w:p w14:paraId="39946B7B">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14:paraId="0DEC280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14:paraId="37C93072">
      <w:pPr>
        <w:tabs>
          <w:tab w:val="left" w:pos="1080"/>
        </w:tabs>
        <w:snapToGrid w:val="0"/>
        <w:spacing w:line="360" w:lineRule="auto"/>
        <w:ind w:left="1080"/>
        <w:rPr>
          <w:rFonts w:eastAsiaTheme="minorEastAsia"/>
          <w:sz w:val="28"/>
        </w:rPr>
      </w:pPr>
      <w:bookmarkStart w:id="153" w:name="_1.8_计量单位"/>
      <w:bookmarkEnd w:id="153"/>
    </w:p>
    <w:p w14:paraId="3C546852">
      <w:pPr>
        <w:pStyle w:val="3"/>
        <w:spacing w:before="0" w:line="360" w:lineRule="auto"/>
        <w:rPr>
          <w:rFonts w:ascii="Times New Roman" w:hAnsi="Times New Roman" w:eastAsiaTheme="minorEastAsia"/>
          <w:sz w:val="28"/>
        </w:rPr>
      </w:pPr>
      <w:r>
        <w:rPr>
          <w:rFonts w:ascii="Times New Roman" w:hAnsi="Times New Roman" w:eastAsiaTheme="minorEastAsia"/>
          <w:sz w:val="28"/>
        </w:rPr>
        <w:t>二   竞争性磋商文件</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0D32E2A4">
      <w:pPr>
        <w:numPr>
          <w:ilvl w:val="0"/>
          <w:numId w:val="8"/>
        </w:numPr>
        <w:tabs>
          <w:tab w:val="left" w:pos="360"/>
        </w:tabs>
        <w:snapToGrid w:val="0"/>
        <w:spacing w:line="360" w:lineRule="auto"/>
        <w:ind w:left="357" w:hanging="357"/>
        <w:outlineLvl w:val="1"/>
        <w:rPr>
          <w:rFonts w:eastAsiaTheme="minorEastAsia"/>
          <w:sz w:val="24"/>
        </w:rPr>
      </w:pPr>
      <w:bookmarkStart w:id="154" w:name="_Toc150774728"/>
      <w:bookmarkStart w:id="155" w:name="_Toc164351617"/>
      <w:bookmarkStart w:id="156" w:name="_Toc264969213"/>
      <w:bookmarkStart w:id="157" w:name="_Toc151193621"/>
      <w:bookmarkStart w:id="158" w:name="_Toc226337219"/>
      <w:bookmarkStart w:id="159" w:name="_Toc150774623"/>
      <w:bookmarkStart w:id="160" w:name="_Toc151193837"/>
      <w:bookmarkStart w:id="161" w:name="_Toc150509274"/>
      <w:bookmarkStart w:id="162" w:name="_Toc520356147"/>
      <w:bookmarkStart w:id="163" w:name="_Toc151193911"/>
      <w:bookmarkStart w:id="164" w:name="_Toc151193765"/>
      <w:bookmarkStart w:id="165" w:name="_Toc164229364"/>
      <w:bookmarkStart w:id="166" w:name="_Toc149720816"/>
      <w:bookmarkStart w:id="167" w:name="_Toc226965713"/>
      <w:bookmarkStart w:id="168" w:name="_Toc127151724"/>
      <w:bookmarkStart w:id="169" w:name="_Toc127161437"/>
      <w:bookmarkStart w:id="170" w:name="_Toc265228361"/>
      <w:bookmarkStart w:id="171" w:name="_Toc164608792"/>
      <w:bookmarkStart w:id="172" w:name="_Toc164608637"/>
      <w:bookmarkStart w:id="173" w:name="_Toc305158865"/>
      <w:bookmarkStart w:id="174" w:name="_Toc164229218"/>
      <w:bookmarkStart w:id="175" w:name="_Toc305158791"/>
      <w:bookmarkStart w:id="176" w:name="_Toc195842888"/>
      <w:bookmarkStart w:id="177" w:name="_Toc151190150"/>
      <w:bookmarkStart w:id="178" w:name="_Toc127151523"/>
      <w:bookmarkStart w:id="179" w:name="_Toc142311025"/>
      <w:bookmarkStart w:id="180" w:name="_Toc150480761"/>
      <w:bookmarkStart w:id="181" w:name="_Toc226309767"/>
      <w:bookmarkStart w:id="182" w:name="_Toc151193693"/>
      <w:bookmarkStart w:id="183" w:name="_Toc226965796"/>
      <w:r>
        <w:rPr>
          <w:rFonts w:eastAsiaTheme="minorEastAsia"/>
          <w:sz w:val="24"/>
        </w:rPr>
        <w:t>竞争性磋商文件构</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Pr>
          <w:rFonts w:eastAsiaTheme="minorEastAsia"/>
          <w:sz w:val="24"/>
        </w:rPr>
        <w:t>成</w:t>
      </w:r>
    </w:p>
    <w:p w14:paraId="742D60A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14:paraId="0BE2C868">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162F057E">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014F622D">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14:paraId="5D7618A2">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169BF937">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14:paraId="78B4634E">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3B52AD9C">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14:paraId="6DDB0054">
      <w:pPr>
        <w:numPr>
          <w:ilvl w:val="0"/>
          <w:numId w:val="8"/>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14:paraId="05A87B5F">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2B91B1DF">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14:paraId="0F6180FF">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kern w:val="0"/>
          <w:sz w:val="24"/>
        </w:rPr>
        <w:t>以书面形式通知所有获取磋商文件的供应商</w:t>
      </w:r>
      <w:r>
        <w:rPr>
          <w:rFonts w:eastAsiaTheme="minorEastAsia"/>
          <w:sz w:val="24"/>
        </w:rPr>
        <w:t>；不足上述时间的，将顺延提交</w:t>
      </w:r>
      <w:r>
        <w:rPr>
          <w:rFonts w:hint="eastAsia" w:eastAsiaTheme="minorEastAsia"/>
          <w:sz w:val="24"/>
        </w:rPr>
        <w:t>首次</w:t>
      </w:r>
      <w:r>
        <w:rPr>
          <w:rFonts w:eastAsiaTheme="minorEastAsia"/>
          <w:sz w:val="24"/>
        </w:rPr>
        <w:t>响应文件截止时间。</w:t>
      </w:r>
    </w:p>
    <w:p w14:paraId="2A9E66F8">
      <w:pPr>
        <w:tabs>
          <w:tab w:val="left" w:pos="1080"/>
          <w:tab w:val="left" w:pos="1561"/>
        </w:tabs>
        <w:snapToGrid w:val="0"/>
        <w:spacing w:line="360" w:lineRule="auto"/>
        <w:ind w:left="1080"/>
        <w:rPr>
          <w:rFonts w:eastAsiaTheme="minorEastAsia"/>
          <w:sz w:val="28"/>
        </w:rPr>
      </w:pPr>
      <w:bookmarkStart w:id="184" w:name="_Toc516367020"/>
      <w:bookmarkStart w:id="185" w:name="_Toc142311028"/>
      <w:bookmarkStart w:id="186" w:name="_Toc151193624"/>
      <w:bookmarkStart w:id="187" w:name="_Toc305158794"/>
      <w:bookmarkStart w:id="188" w:name="_Toc150480764"/>
      <w:bookmarkStart w:id="189" w:name="_Toc265228364"/>
      <w:bookmarkStart w:id="190" w:name="_Toc150774731"/>
      <w:bookmarkStart w:id="191" w:name="_Toc151193696"/>
      <w:bookmarkStart w:id="192" w:name="_Toc151190153"/>
      <w:bookmarkStart w:id="193" w:name="_Toc226965799"/>
      <w:bookmarkStart w:id="194" w:name="_Toc305158868"/>
      <w:bookmarkStart w:id="195" w:name="_Toc150509277"/>
      <w:bookmarkStart w:id="196" w:name="_Toc226337222"/>
      <w:bookmarkStart w:id="197" w:name="_Toc151193914"/>
      <w:bookmarkStart w:id="198" w:name="_Toc226309770"/>
      <w:bookmarkStart w:id="199" w:name="_Toc226965716"/>
      <w:bookmarkStart w:id="200" w:name="_Toc520356150"/>
      <w:bookmarkStart w:id="201" w:name="_Toc151193768"/>
      <w:bookmarkStart w:id="202" w:name="_Toc150774626"/>
      <w:bookmarkStart w:id="203" w:name="_Toc127151526"/>
      <w:bookmarkStart w:id="204" w:name="_Toc151193840"/>
      <w:bookmarkStart w:id="205" w:name="_Toc264969216"/>
      <w:bookmarkStart w:id="206" w:name="_Toc195842891"/>
    </w:p>
    <w:p w14:paraId="19E0F1A4">
      <w:pPr>
        <w:pStyle w:val="3"/>
        <w:spacing w:before="0" w:line="360" w:lineRule="auto"/>
        <w:rPr>
          <w:rFonts w:ascii="Times New Roman" w:hAnsi="Times New Roman" w:eastAsiaTheme="minorEastAsia"/>
          <w:sz w:val="28"/>
        </w:rPr>
      </w:pPr>
      <w:r>
        <w:rPr>
          <w:rFonts w:ascii="Times New Roman" w:hAnsi="Times New Roman" w:eastAsiaTheme="minorEastAsia"/>
          <w:sz w:val="28"/>
        </w:rPr>
        <w:t>三   响应文件</w:t>
      </w:r>
      <w:bookmarkEnd w:id="184"/>
      <w:r>
        <w:rPr>
          <w:rFonts w:ascii="Times New Roman" w:hAnsi="Times New Roman" w:eastAsiaTheme="minorEastAsia"/>
          <w:sz w:val="28"/>
        </w:rPr>
        <w:t>的编制</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65A2E73C">
      <w:pPr>
        <w:numPr>
          <w:ilvl w:val="0"/>
          <w:numId w:val="8"/>
        </w:numPr>
        <w:tabs>
          <w:tab w:val="left" w:pos="360"/>
        </w:tabs>
        <w:snapToGrid w:val="0"/>
        <w:spacing w:line="360" w:lineRule="auto"/>
        <w:ind w:left="357" w:hanging="357"/>
        <w:outlineLvl w:val="1"/>
        <w:rPr>
          <w:rFonts w:eastAsiaTheme="minorEastAsia"/>
          <w:sz w:val="24"/>
        </w:rPr>
      </w:pPr>
      <w:bookmarkStart w:id="207" w:name="_Toc150480765"/>
      <w:bookmarkStart w:id="208" w:name="_Toc164608796"/>
      <w:bookmarkStart w:id="209" w:name="_Toc226309771"/>
      <w:bookmarkStart w:id="210" w:name="_Toc150774627"/>
      <w:bookmarkStart w:id="211" w:name="_Toc516367021"/>
      <w:bookmarkStart w:id="212" w:name="_Toc150509278"/>
      <w:bookmarkStart w:id="213" w:name="_Toc127151527"/>
      <w:bookmarkStart w:id="214" w:name="_Toc151193769"/>
      <w:bookmarkStart w:id="215" w:name="_Toc305158795"/>
      <w:bookmarkStart w:id="216" w:name="_Toc142311029"/>
      <w:bookmarkStart w:id="217" w:name="_Toc265228365"/>
      <w:bookmarkStart w:id="218" w:name="_Toc150774732"/>
      <w:bookmarkStart w:id="219" w:name="_Toc226337223"/>
      <w:bookmarkStart w:id="220" w:name="_Toc151193841"/>
      <w:bookmarkStart w:id="221" w:name="_Toc226965717"/>
      <w:bookmarkStart w:id="222" w:name="_Toc151193625"/>
      <w:bookmarkStart w:id="223" w:name="_Toc127151728"/>
      <w:bookmarkStart w:id="224" w:name="_Toc151193915"/>
      <w:bookmarkStart w:id="225" w:name="_Toc164229222"/>
      <w:bookmarkStart w:id="226" w:name="_Toc264969217"/>
      <w:bookmarkStart w:id="227" w:name="_Toc195842892"/>
      <w:bookmarkStart w:id="228" w:name="_Toc164608641"/>
      <w:bookmarkStart w:id="229" w:name="_Toc127161441"/>
      <w:bookmarkStart w:id="230" w:name="_Toc520356151"/>
      <w:bookmarkStart w:id="231" w:name="_Toc151193697"/>
      <w:bookmarkStart w:id="232" w:name="_Toc164351621"/>
      <w:bookmarkStart w:id="233" w:name="_Toc305158869"/>
      <w:bookmarkStart w:id="234" w:name="_Toc226965800"/>
      <w:bookmarkStart w:id="235" w:name="_Toc151190154"/>
      <w:bookmarkStart w:id="236" w:name="_Toc164229368"/>
      <w:bookmarkStart w:id="237" w:name="_Toc149720820"/>
      <w:r>
        <w:rPr>
          <w:rFonts w:eastAsiaTheme="minorEastAsia"/>
          <w:sz w:val="24"/>
        </w:rPr>
        <w:t>响应范围、竞争性磋商文件中计量单位的使用</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rPr>
          <w:rFonts w:eastAsiaTheme="minorEastAsia"/>
          <w:sz w:val="24"/>
        </w:rPr>
        <w:t>及磋商语言</w:t>
      </w:r>
    </w:p>
    <w:p w14:paraId="358DCDA7">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14:paraId="1C1745E1">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14:paraId="43E083C8">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172C6E98">
      <w:pPr>
        <w:numPr>
          <w:ilvl w:val="0"/>
          <w:numId w:val="8"/>
        </w:numPr>
        <w:tabs>
          <w:tab w:val="left" w:pos="360"/>
        </w:tabs>
        <w:snapToGrid w:val="0"/>
        <w:spacing w:line="360" w:lineRule="auto"/>
        <w:ind w:left="357" w:hanging="357"/>
        <w:outlineLvl w:val="1"/>
        <w:rPr>
          <w:rFonts w:eastAsiaTheme="minorEastAsia"/>
          <w:sz w:val="24"/>
        </w:rPr>
      </w:pPr>
      <w:bookmarkStart w:id="238" w:name="_Ref467306195"/>
      <w:bookmarkStart w:id="239" w:name="_Ref467306676"/>
      <w:bookmarkStart w:id="240" w:name="_Toc516367022"/>
      <w:bookmarkStart w:id="241" w:name="_Toc265228366"/>
      <w:bookmarkStart w:id="242" w:name="_Toc127161442"/>
      <w:bookmarkStart w:id="243" w:name="_Toc226337224"/>
      <w:bookmarkStart w:id="244" w:name="_Toc151193626"/>
      <w:bookmarkStart w:id="245" w:name="_Toc164229223"/>
      <w:bookmarkStart w:id="246" w:name="_Toc226965801"/>
      <w:bookmarkStart w:id="247" w:name="_Toc520356152"/>
      <w:bookmarkStart w:id="248" w:name="_Toc127151528"/>
      <w:bookmarkStart w:id="249" w:name="_Toc164229369"/>
      <w:bookmarkStart w:id="250" w:name="_Toc150774628"/>
      <w:bookmarkStart w:id="251" w:name="_Toc150774733"/>
      <w:bookmarkStart w:id="252" w:name="_Toc151193916"/>
      <w:bookmarkStart w:id="253" w:name="_Toc164608642"/>
      <w:bookmarkStart w:id="254" w:name="_Toc195842893"/>
      <w:bookmarkStart w:id="255" w:name="_Toc151193698"/>
      <w:bookmarkStart w:id="256" w:name="_Toc305158870"/>
      <w:bookmarkStart w:id="257" w:name="_Toc142311030"/>
      <w:bookmarkStart w:id="258" w:name="_Toc150480766"/>
      <w:bookmarkStart w:id="259" w:name="_Toc127151729"/>
      <w:bookmarkStart w:id="260" w:name="_Toc164351622"/>
      <w:bookmarkStart w:id="261" w:name="_Toc149720821"/>
      <w:bookmarkStart w:id="262" w:name="_Toc151193842"/>
      <w:bookmarkStart w:id="263" w:name="_Toc226965718"/>
      <w:bookmarkStart w:id="264" w:name="_Toc264969218"/>
      <w:bookmarkStart w:id="265" w:name="_Toc151193770"/>
      <w:bookmarkStart w:id="266" w:name="_Toc305158796"/>
      <w:bookmarkStart w:id="267" w:name="_Toc150509279"/>
      <w:bookmarkStart w:id="268" w:name="_Toc151190155"/>
      <w:bookmarkStart w:id="269" w:name="_Toc226309772"/>
      <w:bookmarkStart w:id="270" w:name="_Toc164608797"/>
      <w:r>
        <w:rPr>
          <w:rFonts w:eastAsiaTheme="minorEastAsia"/>
          <w:sz w:val="24"/>
        </w:rPr>
        <w:t>响应文件</w:t>
      </w:r>
      <w:bookmarkEnd w:id="238"/>
      <w:bookmarkEnd w:id="239"/>
      <w:bookmarkEnd w:id="240"/>
      <w:r>
        <w:rPr>
          <w:rFonts w:eastAsiaTheme="minorEastAsia"/>
          <w:sz w:val="24"/>
        </w:rPr>
        <w:t>构成</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17C5DE70">
      <w:pPr>
        <w:numPr>
          <w:ilvl w:val="1"/>
          <w:numId w:val="8"/>
        </w:numPr>
        <w:tabs>
          <w:tab w:val="left" w:pos="1080"/>
          <w:tab w:val="left" w:pos="2014"/>
        </w:tabs>
        <w:snapToGrid w:val="0"/>
        <w:spacing w:line="360" w:lineRule="auto"/>
        <w:ind w:left="1077" w:hanging="720"/>
        <w:rPr>
          <w:rFonts w:eastAsiaTheme="minorEastAsia"/>
          <w:sz w:val="24"/>
        </w:rPr>
      </w:pPr>
      <w:bookmarkStart w:id="271"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14:paraId="1CF333C6">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对于竞争性磋商文件中标记了“实质性格式”文件的，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13B05786">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14:paraId="1AEC9629">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395E902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71"/>
    </w:p>
    <w:p w14:paraId="7BCCF497">
      <w:pPr>
        <w:numPr>
          <w:ilvl w:val="0"/>
          <w:numId w:val="8"/>
        </w:numPr>
        <w:tabs>
          <w:tab w:val="left" w:pos="360"/>
        </w:tabs>
        <w:snapToGrid w:val="0"/>
        <w:spacing w:line="360" w:lineRule="auto"/>
        <w:ind w:left="357" w:hanging="357"/>
        <w:outlineLvl w:val="1"/>
        <w:rPr>
          <w:rFonts w:eastAsiaTheme="minorEastAsia"/>
          <w:sz w:val="24"/>
        </w:rPr>
      </w:pPr>
      <w:bookmarkStart w:id="272" w:name="_Toc195842895"/>
      <w:bookmarkStart w:id="273" w:name="_Toc142311032"/>
      <w:bookmarkStart w:id="274" w:name="_Toc127151530"/>
      <w:bookmarkStart w:id="275" w:name="_Toc150480768"/>
      <w:bookmarkStart w:id="276" w:name="_Toc150509281"/>
      <w:bookmarkStart w:id="277" w:name="_Toc164608799"/>
      <w:bookmarkStart w:id="278" w:name="_Toc127151731"/>
      <w:bookmarkStart w:id="279" w:name="_Toc151193918"/>
      <w:bookmarkStart w:id="280" w:name="_Toc149720823"/>
      <w:bookmarkStart w:id="281" w:name="_Toc151193700"/>
      <w:bookmarkStart w:id="282" w:name="_Toc127161444"/>
      <w:bookmarkStart w:id="283" w:name="_Toc164351624"/>
      <w:bookmarkStart w:id="284" w:name="_Toc150774630"/>
      <w:bookmarkStart w:id="285" w:name="_Toc164229371"/>
      <w:bookmarkStart w:id="286" w:name="_Toc164608644"/>
      <w:bookmarkStart w:id="287" w:name="_Toc151193628"/>
      <w:bookmarkStart w:id="288" w:name="_Toc151193844"/>
      <w:bookmarkStart w:id="289" w:name="_Toc150774735"/>
      <w:bookmarkStart w:id="290" w:name="_Toc151190157"/>
      <w:bookmarkStart w:id="291" w:name="_Toc520356155"/>
      <w:bookmarkStart w:id="292" w:name="_Toc151193772"/>
      <w:bookmarkStart w:id="293" w:name="_Toc164229225"/>
      <w:r>
        <w:rPr>
          <w:rFonts w:eastAsiaTheme="minorEastAsia"/>
          <w:sz w:val="24"/>
        </w:rPr>
        <w:t>报价</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00D04F8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hint="eastAsia" w:eastAsiaTheme="minorEastAsia"/>
          <w:sz w:val="24"/>
        </w:rPr>
        <w:t>为计价货币</w:t>
      </w:r>
      <w:r>
        <w:rPr>
          <w:rFonts w:eastAsiaTheme="minorEastAsia"/>
          <w:sz w:val="24"/>
        </w:rPr>
        <w:t>。</w:t>
      </w:r>
    </w:p>
    <w:p w14:paraId="524FF904">
      <w:pPr>
        <w:numPr>
          <w:ilvl w:val="1"/>
          <w:numId w:val="8"/>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52889017">
      <w:pPr>
        <w:numPr>
          <w:ilvl w:val="2"/>
          <w:numId w:val="8"/>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1AE1741">
      <w:pPr>
        <w:numPr>
          <w:ilvl w:val="2"/>
          <w:numId w:val="8"/>
        </w:numPr>
        <w:snapToGrid w:val="0"/>
        <w:spacing w:line="360" w:lineRule="auto"/>
        <w:rPr>
          <w:rFonts w:eastAsiaTheme="minorEastAsia"/>
          <w:sz w:val="24"/>
        </w:rPr>
      </w:pPr>
      <w:r>
        <w:rPr>
          <w:rFonts w:eastAsiaTheme="minorEastAsia"/>
          <w:sz w:val="24"/>
        </w:rPr>
        <w:t>按照竞争性磋商文件要求完成本项目的全部相关费用。</w:t>
      </w:r>
    </w:p>
    <w:p w14:paraId="5C0CA13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6B919EA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color w:val="000000"/>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14:paraId="4C7F9D05">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p>
    <w:p w14:paraId="56B79F82">
      <w:pPr>
        <w:numPr>
          <w:ilvl w:val="1"/>
          <w:numId w:val="8"/>
        </w:numPr>
        <w:tabs>
          <w:tab w:val="left" w:pos="1080"/>
          <w:tab w:val="left" w:pos="2014"/>
        </w:tabs>
        <w:snapToGrid w:val="0"/>
        <w:spacing w:line="360" w:lineRule="auto"/>
        <w:ind w:left="1077" w:hanging="720"/>
        <w:rPr>
          <w:rFonts w:eastAsiaTheme="minorEastAsia"/>
          <w:sz w:val="24"/>
        </w:rPr>
      </w:pPr>
      <w:bookmarkStart w:id="294" w:name="_Ref467306302"/>
      <w:r>
        <w:rPr>
          <w:rFonts w:eastAsiaTheme="minorEastAsia"/>
          <w:sz w:val="24"/>
        </w:rPr>
        <w:t>供应商应按《供应商须知资料表》中规定的金额及要求交纳磋商保证金</w:t>
      </w:r>
      <w:bookmarkEnd w:id="294"/>
      <w:r>
        <w:rPr>
          <w:rFonts w:eastAsiaTheme="minorEastAsia"/>
          <w:sz w:val="24"/>
        </w:rPr>
        <w:t>。</w:t>
      </w:r>
      <w:r>
        <w:rPr>
          <w:rFonts w:hint="eastAsia" w:eastAsiaTheme="minorEastAsia"/>
          <w:sz w:val="24"/>
        </w:rPr>
        <w:t>供应商自愿超额缴纳磋商保证金的，响应文件不做无效处理。</w:t>
      </w:r>
    </w:p>
    <w:p w14:paraId="5D6F1E2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14:paraId="64C9805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w:t>
      </w:r>
      <w:r>
        <w:rPr>
          <w:rFonts w:hint="eastAsia"/>
          <w:sz w:val="24"/>
        </w:rPr>
        <w:t>纸质</w:t>
      </w:r>
      <w:r>
        <w:rPr>
          <w:sz w:val="24"/>
        </w:rPr>
        <w:t>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w:t>
      </w:r>
      <w:bookmarkStart w:id="295" w:name="_Hlk164959831"/>
      <w:r>
        <w:rPr>
          <w:rFonts w:hint="eastAsia"/>
          <w:sz w:val="24"/>
        </w:rPr>
        <w:t>以电子保函形式提交磋商保证金的，应在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295"/>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14:paraId="52230993">
      <w:pPr>
        <w:numPr>
          <w:ilvl w:val="1"/>
          <w:numId w:val="8"/>
        </w:numPr>
        <w:tabs>
          <w:tab w:val="left" w:pos="1080"/>
          <w:tab w:val="left" w:pos="2014"/>
        </w:tabs>
        <w:snapToGrid w:val="0"/>
        <w:spacing w:line="360" w:lineRule="auto"/>
        <w:ind w:left="1077" w:hanging="720"/>
        <w:rPr>
          <w:sz w:val="24"/>
        </w:rPr>
      </w:pPr>
      <w:bookmarkStart w:id="296"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保证金凭证/交款单据电子件</w:t>
      </w:r>
      <w:r>
        <w:rPr>
          <w:rFonts w:hint="eastAsia"/>
          <w:sz w:val="24"/>
        </w:rPr>
        <w:t>”。</w:t>
      </w:r>
    </w:p>
    <w:bookmarkEnd w:id="296"/>
    <w:p w14:paraId="214E5C5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14:paraId="6FB50BCE">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14:paraId="07CAE42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5DF2E03B">
      <w:pPr>
        <w:numPr>
          <w:ilvl w:val="2"/>
          <w:numId w:val="8"/>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已提交响应文件的供应商，在提交最后报价之前，可以根据磋商情况退出磋商。采购人、采购代理机构将退还退出磋商的供应商的磋商保证金；</w:t>
      </w:r>
    </w:p>
    <w:p w14:paraId="4DF01C92">
      <w:pPr>
        <w:numPr>
          <w:ilvl w:val="2"/>
          <w:numId w:val="8"/>
        </w:numPr>
        <w:snapToGrid w:val="0"/>
        <w:spacing w:line="360" w:lineRule="auto"/>
        <w:rPr>
          <w:rFonts w:eastAsiaTheme="minorEastAsia"/>
          <w:sz w:val="24"/>
        </w:rPr>
      </w:pPr>
      <w:r>
        <w:rPr>
          <w:rFonts w:eastAsiaTheme="minorEastAsia"/>
          <w:sz w:val="24"/>
        </w:rPr>
        <w:t>成交供应商的磋商保证金，在采购合同签订后5个工作日内退还成交供应商；</w:t>
      </w:r>
    </w:p>
    <w:p w14:paraId="0F84F4BE">
      <w:pPr>
        <w:numPr>
          <w:ilvl w:val="2"/>
          <w:numId w:val="8"/>
        </w:numPr>
        <w:snapToGrid w:val="0"/>
        <w:spacing w:line="360" w:lineRule="auto"/>
        <w:rPr>
          <w:rFonts w:eastAsiaTheme="minorEastAsia"/>
          <w:sz w:val="24"/>
        </w:rPr>
      </w:pPr>
      <w:r>
        <w:rPr>
          <w:rFonts w:eastAsiaTheme="minorEastAsia"/>
          <w:sz w:val="24"/>
        </w:rPr>
        <w:t>未成交供应商的磋商保证金，在成交通知书发出后5个工作日内退还。</w:t>
      </w:r>
    </w:p>
    <w:p w14:paraId="7B63764E">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14:paraId="2B4218F2">
      <w:pPr>
        <w:numPr>
          <w:ilvl w:val="2"/>
          <w:numId w:val="8"/>
        </w:numPr>
        <w:snapToGrid w:val="0"/>
        <w:spacing w:line="360" w:lineRule="auto"/>
        <w:rPr>
          <w:rFonts w:eastAsiaTheme="minorEastAsia"/>
          <w:sz w:val="24"/>
        </w:rPr>
      </w:pPr>
      <w:r>
        <w:rPr>
          <w:rFonts w:eastAsiaTheme="minorEastAsia"/>
          <w:sz w:val="24"/>
        </w:rPr>
        <w:t>供应商在响应文件提交截止时间后撤回响应文件的；</w:t>
      </w:r>
    </w:p>
    <w:p w14:paraId="7C2424AB">
      <w:pPr>
        <w:numPr>
          <w:ilvl w:val="2"/>
          <w:numId w:val="8"/>
        </w:numPr>
        <w:snapToGrid w:val="0"/>
        <w:spacing w:line="360" w:lineRule="auto"/>
        <w:rPr>
          <w:rFonts w:eastAsiaTheme="minorEastAsia"/>
          <w:sz w:val="24"/>
        </w:rPr>
      </w:pPr>
      <w:r>
        <w:rPr>
          <w:rFonts w:eastAsiaTheme="minorEastAsia"/>
          <w:sz w:val="24"/>
        </w:rPr>
        <w:t>供应商在响应文件中提供虚假材料的；</w:t>
      </w:r>
    </w:p>
    <w:p w14:paraId="12979923">
      <w:pPr>
        <w:numPr>
          <w:ilvl w:val="2"/>
          <w:numId w:val="8"/>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14:paraId="36E9CB70">
      <w:pPr>
        <w:numPr>
          <w:ilvl w:val="2"/>
          <w:numId w:val="8"/>
        </w:numPr>
        <w:snapToGrid w:val="0"/>
        <w:spacing w:line="360" w:lineRule="auto"/>
        <w:rPr>
          <w:rFonts w:eastAsiaTheme="minorEastAsia"/>
          <w:sz w:val="24"/>
        </w:rPr>
      </w:pPr>
      <w:r>
        <w:rPr>
          <w:rFonts w:eastAsiaTheme="minorEastAsia"/>
          <w:sz w:val="24"/>
        </w:rPr>
        <w:t>供应商与采购人、其他供应商或者采购代理机构恶意串通的；</w:t>
      </w:r>
    </w:p>
    <w:p w14:paraId="01CFAA76">
      <w:pPr>
        <w:numPr>
          <w:ilvl w:val="2"/>
          <w:numId w:val="8"/>
        </w:numPr>
        <w:snapToGrid w:val="0"/>
        <w:spacing w:line="360" w:lineRule="auto"/>
        <w:rPr>
          <w:rFonts w:eastAsiaTheme="minorEastAsia"/>
          <w:sz w:val="24"/>
        </w:rPr>
      </w:pPr>
      <w:r>
        <w:rPr>
          <w:rFonts w:eastAsiaTheme="minorEastAsia"/>
          <w:sz w:val="24"/>
        </w:rPr>
        <w:t>《供应商须知资料表》规定的其他情形。</w:t>
      </w:r>
    </w:p>
    <w:p w14:paraId="1156FCA7">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14:paraId="51274B3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14:paraId="65C3117D">
      <w:pPr>
        <w:numPr>
          <w:ilvl w:val="0"/>
          <w:numId w:val="8"/>
        </w:numPr>
        <w:tabs>
          <w:tab w:val="left" w:pos="360"/>
        </w:tabs>
        <w:snapToGrid w:val="0"/>
        <w:spacing w:line="360" w:lineRule="auto"/>
        <w:ind w:left="357" w:hanging="357"/>
        <w:outlineLvl w:val="1"/>
        <w:rPr>
          <w:rFonts w:eastAsiaTheme="minorEastAsia"/>
          <w:sz w:val="24"/>
        </w:rPr>
      </w:pPr>
      <w:bookmarkStart w:id="297" w:name="_Toc164229374"/>
      <w:bookmarkStart w:id="298" w:name="_Toc149720826"/>
      <w:bookmarkStart w:id="299" w:name="_Toc150774738"/>
      <w:bookmarkStart w:id="300" w:name="_Toc520356158"/>
      <w:bookmarkStart w:id="301" w:name="_Toc127151734"/>
      <w:bookmarkStart w:id="302" w:name="_Toc151193775"/>
      <w:bookmarkStart w:id="303" w:name="_Toc164351627"/>
      <w:bookmarkStart w:id="304" w:name="_Toc151193847"/>
      <w:bookmarkStart w:id="305" w:name="_Toc195842898"/>
      <w:bookmarkStart w:id="306" w:name="_Toc164229228"/>
      <w:bookmarkStart w:id="307" w:name="_Toc150509284"/>
      <w:bookmarkStart w:id="308" w:name="_Toc264969223"/>
      <w:bookmarkStart w:id="309" w:name="_Toc226965723"/>
      <w:bookmarkStart w:id="310" w:name="_Toc151193703"/>
      <w:bookmarkStart w:id="311" w:name="_Toc151193631"/>
      <w:bookmarkStart w:id="312" w:name="_Toc151193921"/>
      <w:bookmarkStart w:id="313" w:name="_Toc164608647"/>
      <w:bookmarkStart w:id="314" w:name="_Toc150774633"/>
      <w:bookmarkStart w:id="315" w:name="_Toc226309777"/>
      <w:bookmarkStart w:id="316" w:name="_Toc127161447"/>
      <w:bookmarkStart w:id="317" w:name="_Toc127151533"/>
      <w:bookmarkStart w:id="318" w:name="_Toc151190160"/>
      <w:bookmarkStart w:id="319" w:name="_Toc164608802"/>
      <w:bookmarkStart w:id="320" w:name="_Toc226337229"/>
      <w:bookmarkStart w:id="321" w:name="_Toc226965806"/>
      <w:bookmarkStart w:id="322" w:name="_Toc142311035"/>
      <w:bookmarkStart w:id="323" w:name="_Toc305158801"/>
      <w:bookmarkStart w:id="324" w:name="_Toc150480771"/>
      <w:bookmarkStart w:id="325" w:name="_Toc265228371"/>
      <w:bookmarkStart w:id="326" w:name="_Toc305158875"/>
      <w:r>
        <w:rPr>
          <w:rFonts w:eastAsiaTheme="minorEastAsia"/>
          <w:sz w:val="24"/>
        </w:rPr>
        <w:t>响应文件的签署</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Pr>
          <w:rFonts w:eastAsiaTheme="minorEastAsia"/>
          <w:sz w:val="24"/>
        </w:rPr>
        <w:t>、盖章</w:t>
      </w:r>
    </w:p>
    <w:p w14:paraId="0782D031">
      <w:pPr>
        <w:numPr>
          <w:ilvl w:val="1"/>
          <w:numId w:val="8"/>
        </w:numPr>
        <w:tabs>
          <w:tab w:val="left" w:pos="1080"/>
        </w:tabs>
        <w:snapToGrid w:val="0"/>
        <w:spacing w:line="360" w:lineRule="auto"/>
        <w:rPr>
          <w:rFonts w:eastAsiaTheme="minorEastAsia"/>
          <w:sz w:val="24"/>
        </w:rPr>
      </w:pPr>
      <w:bookmarkStart w:id="327" w:name="_Toc226965807"/>
      <w:bookmarkStart w:id="328" w:name="_Toc226965724"/>
      <w:bookmarkStart w:id="329" w:name="_Toc151193632"/>
      <w:bookmarkStart w:id="330" w:name="_Toc150480772"/>
      <w:bookmarkStart w:id="331" w:name="_Toc142311036"/>
      <w:bookmarkStart w:id="332" w:name="_Toc305158876"/>
      <w:bookmarkStart w:id="333" w:name="_Toc151193704"/>
      <w:bookmarkStart w:id="334" w:name="_Toc265228372"/>
      <w:bookmarkStart w:id="335" w:name="_Toc127151534"/>
      <w:bookmarkStart w:id="336" w:name="_Toc226337230"/>
      <w:bookmarkStart w:id="337" w:name="_Toc150774634"/>
      <w:bookmarkStart w:id="338" w:name="_Toc151193776"/>
      <w:bookmarkStart w:id="339" w:name="_Toc520356159"/>
      <w:bookmarkStart w:id="340" w:name="_Toc151193922"/>
      <w:bookmarkStart w:id="341" w:name="_Toc150774739"/>
      <w:bookmarkStart w:id="342" w:name="_Toc264969224"/>
      <w:bookmarkStart w:id="343" w:name="_Toc150509285"/>
      <w:bookmarkStart w:id="344" w:name="_Toc151193848"/>
      <w:bookmarkStart w:id="345" w:name="_Toc195842899"/>
      <w:bookmarkStart w:id="346" w:name="_Toc226309778"/>
      <w:bookmarkStart w:id="347" w:name="_Toc151190161"/>
      <w:bookmarkStart w:id="348" w:name="_Toc305158802"/>
      <w:r>
        <w:rPr>
          <w:rFonts w:eastAsiaTheme="minorEastAsia"/>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40798ADE">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竞争性磋商文件要求盖章的内容，一般通过投标文件编制工具加盖电子签章。</w:t>
      </w:r>
    </w:p>
    <w:p w14:paraId="39DD66DA">
      <w:pPr>
        <w:tabs>
          <w:tab w:val="left" w:pos="900"/>
          <w:tab w:val="left" w:pos="1080"/>
        </w:tabs>
        <w:snapToGrid w:val="0"/>
        <w:spacing w:line="360" w:lineRule="auto"/>
        <w:ind w:left="357"/>
        <w:rPr>
          <w:rFonts w:eastAsiaTheme="minorEastAsia"/>
        </w:rPr>
      </w:pPr>
    </w:p>
    <w:p w14:paraId="7DBF9D39">
      <w:pPr>
        <w:pStyle w:val="3"/>
        <w:spacing w:before="0" w:line="360" w:lineRule="auto"/>
        <w:rPr>
          <w:rFonts w:ascii="Times New Roman" w:hAnsi="Times New Roman" w:eastAsiaTheme="minorEastAsia"/>
          <w:sz w:val="28"/>
        </w:rPr>
      </w:pPr>
      <w:r>
        <w:rPr>
          <w:rFonts w:ascii="Times New Roman" w:hAnsi="Times New Roman" w:eastAsiaTheme="minorEastAsia"/>
          <w:sz w:val="28"/>
        </w:rPr>
        <w:t>四   响应文件的提交</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3AFF805B">
      <w:pPr>
        <w:numPr>
          <w:ilvl w:val="0"/>
          <w:numId w:val="8"/>
        </w:numPr>
        <w:tabs>
          <w:tab w:val="left" w:pos="360"/>
        </w:tabs>
        <w:snapToGrid w:val="0"/>
        <w:spacing w:line="360" w:lineRule="auto"/>
        <w:ind w:left="357" w:hanging="357"/>
        <w:outlineLvl w:val="1"/>
        <w:rPr>
          <w:rFonts w:eastAsiaTheme="minorEastAsia"/>
          <w:sz w:val="24"/>
        </w:rPr>
      </w:pPr>
      <w:bookmarkStart w:id="349" w:name="_Toc164229376"/>
      <w:bookmarkStart w:id="350" w:name="_Toc164608804"/>
      <w:bookmarkStart w:id="351" w:name="_Toc151193705"/>
      <w:bookmarkStart w:id="352" w:name="_Toc151193923"/>
      <w:bookmarkStart w:id="353" w:name="_Toc226965725"/>
      <w:bookmarkStart w:id="354" w:name="_Toc305158803"/>
      <w:bookmarkStart w:id="355" w:name="_Toc150774740"/>
      <w:bookmarkStart w:id="356" w:name="_Toc151193633"/>
      <w:bookmarkStart w:id="357" w:name="_Toc265228373"/>
      <w:bookmarkStart w:id="358" w:name="_Toc164608649"/>
      <w:bookmarkStart w:id="359" w:name="_Toc149720828"/>
      <w:bookmarkStart w:id="360" w:name="_Toc264969225"/>
      <w:bookmarkStart w:id="361" w:name="_Toc151193849"/>
      <w:bookmarkStart w:id="362" w:name="_Toc151193777"/>
      <w:bookmarkStart w:id="363" w:name="_Toc195842900"/>
      <w:bookmarkStart w:id="364" w:name="_Toc164229230"/>
      <w:bookmarkStart w:id="365" w:name="_Toc226337231"/>
      <w:bookmarkStart w:id="366" w:name="_Toc127151535"/>
      <w:bookmarkStart w:id="367" w:name="_Toc150509286"/>
      <w:bookmarkStart w:id="368" w:name="_Toc226309779"/>
      <w:bookmarkStart w:id="369" w:name="_Toc226965808"/>
      <w:bookmarkStart w:id="370" w:name="_Toc127161449"/>
      <w:bookmarkStart w:id="371" w:name="_Toc164351629"/>
      <w:bookmarkStart w:id="372" w:name="_Toc305158877"/>
      <w:bookmarkStart w:id="373" w:name="_Toc150480773"/>
      <w:bookmarkStart w:id="374" w:name="_Toc142311037"/>
      <w:bookmarkStart w:id="375" w:name="_Toc151190162"/>
      <w:bookmarkStart w:id="376" w:name="_Toc127151736"/>
      <w:bookmarkStart w:id="377" w:name="_Toc150774635"/>
      <w:bookmarkStart w:id="378" w:name="_Toc520356160"/>
      <w:r>
        <w:rPr>
          <w:rFonts w:eastAsiaTheme="minorEastAsia"/>
          <w:sz w:val="24"/>
        </w:rPr>
        <w:t>响应文件的</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r>
        <w:rPr>
          <w:rFonts w:eastAsiaTheme="minorEastAsia"/>
          <w:sz w:val="24"/>
        </w:rPr>
        <w:t>提交</w:t>
      </w:r>
    </w:p>
    <w:p w14:paraId="76EBE53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本项目使用北京市政府采购电子交易平台。供应商根据竞争性磋商文件及电子交易平台供应商操作手册要求编制、生成并提交电子响应文件。</w:t>
      </w:r>
    </w:p>
    <w:p w14:paraId="52C57E1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采购人及采购代理机构拒绝接受通过电子交易平台以外任何形式提交的</w:t>
      </w:r>
      <w:r>
        <w:rPr>
          <w:rFonts w:hint="eastAsia" w:eastAsiaTheme="minorEastAsia"/>
          <w:sz w:val="24"/>
        </w:rPr>
        <w:t>首次</w:t>
      </w:r>
      <w:r>
        <w:rPr>
          <w:rFonts w:eastAsiaTheme="minorEastAsia"/>
          <w:sz w:val="24"/>
        </w:rPr>
        <w:t>响应文件，磋商保证金除外。</w:t>
      </w:r>
    </w:p>
    <w:p w14:paraId="7D833628">
      <w:pPr>
        <w:numPr>
          <w:ilvl w:val="0"/>
          <w:numId w:val="8"/>
        </w:numPr>
        <w:tabs>
          <w:tab w:val="left" w:pos="360"/>
        </w:tabs>
        <w:snapToGrid w:val="0"/>
        <w:spacing w:line="360" w:lineRule="auto"/>
        <w:ind w:left="357" w:hanging="357"/>
        <w:outlineLvl w:val="1"/>
        <w:rPr>
          <w:rFonts w:eastAsiaTheme="minorEastAsia"/>
          <w:sz w:val="24"/>
        </w:rPr>
      </w:pPr>
      <w:bookmarkStart w:id="379" w:name="_Toc164351630"/>
      <w:bookmarkStart w:id="380" w:name="_Toc127161450"/>
      <w:bookmarkStart w:id="381" w:name="_Toc520356161"/>
      <w:bookmarkStart w:id="382" w:name="_Toc151193850"/>
      <w:bookmarkStart w:id="383" w:name="_Toc164608805"/>
      <w:bookmarkStart w:id="384" w:name="_Toc149720829"/>
      <w:bookmarkStart w:id="385" w:name="_Toc150480774"/>
      <w:bookmarkStart w:id="386" w:name="_Toc164608650"/>
      <w:bookmarkStart w:id="387" w:name="_Toc151190163"/>
      <w:bookmarkStart w:id="388" w:name="_Toc151193924"/>
      <w:bookmarkStart w:id="389" w:name="_Toc150509287"/>
      <w:bookmarkStart w:id="390" w:name="_Toc150774741"/>
      <w:bookmarkStart w:id="391" w:name="_Toc127151536"/>
      <w:bookmarkStart w:id="392" w:name="_Toc150774636"/>
      <w:bookmarkStart w:id="393" w:name="_Toc305158878"/>
      <w:bookmarkStart w:id="394" w:name="_Toc195842901"/>
      <w:bookmarkStart w:id="395" w:name="_Toc226965726"/>
      <w:bookmarkStart w:id="396" w:name="_Toc264969226"/>
      <w:bookmarkStart w:id="397" w:name="_Toc164229231"/>
      <w:bookmarkStart w:id="398" w:name="_Toc151193634"/>
      <w:bookmarkStart w:id="399" w:name="_Toc151193778"/>
      <w:bookmarkStart w:id="400" w:name="_Toc265228374"/>
      <w:bookmarkStart w:id="401" w:name="_Toc226965809"/>
      <w:bookmarkStart w:id="402" w:name="_Toc164229377"/>
      <w:bookmarkStart w:id="403" w:name="_Toc127151737"/>
      <w:bookmarkStart w:id="404" w:name="_Toc151193706"/>
      <w:bookmarkStart w:id="405" w:name="_Toc226309780"/>
      <w:bookmarkStart w:id="406" w:name="_Toc142311038"/>
      <w:bookmarkStart w:id="407" w:name="_Toc305158804"/>
      <w:bookmarkStart w:id="408" w:name="_Toc226337232"/>
      <w:r>
        <w:rPr>
          <w:rFonts w:eastAsiaTheme="minorEastAsia"/>
          <w:sz w:val="24"/>
        </w:rPr>
        <w:t>响应文件提交截止</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Pr>
          <w:rFonts w:eastAsiaTheme="minorEastAsia"/>
          <w:sz w:val="24"/>
        </w:rPr>
        <w:t>时间</w:t>
      </w:r>
    </w:p>
    <w:p w14:paraId="2DC19BC3">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供应商应在竞争性磋商文件要求响应文件提交截止时间前，将电子响应文件提交至电子交易平台。</w:t>
      </w:r>
    </w:p>
    <w:p w14:paraId="3645C7A6">
      <w:pPr>
        <w:numPr>
          <w:ilvl w:val="0"/>
          <w:numId w:val="8"/>
        </w:numPr>
        <w:tabs>
          <w:tab w:val="left" w:pos="360"/>
        </w:tabs>
        <w:snapToGrid w:val="0"/>
        <w:spacing w:line="360" w:lineRule="auto"/>
        <w:ind w:left="357" w:hanging="357"/>
        <w:outlineLvl w:val="1"/>
        <w:rPr>
          <w:rFonts w:eastAsiaTheme="minorEastAsia"/>
          <w:sz w:val="24"/>
        </w:rPr>
      </w:pPr>
      <w:bookmarkStart w:id="409" w:name="_Toc520356162"/>
      <w:bookmarkStart w:id="410" w:name="_Toc151190164"/>
      <w:bookmarkStart w:id="411" w:name="_Toc195842902"/>
      <w:bookmarkStart w:id="412" w:name="_Toc164229378"/>
      <w:bookmarkStart w:id="413" w:name="_Toc127151537"/>
      <w:bookmarkStart w:id="414" w:name="_Toc151193635"/>
      <w:bookmarkStart w:id="415" w:name="_Toc226337233"/>
      <w:bookmarkStart w:id="416" w:name="_Toc164229232"/>
      <w:bookmarkStart w:id="417" w:name="_Toc150480775"/>
      <w:bookmarkStart w:id="418" w:name="_Toc127161451"/>
      <w:bookmarkStart w:id="419" w:name="_Toc127151738"/>
      <w:bookmarkStart w:id="420" w:name="_Toc142311039"/>
      <w:bookmarkStart w:id="421" w:name="_Toc149720830"/>
      <w:bookmarkStart w:id="422" w:name="_Toc226309781"/>
      <w:bookmarkStart w:id="423" w:name="_Toc265228375"/>
      <w:bookmarkStart w:id="424" w:name="_Toc150774637"/>
      <w:bookmarkStart w:id="425" w:name="_Toc151193925"/>
      <w:bookmarkStart w:id="426" w:name="_Toc305158805"/>
      <w:bookmarkStart w:id="427" w:name="_Toc264969227"/>
      <w:bookmarkStart w:id="428" w:name="_Toc164608806"/>
      <w:bookmarkStart w:id="429" w:name="_Toc164351631"/>
      <w:bookmarkStart w:id="430" w:name="_Toc151193779"/>
      <w:bookmarkStart w:id="431" w:name="_Toc150509288"/>
      <w:bookmarkStart w:id="432" w:name="_Toc150774742"/>
      <w:bookmarkStart w:id="433" w:name="_Toc226965727"/>
      <w:bookmarkStart w:id="434" w:name="_Toc164608651"/>
      <w:bookmarkStart w:id="435" w:name="_Toc151193851"/>
      <w:bookmarkStart w:id="436" w:name="_Toc226965810"/>
      <w:bookmarkStart w:id="437" w:name="_Toc151193707"/>
      <w:bookmarkStart w:id="438" w:name="_Toc305158879"/>
      <w:r>
        <w:rPr>
          <w:rFonts w:eastAsiaTheme="minorEastAsia"/>
          <w:sz w:val="24"/>
        </w:rPr>
        <w:t>响应文件的修改与撤回</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2E08EC9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响应文件提交截止时间前，供应商可以通过电子交易平台对所提交的响应文件进行补充、修改或者撤回。</w:t>
      </w:r>
      <w:r>
        <w:rPr>
          <w:rFonts w:eastAsiaTheme="minorEastAsia"/>
          <w:color w:val="000000"/>
          <w:sz w:val="24"/>
        </w:rPr>
        <w:t>磋商保证金的补充、修改或者撤回</w:t>
      </w:r>
      <w:r>
        <w:rPr>
          <w:sz w:val="24"/>
        </w:rPr>
        <w:t>无需通过电子交易平台，但应就其补充、修改或者撤回通知采购人或采购代理机构</w:t>
      </w:r>
      <w:r>
        <w:rPr>
          <w:rFonts w:eastAsiaTheme="minorEastAsia"/>
          <w:color w:val="000000"/>
          <w:sz w:val="24"/>
        </w:rPr>
        <w:t>。</w:t>
      </w:r>
    </w:p>
    <w:p w14:paraId="69193BC9">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供应商对响应文件的补充、修改的内容应当按照竞争性磋商文件要求签署、盖章，作为响应文件的组成部分。</w:t>
      </w:r>
      <w:r>
        <w:rPr>
          <w:rFonts w:eastAsiaTheme="minorEastAsia"/>
          <w:kern w:val="0"/>
          <w:sz w:val="24"/>
        </w:rPr>
        <w:t>补充、修改的内容与响应文件不一致的，以补充、修改的内容为准。</w:t>
      </w:r>
    </w:p>
    <w:p w14:paraId="14C77F99">
      <w:pPr>
        <w:tabs>
          <w:tab w:val="left" w:pos="900"/>
          <w:tab w:val="left" w:pos="1080"/>
          <w:tab w:val="left" w:pos="1589"/>
        </w:tabs>
        <w:snapToGrid w:val="0"/>
        <w:spacing w:line="360" w:lineRule="auto"/>
        <w:ind w:left="357"/>
        <w:rPr>
          <w:rFonts w:eastAsiaTheme="minorEastAsia"/>
          <w:sz w:val="24"/>
        </w:rPr>
      </w:pPr>
    </w:p>
    <w:p w14:paraId="74856632">
      <w:pPr>
        <w:pStyle w:val="3"/>
        <w:spacing w:before="0" w:line="360" w:lineRule="auto"/>
        <w:rPr>
          <w:rFonts w:ascii="Times New Roman" w:hAnsi="Times New Roman" w:eastAsiaTheme="minorEastAsia"/>
          <w:sz w:val="28"/>
        </w:rPr>
      </w:pPr>
      <w:bookmarkStart w:id="439" w:name="_Toc151193926"/>
      <w:bookmarkStart w:id="440" w:name="_Toc226965728"/>
      <w:bookmarkStart w:id="441" w:name="_Toc150774638"/>
      <w:bookmarkStart w:id="442" w:name="_Toc226309782"/>
      <w:bookmarkStart w:id="443" w:name="_Toc305158880"/>
      <w:bookmarkStart w:id="444" w:name="_Toc151193852"/>
      <w:bookmarkStart w:id="445" w:name="_Toc150480776"/>
      <w:bookmarkStart w:id="446" w:name="_Toc305158806"/>
      <w:bookmarkStart w:id="447" w:name="_Toc127151538"/>
      <w:bookmarkStart w:id="448" w:name="_Toc264969228"/>
      <w:bookmarkStart w:id="449" w:name="_Toc226337234"/>
      <w:bookmarkStart w:id="450" w:name="_Toc150509289"/>
      <w:bookmarkStart w:id="451" w:name="_Toc151193780"/>
      <w:bookmarkStart w:id="452" w:name="_Toc151190165"/>
      <w:bookmarkStart w:id="453" w:name="_Toc151193708"/>
      <w:bookmarkStart w:id="454" w:name="_Toc195842903"/>
      <w:bookmarkStart w:id="455" w:name="_Toc520356163"/>
      <w:bookmarkStart w:id="456" w:name="_Toc265228376"/>
      <w:bookmarkStart w:id="457" w:name="_Toc226965811"/>
      <w:bookmarkStart w:id="458" w:name="_Toc150774743"/>
      <w:bookmarkStart w:id="459" w:name="_Toc142311040"/>
      <w:bookmarkStart w:id="460" w:name="_Toc151193636"/>
      <w:r>
        <w:rPr>
          <w:rFonts w:ascii="Times New Roman" w:hAnsi="Times New Roman" w:eastAsiaTheme="minorEastAsia"/>
          <w:sz w:val="28"/>
        </w:rPr>
        <w:t xml:space="preserve">五   </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r>
        <w:rPr>
          <w:rFonts w:ascii="Times New Roman" w:hAnsi="Times New Roman" w:eastAsiaTheme="minorEastAsia"/>
          <w:sz w:val="28"/>
        </w:rPr>
        <w:t>评审</w:t>
      </w:r>
    </w:p>
    <w:p w14:paraId="3CAE75AA">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响应文件的解密与开启</w:t>
      </w:r>
    </w:p>
    <w:p w14:paraId="0BE4CB0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采购人或采购代理机构将按竞争性磋商文件的规定，在响应文件提交截止时间的同一时间和竞争性磋商文件预先确定的地点开启响应文件。</w:t>
      </w:r>
    </w:p>
    <w:p w14:paraId="53B2AFA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本项目解密使用北京市政府采购电子交易平台。供应商应在《供应商须知资料表》规定的时间内对响应文件进行解密，因非系统原因导致的解密失败，视为</w:t>
      </w:r>
      <w:r>
        <w:rPr>
          <w:rFonts w:eastAsiaTheme="minorEastAsia"/>
          <w:b/>
          <w:sz w:val="24"/>
        </w:rPr>
        <w:t>无效响应</w:t>
      </w:r>
      <w:r>
        <w:rPr>
          <w:rFonts w:eastAsiaTheme="minorEastAsia"/>
          <w:sz w:val="24"/>
        </w:rPr>
        <w:t>。</w:t>
      </w:r>
    </w:p>
    <w:p w14:paraId="13A1D21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134DD946">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供应商不足3家的，不予解密。</w:t>
      </w:r>
    </w:p>
    <w:p w14:paraId="4EE3BF60">
      <w:pPr>
        <w:numPr>
          <w:ilvl w:val="1"/>
          <w:numId w:val="8"/>
        </w:numPr>
        <w:tabs>
          <w:tab w:val="left" w:pos="1080"/>
          <w:tab w:val="left" w:pos="2014"/>
        </w:tabs>
        <w:snapToGrid w:val="0"/>
        <w:spacing w:line="360" w:lineRule="auto"/>
        <w:ind w:left="1077" w:hanging="720"/>
        <w:rPr>
          <w:rFonts w:eastAsiaTheme="minorEastAsia"/>
          <w:sz w:val="24"/>
        </w:rPr>
      </w:pPr>
      <w:bookmarkStart w:id="461" w:name="_Toc520356165"/>
      <w:r>
        <w:rPr>
          <w:rFonts w:eastAsiaTheme="minorEastAsia"/>
          <w:sz w:val="24"/>
        </w:rPr>
        <w:t>本项目不公开报价。</w:t>
      </w:r>
    </w:p>
    <w:bookmarkEnd w:id="461"/>
    <w:p w14:paraId="36FA5ECD">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14:paraId="3E13AA86">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hint="eastAsia" w:eastAsiaTheme="minorEastAsia"/>
          <w:sz w:val="24"/>
        </w:rPr>
        <w:t>与磋商</w:t>
      </w:r>
      <w:r>
        <w:rPr>
          <w:rFonts w:eastAsiaTheme="minorEastAsia"/>
          <w:sz w:val="24"/>
        </w:rPr>
        <w:t>事务，独立履行职责。</w:t>
      </w:r>
      <w:bookmarkStart w:id="462" w:name="_Toc520356166"/>
    </w:p>
    <w:p w14:paraId="1381BE89">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2"/>
      <w:bookmarkStart w:id="463" w:name="_Toc520356169"/>
    </w:p>
    <w:p w14:paraId="737737CD">
      <w:pPr>
        <w:numPr>
          <w:ilvl w:val="0"/>
          <w:numId w:val="8"/>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3FA4AFD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14:paraId="2BFB2C1E">
      <w:pPr>
        <w:tabs>
          <w:tab w:val="left" w:pos="360"/>
          <w:tab w:val="left" w:pos="1080"/>
        </w:tabs>
        <w:snapToGrid w:val="0"/>
        <w:spacing w:line="360" w:lineRule="auto"/>
        <w:ind w:left="1080"/>
        <w:rPr>
          <w:rFonts w:eastAsiaTheme="minorEastAsia"/>
          <w:sz w:val="24"/>
        </w:rPr>
      </w:pPr>
    </w:p>
    <w:p w14:paraId="5DD84048">
      <w:pPr>
        <w:pStyle w:val="3"/>
        <w:spacing w:before="0" w:line="360" w:lineRule="auto"/>
        <w:rPr>
          <w:rFonts w:ascii="Times New Roman" w:hAnsi="Times New Roman" w:eastAsiaTheme="minorEastAsia"/>
          <w:sz w:val="28"/>
        </w:rPr>
      </w:pPr>
      <w:bookmarkStart w:id="464" w:name="_Toc151193715"/>
      <w:bookmarkStart w:id="465" w:name="_Toc305158813"/>
      <w:bookmarkStart w:id="466" w:name="_Toc195842910"/>
      <w:bookmarkStart w:id="467" w:name="_Toc265228383"/>
      <w:bookmarkStart w:id="468" w:name="_Toc264969235"/>
      <w:bookmarkStart w:id="469" w:name="_Toc150774750"/>
      <w:bookmarkStart w:id="470" w:name="_Toc226965818"/>
      <w:bookmarkStart w:id="471" w:name="_Toc150480783"/>
      <w:bookmarkStart w:id="472" w:name="_Toc151193787"/>
      <w:bookmarkStart w:id="473" w:name="_Toc226309789"/>
      <w:bookmarkStart w:id="474" w:name="_Toc151193859"/>
      <w:bookmarkStart w:id="475" w:name="_Toc226965735"/>
      <w:bookmarkStart w:id="476" w:name="_Toc151190172"/>
      <w:bookmarkStart w:id="477" w:name="_Toc127151545"/>
      <w:bookmarkStart w:id="478" w:name="_Toc150509296"/>
      <w:bookmarkStart w:id="479" w:name="_Toc142311047"/>
      <w:bookmarkStart w:id="480" w:name="_Toc226337241"/>
      <w:bookmarkStart w:id="481" w:name="_Toc150774645"/>
      <w:bookmarkStart w:id="482" w:name="_Toc151193933"/>
      <w:bookmarkStart w:id="483" w:name="_Toc151193643"/>
      <w:bookmarkStart w:id="484" w:name="_Toc305158887"/>
      <w:r>
        <w:rPr>
          <w:rFonts w:ascii="Times New Roman" w:hAnsi="Times New Roman" w:eastAsiaTheme="minorEastAsia"/>
          <w:sz w:val="28"/>
        </w:rPr>
        <w:t xml:space="preserve">六   </w:t>
      </w:r>
      <w:bookmarkEnd w:id="463"/>
      <w:r>
        <w:rPr>
          <w:rFonts w:ascii="Times New Roman" w:hAnsi="Times New Roman" w:eastAsiaTheme="minorEastAsia"/>
          <w:sz w:val="28"/>
        </w:rPr>
        <w:t>确定</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r>
        <w:rPr>
          <w:rFonts w:ascii="Times New Roman" w:hAnsi="Times New Roman" w:eastAsiaTheme="minorEastAsia"/>
          <w:sz w:val="28"/>
        </w:rPr>
        <w:t>成交</w:t>
      </w:r>
    </w:p>
    <w:p w14:paraId="583B788E">
      <w:pPr>
        <w:numPr>
          <w:ilvl w:val="0"/>
          <w:numId w:val="8"/>
        </w:numPr>
        <w:tabs>
          <w:tab w:val="left" w:pos="360"/>
        </w:tabs>
        <w:snapToGrid w:val="0"/>
        <w:spacing w:line="360" w:lineRule="auto"/>
        <w:ind w:left="357" w:hanging="357"/>
        <w:outlineLvl w:val="1"/>
        <w:rPr>
          <w:rFonts w:eastAsiaTheme="minorEastAsia"/>
          <w:sz w:val="24"/>
        </w:rPr>
      </w:pPr>
      <w:bookmarkStart w:id="485" w:name="_Toc142311049"/>
      <w:bookmarkStart w:id="486" w:name="_Toc150774647"/>
      <w:bookmarkStart w:id="487" w:name="_Toc127151748"/>
      <w:bookmarkStart w:id="488" w:name="_Toc226965820"/>
      <w:bookmarkStart w:id="489" w:name="_Toc226337243"/>
      <w:bookmarkStart w:id="490" w:name="_Toc151193717"/>
      <w:bookmarkStart w:id="491" w:name="_Toc164229242"/>
      <w:bookmarkStart w:id="492" w:name="_Toc150509298"/>
      <w:bookmarkStart w:id="493" w:name="_Toc164608661"/>
      <w:bookmarkStart w:id="494" w:name="_Toc150774752"/>
      <w:bookmarkStart w:id="495" w:name="_Toc305158815"/>
      <w:bookmarkStart w:id="496" w:name="_Toc305158889"/>
      <w:bookmarkStart w:id="497" w:name="_Toc265228385"/>
      <w:bookmarkStart w:id="498" w:name="_Toc151190174"/>
      <w:bookmarkStart w:id="499" w:name="_Toc151193935"/>
      <w:bookmarkStart w:id="500" w:name="_Toc151193789"/>
      <w:bookmarkStart w:id="501" w:name="_Toc150480785"/>
      <w:bookmarkStart w:id="502" w:name="_Toc164351641"/>
      <w:bookmarkStart w:id="503" w:name="_Toc164608816"/>
      <w:bookmarkStart w:id="504" w:name="_Toc151193645"/>
      <w:bookmarkStart w:id="505" w:name="_Toc226965737"/>
      <w:bookmarkStart w:id="506" w:name="_Toc127151547"/>
      <w:bookmarkStart w:id="507" w:name="_Toc264969237"/>
      <w:bookmarkStart w:id="508" w:name="_Toc149720840"/>
      <w:bookmarkStart w:id="509" w:name="_Toc151193861"/>
      <w:bookmarkStart w:id="510" w:name="_Toc195842912"/>
      <w:bookmarkStart w:id="511" w:name="_Toc226309791"/>
      <w:bookmarkStart w:id="512" w:name="_Toc164229388"/>
      <w:bookmarkStart w:id="513" w:name="_Toc127161461"/>
      <w:r>
        <w:rPr>
          <w:rFonts w:eastAsiaTheme="minorEastAsia"/>
          <w:sz w:val="24"/>
        </w:rPr>
        <w:t>确定成交供应商</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7C8CBF0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124B9927">
      <w:pPr>
        <w:numPr>
          <w:ilvl w:val="0"/>
          <w:numId w:val="8"/>
        </w:numPr>
        <w:tabs>
          <w:tab w:val="left" w:pos="360"/>
        </w:tabs>
        <w:snapToGrid w:val="0"/>
        <w:spacing w:line="360" w:lineRule="auto"/>
        <w:ind w:left="357" w:hanging="357"/>
        <w:outlineLvl w:val="1"/>
        <w:rPr>
          <w:rFonts w:eastAsiaTheme="minorEastAsia"/>
          <w:sz w:val="24"/>
        </w:rPr>
      </w:pPr>
      <w:bookmarkStart w:id="514" w:name="_Toc305158891"/>
      <w:bookmarkStart w:id="515" w:name="_Toc305158817"/>
      <w:bookmarkStart w:id="516" w:name="_Toc127151549"/>
      <w:bookmarkStart w:id="517" w:name="_Toc151193791"/>
      <w:bookmarkStart w:id="518" w:name="_Toc226337245"/>
      <w:bookmarkStart w:id="519" w:name="_Toc264969239"/>
      <w:bookmarkStart w:id="520" w:name="_Toc164608663"/>
      <w:bookmarkStart w:id="521" w:name="_Toc151193863"/>
      <w:bookmarkStart w:id="522" w:name="_Toc164351643"/>
      <w:bookmarkStart w:id="523" w:name="_Toc150774754"/>
      <w:bookmarkStart w:id="524" w:name="_Toc195842914"/>
      <w:bookmarkStart w:id="525" w:name="_Toc226965739"/>
      <w:bookmarkStart w:id="526" w:name="_Toc164229390"/>
      <w:bookmarkStart w:id="527" w:name="_Toc127151750"/>
      <w:bookmarkStart w:id="528" w:name="_Toc226309793"/>
      <w:bookmarkStart w:id="529" w:name="_Toc150509300"/>
      <w:bookmarkStart w:id="530" w:name="_Toc150480787"/>
      <w:bookmarkStart w:id="531" w:name="_Toc142311051"/>
      <w:bookmarkStart w:id="532" w:name="_Toc265228387"/>
      <w:bookmarkStart w:id="533" w:name="_Toc151193647"/>
      <w:bookmarkStart w:id="534" w:name="_Toc127161463"/>
      <w:bookmarkStart w:id="535" w:name="_Toc164608818"/>
      <w:bookmarkStart w:id="536" w:name="_Toc226965822"/>
      <w:bookmarkStart w:id="537" w:name="_Toc149720842"/>
      <w:bookmarkStart w:id="538" w:name="_Toc151193937"/>
      <w:bookmarkStart w:id="539" w:name="_Toc151190176"/>
      <w:bookmarkStart w:id="540" w:name="_Toc150774649"/>
      <w:bookmarkStart w:id="541" w:name="_Toc164229244"/>
      <w:bookmarkStart w:id="542" w:name="_Toc151193719"/>
      <w:bookmarkStart w:id="543" w:name="_Ref467307090"/>
      <w:bookmarkStart w:id="544" w:name="_Toc520356176"/>
      <w:bookmarkStart w:id="545" w:name="_Ref467306425"/>
      <w:r>
        <w:rPr>
          <w:rFonts w:eastAsiaTheme="minorEastAsia"/>
          <w:sz w:val="24"/>
        </w:rPr>
        <w:t>成交公告与成交通知书</w:t>
      </w:r>
      <w:bookmarkEnd w:id="514"/>
      <w:bookmarkEnd w:id="515"/>
    </w:p>
    <w:p w14:paraId="793F316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在成交供应商确定后2个工作日内，在</w:t>
      </w:r>
      <w:r>
        <w:rPr>
          <w:rFonts w:eastAsiaTheme="minorEastAsia"/>
          <w:sz w:val="24"/>
        </w:rPr>
        <w:t>北京市政府采购网</w:t>
      </w:r>
      <w:r>
        <w:rPr>
          <w:rFonts w:eastAsiaTheme="minorEastAsia"/>
          <w:kern w:val="0"/>
          <w:sz w:val="24"/>
        </w:rPr>
        <w:t>公告成交结果，同时向成交供应商发出成交通知书，</w:t>
      </w:r>
      <w:r>
        <w:rPr>
          <w:rFonts w:eastAsiaTheme="minorEastAsia"/>
          <w:sz w:val="24"/>
        </w:rPr>
        <w:t>成交公告期限为1个工作日。</w:t>
      </w:r>
    </w:p>
    <w:p w14:paraId="08580EA6">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14:paraId="62E7C0CD">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6FDC6784">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14:paraId="341D4CD2">
      <w:pPr>
        <w:numPr>
          <w:ilvl w:val="2"/>
          <w:numId w:val="8"/>
        </w:numPr>
        <w:snapToGrid w:val="0"/>
        <w:spacing w:line="360" w:lineRule="auto"/>
        <w:rPr>
          <w:rFonts w:eastAsiaTheme="minorEastAsia"/>
          <w:sz w:val="24"/>
        </w:rPr>
      </w:pPr>
      <w:r>
        <w:rPr>
          <w:rFonts w:eastAsiaTheme="minorEastAsia"/>
          <w:sz w:val="24"/>
        </w:rPr>
        <w:t>因情况变化，不再符合规定的竞争性磋商采购方式适用情形的；</w:t>
      </w:r>
    </w:p>
    <w:p w14:paraId="6318E07D">
      <w:pPr>
        <w:numPr>
          <w:ilvl w:val="2"/>
          <w:numId w:val="8"/>
        </w:numPr>
        <w:snapToGrid w:val="0"/>
        <w:spacing w:line="360" w:lineRule="auto"/>
        <w:rPr>
          <w:rFonts w:eastAsiaTheme="minorEastAsia"/>
          <w:sz w:val="24"/>
        </w:rPr>
      </w:pPr>
      <w:r>
        <w:rPr>
          <w:rFonts w:eastAsiaTheme="minorEastAsia"/>
          <w:sz w:val="24"/>
        </w:rPr>
        <w:t>出现影响采购公正的违法、违规行为的；</w:t>
      </w:r>
    </w:p>
    <w:p w14:paraId="4C691132">
      <w:pPr>
        <w:numPr>
          <w:ilvl w:val="2"/>
          <w:numId w:val="8"/>
        </w:numPr>
        <w:snapToGrid w:val="0"/>
        <w:spacing w:line="360" w:lineRule="auto"/>
        <w:rPr>
          <w:rFonts w:eastAsiaTheme="minorEastAsia"/>
          <w:sz w:val="24"/>
        </w:rPr>
      </w:pPr>
      <w:r>
        <w:rPr>
          <w:rFonts w:eastAsiaTheme="minorEastAsia"/>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14:paraId="3536A716">
      <w:pPr>
        <w:numPr>
          <w:ilvl w:val="0"/>
          <w:numId w:val="8"/>
        </w:numPr>
        <w:tabs>
          <w:tab w:val="left" w:pos="360"/>
        </w:tabs>
        <w:snapToGrid w:val="0"/>
        <w:spacing w:line="360" w:lineRule="auto"/>
        <w:ind w:left="357" w:hanging="357"/>
        <w:outlineLvl w:val="1"/>
        <w:rPr>
          <w:rFonts w:eastAsiaTheme="minorEastAsia"/>
          <w:sz w:val="24"/>
        </w:rPr>
      </w:pPr>
      <w:bookmarkStart w:id="546" w:name="_Toc195842915"/>
      <w:bookmarkStart w:id="547" w:name="_Toc164608819"/>
      <w:bookmarkStart w:id="548" w:name="_Ref467307062"/>
      <w:bookmarkStart w:id="549" w:name="_Toc164229245"/>
      <w:bookmarkStart w:id="550" w:name="_Toc264969240"/>
      <w:bookmarkStart w:id="551" w:name="_Toc151193648"/>
      <w:bookmarkStart w:id="552" w:name="_Toc127151550"/>
      <w:bookmarkStart w:id="553" w:name="_Toc151193720"/>
      <w:bookmarkStart w:id="554" w:name="_Toc520356175"/>
      <w:bookmarkStart w:id="555" w:name="_Toc150774755"/>
      <w:bookmarkStart w:id="556" w:name="_Toc127151751"/>
      <w:bookmarkStart w:id="557" w:name="_Toc305158818"/>
      <w:bookmarkStart w:id="558" w:name="_Toc164608664"/>
      <w:bookmarkStart w:id="559" w:name="_Toc226337246"/>
      <w:bookmarkStart w:id="560" w:name="_Toc150774650"/>
      <w:bookmarkStart w:id="561" w:name="_Toc127161464"/>
      <w:bookmarkStart w:id="562" w:name="_Toc151193864"/>
      <w:bookmarkStart w:id="563" w:name="_Toc164229391"/>
      <w:bookmarkStart w:id="564" w:name="_Toc151190177"/>
      <w:bookmarkStart w:id="565" w:name="_Ref467306978"/>
      <w:bookmarkStart w:id="566" w:name="_Ref467306377"/>
      <w:bookmarkStart w:id="567" w:name="_Toc142311052"/>
      <w:bookmarkStart w:id="568" w:name="_Toc150509301"/>
      <w:bookmarkStart w:id="569" w:name="_Toc265228388"/>
      <w:bookmarkStart w:id="570" w:name="_Toc226965823"/>
      <w:bookmarkStart w:id="571" w:name="_Toc149720843"/>
      <w:bookmarkStart w:id="572" w:name="_Toc226965740"/>
      <w:bookmarkStart w:id="573" w:name="_Toc164351644"/>
      <w:bookmarkStart w:id="574" w:name="_Toc305158892"/>
      <w:bookmarkStart w:id="575" w:name="_Ref467307204"/>
      <w:bookmarkStart w:id="576" w:name="_Toc226309794"/>
      <w:bookmarkStart w:id="577" w:name="_Toc150480788"/>
      <w:bookmarkStart w:id="578" w:name="_Toc151193938"/>
      <w:bookmarkStart w:id="579" w:name="_Toc151193792"/>
      <w:r>
        <w:rPr>
          <w:rFonts w:eastAsiaTheme="minorEastAsia"/>
          <w:sz w:val="24"/>
        </w:rPr>
        <w:t>签订合同</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14:paraId="0CB4B3F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采购人与成交供应商应当在成交通知书发出之日起30日内，按照磋商文件确定的合同文本以及采购标的、规格型号、采购金额、采购数量、技术和服务要求等事项签订政府采购合同。</w:t>
      </w:r>
    </w:p>
    <w:p w14:paraId="0B699ED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DFF8534">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7EA619B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45349A9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14:paraId="476FD02E">
      <w:pPr>
        <w:numPr>
          <w:ilvl w:val="1"/>
          <w:numId w:val="8"/>
        </w:numPr>
        <w:tabs>
          <w:tab w:val="left" w:pos="1080"/>
          <w:tab w:val="left" w:pos="2014"/>
        </w:tabs>
        <w:snapToGrid w:val="0"/>
        <w:spacing w:line="360" w:lineRule="auto"/>
        <w:ind w:left="1077" w:hanging="720"/>
        <w:rPr>
          <w:sz w:val="24"/>
        </w:rPr>
      </w:pPr>
      <w:r>
        <w:rPr>
          <w:rFonts w:hint="eastAsia" w:ascii="宋体" w:hAnsi="宋体"/>
          <w:sz w:val="24"/>
        </w:rPr>
        <w:t>“政采贷”融资指引：详见</w:t>
      </w:r>
      <w:r>
        <w:rPr>
          <w:rFonts w:eastAsiaTheme="minorEastAsia"/>
          <w:sz w:val="24"/>
        </w:rPr>
        <w:t>《</w:t>
      </w:r>
      <w:r>
        <w:rPr>
          <w:rFonts w:hint="eastAsia" w:eastAsiaTheme="minorEastAsia"/>
          <w:sz w:val="24"/>
        </w:rPr>
        <w:t>供应商</w:t>
      </w:r>
      <w:r>
        <w:rPr>
          <w:rFonts w:eastAsiaTheme="minorEastAsia"/>
          <w:sz w:val="24"/>
        </w:rPr>
        <w:t>须知资料表》</w:t>
      </w:r>
      <w:r>
        <w:rPr>
          <w:rFonts w:hint="eastAsia" w:eastAsiaTheme="minorEastAsia"/>
          <w:sz w:val="24"/>
        </w:rPr>
        <w:t>。</w:t>
      </w:r>
    </w:p>
    <w:bookmarkEnd w:id="543"/>
    <w:bookmarkEnd w:id="544"/>
    <w:bookmarkEnd w:id="545"/>
    <w:p w14:paraId="1580807D">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7DCDF8A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14:paraId="61C7FB53">
      <w:pPr>
        <w:numPr>
          <w:ilvl w:val="2"/>
          <w:numId w:val="8"/>
        </w:numPr>
        <w:snapToGrid w:val="0"/>
        <w:spacing w:line="360" w:lineRule="auto"/>
        <w:rPr>
          <w:rFonts w:eastAsiaTheme="minorEastAsia"/>
          <w:sz w:val="24"/>
        </w:rPr>
      </w:pPr>
      <w:bookmarkStart w:id="580" w:name="_Hlk179293422"/>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80"/>
    </w:p>
    <w:p w14:paraId="500179E4">
      <w:pPr>
        <w:numPr>
          <w:ilvl w:val="2"/>
          <w:numId w:val="8"/>
        </w:numPr>
        <w:snapToGrid w:val="0"/>
        <w:spacing w:line="360" w:lineRule="auto"/>
        <w:rPr>
          <w:rFonts w:eastAsiaTheme="minorEastAsia"/>
          <w:sz w:val="24"/>
        </w:rPr>
      </w:pPr>
      <w:r>
        <w:rPr>
          <w:rFonts w:eastAsiaTheme="minorEastAsia"/>
          <w:sz w:val="24"/>
        </w:rPr>
        <w:t>采购人或采购代理机构对供应商依法提出的询问，在3个工作日内作出答复，但答复的内容不得涉及商业秘密。</w:t>
      </w:r>
    </w:p>
    <w:p w14:paraId="63ADF864">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241F08FE">
      <w:pPr>
        <w:numPr>
          <w:ilvl w:val="2"/>
          <w:numId w:val="8"/>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55A8CAFE">
      <w:pPr>
        <w:numPr>
          <w:ilvl w:val="2"/>
          <w:numId w:val="8"/>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4780607E">
      <w:pPr>
        <w:numPr>
          <w:ilvl w:val="2"/>
          <w:numId w:val="8"/>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302A308">
      <w:pPr>
        <w:numPr>
          <w:ilvl w:val="2"/>
          <w:numId w:val="8"/>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37353AE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69BBC9E3">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1021975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收费对象、收费标准及缴纳时间见《供应商须知资料表》。由成交供应商支付的，成交供应商须一次性向采购代理机构缴纳代理费，报价应包含代理费用。</w:t>
      </w:r>
    </w:p>
    <w:p w14:paraId="73B6F1BD">
      <w:pPr>
        <w:spacing w:line="360" w:lineRule="auto"/>
        <w:jc w:val="center"/>
        <w:outlineLvl w:val="0"/>
        <w:rPr>
          <w:rFonts w:eastAsiaTheme="minorEastAsia"/>
          <w:b/>
          <w:sz w:val="36"/>
          <w:szCs w:val="36"/>
        </w:rPr>
      </w:pPr>
      <w:bookmarkStart w:id="581" w:name="_Toc264969244"/>
      <w:bookmarkStart w:id="582" w:name="_Toc305158896"/>
      <w:bookmarkStart w:id="583" w:name="_Toc142311056"/>
      <w:bookmarkStart w:id="584" w:name="_Toc265228392"/>
      <w:bookmarkStart w:id="585" w:name="_Toc150480792"/>
      <w:bookmarkStart w:id="586" w:name="_Toc150774759"/>
      <w:bookmarkStart w:id="587" w:name="_Toc305158822"/>
      <w:bookmarkStart w:id="588" w:name="_Toc353825544"/>
      <w:bookmarkStart w:id="589" w:name="_Toc226965827"/>
      <w:bookmarkStart w:id="590" w:name="_Toc353873934"/>
      <w:bookmarkStart w:id="591" w:name="_Toc353873664"/>
      <w:bookmarkStart w:id="592" w:name="_Toc127151554"/>
      <w:bookmarkStart w:id="593" w:name="_Toc226337250"/>
      <w:r>
        <w:rPr>
          <w:rFonts w:eastAsiaTheme="minorEastAsia"/>
          <w:sz w:val="24"/>
        </w:rPr>
        <w:br w:type="page"/>
      </w:r>
      <w:bookmarkStart w:id="594" w:name="_Toc97371943"/>
      <w:r>
        <w:rPr>
          <w:rFonts w:eastAsiaTheme="minorEastAsia"/>
          <w:b/>
          <w:sz w:val="36"/>
          <w:szCs w:val="36"/>
        </w:rPr>
        <w:t xml:space="preserve">第三章   </w:t>
      </w:r>
      <w:bookmarkEnd w:id="581"/>
      <w:bookmarkEnd w:id="582"/>
      <w:bookmarkEnd w:id="583"/>
      <w:bookmarkEnd w:id="584"/>
      <w:bookmarkEnd w:id="585"/>
      <w:bookmarkEnd w:id="586"/>
      <w:bookmarkEnd w:id="587"/>
      <w:bookmarkEnd w:id="588"/>
      <w:bookmarkEnd w:id="589"/>
      <w:bookmarkEnd w:id="590"/>
      <w:bookmarkEnd w:id="591"/>
      <w:bookmarkEnd w:id="592"/>
      <w:bookmarkEnd w:id="593"/>
      <w:r>
        <w:rPr>
          <w:rFonts w:eastAsiaTheme="minorEastAsia"/>
          <w:b/>
          <w:sz w:val="36"/>
          <w:szCs w:val="36"/>
        </w:rPr>
        <w:t>评审方法和评审标准</w:t>
      </w:r>
      <w:bookmarkEnd w:id="594"/>
      <w:bookmarkStart w:id="595" w:name="_Toc487900382"/>
    </w:p>
    <w:p w14:paraId="2F4D2F1F">
      <w:pPr>
        <w:pStyle w:val="3"/>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一、</w:t>
      </w:r>
      <w:r>
        <w:rPr>
          <w:rFonts w:hint="eastAsia" w:ascii="Times New Roman" w:hAnsi="Times New Roman" w:eastAsiaTheme="minorEastAsia"/>
          <w:sz w:val="24"/>
          <w:szCs w:val="24"/>
        </w:rPr>
        <w:t>评审程序和方法</w:t>
      </w:r>
    </w:p>
    <w:p w14:paraId="673C4BE1">
      <w:pPr>
        <w:tabs>
          <w:tab w:val="left" w:pos="1080"/>
        </w:tabs>
        <w:snapToGrid w:val="0"/>
        <w:jc w:val="left"/>
        <w:rPr>
          <w:rFonts w:eastAsiaTheme="minorEastAsia"/>
          <w:b/>
          <w:sz w:val="24"/>
        </w:rPr>
      </w:pPr>
      <w:r>
        <w:rPr>
          <w:rFonts w:eastAsiaTheme="minorEastAsia"/>
          <w:b/>
          <w:sz w:val="24"/>
        </w:rPr>
        <w:tab/>
      </w:r>
    </w:p>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595"/>
    <w:p w14:paraId="696DEAE7">
      <w:pPr>
        <w:numPr>
          <w:ilvl w:val="0"/>
          <w:numId w:val="11"/>
        </w:numPr>
        <w:tabs>
          <w:tab w:val="left" w:pos="360"/>
        </w:tabs>
        <w:snapToGrid w:val="0"/>
        <w:spacing w:line="360" w:lineRule="auto"/>
        <w:outlineLvl w:val="1"/>
        <w:rPr>
          <w:rFonts w:eastAsiaTheme="minorEastAsia"/>
          <w:sz w:val="24"/>
        </w:rPr>
      </w:pPr>
      <w:bookmarkStart w:id="596" w:name="_Toc164229382"/>
      <w:bookmarkStart w:id="597" w:name="_Toc226965731"/>
      <w:bookmarkStart w:id="598" w:name="_Toc151193639"/>
      <w:bookmarkStart w:id="599" w:name="_Toc151193711"/>
      <w:bookmarkStart w:id="600" w:name="_Toc149720834"/>
      <w:bookmarkStart w:id="601" w:name="_Toc264969231"/>
      <w:bookmarkStart w:id="602" w:name="_Toc151193929"/>
      <w:bookmarkStart w:id="603" w:name="_Toc164608810"/>
      <w:bookmarkStart w:id="604" w:name="_Toc164351635"/>
      <w:bookmarkStart w:id="605" w:name="_Toc151193855"/>
      <w:bookmarkStart w:id="606" w:name="_Toc164608655"/>
      <w:bookmarkStart w:id="607" w:name="_Toc142311043"/>
      <w:bookmarkStart w:id="608" w:name="_Toc150480779"/>
      <w:bookmarkStart w:id="609" w:name="_Toc226965814"/>
      <w:bookmarkStart w:id="610" w:name="_Toc127151742"/>
      <w:bookmarkStart w:id="611" w:name="_Toc150509292"/>
      <w:bookmarkStart w:id="612" w:name="_Toc195842906"/>
      <w:bookmarkStart w:id="613" w:name="_Toc164229236"/>
      <w:bookmarkStart w:id="614" w:name="_Toc265228379"/>
      <w:bookmarkStart w:id="615" w:name="_Toc127151541"/>
      <w:bookmarkStart w:id="616" w:name="_Toc305158883"/>
      <w:bookmarkStart w:id="617" w:name="_Toc150774746"/>
      <w:bookmarkStart w:id="618" w:name="_Toc150774641"/>
      <w:bookmarkStart w:id="619" w:name="_Toc226309785"/>
      <w:bookmarkStart w:id="620" w:name="_Toc151190168"/>
      <w:bookmarkStart w:id="621" w:name="_Toc127161455"/>
      <w:bookmarkStart w:id="622" w:name="_Toc305158809"/>
      <w:bookmarkStart w:id="623" w:name="_Toc151193783"/>
      <w:bookmarkStart w:id="624" w:name="_Toc226337237"/>
      <w:bookmarkStart w:id="625" w:name="_Toc353873941"/>
      <w:bookmarkStart w:id="626" w:name="_Toc353825551"/>
      <w:bookmarkStart w:id="627" w:name="_Toc265228393"/>
      <w:bookmarkStart w:id="628" w:name="_Toc195842920"/>
      <w:bookmarkStart w:id="629" w:name="_Toc150774760"/>
      <w:bookmarkStart w:id="630" w:name="_Toc264969245"/>
      <w:bookmarkStart w:id="631" w:name="_Toc353825545"/>
      <w:bookmarkStart w:id="632" w:name="_Toc226337251"/>
      <w:bookmarkStart w:id="633" w:name="_Toc353873935"/>
      <w:bookmarkStart w:id="634" w:name="_Toc150480793"/>
      <w:bookmarkStart w:id="635" w:name="_Toc127151555"/>
      <w:bookmarkStart w:id="636" w:name="_Toc305158897"/>
      <w:bookmarkStart w:id="637" w:name="_Toc226965828"/>
      <w:bookmarkStart w:id="638" w:name="_Toc353873665"/>
      <w:bookmarkStart w:id="639" w:name="_Toc142311057"/>
      <w:bookmarkStart w:id="640" w:name="_Toc305158823"/>
      <w:r>
        <w:rPr>
          <w:rFonts w:eastAsiaTheme="minorEastAsia"/>
          <w:sz w:val="24"/>
        </w:rPr>
        <w:t>响应文件的</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r>
        <w:rPr>
          <w:rFonts w:eastAsiaTheme="minorEastAsia"/>
          <w:sz w:val="24"/>
        </w:rPr>
        <w:t>资格审查和符合性审查</w:t>
      </w:r>
    </w:p>
    <w:p w14:paraId="77D01E56">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hint="eastAsia" w:eastAsiaTheme="minorEastAsia"/>
          <w:sz w:val="24"/>
        </w:rPr>
        <w:t>处理</w:t>
      </w:r>
      <w:r>
        <w:rPr>
          <w:rFonts w:eastAsiaTheme="minorEastAsia"/>
          <w:sz w:val="24"/>
        </w:rPr>
        <w:t>，磋商小组应当告知提交响应文件的供应商。</w:t>
      </w:r>
    </w:p>
    <w:p w14:paraId="075B3C9A">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《资格审查要求》中对格式有要求的，除竞争性磋商文件另有规定外，均为“实质性格式”文件。</w:t>
      </w:r>
    </w:p>
    <w:p w14:paraId="6C060E4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14:paraId="749C39DE">
      <w:pPr>
        <w:tabs>
          <w:tab w:val="left" w:pos="900"/>
          <w:tab w:val="left" w:pos="1080"/>
        </w:tabs>
        <w:snapToGrid w:val="0"/>
        <w:spacing w:line="360" w:lineRule="auto"/>
        <w:ind w:left="1077" w:firstLine="2650" w:firstLineChars="1100"/>
        <w:rPr>
          <w:rFonts w:eastAsiaTheme="minorEastAsia"/>
          <w:b/>
          <w:sz w:val="24"/>
        </w:rPr>
      </w:pPr>
      <w:r>
        <w:rPr>
          <w:rFonts w:eastAsiaTheme="minorEastAsia"/>
          <w:b/>
          <w:sz w:val="24"/>
        </w:rPr>
        <w:t>资格审查要求</w:t>
      </w:r>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742"/>
        <w:gridCol w:w="4791"/>
        <w:gridCol w:w="1909"/>
      </w:tblGrid>
      <w:tr w14:paraId="5B869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21EFC87C">
            <w:pPr>
              <w:tabs>
                <w:tab w:val="left" w:pos="1080"/>
              </w:tabs>
              <w:snapToGrid w:val="0"/>
              <w:jc w:val="center"/>
              <w:rPr>
                <w:rFonts w:eastAsiaTheme="minorEastAsia"/>
                <w:b/>
                <w:sz w:val="24"/>
              </w:rPr>
            </w:pPr>
            <w:bookmarkStart w:id="641" w:name="_Hlt487972895"/>
            <w:bookmarkEnd w:id="641"/>
            <w:r>
              <w:rPr>
                <w:rFonts w:eastAsiaTheme="minorEastAsia"/>
                <w:b/>
                <w:sz w:val="24"/>
              </w:rPr>
              <w:t>序号</w:t>
            </w:r>
          </w:p>
        </w:tc>
        <w:tc>
          <w:tcPr>
            <w:tcW w:w="937" w:type="pct"/>
            <w:vAlign w:val="center"/>
          </w:tcPr>
          <w:p w14:paraId="06EAF82B">
            <w:pPr>
              <w:tabs>
                <w:tab w:val="left" w:pos="1080"/>
              </w:tabs>
              <w:snapToGrid w:val="0"/>
              <w:jc w:val="center"/>
              <w:rPr>
                <w:rFonts w:eastAsiaTheme="minorEastAsia"/>
                <w:b/>
                <w:sz w:val="24"/>
              </w:rPr>
            </w:pPr>
            <w:r>
              <w:rPr>
                <w:rFonts w:eastAsiaTheme="minorEastAsia"/>
                <w:b/>
                <w:sz w:val="24"/>
              </w:rPr>
              <w:t>检查因素</w:t>
            </w:r>
          </w:p>
        </w:tc>
        <w:tc>
          <w:tcPr>
            <w:tcW w:w="2579" w:type="pct"/>
            <w:vAlign w:val="center"/>
          </w:tcPr>
          <w:p w14:paraId="7F3F4928">
            <w:pPr>
              <w:tabs>
                <w:tab w:val="left" w:pos="1080"/>
              </w:tabs>
              <w:snapToGrid w:val="0"/>
              <w:jc w:val="center"/>
              <w:rPr>
                <w:rFonts w:eastAsiaTheme="minorEastAsia"/>
                <w:b/>
                <w:sz w:val="24"/>
              </w:rPr>
            </w:pPr>
            <w:r>
              <w:rPr>
                <w:rFonts w:eastAsiaTheme="minorEastAsia"/>
                <w:b/>
                <w:sz w:val="24"/>
              </w:rPr>
              <w:t>检查内容</w:t>
            </w:r>
          </w:p>
        </w:tc>
        <w:tc>
          <w:tcPr>
            <w:tcW w:w="1027" w:type="pct"/>
            <w:vAlign w:val="center"/>
          </w:tcPr>
          <w:p w14:paraId="39E684EF">
            <w:pPr>
              <w:tabs>
                <w:tab w:val="left" w:pos="1080"/>
              </w:tabs>
              <w:snapToGrid w:val="0"/>
              <w:jc w:val="center"/>
              <w:rPr>
                <w:rFonts w:eastAsiaTheme="minorEastAsia"/>
                <w:b/>
                <w:sz w:val="24"/>
              </w:rPr>
            </w:pPr>
            <w:r>
              <w:rPr>
                <w:rFonts w:eastAsiaTheme="minorEastAsia"/>
                <w:b/>
                <w:sz w:val="24"/>
              </w:rPr>
              <w:t>格式要求</w:t>
            </w:r>
          </w:p>
        </w:tc>
      </w:tr>
      <w:tr w14:paraId="58BCE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4C1459B">
            <w:pPr>
              <w:tabs>
                <w:tab w:val="left" w:pos="1080"/>
              </w:tabs>
              <w:snapToGrid w:val="0"/>
              <w:jc w:val="center"/>
              <w:rPr>
                <w:rFonts w:eastAsiaTheme="minorEastAsia"/>
                <w:sz w:val="24"/>
              </w:rPr>
            </w:pPr>
            <w:r>
              <w:rPr>
                <w:rFonts w:eastAsiaTheme="minorEastAsia"/>
                <w:sz w:val="24"/>
              </w:rPr>
              <w:t>1</w:t>
            </w:r>
          </w:p>
        </w:tc>
        <w:tc>
          <w:tcPr>
            <w:tcW w:w="937" w:type="pct"/>
            <w:vAlign w:val="center"/>
          </w:tcPr>
          <w:p w14:paraId="15981B69">
            <w:pPr>
              <w:tabs>
                <w:tab w:val="left" w:pos="1080"/>
              </w:tabs>
              <w:snapToGrid w:val="0"/>
              <w:jc w:val="left"/>
              <w:rPr>
                <w:rFonts w:eastAsiaTheme="minorEastAsia"/>
                <w:sz w:val="24"/>
              </w:rPr>
            </w:pPr>
            <w:r>
              <w:rPr>
                <w:rFonts w:eastAsiaTheme="minorEastAsia"/>
                <w:sz w:val="24"/>
              </w:rPr>
              <w:t>满足《中华人民共和国政府采购法》第二十二条规定</w:t>
            </w:r>
          </w:p>
        </w:tc>
        <w:tc>
          <w:tcPr>
            <w:tcW w:w="2579" w:type="pct"/>
            <w:vAlign w:val="center"/>
          </w:tcPr>
          <w:p w14:paraId="0760454B">
            <w:pPr>
              <w:tabs>
                <w:tab w:val="left" w:pos="1080"/>
              </w:tabs>
              <w:snapToGrid w:val="0"/>
              <w:jc w:val="left"/>
              <w:rPr>
                <w:rFonts w:eastAsiaTheme="minorEastAsia"/>
                <w:sz w:val="24"/>
              </w:rPr>
            </w:pPr>
            <w:r>
              <w:rPr>
                <w:rFonts w:eastAsiaTheme="minorEastAsia"/>
                <w:sz w:val="24"/>
              </w:rPr>
              <w:t>具体规定见第一章《采购邀请》</w:t>
            </w:r>
          </w:p>
        </w:tc>
        <w:tc>
          <w:tcPr>
            <w:tcW w:w="1027" w:type="pct"/>
            <w:vAlign w:val="center"/>
          </w:tcPr>
          <w:p w14:paraId="134EFFED">
            <w:pPr>
              <w:tabs>
                <w:tab w:val="left" w:pos="1080"/>
              </w:tabs>
              <w:snapToGrid w:val="0"/>
              <w:jc w:val="left"/>
              <w:rPr>
                <w:rFonts w:eastAsiaTheme="minorEastAsia"/>
                <w:sz w:val="24"/>
              </w:rPr>
            </w:pPr>
          </w:p>
        </w:tc>
      </w:tr>
      <w:tr w14:paraId="7B942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28F8EC0">
            <w:pPr>
              <w:tabs>
                <w:tab w:val="left" w:pos="1080"/>
              </w:tabs>
              <w:snapToGrid w:val="0"/>
              <w:jc w:val="center"/>
              <w:rPr>
                <w:rFonts w:eastAsiaTheme="minorEastAsia"/>
                <w:sz w:val="24"/>
              </w:rPr>
            </w:pPr>
            <w:r>
              <w:rPr>
                <w:rFonts w:eastAsiaTheme="minorEastAsia"/>
                <w:sz w:val="24"/>
              </w:rPr>
              <w:t>1-1</w:t>
            </w:r>
          </w:p>
        </w:tc>
        <w:tc>
          <w:tcPr>
            <w:tcW w:w="937" w:type="pct"/>
            <w:vAlign w:val="center"/>
          </w:tcPr>
          <w:p w14:paraId="38644759">
            <w:pPr>
              <w:tabs>
                <w:tab w:val="left" w:pos="1080"/>
              </w:tabs>
              <w:snapToGrid w:val="0"/>
              <w:jc w:val="left"/>
              <w:rPr>
                <w:rFonts w:eastAsiaTheme="minorEastAsia"/>
                <w:sz w:val="24"/>
              </w:rPr>
            </w:pPr>
            <w:r>
              <w:rPr>
                <w:rFonts w:eastAsiaTheme="minorEastAsia"/>
                <w:sz w:val="24"/>
              </w:rPr>
              <w:t>营业执照等证明文件</w:t>
            </w:r>
          </w:p>
        </w:tc>
        <w:tc>
          <w:tcPr>
            <w:tcW w:w="2579" w:type="pct"/>
            <w:vAlign w:val="center"/>
          </w:tcPr>
          <w:p w14:paraId="7A11F4E0">
            <w:pPr>
              <w:tabs>
                <w:tab w:val="left" w:pos="1080"/>
              </w:tabs>
              <w:snapToGrid w:val="0"/>
              <w:jc w:val="left"/>
              <w:rPr>
                <w:rFonts w:eastAsiaTheme="minorEastAsia"/>
                <w:sz w:val="24"/>
              </w:rPr>
            </w:pPr>
            <w:r>
              <w:rPr>
                <w:rFonts w:eastAsiaTheme="minorEastAsia"/>
                <w:sz w:val="24"/>
              </w:rPr>
              <w:t>供应商为企业（包括合伙企业）的，应提供有效的“营业执照”；</w:t>
            </w:r>
          </w:p>
          <w:p w14:paraId="1DEC2386">
            <w:pPr>
              <w:tabs>
                <w:tab w:val="left" w:pos="1080"/>
              </w:tabs>
              <w:snapToGrid w:val="0"/>
              <w:jc w:val="left"/>
              <w:rPr>
                <w:rFonts w:eastAsiaTheme="minorEastAsia"/>
                <w:sz w:val="24"/>
              </w:rPr>
            </w:pPr>
            <w:r>
              <w:rPr>
                <w:rFonts w:eastAsiaTheme="minorEastAsia"/>
                <w:sz w:val="24"/>
              </w:rPr>
              <w:t>供应商为事业单位的，应提供有效的“事业单位法人证书”；</w:t>
            </w:r>
          </w:p>
          <w:p w14:paraId="071B7FC2">
            <w:pPr>
              <w:tabs>
                <w:tab w:val="left" w:pos="1080"/>
              </w:tabs>
              <w:snapToGrid w:val="0"/>
              <w:jc w:val="left"/>
              <w:rPr>
                <w:rFonts w:eastAsiaTheme="minorEastAsia"/>
                <w:sz w:val="24"/>
              </w:rPr>
            </w:pPr>
            <w:r>
              <w:rPr>
                <w:rFonts w:eastAsiaTheme="minorEastAsia"/>
                <w:sz w:val="24"/>
              </w:rPr>
              <w:t>供应商</w:t>
            </w:r>
            <w:r>
              <w:rPr>
                <w:sz w:val="24"/>
              </w:rPr>
              <w:t>是非企业机构的，应提供有效的“执业许可证”、“登记证书”等证明文件</w:t>
            </w:r>
            <w:r>
              <w:rPr>
                <w:rFonts w:eastAsiaTheme="minorEastAsia"/>
                <w:sz w:val="24"/>
              </w:rPr>
              <w:t>；</w:t>
            </w:r>
          </w:p>
          <w:p w14:paraId="4500F22B">
            <w:pPr>
              <w:tabs>
                <w:tab w:val="left" w:pos="1080"/>
              </w:tabs>
              <w:snapToGrid w:val="0"/>
              <w:jc w:val="left"/>
              <w:rPr>
                <w:rFonts w:eastAsiaTheme="minorEastAsia"/>
                <w:sz w:val="24"/>
              </w:rPr>
            </w:pPr>
            <w:r>
              <w:rPr>
                <w:rFonts w:eastAsiaTheme="minorEastAsia"/>
                <w:sz w:val="24"/>
              </w:rPr>
              <w:t>供应商是个体工商户的，应提供有效的“个体工商户营业执照”；</w:t>
            </w:r>
          </w:p>
          <w:p w14:paraId="569DF43A">
            <w:pPr>
              <w:tabs>
                <w:tab w:val="left" w:pos="1080"/>
              </w:tabs>
              <w:snapToGrid w:val="0"/>
              <w:jc w:val="left"/>
              <w:rPr>
                <w:rFonts w:eastAsiaTheme="minorEastAsia"/>
                <w:sz w:val="24"/>
              </w:rPr>
            </w:pPr>
            <w:r>
              <w:rPr>
                <w:rFonts w:eastAsiaTheme="minorEastAsia"/>
                <w:sz w:val="24"/>
              </w:rPr>
              <w:t>供应商是自然人的，应提供有效的自然人身份证明。</w:t>
            </w:r>
          </w:p>
          <w:p w14:paraId="3D687901">
            <w:pPr>
              <w:tabs>
                <w:tab w:val="left" w:pos="1080"/>
              </w:tabs>
              <w:snapToGrid w:val="0"/>
              <w:jc w:val="left"/>
              <w:rPr>
                <w:rFonts w:eastAsiaTheme="minorEastAsia"/>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其他组织的相应证明文件；同时还应提供其所属法人/其他组织出具的授权其参与本项目的授权书（格式自拟，须加</w:t>
            </w:r>
            <w:r>
              <w:rPr>
                <w:sz w:val="24"/>
              </w:rPr>
              <w:t>盖其所属法人/其他组织的公章）；对于</w:t>
            </w:r>
            <w:r>
              <w:rPr>
                <w:iCs/>
                <w:sz w:val="24"/>
              </w:rPr>
              <w:t>银行、保险、石油石化、电力、电信等行业的分支机构，可以提供上述</w:t>
            </w:r>
            <w:r>
              <w:rPr>
                <w:sz w:val="24"/>
              </w:rPr>
              <w:t>授权，也</w:t>
            </w:r>
            <w:r>
              <w:rPr>
                <w:color w:val="000000"/>
                <w:sz w:val="24"/>
              </w:rPr>
              <w:t>可以提供其所属法人/其他组织的有关文件或制度等能够证明授权其独立开展业务的证明材料。</w:t>
            </w:r>
          </w:p>
        </w:tc>
        <w:tc>
          <w:tcPr>
            <w:tcW w:w="1027" w:type="pct"/>
            <w:vAlign w:val="center"/>
          </w:tcPr>
          <w:p w14:paraId="6BF6F14E">
            <w:pPr>
              <w:tabs>
                <w:tab w:val="left" w:pos="1080"/>
              </w:tabs>
              <w:snapToGrid w:val="0"/>
              <w:jc w:val="left"/>
              <w:rPr>
                <w:rFonts w:eastAsiaTheme="minorEastAsia"/>
                <w:sz w:val="24"/>
              </w:rPr>
            </w:pPr>
            <w:r>
              <w:rPr>
                <w:rFonts w:eastAsiaTheme="minorEastAsia"/>
                <w:sz w:val="24"/>
              </w:rPr>
              <w:t>提供证明文件的电子件或电子证照</w:t>
            </w:r>
          </w:p>
        </w:tc>
      </w:tr>
      <w:tr w14:paraId="30CC9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D40F489">
            <w:pPr>
              <w:tabs>
                <w:tab w:val="left" w:pos="1080"/>
              </w:tabs>
              <w:snapToGrid w:val="0"/>
              <w:jc w:val="center"/>
              <w:rPr>
                <w:rFonts w:eastAsiaTheme="minorEastAsia"/>
                <w:sz w:val="24"/>
              </w:rPr>
            </w:pPr>
            <w:r>
              <w:rPr>
                <w:rFonts w:eastAsiaTheme="minorEastAsia"/>
                <w:sz w:val="24"/>
              </w:rPr>
              <w:t>1-2</w:t>
            </w:r>
          </w:p>
        </w:tc>
        <w:tc>
          <w:tcPr>
            <w:tcW w:w="937" w:type="pct"/>
            <w:vAlign w:val="center"/>
          </w:tcPr>
          <w:p w14:paraId="3FF21AE3">
            <w:pPr>
              <w:tabs>
                <w:tab w:val="left" w:pos="1080"/>
              </w:tabs>
              <w:snapToGrid w:val="0"/>
              <w:jc w:val="left"/>
              <w:rPr>
                <w:rFonts w:eastAsiaTheme="minorEastAsia"/>
                <w:sz w:val="24"/>
              </w:rPr>
            </w:pPr>
            <w:r>
              <w:rPr>
                <w:rFonts w:eastAsiaTheme="minorEastAsia"/>
                <w:sz w:val="24"/>
              </w:rPr>
              <w:t>供应商资格声明书</w:t>
            </w:r>
          </w:p>
        </w:tc>
        <w:tc>
          <w:tcPr>
            <w:tcW w:w="2579" w:type="pct"/>
            <w:vAlign w:val="center"/>
          </w:tcPr>
          <w:p w14:paraId="45FE5EB1">
            <w:pPr>
              <w:tabs>
                <w:tab w:val="left" w:pos="1080"/>
              </w:tabs>
              <w:snapToGrid w:val="0"/>
              <w:jc w:val="left"/>
              <w:rPr>
                <w:rFonts w:eastAsiaTheme="minorEastAsia"/>
                <w:sz w:val="24"/>
              </w:rPr>
            </w:pPr>
            <w:r>
              <w:rPr>
                <w:rFonts w:eastAsiaTheme="minorEastAsia"/>
                <w:sz w:val="24"/>
              </w:rPr>
              <w:t>提供了符合竞争性磋商文件要求的《供应商资格声明书》。</w:t>
            </w:r>
          </w:p>
        </w:tc>
        <w:tc>
          <w:tcPr>
            <w:tcW w:w="1027" w:type="pct"/>
            <w:vAlign w:val="center"/>
          </w:tcPr>
          <w:p w14:paraId="4A83792D">
            <w:pPr>
              <w:tabs>
                <w:tab w:val="left" w:pos="1080"/>
              </w:tabs>
              <w:snapToGrid w:val="0"/>
              <w:jc w:val="left"/>
              <w:rPr>
                <w:rFonts w:eastAsiaTheme="minorEastAsia"/>
                <w:sz w:val="24"/>
              </w:rPr>
            </w:pPr>
            <w:r>
              <w:rPr>
                <w:rFonts w:eastAsiaTheme="minorEastAsia"/>
                <w:sz w:val="24"/>
              </w:rPr>
              <w:t>格式见《响应文件格式》</w:t>
            </w:r>
          </w:p>
        </w:tc>
      </w:tr>
      <w:tr w14:paraId="66CEC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8AB7E95">
            <w:pPr>
              <w:tabs>
                <w:tab w:val="left" w:pos="1080"/>
              </w:tabs>
              <w:snapToGrid w:val="0"/>
              <w:jc w:val="center"/>
              <w:rPr>
                <w:rFonts w:eastAsiaTheme="minorEastAsia"/>
                <w:sz w:val="24"/>
              </w:rPr>
            </w:pPr>
            <w:r>
              <w:rPr>
                <w:rFonts w:eastAsiaTheme="minorEastAsia"/>
                <w:sz w:val="24"/>
              </w:rPr>
              <w:t>1-3</w:t>
            </w:r>
          </w:p>
        </w:tc>
        <w:tc>
          <w:tcPr>
            <w:tcW w:w="937" w:type="pct"/>
            <w:vAlign w:val="center"/>
          </w:tcPr>
          <w:p w14:paraId="462409FF">
            <w:pPr>
              <w:tabs>
                <w:tab w:val="left" w:pos="1080"/>
              </w:tabs>
              <w:snapToGrid w:val="0"/>
              <w:rPr>
                <w:rFonts w:eastAsiaTheme="minorEastAsia"/>
                <w:sz w:val="24"/>
              </w:rPr>
            </w:pPr>
            <w:r>
              <w:rPr>
                <w:rFonts w:eastAsiaTheme="minorEastAsia"/>
                <w:sz w:val="24"/>
              </w:rPr>
              <w:t>供应商信用记录</w:t>
            </w:r>
          </w:p>
        </w:tc>
        <w:tc>
          <w:tcPr>
            <w:tcW w:w="2579" w:type="pct"/>
            <w:vAlign w:val="center"/>
          </w:tcPr>
          <w:p w14:paraId="6FA05CBE">
            <w:pPr>
              <w:tabs>
                <w:tab w:val="left" w:pos="1080"/>
              </w:tabs>
              <w:snapToGrid w:val="0"/>
              <w:rPr>
                <w:rFonts w:eastAsiaTheme="minorEastAsia"/>
                <w:sz w:val="24"/>
              </w:rPr>
            </w:pPr>
            <w:r>
              <w:rPr>
                <w:rFonts w:eastAsiaTheme="minorEastAsia"/>
                <w:sz w:val="24"/>
              </w:rPr>
              <w:t>查询渠道：信用中国网站和中国政府采购网（</w:t>
            </w:r>
            <w:r>
              <w:rPr>
                <w:rFonts w:eastAsiaTheme="minorEastAsia"/>
              </w:rPr>
              <w:t>www.creditchina.gov.cn</w:t>
            </w:r>
            <w:r>
              <w:rPr>
                <w:rFonts w:eastAsiaTheme="minorEastAsia"/>
                <w:sz w:val="24"/>
              </w:rPr>
              <w:t>、</w:t>
            </w:r>
            <w:r>
              <w:rPr>
                <w:rFonts w:eastAsiaTheme="minorEastAsia"/>
              </w:rPr>
              <w:t>www.ccgp.gov.cn</w:t>
            </w:r>
            <w:r>
              <w:rPr>
                <w:rFonts w:eastAsiaTheme="minorEastAsia"/>
                <w:sz w:val="24"/>
              </w:rPr>
              <w:t>）；</w:t>
            </w:r>
          </w:p>
          <w:p w14:paraId="7612CE72">
            <w:pPr>
              <w:tabs>
                <w:tab w:val="left" w:pos="900"/>
                <w:tab w:val="left" w:pos="1980"/>
              </w:tabs>
              <w:snapToGrid w:val="0"/>
              <w:rPr>
                <w:rFonts w:eastAsiaTheme="minorEastAsia"/>
                <w:sz w:val="24"/>
              </w:rPr>
            </w:pPr>
            <w:r>
              <w:rPr>
                <w:rFonts w:eastAsiaTheme="minorEastAsia"/>
                <w:sz w:val="24"/>
              </w:rPr>
              <w:t>截止时点：</w:t>
            </w:r>
            <w:r>
              <w:rPr>
                <w:rFonts w:eastAsiaTheme="minorEastAsia"/>
                <w:color w:val="000000"/>
                <w:kern w:val="0"/>
                <w:sz w:val="24"/>
                <w:szCs w:val="20"/>
              </w:rPr>
              <w:t>首次响应文件提交截止时间以后</w:t>
            </w:r>
            <w:r>
              <w:rPr>
                <w:rFonts w:eastAsiaTheme="minorEastAsia"/>
                <w:sz w:val="24"/>
              </w:rPr>
              <w:t>、资格审查阶段采购人或采购代理机构的实际查询时间；</w:t>
            </w:r>
          </w:p>
          <w:p w14:paraId="4A86DB22">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信用信息查询记录和证据留存具体方式：查询结果网页打印页作为查询记录和证据，与其他竞争性磋商文件一并保存；</w:t>
            </w:r>
          </w:p>
          <w:p w14:paraId="32917A99">
            <w:pPr>
              <w:tabs>
                <w:tab w:val="left" w:pos="1080"/>
              </w:tabs>
              <w:snapToGrid w:val="0"/>
              <w:rPr>
                <w:rFonts w:eastAsiaTheme="minorEastAsia"/>
                <w:sz w:val="24"/>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。联合体形式磋商的，联合体成员存在不良信用记录，视同联合体存在不良信用记录。</w:t>
            </w:r>
          </w:p>
        </w:tc>
        <w:tc>
          <w:tcPr>
            <w:tcW w:w="1027" w:type="pct"/>
            <w:vAlign w:val="center"/>
          </w:tcPr>
          <w:p w14:paraId="121911DB">
            <w:pPr>
              <w:tabs>
                <w:tab w:val="left" w:pos="1080"/>
              </w:tabs>
              <w:snapToGrid w:val="0"/>
              <w:rPr>
                <w:rFonts w:eastAsiaTheme="minorEastAsia"/>
                <w:sz w:val="24"/>
              </w:rPr>
            </w:pPr>
            <w:r>
              <w:rPr>
                <w:rFonts w:eastAsiaTheme="minorEastAsia"/>
                <w:sz w:val="24"/>
              </w:rPr>
              <w:t>无须供应商提供，由采购人或采购代理机构查询。</w:t>
            </w:r>
          </w:p>
        </w:tc>
      </w:tr>
      <w:tr w14:paraId="6360F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A2AEB47">
            <w:pPr>
              <w:tabs>
                <w:tab w:val="left" w:pos="1080"/>
              </w:tabs>
              <w:snapToGrid w:val="0"/>
              <w:jc w:val="center"/>
              <w:rPr>
                <w:rFonts w:eastAsiaTheme="minorEastAsia"/>
                <w:sz w:val="24"/>
              </w:rPr>
            </w:pPr>
            <w:r>
              <w:rPr>
                <w:sz w:val="24"/>
              </w:rPr>
              <w:t>1-4</w:t>
            </w:r>
          </w:p>
        </w:tc>
        <w:tc>
          <w:tcPr>
            <w:tcW w:w="937" w:type="pct"/>
            <w:vAlign w:val="center"/>
          </w:tcPr>
          <w:p w14:paraId="4B90D97C">
            <w:pPr>
              <w:tabs>
                <w:tab w:val="left" w:pos="1080"/>
              </w:tabs>
              <w:snapToGrid w:val="0"/>
              <w:rPr>
                <w:rFonts w:eastAsiaTheme="minorEastAsia"/>
                <w:sz w:val="24"/>
              </w:rPr>
            </w:pPr>
            <w:r>
              <w:rPr>
                <w:sz w:val="24"/>
              </w:rPr>
              <w:t>法律、行政法规规定的其他条件</w:t>
            </w:r>
          </w:p>
        </w:tc>
        <w:tc>
          <w:tcPr>
            <w:tcW w:w="2579" w:type="pct"/>
            <w:vAlign w:val="center"/>
          </w:tcPr>
          <w:p w14:paraId="0EF449F5">
            <w:pPr>
              <w:tabs>
                <w:tab w:val="left" w:pos="1080"/>
              </w:tabs>
              <w:snapToGrid w:val="0"/>
              <w:rPr>
                <w:rFonts w:eastAsiaTheme="minorEastAsia"/>
                <w:sz w:val="24"/>
              </w:rPr>
            </w:pPr>
            <w:r>
              <w:rPr>
                <w:sz w:val="24"/>
              </w:rPr>
              <w:t>法律、行政法规规定的其他条件</w:t>
            </w:r>
          </w:p>
        </w:tc>
        <w:tc>
          <w:tcPr>
            <w:tcW w:w="1027" w:type="pct"/>
            <w:vAlign w:val="center"/>
          </w:tcPr>
          <w:p w14:paraId="4CC602A9">
            <w:pPr>
              <w:tabs>
                <w:tab w:val="left" w:pos="1080"/>
              </w:tabs>
              <w:snapToGrid w:val="0"/>
              <w:jc w:val="center"/>
              <w:rPr>
                <w:rFonts w:eastAsiaTheme="minorEastAsia"/>
                <w:sz w:val="24"/>
              </w:rPr>
            </w:pPr>
            <w:r>
              <w:rPr>
                <w:sz w:val="24"/>
              </w:rPr>
              <w:t>/</w:t>
            </w:r>
          </w:p>
        </w:tc>
      </w:tr>
      <w:tr w14:paraId="03568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467E40E">
            <w:pPr>
              <w:tabs>
                <w:tab w:val="left" w:pos="1080"/>
              </w:tabs>
              <w:snapToGrid w:val="0"/>
              <w:jc w:val="center"/>
              <w:rPr>
                <w:rFonts w:eastAsiaTheme="minorEastAsia"/>
                <w:sz w:val="24"/>
              </w:rPr>
            </w:pPr>
            <w:r>
              <w:rPr>
                <w:rFonts w:eastAsiaTheme="minorEastAsia"/>
                <w:sz w:val="24"/>
              </w:rPr>
              <w:t>2</w:t>
            </w:r>
          </w:p>
        </w:tc>
        <w:tc>
          <w:tcPr>
            <w:tcW w:w="937" w:type="pct"/>
            <w:vAlign w:val="center"/>
          </w:tcPr>
          <w:p w14:paraId="10A4C73A">
            <w:pPr>
              <w:tabs>
                <w:tab w:val="left" w:pos="1080"/>
              </w:tabs>
              <w:snapToGrid w:val="0"/>
              <w:jc w:val="left"/>
              <w:rPr>
                <w:rFonts w:eastAsiaTheme="minorEastAsia"/>
                <w:sz w:val="24"/>
              </w:rPr>
            </w:pPr>
            <w:r>
              <w:rPr>
                <w:rFonts w:eastAsiaTheme="minorEastAsia"/>
                <w:sz w:val="24"/>
              </w:rPr>
              <w:t>落实政府采购政策需满足的资格要求</w:t>
            </w:r>
          </w:p>
        </w:tc>
        <w:tc>
          <w:tcPr>
            <w:tcW w:w="2579" w:type="pct"/>
            <w:vAlign w:val="center"/>
          </w:tcPr>
          <w:p w14:paraId="1C7BC341">
            <w:pPr>
              <w:tabs>
                <w:tab w:val="left" w:pos="1080"/>
              </w:tabs>
              <w:snapToGrid w:val="0"/>
              <w:jc w:val="left"/>
              <w:rPr>
                <w:rFonts w:eastAsiaTheme="minorEastAsia"/>
                <w:sz w:val="24"/>
              </w:rPr>
            </w:pPr>
            <w:r>
              <w:rPr>
                <w:rFonts w:eastAsiaTheme="minorEastAsia"/>
                <w:sz w:val="24"/>
              </w:rPr>
              <w:t>具体要求见第一章《采购邀请》</w:t>
            </w:r>
          </w:p>
        </w:tc>
        <w:tc>
          <w:tcPr>
            <w:tcW w:w="1027" w:type="pct"/>
            <w:vAlign w:val="center"/>
          </w:tcPr>
          <w:p w14:paraId="52FE5D85">
            <w:pPr>
              <w:tabs>
                <w:tab w:val="left" w:pos="1080"/>
              </w:tabs>
              <w:snapToGrid w:val="0"/>
              <w:jc w:val="left"/>
              <w:rPr>
                <w:rFonts w:eastAsiaTheme="minorEastAsia"/>
                <w:sz w:val="24"/>
              </w:rPr>
            </w:pPr>
          </w:p>
        </w:tc>
      </w:tr>
      <w:tr w14:paraId="15669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6340BA6">
            <w:pPr>
              <w:tabs>
                <w:tab w:val="left" w:pos="1080"/>
              </w:tabs>
              <w:snapToGrid w:val="0"/>
              <w:jc w:val="center"/>
              <w:rPr>
                <w:rFonts w:eastAsiaTheme="minorEastAsia"/>
                <w:sz w:val="24"/>
              </w:rPr>
            </w:pPr>
            <w:r>
              <w:rPr>
                <w:rFonts w:eastAsiaTheme="minorEastAsia"/>
                <w:sz w:val="24"/>
              </w:rPr>
              <w:t>2-1</w:t>
            </w:r>
          </w:p>
        </w:tc>
        <w:tc>
          <w:tcPr>
            <w:tcW w:w="937" w:type="pct"/>
            <w:vAlign w:val="center"/>
          </w:tcPr>
          <w:p w14:paraId="25AFD2B2">
            <w:pPr>
              <w:tabs>
                <w:tab w:val="left" w:pos="1080"/>
              </w:tabs>
              <w:snapToGrid w:val="0"/>
              <w:jc w:val="left"/>
              <w:rPr>
                <w:rFonts w:eastAsiaTheme="minorEastAsia"/>
                <w:sz w:val="24"/>
              </w:rPr>
            </w:pPr>
            <w:r>
              <w:rPr>
                <w:rFonts w:eastAsiaTheme="minorEastAsia"/>
                <w:sz w:val="24"/>
              </w:rPr>
              <w:t>中小企业政策</w:t>
            </w:r>
            <w:r>
              <w:rPr>
                <w:rFonts w:hint="eastAsia" w:eastAsiaTheme="minorEastAsia"/>
                <w:sz w:val="24"/>
              </w:rPr>
              <w:t>证明文件</w:t>
            </w:r>
          </w:p>
        </w:tc>
        <w:tc>
          <w:tcPr>
            <w:tcW w:w="2579" w:type="pct"/>
            <w:vAlign w:val="center"/>
          </w:tcPr>
          <w:p w14:paraId="6532C603">
            <w:pPr>
              <w:tabs>
                <w:tab w:val="left" w:pos="1080"/>
              </w:tabs>
              <w:snapToGrid w:val="0"/>
              <w:jc w:val="left"/>
              <w:rPr>
                <w:rFonts w:eastAsiaTheme="minorEastAsia"/>
                <w:sz w:val="24"/>
              </w:rPr>
            </w:pPr>
            <w:r>
              <w:rPr>
                <w:rFonts w:eastAsiaTheme="minorEastAsia"/>
                <w:sz w:val="24"/>
              </w:rPr>
              <w:t>具体要求见第一章《采购邀请》</w:t>
            </w:r>
          </w:p>
        </w:tc>
        <w:tc>
          <w:tcPr>
            <w:tcW w:w="1027" w:type="pct"/>
            <w:vAlign w:val="center"/>
          </w:tcPr>
          <w:p w14:paraId="67E348A3">
            <w:pPr>
              <w:tabs>
                <w:tab w:val="left" w:pos="1080"/>
              </w:tabs>
              <w:snapToGrid w:val="0"/>
              <w:jc w:val="left"/>
              <w:rPr>
                <w:rFonts w:eastAsiaTheme="minorEastAsia"/>
                <w:sz w:val="24"/>
              </w:rPr>
            </w:pPr>
          </w:p>
        </w:tc>
      </w:tr>
      <w:tr w14:paraId="07E09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9876EAA">
            <w:pPr>
              <w:tabs>
                <w:tab w:val="left" w:pos="1080"/>
              </w:tabs>
              <w:snapToGrid w:val="0"/>
              <w:jc w:val="center"/>
              <w:rPr>
                <w:rFonts w:hint="eastAsia" w:eastAsiaTheme="minorEastAsia"/>
                <w:sz w:val="24"/>
                <w:lang w:eastAsia="zh-CN"/>
              </w:rPr>
            </w:pPr>
            <w:r>
              <w:rPr>
                <w:rFonts w:eastAsiaTheme="minorEastAsia"/>
                <w:sz w:val="24"/>
              </w:rPr>
              <w:t>2-</w:t>
            </w:r>
            <w:r>
              <w:rPr>
                <w:rFonts w:hint="eastAsia" w:eastAsiaTheme="minorEastAsia"/>
                <w:sz w:val="24"/>
                <w:lang w:val="en-US" w:eastAsia="zh-CN"/>
              </w:rPr>
              <w:t>2</w:t>
            </w:r>
          </w:p>
        </w:tc>
        <w:tc>
          <w:tcPr>
            <w:tcW w:w="937" w:type="pct"/>
            <w:vAlign w:val="center"/>
          </w:tcPr>
          <w:p w14:paraId="4BAD360A">
            <w:pPr>
              <w:tabs>
                <w:tab w:val="left" w:pos="1080"/>
              </w:tabs>
              <w:snapToGrid w:val="0"/>
              <w:jc w:val="left"/>
              <w:rPr>
                <w:rFonts w:eastAsiaTheme="minorEastAsia"/>
                <w:sz w:val="24"/>
              </w:rPr>
            </w:pPr>
            <w:r>
              <w:rPr>
                <w:rFonts w:eastAsiaTheme="minorEastAsia"/>
                <w:sz w:val="24"/>
              </w:rPr>
              <w:t>中小企业证明文件</w:t>
            </w:r>
          </w:p>
        </w:tc>
        <w:tc>
          <w:tcPr>
            <w:tcW w:w="2579" w:type="pct"/>
            <w:vAlign w:val="center"/>
          </w:tcPr>
          <w:p w14:paraId="7DF559A4">
            <w:pPr>
              <w:tabs>
                <w:tab w:val="left" w:pos="1080"/>
              </w:tabs>
              <w:snapToGrid w:val="0"/>
              <w:jc w:val="left"/>
              <w:rPr>
                <w:rFonts w:eastAsiaTheme="minorEastAsia"/>
                <w:sz w:val="24"/>
              </w:rPr>
            </w:pPr>
            <w:r>
              <w:rPr>
                <w:rFonts w:eastAsiaTheme="minorEastAsia"/>
                <w:sz w:val="24"/>
              </w:rPr>
              <w:t xml:space="preserve">当本项目（包）涉及预留份额专门面向中小企业采购，提供如下资料： </w:t>
            </w:r>
          </w:p>
          <w:p w14:paraId="487CD958">
            <w:pPr>
              <w:tabs>
                <w:tab w:val="left" w:pos="1080"/>
              </w:tabs>
              <w:snapToGrid w:val="0"/>
              <w:jc w:val="left"/>
              <w:rPr>
                <w:rFonts w:eastAsiaTheme="minorEastAsia"/>
                <w:sz w:val="24"/>
              </w:rPr>
            </w:pPr>
            <w:r>
              <w:rPr>
                <w:rFonts w:eastAsiaTheme="minorEastAsia"/>
                <w:sz w:val="24"/>
              </w:rPr>
              <w:t>1、供应商单独响应的，应提供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14:paraId="370E604D">
            <w:pPr>
              <w:tabs>
                <w:tab w:val="left" w:pos="1080"/>
              </w:tabs>
              <w:snapToGrid w:val="0"/>
              <w:jc w:val="left"/>
              <w:rPr>
                <w:rFonts w:eastAsiaTheme="minorEastAsia"/>
                <w:sz w:val="24"/>
              </w:rPr>
            </w:pPr>
            <w:r>
              <w:rPr>
                <w:rFonts w:eastAsiaTheme="minorEastAsia"/>
                <w:sz w:val="24"/>
              </w:rPr>
              <w:t>2、如磋商文件要求以联合体形式参加或者要求合同分包的，且供应商为联合体或拟进行合同分包的，则联合体中的中小企业、签订分包意向协议的中小企业具体情况须在《中小企业声明函》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rPr>
              <w:t>。</w:t>
            </w:r>
          </w:p>
        </w:tc>
        <w:tc>
          <w:tcPr>
            <w:tcW w:w="1027" w:type="pct"/>
            <w:vAlign w:val="center"/>
          </w:tcPr>
          <w:p w14:paraId="3D913D12">
            <w:pPr>
              <w:tabs>
                <w:tab w:val="left" w:pos="1080"/>
              </w:tabs>
              <w:snapToGrid w:val="0"/>
              <w:jc w:val="left"/>
              <w:rPr>
                <w:rFonts w:eastAsiaTheme="minorEastAsia"/>
                <w:sz w:val="24"/>
              </w:rPr>
            </w:pPr>
            <w:r>
              <w:rPr>
                <w:rFonts w:eastAsiaTheme="minorEastAsia"/>
                <w:sz w:val="24"/>
              </w:rPr>
              <w:t>格式见《响应文件格式》</w:t>
            </w:r>
          </w:p>
        </w:tc>
      </w:tr>
      <w:tr w14:paraId="51436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57C6112">
            <w:pPr>
              <w:tabs>
                <w:tab w:val="left" w:pos="1080"/>
              </w:tabs>
              <w:snapToGrid w:val="0"/>
              <w:jc w:val="center"/>
              <w:rPr>
                <w:rFonts w:eastAsiaTheme="minorEastAsia"/>
                <w:sz w:val="24"/>
              </w:rPr>
            </w:pPr>
            <w:r>
              <w:rPr>
                <w:rFonts w:eastAsiaTheme="minorEastAsia"/>
                <w:sz w:val="24"/>
              </w:rPr>
              <w:t>3</w:t>
            </w:r>
          </w:p>
        </w:tc>
        <w:tc>
          <w:tcPr>
            <w:tcW w:w="937" w:type="pct"/>
            <w:vAlign w:val="center"/>
          </w:tcPr>
          <w:p w14:paraId="5FA4B9F1">
            <w:pPr>
              <w:tabs>
                <w:tab w:val="left" w:pos="1080"/>
              </w:tabs>
              <w:snapToGrid w:val="0"/>
              <w:jc w:val="left"/>
              <w:rPr>
                <w:rFonts w:eastAsiaTheme="minorEastAsia"/>
                <w:sz w:val="24"/>
              </w:rPr>
            </w:pPr>
            <w:r>
              <w:rPr>
                <w:rFonts w:eastAsiaTheme="minorEastAsia"/>
                <w:sz w:val="24"/>
              </w:rPr>
              <w:t>本项目的特定资格要求</w:t>
            </w:r>
          </w:p>
        </w:tc>
        <w:tc>
          <w:tcPr>
            <w:tcW w:w="2579" w:type="pct"/>
            <w:vAlign w:val="center"/>
          </w:tcPr>
          <w:p w14:paraId="4D7E3A8D">
            <w:pPr>
              <w:tabs>
                <w:tab w:val="left" w:pos="1080"/>
              </w:tabs>
              <w:snapToGrid w:val="0"/>
              <w:jc w:val="left"/>
              <w:rPr>
                <w:rFonts w:eastAsiaTheme="minorEastAsia"/>
                <w:sz w:val="24"/>
              </w:rPr>
            </w:pPr>
            <w:r>
              <w:rPr>
                <w:rFonts w:eastAsiaTheme="minorEastAsia"/>
                <w:sz w:val="24"/>
              </w:rPr>
              <w:t>如有，见第一章《采购邀请》</w:t>
            </w:r>
          </w:p>
        </w:tc>
        <w:tc>
          <w:tcPr>
            <w:tcW w:w="1027" w:type="pct"/>
            <w:vAlign w:val="center"/>
          </w:tcPr>
          <w:p w14:paraId="7E99118E">
            <w:pPr>
              <w:tabs>
                <w:tab w:val="left" w:pos="1080"/>
              </w:tabs>
              <w:snapToGrid w:val="0"/>
              <w:jc w:val="left"/>
              <w:rPr>
                <w:rFonts w:eastAsiaTheme="minorEastAsia"/>
                <w:sz w:val="24"/>
              </w:rPr>
            </w:pPr>
          </w:p>
        </w:tc>
      </w:tr>
      <w:tr w14:paraId="028EA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CC81B27">
            <w:pPr>
              <w:tabs>
                <w:tab w:val="left" w:pos="1080"/>
              </w:tabs>
              <w:snapToGrid w:val="0"/>
              <w:jc w:val="center"/>
              <w:rPr>
                <w:rFonts w:hint="eastAsia" w:eastAsiaTheme="minorEastAsia"/>
                <w:sz w:val="24"/>
                <w:lang w:eastAsia="zh-CN"/>
              </w:rPr>
            </w:pPr>
            <w:r>
              <w:rPr>
                <w:rFonts w:eastAsiaTheme="minorEastAsia"/>
                <w:sz w:val="24"/>
              </w:rPr>
              <w:t>3-</w:t>
            </w:r>
            <w:r>
              <w:rPr>
                <w:rFonts w:hint="eastAsia" w:eastAsiaTheme="minorEastAsia"/>
                <w:sz w:val="24"/>
                <w:lang w:val="en-US" w:eastAsia="zh-CN"/>
              </w:rPr>
              <w:t>1</w:t>
            </w:r>
          </w:p>
        </w:tc>
        <w:tc>
          <w:tcPr>
            <w:tcW w:w="937" w:type="pct"/>
            <w:vAlign w:val="center"/>
          </w:tcPr>
          <w:p w14:paraId="63C68247">
            <w:pPr>
              <w:tabs>
                <w:tab w:val="left" w:pos="1080"/>
              </w:tabs>
              <w:snapToGrid w:val="0"/>
              <w:rPr>
                <w:rFonts w:eastAsiaTheme="minorEastAsia"/>
                <w:sz w:val="24"/>
              </w:rPr>
            </w:pPr>
            <w:r>
              <w:rPr>
                <w:rFonts w:eastAsiaTheme="minorEastAsia"/>
                <w:sz w:val="24"/>
              </w:rPr>
              <w:t>其他特定资格要求</w:t>
            </w:r>
          </w:p>
        </w:tc>
        <w:tc>
          <w:tcPr>
            <w:tcW w:w="2579" w:type="pct"/>
            <w:vAlign w:val="center"/>
          </w:tcPr>
          <w:p w14:paraId="77F609D0">
            <w:pPr>
              <w:tabs>
                <w:tab w:val="left" w:pos="1080"/>
              </w:tabs>
              <w:snapToGrid w:val="0"/>
              <w:rPr>
                <w:rFonts w:eastAsiaTheme="minorEastAsia"/>
                <w:sz w:val="24"/>
              </w:rPr>
            </w:pPr>
            <w:r>
              <w:rPr>
                <w:rFonts w:eastAsiaTheme="minorEastAsia"/>
                <w:color w:val="000000"/>
                <w:sz w:val="24"/>
              </w:rPr>
              <w:t>如有，见</w:t>
            </w:r>
            <w:r>
              <w:rPr>
                <w:rFonts w:eastAsiaTheme="minorEastAsia"/>
                <w:sz w:val="24"/>
              </w:rPr>
              <w:t>第一章《采购邀请》</w:t>
            </w:r>
          </w:p>
          <w:p w14:paraId="5180D933">
            <w:pPr>
              <w:tabs>
                <w:tab w:val="left" w:pos="1080"/>
              </w:tabs>
              <w:snapToGrid w:val="0"/>
              <w:rPr>
                <w:rFonts w:eastAsiaTheme="minorEastAsia"/>
                <w:sz w:val="24"/>
              </w:rPr>
            </w:pPr>
            <w:r>
              <w:rPr>
                <w:rFonts w:hint="eastAsia"/>
                <w:sz w:val="24"/>
              </w:rPr>
              <w:t>注：如</w:t>
            </w:r>
            <w:r>
              <w:rPr>
                <w:sz w:val="24"/>
              </w:rPr>
              <w:t>联合体中有同类资质的供应商按照联合体分工承担相同工作的，</w:t>
            </w:r>
            <w:r>
              <w:rPr>
                <w:rFonts w:hint="eastAsia"/>
                <w:sz w:val="24"/>
              </w:rPr>
              <w:t>均</w:t>
            </w:r>
            <w:r>
              <w:rPr>
                <w:sz w:val="24"/>
              </w:rPr>
              <w:t>应当</w:t>
            </w:r>
            <w:r>
              <w:rPr>
                <w:rFonts w:hint="eastAsia"/>
                <w:sz w:val="24"/>
              </w:rPr>
              <w:t>提供资质证书电子件或电子证照。</w:t>
            </w:r>
          </w:p>
        </w:tc>
        <w:tc>
          <w:tcPr>
            <w:tcW w:w="1027" w:type="pct"/>
            <w:vAlign w:val="center"/>
          </w:tcPr>
          <w:p w14:paraId="57195996">
            <w:pPr>
              <w:tabs>
                <w:tab w:val="left" w:pos="1080"/>
              </w:tabs>
              <w:snapToGrid w:val="0"/>
              <w:rPr>
                <w:rFonts w:eastAsiaTheme="minorEastAsia"/>
                <w:sz w:val="24"/>
              </w:rPr>
            </w:pPr>
            <w:r>
              <w:rPr>
                <w:rFonts w:eastAsiaTheme="minorEastAsia"/>
                <w:sz w:val="24"/>
              </w:rPr>
              <w:t>提供证明文件的电子件或电子证照</w:t>
            </w:r>
          </w:p>
        </w:tc>
      </w:tr>
      <w:tr w14:paraId="1D32C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1D231C0">
            <w:pPr>
              <w:tabs>
                <w:tab w:val="left" w:pos="1080"/>
              </w:tabs>
              <w:snapToGrid w:val="0"/>
              <w:jc w:val="center"/>
              <w:rPr>
                <w:rFonts w:eastAsiaTheme="minorEastAsia"/>
                <w:sz w:val="24"/>
              </w:rPr>
            </w:pPr>
            <w:r>
              <w:rPr>
                <w:rFonts w:eastAsiaTheme="minorEastAsia"/>
                <w:sz w:val="24"/>
              </w:rPr>
              <w:t>4</w:t>
            </w:r>
          </w:p>
        </w:tc>
        <w:tc>
          <w:tcPr>
            <w:tcW w:w="937" w:type="pct"/>
            <w:vAlign w:val="center"/>
          </w:tcPr>
          <w:p w14:paraId="77CB4938">
            <w:pPr>
              <w:tabs>
                <w:tab w:val="left" w:pos="1080"/>
              </w:tabs>
              <w:snapToGrid w:val="0"/>
              <w:rPr>
                <w:rFonts w:eastAsiaTheme="minorEastAsia"/>
                <w:sz w:val="24"/>
              </w:rPr>
            </w:pPr>
            <w:r>
              <w:rPr>
                <w:rFonts w:eastAsiaTheme="minorEastAsia"/>
                <w:color w:val="000000"/>
                <w:kern w:val="0"/>
                <w:sz w:val="24"/>
              </w:rPr>
              <w:t>磋商保证金</w:t>
            </w:r>
          </w:p>
        </w:tc>
        <w:tc>
          <w:tcPr>
            <w:tcW w:w="2579" w:type="pct"/>
            <w:vAlign w:val="center"/>
          </w:tcPr>
          <w:p w14:paraId="4CC4EB92">
            <w:pPr>
              <w:tabs>
                <w:tab w:val="left" w:pos="1080"/>
              </w:tabs>
              <w:snapToGrid w:val="0"/>
              <w:rPr>
                <w:rFonts w:eastAsiaTheme="minorEastAsia"/>
                <w:color w:val="000000"/>
                <w:sz w:val="24"/>
              </w:rPr>
            </w:pPr>
            <w:r>
              <w:rPr>
                <w:rFonts w:eastAsiaTheme="minorEastAsia"/>
                <w:color w:val="000000"/>
                <w:kern w:val="0"/>
                <w:sz w:val="24"/>
              </w:rPr>
              <w:t>按照竞争性磋商文件的要求提交磋商保证金。</w:t>
            </w:r>
          </w:p>
        </w:tc>
        <w:tc>
          <w:tcPr>
            <w:tcW w:w="1027" w:type="pct"/>
            <w:vAlign w:val="center"/>
          </w:tcPr>
          <w:p w14:paraId="398E251E">
            <w:pPr>
              <w:tabs>
                <w:tab w:val="left" w:pos="1080"/>
              </w:tabs>
              <w:snapToGrid w:val="0"/>
              <w:rPr>
                <w:rFonts w:eastAsiaTheme="minorEastAsia"/>
                <w:sz w:val="24"/>
              </w:rPr>
            </w:pPr>
          </w:p>
        </w:tc>
      </w:tr>
      <w:tr w14:paraId="2E0BD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E00E6B6">
            <w:pPr>
              <w:tabs>
                <w:tab w:val="left" w:pos="1080"/>
              </w:tabs>
              <w:snapToGrid w:val="0"/>
              <w:jc w:val="center"/>
              <w:rPr>
                <w:rFonts w:eastAsiaTheme="minorEastAsia"/>
                <w:sz w:val="24"/>
              </w:rPr>
            </w:pPr>
            <w:r>
              <w:rPr>
                <w:rFonts w:hint="eastAsia" w:eastAsiaTheme="minorEastAsia"/>
                <w:sz w:val="24"/>
              </w:rPr>
              <w:t>5</w:t>
            </w:r>
          </w:p>
        </w:tc>
        <w:tc>
          <w:tcPr>
            <w:tcW w:w="937" w:type="pct"/>
            <w:vAlign w:val="center"/>
          </w:tcPr>
          <w:p w14:paraId="439FAD6F">
            <w:pPr>
              <w:tabs>
                <w:tab w:val="left" w:pos="1080"/>
              </w:tabs>
              <w:snapToGrid w:val="0"/>
              <w:rPr>
                <w:rFonts w:eastAsiaTheme="minorEastAsia"/>
                <w:color w:val="000000"/>
                <w:kern w:val="0"/>
                <w:sz w:val="24"/>
              </w:rPr>
            </w:pPr>
            <w:r>
              <w:rPr>
                <w:rFonts w:hint="eastAsia" w:eastAsiaTheme="minorEastAsia"/>
                <w:color w:val="000000"/>
                <w:kern w:val="0"/>
                <w:sz w:val="24"/>
              </w:rPr>
              <w:t>获取磋商文件</w:t>
            </w:r>
          </w:p>
        </w:tc>
        <w:tc>
          <w:tcPr>
            <w:tcW w:w="2579" w:type="pct"/>
            <w:vAlign w:val="center"/>
          </w:tcPr>
          <w:p w14:paraId="011DF284">
            <w:pPr>
              <w:tabs>
                <w:tab w:val="left" w:pos="1080"/>
              </w:tabs>
              <w:snapToGrid w:val="0"/>
              <w:rPr>
                <w:color w:val="000000"/>
                <w:kern w:val="0"/>
                <w:sz w:val="24"/>
              </w:rPr>
            </w:pPr>
            <w:r>
              <w:rPr>
                <w:rFonts w:hint="eastAsia"/>
                <w:color w:val="000000"/>
                <w:kern w:val="0"/>
                <w:sz w:val="24"/>
              </w:rPr>
              <w:t>在规定期限内通过北京市政府采购电子交易平台获取所参与包的磋商文件。</w:t>
            </w:r>
          </w:p>
          <w:p w14:paraId="5FCD4294">
            <w:pPr>
              <w:tabs>
                <w:tab w:val="left" w:pos="1080"/>
              </w:tabs>
              <w:snapToGrid w:val="0"/>
              <w:rPr>
                <w:rFonts w:eastAsiaTheme="minorEastAsia"/>
                <w:color w:val="000000"/>
                <w:kern w:val="0"/>
                <w:sz w:val="24"/>
              </w:rPr>
            </w:pPr>
            <w:r>
              <w:rPr>
                <w:rFonts w:hint="eastAsia"/>
                <w:color w:val="000000"/>
                <w:kern w:val="0"/>
                <w:sz w:val="24"/>
              </w:rPr>
              <w:t>注：如本项目接受联合体，且供应商为联合体时，联合体中任一成员获取文件即视为满足要求。</w:t>
            </w:r>
          </w:p>
        </w:tc>
        <w:tc>
          <w:tcPr>
            <w:tcW w:w="1027" w:type="pct"/>
            <w:vAlign w:val="center"/>
          </w:tcPr>
          <w:p w14:paraId="60801E00">
            <w:pPr>
              <w:tabs>
                <w:tab w:val="left" w:pos="1080"/>
              </w:tabs>
              <w:snapToGrid w:val="0"/>
              <w:rPr>
                <w:rFonts w:eastAsiaTheme="minorEastAsia"/>
                <w:sz w:val="24"/>
              </w:rPr>
            </w:pPr>
          </w:p>
        </w:tc>
      </w:tr>
    </w:tbl>
    <w:p w14:paraId="4F29FB5F">
      <w:pPr>
        <w:widowControl/>
        <w:jc w:val="left"/>
        <w:rPr>
          <w:rFonts w:eastAsiaTheme="minorEastAsia"/>
          <w:sz w:val="24"/>
        </w:rPr>
      </w:pPr>
    </w:p>
    <w:p w14:paraId="763487FC">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14:paraId="6B92F2EF">
      <w:pPr>
        <w:widowControl/>
        <w:spacing w:line="360" w:lineRule="auto"/>
        <w:jc w:val="center"/>
        <w:rPr>
          <w:rFonts w:eastAsiaTheme="minorEastAsia"/>
          <w:b/>
          <w:color w:val="000000"/>
          <w:kern w:val="0"/>
          <w:sz w:val="24"/>
        </w:rPr>
      </w:pPr>
      <w:r>
        <w:rPr>
          <w:rFonts w:eastAsiaTheme="minorEastAsia"/>
          <w:b/>
          <w:color w:val="000000"/>
          <w:kern w:val="0"/>
          <w:sz w:val="24"/>
        </w:rPr>
        <w:t>符合性审查要求</w:t>
      </w:r>
    </w:p>
    <w:tbl>
      <w:tblPr>
        <w:tblStyle w:val="42"/>
        <w:tblW w:w="48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7"/>
        <w:gridCol w:w="1673"/>
        <w:gridCol w:w="2837"/>
        <w:gridCol w:w="3554"/>
      </w:tblGrid>
      <w:tr w14:paraId="33D7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16" w:type="dxa"/>
            <w:shd w:val="clear" w:color="000000" w:fill="FFFFFF"/>
            <w:vAlign w:val="center"/>
          </w:tcPr>
          <w:p w14:paraId="1087FE46">
            <w:pPr>
              <w:widowControl/>
              <w:jc w:val="center"/>
              <w:rPr>
                <w:rFonts w:eastAsiaTheme="minorEastAsia"/>
                <w:b/>
                <w:color w:val="000000"/>
                <w:kern w:val="0"/>
                <w:sz w:val="24"/>
              </w:rPr>
            </w:pPr>
            <w:r>
              <w:rPr>
                <w:rFonts w:hint="eastAsia" w:ascii="宋体" w:hAnsi="宋体" w:eastAsia="宋体" w:cs="宋体"/>
                <w:b/>
                <w:color w:val="auto"/>
                <w:kern w:val="0"/>
                <w:sz w:val="24"/>
                <w:highlight w:val="none"/>
              </w:rPr>
              <w:t>序号</w:t>
            </w:r>
          </w:p>
        </w:tc>
        <w:tc>
          <w:tcPr>
            <w:tcW w:w="1536" w:type="dxa"/>
            <w:shd w:val="clear" w:color="000000" w:fill="FFFFFF"/>
            <w:vAlign w:val="center"/>
          </w:tcPr>
          <w:p w14:paraId="4C328464">
            <w:pPr>
              <w:widowControl/>
              <w:jc w:val="center"/>
              <w:rPr>
                <w:rFonts w:eastAsiaTheme="minorEastAsia"/>
                <w:b/>
                <w:color w:val="000000"/>
                <w:kern w:val="0"/>
                <w:sz w:val="24"/>
              </w:rPr>
            </w:pPr>
            <w:r>
              <w:rPr>
                <w:rFonts w:hint="eastAsia" w:ascii="宋体" w:hAnsi="宋体" w:eastAsia="宋体" w:cs="宋体"/>
                <w:b/>
                <w:color w:val="auto"/>
                <w:sz w:val="24"/>
                <w:highlight w:val="none"/>
              </w:rPr>
              <w:t>检查</w:t>
            </w:r>
            <w:r>
              <w:rPr>
                <w:rFonts w:hint="eastAsia" w:ascii="宋体" w:hAnsi="宋体" w:eastAsia="宋体" w:cs="宋体"/>
                <w:b/>
                <w:color w:val="auto"/>
                <w:kern w:val="0"/>
                <w:sz w:val="24"/>
                <w:highlight w:val="none"/>
              </w:rPr>
              <w:t>因素</w:t>
            </w:r>
          </w:p>
        </w:tc>
        <w:tc>
          <w:tcPr>
            <w:tcW w:w="2605" w:type="dxa"/>
            <w:shd w:val="clear" w:color="000000" w:fill="FFFFFF"/>
            <w:vAlign w:val="center"/>
          </w:tcPr>
          <w:p w14:paraId="490DDCAD">
            <w:pPr>
              <w:widowControl/>
              <w:jc w:val="center"/>
              <w:rPr>
                <w:rFonts w:eastAsiaTheme="minorEastAsia"/>
                <w:b/>
                <w:color w:val="000000"/>
                <w:kern w:val="0"/>
                <w:sz w:val="24"/>
              </w:rPr>
            </w:pPr>
            <w:r>
              <w:rPr>
                <w:rFonts w:hint="eastAsia" w:ascii="宋体" w:hAnsi="宋体" w:eastAsia="宋体" w:cs="宋体"/>
                <w:b/>
                <w:color w:val="auto"/>
                <w:sz w:val="24"/>
                <w:highlight w:val="none"/>
              </w:rPr>
              <w:t>检查</w:t>
            </w:r>
            <w:r>
              <w:rPr>
                <w:rFonts w:hint="eastAsia" w:ascii="宋体" w:hAnsi="宋体" w:eastAsia="宋体" w:cs="宋体"/>
                <w:b/>
                <w:color w:val="auto"/>
                <w:kern w:val="0"/>
                <w:sz w:val="24"/>
                <w:highlight w:val="none"/>
              </w:rPr>
              <w:t>内容</w:t>
            </w:r>
          </w:p>
        </w:tc>
        <w:tc>
          <w:tcPr>
            <w:tcW w:w="3263" w:type="dxa"/>
            <w:shd w:val="clear" w:color="000000" w:fill="FFFFFF"/>
            <w:vAlign w:val="center"/>
          </w:tcPr>
          <w:p w14:paraId="29FA9C82">
            <w:pPr>
              <w:widowControl/>
              <w:jc w:val="center"/>
              <w:rPr>
                <w:rFonts w:eastAsiaTheme="minorEastAsia"/>
                <w:b/>
                <w:color w:val="000000"/>
                <w:kern w:val="0"/>
                <w:sz w:val="24"/>
              </w:rPr>
            </w:pPr>
            <w:r>
              <w:rPr>
                <w:rFonts w:hint="eastAsia" w:ascii="宋体" w:hAnsi="宋体" w:eastAsia="宋体" w:cs="宋体"/>
                <w:b/>
                <w:color w:val="auto"/>
                <w:kern w:val="0"/>
                <w:sz w:val="24"/>
                <w:highlight w:val="none"/>
              </w:rPr>
              <w:t>是否允许澄清、说明或者更正</w:t>
            </w:r>
          </w:p>
        </w:tc>
      </w:tr>
      <w:tr w14:paraId="66BB4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16" w:type="dxa"/>
            <w:shd w:val="clear" w:color="000000" w:fill="FFFFFF"/>
            <w:vAlign w:val="center"/>
          </w:tcPr>
          <w:p w14:paraId="54B3B484">
            <w:pPr>
              <w:widowControl/>
              <w:jc w:val="center"/>
              <w:rPr>
                <w:rFonts w:ascii="宋体" w:hAnsi="宋体" w:eastAsia="宋体" w:cs="宋体"/>
                <w:color w:val="000000"/>
                <w:kern w:val="0"/>
                <w:sz w:val="24"/>
                <w:szCs w:val="24"/>
                <w:lang w:val="en-US" w:eastAsia="zh-CN" w:bidi="ar-SA"/>
              </w:rPr>
            </w:pPr>
            <w:r>
              <w:rPr>
                <w:rFonts w:hint="eastAsia" w:ascii="宋体" w:hAnsi="宋体" w:eastAsia="宋体" w:cs="宋体"/>
                <w:color w:val="auto"/>
                <w:kern w:val="0"/>
                <w:sz w:val="24"/>
                <w:highlight w:val="none"/>
              </w:rPr>
              <w:t>1</w:t>
            </w:r>
          </w:p>
        </w:tc>
        <w:tc>
          <w:tcPr>
            <w:tcW w:w="1536" w:type="dxa"/>
            <w:shd w:val="clear" w:color="000000" w:fill="FFFFFF"/>
            <w:vAlign w:val="center"/>
          </w:tcPr>
          <w:p w14:paraId="0D210712">
            <w:pPr>
              <w:widowControl/>
              <w:jc w:val="center"/>
              <w:rPr>
                <w:rFonts w:ascii="宋体" w:hAnsi="宋体" w:eastAsia="宋体" w:cs="宋体"/>
                <w:color w:val="000000"/>
                <w:kern w:val="0"/>
                <w:sz w:val="24"/>
                <w:szCs w:val="24"/>
                <w:lang w:val="en-US" w:eastAsia="zh-CN" w:bidi="ar-SA"/>
              </w:rPr>
            </w:pPr>
            <w:r>
              <w:rPr>
                <w:rFonts w:hint="eastAsia" w:ascii="宋体" w:hAnsi="宋体" w:eastAsia="宋体" w:cs="宋体"/>
                <w:color w:val="auto"/>
                <w:kern w:val="0"/>
                <w:sz w:val="24"/>
                <w:highlight w:val="none"/>
              </w:rPr>
              <w:t>投标有效期</w:t>
            </w:r>
          </w:p>
        </w:tc>
        <w:tc>
          <w:tcPr>
            <w:tcW w:w="2605" w:type="dxa"/>
            <w:shd w:val="clear" w:color="000000" w:fill="FFFFFF"/>
            <w:vAlign w:val="center"/>
          </w:tcPr>
          <w:p w14:paraId="4718EC38">
            <w:pPr>
              <w:widowControl/>
              <w:jc w:val="center"/>
              <w:rPr>
                <w:rFonts w:ascii="宋体" w:hAnsi="宋体" w:eastAsia="宋体" w:cs="宋体"/>
                <w:color w:val="000000"/>
                <w:kern w:val="0"/>
                <w:sz w:val="24"/>
                <w:szCs w:val="24"/>
                <w:lang w:val="en-US" w:eastAsia="zh-CN" w:bidi="ar-SA"/>
              </w:rPr>
            </w:pPr>
            <w:r>
              <w:rPr>
                <w:rFonts w:hint="eastAsia" w:ascii="宋体" w:hAnsi="宋体" w:eastAsia="宋体" w:cs="宋体"/>
                <w:color w:val="auto"/>
                <w:sz w:val="24"/>
                <w:szCs w:val="28"/>
                <w:highlight w:val="none"/>
              </w:rPr>
              <w:t>响应文件有效期满足磋商文件要求的</w:t>
            </w:r>
          </w:p>
        </w:tc>
        <w:tc>
          <w:tcPr>
            <w:tcW w:w="3263" w:type="dxa"/>
            <w:shd w:val="clear" w:color="000000" w:fill="FFFFFF"/>
            <w:vAlign w:val="center"/>
          </w:tcPr>
          <w:p w14:paraId="222B0067">
            <w:pPr>
              <w:widowControl/>
              <w:jc w:val="center"/>
              <w:rPr>
                <w:rFonts w:ascii="宋体" w:hAnsi="宋体" w:eastAsia="宋体" w:cs="宋体"/>
                <w:color w:val="000000"/>
                <w:kern w:val="0"/>
                <w:sz w:val="24"/>
                <w:szCs w:val="24"/>
                <w:lang w:val="en-US" w:eastAsia="zh-CN" w:bidi="ar-SA"/>
              </w:rPr>
            </w:pPr>
            <w:r>
              <w:rPr>
                <w:rFonts w:hint="eastAsia" w:ascii="宋体" w:hAnsi="宋体" w:eastAsia="宋体" w:cs="宋体"/>
                <w:color w:val="auto"/>
                <w:kern w:val="0"/>
                <w:sz w:val="24"/>
                <w:highlight w:val="none"/>
              </w:rPr>
              <w:t>否</w:t>
            </w:r>
          </w:p>
        </w:tc>
      </w:tr>
      <w:tr w14:paraId="4E73D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16" w:type="dxa"/>
            <w:shd w:val="clear" w:color="000000" w:fill="FFFFFF"/>
            <w:vAlign w:val="center"/>
          </w:tcPr>
          <w:p w14:paraId="231DF9ED">
            <w:pPr>
              <w:widowControl/>
              <w:jc w:val="center"/>
              <w:rPr>
                <w:rFonts w:ascii="宋体" w:hAnsi="宋体" w:eastAsia="宋体" w:cs="宋体"/>
                <w:color w:val="000000"/>
                <w:kern w:val="0"/>
                <w:sz w:val="24"/>
                <w:szCs w:val="24"/>
                <w:lang w:val="en-US" w:eastAsia="zh-CN" w:bidi="ar-SA"/>
              </w:rPr>
            </w:pPr>
            <w:r>
              <w:rPr>
                <w:rFonts w:hint="eastAsia" w:ascii="宋体" w:hAnsi="宋体" w:eastAsia="宋体" w:cs="宋体"/>
                <w:color w:val="auto"/>
                <w:kern w:val="0"/>
                <w:sz w:val="24"/>
                <w:highlight w:val="none"/>
              </w:rPr>
              <w:t>2</w:t>
            </w:r>
          </w:p>
        </w:tc>
        <w:tc>
          <w:tcPr>
            <w:tcW w:w="1536" w:type="dxa"/>
            <w:shd w:val="clear" w:color="000000" w:fill="FFFFFF"/>
            <w:vAlign w:val="center"/>
          </w:tcPr>
          <w:p w14:paraId="5009C513">
            <w:pPr>
              <w:widowControl/>
              <w:jc w:val="center"/>
              <w:rPr>
                <w:rFonts w:ascii="宋体" w:hAnsi="宋体" w:eastAsia="宋体" w:cs="宋体"/>
                <w:color w:val="000000"/>
                <w:kern w:val="0"/>
                <w:sz w:val="24"/>
                <w:szCs w:val="24"/>
                <w:lang w:val="en-US" w:eastAsia="zh-CN" w:bidi="ar-SA"/>
              </w:rPr>
            </w:pPr>
            <w:r>
              <w:rPr>
                <w:rFonts w:hint="eastAsia" w:ascii="宋体" w:hAnsi="宋体" w:eastAsia="宋体" w:cs="宋体"/>
                <w:color w:val="auto"/>
                <w:kern w:val="0"/>
                <w:sz w:val="24"/>
                <w:highlight w:val="none"/>
              </w:rPr>
              <w:t>签署、盖章情况</w:t>
            </w:r>
          </w:p>
        </w:tc>
        <w:tc>
          <w:tcPr>
            <w:tcW w:w="2605" w:type="dxa"/>
            <w:shd w:val="clear" w:color="000000" w:fill="FFFFFF"/>
            <w:vAlign w:val="center"/>
          </w:tcPr>
          <w:p w14:paraId="21DA4AC9">
            <w:pPr>
              <w:widowControl/>
              <w:jc w:val="center"/>
              <w:rPr>
                <w:rFonts w:ascii="宋体" w:hAnsi="宋体" w:eastAsia="宋体" w:cs="宋体"/>
                <w:color w:val="000000"/>
                <w:kern w:val="0"/>
                <w:sz w:val="24"/>
                <w:szCs w:val="24"/>
                <w:lang w:val="en-US" w:eastAsia="zh-CN" w:bidi="ar-SA"/>
              </w:rPr>
            </w:pPr>
            <w:r>
              <w:rPr>
                <w:rFonts w:hint="eastAsia" w:ascii="宋体" w:hAnsi="宋体" w:eastAsia="宋体" w:cs="宋体"/>
                <w:color w:val="auto"/>
                <w:kern w:val="0"/>
                <w:sz w:val="24"/>
                <w:highlight w:val="none"/>
              </w:rPr>
              <w:t>响应文件符合磋商文件的签署和盖章要求</w:t>
            </w:r>
          </w:p>
        </w:tc>
        <w:tc>
          <w:tcPr>
            <w:tcW w:w="3263" w:type="dxa"/>
            <w:shd w:val="clear" w:color="000000" w:fill="FFFFFF"/>
            <w:vAlign w:val="center"/>
          </w:tcPr>
          <w:p w14:paraId="1DC4E43C">
            <w:pPr>
              <w:widowControl/>
              <w:jc w:val="center"/>
              <w:rPr>
                <w:rFonts w:ascii="宋体" w:hAnsi="宋体" w:eastAsia="宋体" w:cs="宋体"/>
                <w:color w:val="000000"/>
                <w:kern w:val="0"/>
                <w:sz w:val="24"/>
                <w:szCs w:val="24"/>
                <w:lang w:val="en-US" w:eastAsia="zh-CN" w:bidi="ar-SA"/>
              </w:rPr>
            </w:pPr>
            <w:r>
              <w:rPr>
                <w:rFonts w:hint="eastAsia" w:ascii="宋体" w:hAnsi="宋体" w:eastAsia="宋体" w:cs="宋体"/>
                <w:color w:val="auto"/>
                <w:kern w:val="0"/>
                <w:sz w:val="24"/>
                <w:highlight w:val="none"/>
              </w:rPr>
              <w:t>否</w:t>
            </w:r>
          </w:p>
        </w:tc>
      </w:tr>
      <w:tr w14:paraId="546B6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16" w:type="dxa"/>
            <w:shd w:val="clear" w:color="000000" w:fill="FFFFFF"/>
            <w:vAlign w:val="center"/>
          </w:tcPr>
          <w:p w14:paraId="67E98F43">
            <w:pPr>
              <w:widowControl/>
              <w:jc w:val="center"/>
              <w:rPr>
                <w:rFonts w:ascii="宋体" w:hAnsi="宋体" w:eastAsia="宋体" w:cs="宋体"/>
                <w:color w:val="000000"/>
                <w:kern w:val="0"/>
                <w:sz w:val="24"/>
                <w:szCs w:val="24"/>
                <w:lang w:val="en-US" w:eastAsia="zh-CN" w:bidi="ar-SA"/>
              </w:rPr>
            </w:pPr>
            <w:r>
              <w:rPr>
                <w:rFonts w:hint="eastAsia" w:ascii="宋体" w:hAnsi="宋体" w:eastAsia="宋体" w:cs="宋体"/>
                <w:color w:val="auto"/>
                <w:kern w:val="0"/>
                <w:sz w:val="24"/>
                <w:highlight w:val="none"/>
              </w:rPr>
              <w:t>3</w:t>
            </w:r>
          </w:p>
        </w:tc>
        <w:tc>
          <w:tcPr>
            <w:tcW w:w="1536" w:type="dxa"/>
            <w:shd w:val="clear" w:color="000000" w:fill="FFFFFF"/>
            <w:vAlign w:val="center"/>
          </w:tcPr>
          <w:p w14:paraId="0629DD54">
            <w:pPr>
              <w:widowControl/>
              <w:jc w:val="center"/>
              <w:rPr>
                <w:rFonts w:ascii="宋体" w:hAnsi="宋体" w:eastAsia="宋体" w:cs="宋体"/>
                <w:color w:val="000000"/>
                <w:kern w:val="0"/>
                <w:sz w:val="24"/>
                <w:szCs w:val="24"/>
                <w:lang w:val="en-US" w:eastAsia="zh-CN" w:bidi="ar-SA"/>
              </w:rPr>
            </w:pPr>
            <w:r>
              <w:rPr>
                <w:rFonts w:hint="eastAsia" w:ascii="宋体" w:hAnsi="宋体" w:eastAsia="宋体" w:cs="宋体"/>
                <w:color w:val="auto"/>
                <w:kern w:val="0"/>
                <w:sz w:val="24"/>
                <w:highlight w:val="none"/>
              </w:rPr>
              <w:t>授权委托书</w:t>
            </w:r>
          </w:p>
        </w:tc>
        <w:tc>
          <w:tcPr>
            <w:tcW w:w="2605" w:type="dxa"/>
            <w:shd w:val="clear" w:color="000000" w:fill="FFFFFF"/>
            <w:vAlign w:val="center"/>
          </w:tcPr>
          <w:p w14:paraId="0F1C86C8">
            <w:pPr>
              <w:widowControl/>
              <w:jc w:val="center"/>
              <w:rPr>
                <w:rFonts w:ascii="宋体" w:hAnsi="宋体" w:eastAsia="宋体" w:cs="宋体"/>
                <w:color w:val="000000"/>
                <w:kern w:val="0"/>
                <w:sz w:val="24"/>
                <w:szCs w:val="24"/>
                <w:lang w:val="en-US" w:eastAsia="zh-CN" w:bidi="ar-SA"/>
              </w:rPr>
            </w:pPr>
            <w:r>
              <w:rPr>
                <w:rFonts w:hint="eastAsia" w:ascii="宋体" w:hAnsi="宋体" w:eastAsia="宋体" w:cs="宋体"/>
                <w:color w:val="auto"/>
                <w:kern w:val="0"/>
                <w:sz w:val="24"/>
                <w:highlight w:val="none"/>
              </w:rPr>
              <w:t>按磋商文件要求提供授权委托书；</w:t>
            </w:r>
          </w:p>
        </w:tc>
        <w:tc>
          <w:tcPr>
            <w:tcW w:w="3263" w:type="dxa"/>
            <w:shd w:val="clear" w:color="000000" w:fill="FFFFFF"/>
            <w:vAlign w:val="center"/>
          </w:tcPr>
          <w:p w14:paraId="0440480D">
            <w:pPr>
              <w:widowControl/>
              <w:jc w:val="center"/>
              <w:rPr>
                <w:rFonts w:ascii="宋体" w:hAnsi="宋体" w:eastAsia="宋体" w:cs="宋体"/>
                <w:color w:val="000000"/>
                <w:kern w:val="0"/>
                <w:sz w:val="24"/>
                <w:szCs w:val="24"/>
                <w:lang w:val="en-US" w:eastAsia="zh-CN" w:bidi="ar-SA"/>
              </w:rPr>
            </w:pPr>
            <w:r>
              <w:rPr>
                <w:rFonts w:hint="eastAsia" w:ascii="宋体" w:hAnsi="宋体" w:eastAsia="宋体" w:cs="宋体"/>
                <w:color w:val="auto"/>
                <w:kern w:val="0"/>
                <w:sz w:val="24"/>
                <w:highlight w:val="none"/>
              </w:rPr>
              <w:t>否</w:t>
            </w:r>
          </w:p>
        </w:tc>
      </w:tr>
      <w:tr w14:paraId="30AB1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16" w:type="dxa"/>
            <w:shd w:val="clear" w:color="000000" w:fill="FFFFFF"/>
            <w:vAlign w:val="center"/>
          </w:tcPr>
          <w:p w14:paraId="2F99E5D8">
            <w:pPr>
              <w:widowControl/>
              <w:jc w:val="center"/>
              <w:rPr>
                <w:rFonts w:ascii="宋体" w:hAnsi="宋体" w:eastAsia="宋体" w:cs="宋体"/>
                <w:color w:val="000000"/>
                <w:kern w:val="0"/>
                <w:sz w:val="24"/>
                <w:szCs w:val="24"/>
                <w:lang w:val="en-US" w:eastAsia="zh-CN" w:bidi="ar-SA"/>
              </w:rPr>
            </w:pPr>
            <w:r>
              <w:rPr>
                <w:rFonts w:hint="eastAsia" w:ascii="宋体" w:hAnsi="宋体" w:eastAsia="宋体" w:cs="宋体"/>
                <w:color w:val="auto"/>
                <w:kern w:val="0"/>
                <w:sz w:val="24"/>
                <w:highlight w:val="none"/>
              </w:rPr>
              <w:t>4</w:t>
            </w:r>
          </w:p>
        </w:tc>
        <w:tc>
          <w:tcPr>
            <w:tcW w:w="1536" w:type="dxa"/>
            <w:shd w:val="clear" w:color="000000" w:fill="FFFFFF"/>
            <w:vAlign w:val="center"/>
          </w:tcPr>
          <w:p w14:paraId="3E1351DB">
            <w:pPr>
              <w:widowControl/>
              <w:jc w:val="center"/>
              <w:rPr>
                <w:rFonts w:ascii="宋体" w:hAnsi="宋体" w:eastAsia="宋体" w:cs="宋体"/>
                <w:color w:val="000000"/>
                <w:kern w:val="0"/>
                <w:sz w:val="24"/>
                <w:szCs w:val="24"/>
                <w:lang w:val="en-US" w:eastAsia="zh-CN" w:bidi="ar-SA"/>
              </w:rPr>
            </w:pPr>
            <w:r>
              <w:rPr>
                <w:rFonts w:hint="eastAsia" w:ascii="宋体" w:hAnsi="宋体" w:eastAsia="宋体" w:cs="宋体"/>
                <w:color w:val="auto"/>
                <w:kern w:val="0"/>
                <w:sz w:val="24"/>
                <w:highlight w:val="none"/>
              </w:rPr>
              <w:t>实质性格式</w:t>
            </w:r>
          </w:p>
        </w:tc>
        <w:tc>
          <w:tcPr>
            <w:tcW w:w="2605" w:type="dxa"/>
            <w:shd w:val="clear" w:color="000000" w:fill="FFFFFF"/>
            <w:vAlign w:val="center"/>
          </w:tcPr>
          <w:p w14:paraId="063815DB">
            <w:pPr>
              <w:widowControl/>
              <w:jc w:val="center"/>
              <w:rPr>
                <w:rFonts w:ascii="宋体" w:hAnsi="宋体" w:eastAsia="宋体" w:cs="宋体"/>
                <w:color w:val="000000"/>
                <w:kern w:val="0"/>
                <w:sz w:val="24"/>
                <w:szCs w:val="24"/>
                <w:lang w:val="en-US" w:eastAsia="zh-CN" w:bidi="ar-SA"/>
              </w:rPr>
            </w:pPr>
            <w:r>
              <w:rPr>
                <w:rFonts w:hint="eastAsia" w:ascii="宋体" w:hAnsi="宋体" w:eastAsia="宋体" w:cs="宋体"/>
                <w:color w:val="auto"/>
                <w:kern w:val="0"/>
                <w:sz w:val="24"/>
                <w:highlight w:val="none"/>
              </w:rPr>
              <w:t>标记为“实质性格式”的文件均按磋商文件要求提供；</w:t>
            </w:r>
          </w:p>
        </w:tc>
        <w:tc>
          <w:tcPr>
            <w:tcW w:w="3263" w:type="dxa"/>
            <w:shd w:val="clear" w:color="000000" w:fill="FFFFFF"/>
            <w:vAlign w:val="center"/>
          </w:tcPr>
          <w:p w14:paraId="1FB6CBAF">
            <w:pPr>
              <w:widowControl/>
              <w:jc w:val="center"/>
              <w:rPr>
                <w:rFonts w:ascii="宋体" w:hAnsi="宋体" w:eastAsia="宋体" w:cs="宋体"/>
                <w:color w:val="000000"/>
                <w:kern w:val="0"/>
                <w:sz w:val="24"/>
                <w:szCs w:val="24"/>
                <w:lang w:val="en-US" w:eastAsia="zh-CN" w:bidi="ar-SA"/>
              </w:rPr>
            </w:pPr>
            <w:r>
              <w:rPr>
                <w:rFonts w:hint="eastAsia" w:ascii="宋体" w:hAnsi="宋体" w:eastAsia="宋体" w:cs="宋体"/>
                <w:color w:val="auto"/>
                <w:kern w:val="0"/>
                <w:sz w:val="24"/>
                <w:highlight w:val="none"/>
              </w:rPr>
              <w:t>否</w:t>
            </w:r>
          </w:p>
        </w:tc>
      </w:tr>
      <w:tr w14:paraId="43E5B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16" w:type="dxa"/>
            <w:shd w:val="clear" w:color="000000" w:fill="FFFFFF"/>
            <w:vAlign w:val="center"/>
          </w:tcPr>
          <w:p w14:paraId="7C8EFD6F">
            <w:pPr>
              <w:widowControl/>
              <w:jc w:val="center"/>
              <w:rPr>
                <w:rFonts w:ascii="宋体" w:hAnsi="宋体" w:eastAsia="宋体" w:cs="宋体"/>
                <w:color w:val="000000"/>
                <w:kern w:val="0"/>
                <w:sz w:val="24"/>
                <w:szCs w:val="24"/>
                <w:lang w:val="en-US" w:eastAsia="zh-CN" w:bidi="ar-SA"/>
              </w:rPr>
            </w:pPr>
            <w:r>
              <w:rPr>
                <w:rFonts w:hint="eastAsia" w:ascii="宋体" w:hAnsi="宋体" w:eastAsia="宋体" w:cs="宋体"/>
                <w:color w:val="auto"/>
                <w:kern w:val="0"/>
                <w:sz w:val="24"/>
                <w:highlight w:val="none"/>
              </w:rPr>
              <w:t>5</w:t>
            </w:r>
          </w:p>
        </w:tc>
        <w:tc>
          <w:tcPr>
            <w:tcW w:w="1536" w:type="dxa"/>
            <w:shd w:val="clear" w:color="000000" w:fill="FFFFFF"/>
            <w:vAlign w:val="center"/>
          </w:tcPr>
          <w:p w14:paraId="149D7C2B">
            <w:pPr>
              <w:widowControl/>
              <w:jc w:val="center"/>
              <w:rPr>
                <w:rFonts w:ascii="宋体" w:hAnsi="宋体" w:eastAsia="宋体" w:cs="宋体"/>
                <w:color w:val="000000"/>
                <w:kern w:val="0"/>
                <w:sz w:val="24"/>
                <w:szCs w:val="24"/>
                <w:lang w:val="en-US" w:eastAsia="zh-CN" w:bidi="ar-SA"/>
              </w:rPr>
            </w:pPr>
            <w:r>
              <w:rPr>
                <w:rFonts w:hint="eastAsia" w:ascii="宋体" w:hAnsi="宋体" w:eastAsia="宋体" w:cs="宋体"/>
                <w:color w:val="auto"/>
                <w:sz w:val="24"/>
                <w:highlight w:val="none"/>
              </w:rPr>
              <w:t>工期</w:t>
            </w:r>
          </w:p>
        </w:tc>
        <w:tc>
          <w:tcPr>
            <w:tcW w:w="2605" w:type="dxa"/>
            <w:shd w:val="clear" w:color="000000" w:fill="FFFFFF"/>
            <w:vAlign w:val="center"/>
          </w:tcPr>
          <w:p w14:paraId="78B14660">
            <w:pPr>
              <w:widowControl/>
              <w:jc w:val="center"/>
              <w:rPr>
                <w:rFonts w:ascii="宋体" w:hAnsi="宋体" w:eastAsia="宋体" w:cs="宋体"/>
                <w:kern w:val="2"/>
                <w:sz w:val="24"/>
                <w:szCs w:val="28"/>
                <w:lang w:val="en-US" w:eastAsia="zh-CN" w:bidi="ar-SA"/>
              </w:rPr>
            </w:pPr>
            <w:r>
              <w:rPr>
                <w:rFonts w:hint="eastAsia" w:ascii="宋体" w:hAnsi="宋体" w:eastAsia="宋体" w:cs="宋体"/>
                <w:color w:val="auto"/>
                <w:sz w:val="24"/>
                <w:highlight w:val="none"/>
              </w:rPr>
              <w:t>工期满足磋商文件要求；</w:t>
            </w:r>
          </w:p>
        </w:tc>
        <w:tc>
          <w:tcPr>
            <w:tcW w:w="3263" w:type="dxa"/>
            <w:shd w:val="clear" w:color="000000" w:fill="FFFFFF"/>
            <w:vAlign w:val="center"/>
          </w:tcPr>
          <w:p w14:paraId="11FB5B69">
            <w:pPr>
              <w:widowControl/>
              <w:jc w:val="center"/>
              <w:rPr>
                <w:rFonts w:ascii="宋体" w:hAnsi="宋体" w:eastAsia="宋体" w:cs="宋体"/>
                <w:color w:val="000000"/>
                <w:kern w:val="0"/>
                <w:sz w:val="24"/>
                <w:szCs w:val="24"/>
                <w:lang w:val="en-US" w:eastAsia="zh-CN" w:bidi="ar-SA"/>
              </w:rPr>
            </w:pPr>
            <w:r>
              <w:rPr>
                <w:rFonts w:hint="eastAsia" w:ascii="宋体" w:hAnsi="宋体" w:eastAsia="宋体" w:cs="宋体"/>
                <w:color w:val="auto"/>
                <w:kern w:val="0"/>
                <w:sz w:val="24"/>
                <w:highlight w:val="none"/>
              </w:rPr>
              <w:t>否</w:t>
            </w:r>
          </w:p>
        </w:tc>
      </w:tr>
      <w:tr w14:paraId="497D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16" w:type="dxa"/>
            <w:shd w:val="clear" w:color="000000" w:fill="FFFFFF"/>
            <w:vAlign w:val="center"/>
          </w:tcPr>
          <w:p w14:paraId="5EF80799">
            <w:pPr>
              <w:widowControl/>
              <w:jc w:val="center"/>
              <w:rPr>
                <w:rFonts w:ascii="宋体" w:hAnsi="宋体" w:eastAsia="宋体" w:cs="宋体"/>
                <w:color w:val="000000"/>
                <w:kern w:val="0"/>
                <w:sz w:val="24"/>
                <w:szCs w:val="24"/>
                <w:lang w:val="en-US" w:eastAsia="zh-CN" w:bidi="ar-SA"/>
              </w:rPr>
            </w:pPr>
            <w:r>
              <w:rPr>
                <w:rFonts w:hint="eastAsia" w:ascii="宋体" w:hAnsi="宋体" w:eastAsia="宋体" w:cs="宋体"/>
                <w:color w:val="auto"/>
                <w:kern w:val="0"/>
                <w:sz w:val="24"/>
                <w:highlight w:val="none"/>
              </w:rPr>
              <w:t>6</w:t>
            </w:r>
          </w:p>
        </w:tc>
        <w:tc>
          <w:tcPr>
            <w:tcW w:w="1536" w:type="dxa"/>
            <w:shd w:val="clear" w:color="000000" w:fill="FFFFFF"/>
            <w:vAlign w:val="center"/>
          </w:tcPr>
          <w:p w14:paraId="6C48726A">
            <w:pPr>
              <w:widowControl/>
              <w:jc w:val="center"/>
              <w:rPr>
                <w:rFonts w:ascii="宋体" w:hAnsi="宋体" w:eastAsia="宋体" w:cs="宋体"/>
                <w:color w:val="000000"/>
                <w:kern w:val="0"/>
                <w:sz w:val="24"/>
                <w:szCs w:val="24"/>
                <w:lang w:val="en-US" w:eastAsia="zh-CN" w:bidi="ar-SA"/>
              </w:rPr>
            </w:pPr>
            <w:r>
              <w:rPr>
                <w:rFonts w:hint="eastAsia" w:ascii="宋体" w:hAnsi="宋体" w:eastAsia="宋体" w:cs="宋体"/>
                <w:color w:val="auto"/>
                <w:sz w:val="24"/>
                <w:highlight w:val="none"/>
              </w:rPr>
              <w:t>工程质量</w:t>
            </w:r>
          </w:p>
        </w:tc>
        <w:tc>
          <w:tcPr>
            <w:tcW w:w="2605" w:type="dxa"/>
            <w:shd w:val="clear" w:color="000000" w:fill="FFFFFF"/>
            <w:vAlign w:val="center"/>
          </w:tcPr>
          <w:p w14:paraId="325A33AF">
            <w:pPr>
              <w:widowControl/>
              <w:jc w:val="center"/>
              <w:rPr>
                <w:rFonts w:ascii="宋体" w:hAnsi="宋体" w:eastAsia="宋体" w:cs="宋体"/>
                <w:kern w:val="2"/>
                <w:sz w:val="24"/>
                <w:szCs w:val="28"/>
                <w:lang w:val="en-US" w:eastAsia="zh-CN" w:bidi="ar-SA"/>
              </w:rPr>
            </w:pPr>
            <w:r>
              <w:rPr>
                <w:rFonts w:hint="eastAsia" w:ascii="宋体" w:hAnsi="宋体" w:eastAsia="宋体" w:cs="宋体"/>
                <w:color w:val="auto"/>
                <w:sz w:val="24"/>
                <w:highlight w:val="none"/>
              </w:rPr>
              <w:t>工程质量要求满足磋商文件要求：</w:t>
            </w:r>
            <w:r>
              <w:rPr>
                <w:rFonts w:hint="eastAsia" w:ascii="宋体" w:hAnsi="宋体" w:eastAsia="宋体" w:cs="宋体"/>
                <w:b/>
                <w:color w:val="auto"/>
                <w:sz w:val="24"/>
                <w:highlight w:val="none"/>
              </w:rPr>
              <w:t>合格；</w:t>
            </w:r>
          </w:p>
        </w:tc>
        <w:tc>
          <w:tcPr>
            <w:tcW w:w="3263" w:type="dxa"/>
            <w:shd w:val="clear" w:color="000000" w:fill="FFFFFF"/>
            <w:vAlign w:val="center"/>
          </w:tcPr>
          <w:p w14:paraId="440359D8">
            <w:pPr>
              <w:widowControl/>
              <w:jc w:val="center"/>
              <w:rPr>
                <w:rFonts w:ascii="宋体" w:hAnsi="宋体" w:eastAsia="宋体" w:cs="宋体"/>
                <w:color w:val="000000"/>
                <w:kern w:val="0"/>
                <w:sz w:val="24"/>
                <w:szCs w:val="24"/>
                <w:lang w:val="en-US" w:eastAsia="zh-CN" w:bidi="ar-SA"/>
              </w:rPr>
            </w:pPr>
            <w:r>
              <w:rPr>
                <w:rFonts w:hint="eastAsia" w:ascii="宋体" w:hAnsi="宋体" w:eastAsia="宋体" w:cs="宋体"/>
                <w:color w:val="auto"/>
                <w:kern w:val="0"/>
                <w:sz w:val="24"/>
                <w:highlight w:val="none"/>
              </w:rPr>
              <w:t>否</w:t>
            </w:r>
          </w:p>
        </w:tc>
      </w:tr>
      <w:tr w14:paraId="39BFC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16" w:type="dxa"/>
            <w:shd w:val="clear" w:color="000000" w:fill="FFFFFF"/>
            <w:vAlign w:val="center"/>
          </w:tcPr>
          <w:p w14:paraId="1290FABA">
            <w:pPr>
              <w:widowControl/>
              <w:jc w:val="center"/>
              <w:rPr>
                <w:rFonts w:ascii="宋体" w:hAnsi="宋体" w:eastAsia="宋体" w:cs="宋体"/>
                <w:color w:val="000000"/>
                <w:kern w:val="0"/>
                <w:sz w:val="24"/>
                <w:szCs w:val="24"/>
                <w:lang w:val="en-US" w:eastAsia="zh-CN" w:bidi="ar-SA"/>
              </w:rPr>
            </w:pPr>
            <w:r>
              <w:rPr>
                <w:rFonts w:hint="eastAsia" w:ascii="宋体" w:hAnsi="宋体" w:eastAsia="宋体" w:cs="宋体"/>
                <w:color w:val="auto"/>
                <w:kern w:val="0"/>
                <w:sz w:val="24"/>
                <w:highlight w:val="none"/>
              </w:rPr>
              <w:t>7</w:t>
            </w:r>
          </w:p>
        </w:tc>
        <w:tc>
          <w:tcPr>
            <w:tcW w:w="1536" w:type="dxa"/>
            <w:shd w:val="clear" w:color="000000" w:fill="FFFFFF"/>
            <w:vAlign w:val="center"/>
          </w:tcPr>
          <w:p w14:paraId="65BAE586">
            <w:pPr>
              <w:widowControl/>
              <w:jc w:val="center"/>
              <w:rPr>
                <w:rFonts w:ascii="宋体" w:hAnsi="宋体" w:eastAsia="宋体" w:cs="宋体"/>
                <w:color w:val="000000"/>
                <w:kern w:val="0"/>
                <w:sz w:val="24"/>
                <w:szCs w:val="24"/>
                <w:lang w:val="en-US" w:eastAsia="zh-CN" w:bidi="ar-SA"/>
              </w:rPr>
            </w:pPr>
            <w:r>
              <w:rPr>
                <w:rFonts w:hint="eastAsia" w:ascii="宋体" w:hAnsi="宋体" w:eastAsia="宋体" w:cs="宋体"/>
                <w:color w:val="auto"/>
                <w:sz w:val="24"/>
                <w:highlight w:val="none"/>
              </w:rPr>
              <w:t>施工现场安全生产标准化管理目标等级</w:t>
            </w:r>
          </w:p>
        </w:tc>
        <w:tc>
          <w:tcPr>
            <w:tcW w:w="2605" w:type="dxa"/>
            <w:shd w:val="clear" w:color="000000" w:fill="FFFFFF"/>
            <w:vAlign w:val="center"/>
          </w:tcPr>
          <w:p w14:paraId="1B25221A">
            <w:pPr>
              <w:widowControl/>
              <w:jc w:val="center"/>
              <w:rPr>
                <w:rFonts w:ascii="宋体" w:hAnsi="宋体" w:eastAsia="宋体" w:cs="宋体"/>
                <w:kern w:val="2"/>
                <w:sz w:val="24"/>
                <w:szCs w:val="28"/>
                <w:lang w:val="en-US" w:eastAsia="zh-CN" w:bidi="ar-SA"/>
              </w:rPr>
            </w:pPr>
            <w:r>
              <w:rPr>
                <w:rFonts w:hint="eastAsia" w:ascii="宋体" w:hAnsi="宋体" w:eastAsia="宋体" w:cs="宋体"/>
                <w:color w:val="auto"/>
                <w:sz w:val="24"/>
                <w:highlight w:val="none"/>
              </w:rPr>
              <w:t>施工现场安全生产标准化管理目标等级达到磋商文件要求：</w:t>
            </w:r>
            <w:r>
              <w:rPr>
                <w:rFonts w:hint="eastAsia" w:ascii="宋体" w:hAnsi="宋体" w:eastAsia="宋体" w:cs="宋体"/>
                <w:b/>
                <w:color w:val="auto"/>
                <w:sz w:val="24"/>
                <w:highlight w:val="none"/>
              </w:rPr>
              <w:t>达标；</w:t>
            </w:r>
          </w:p>
        </w:tc>
        <w:tc>
          <w:tcPr>
            <w:tcW w:w="3263" w:type="dxa"/>
            <w:shd w:val="clear" w:color="000000" w:fill="FFFFFF"/>
            <w:vAlign w:val="center"/>
          </w:tcPr>
          <w:p w14:paraId="2086BE79">
            <w:pPr>
              <w:widowControl/>
              <w:jc w:val="center"/>
              <w:rPr>
                <w:rFonts w:ascii="宋体" w:hAnsi="宋体" w:eastAsia="宋体" w:cs="宋体"/>
                <w:color w:val="000000"/>
                <w:kern w:val="0"/>
                <w:sz w:val="24"/>
                <w:szCs w:val="24"/>
                <w:lang w:val="en-US" w:eastAsia="zh-CN" w:bidi="ar-SA"/>
              </w:rPr>
            </w:pPr>
            <w:r>
              <w:rPr>
                <w:rFonts w:hint="eastAsia" w:ascii="宋体" w:hAnsi="宋体" w:eastAsia="宋体" w:cs="宋体"/>
                <w:color w:val="auto"/>
                <w:kern w:val="0"/>
                <w:sz w:val="24"/>
                <w:highlight w:val="none"/>
              </w:rPr>
              <w:t>否</w:t>
            </w:r>
          </w:p>
        </w:tc>
      </w:tr>
      <w:tr w14:paraId="4BAE5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16" w:type="dxa"/>
            <w:shd w:val="clear" w:color="000000" w:fill="FFFFFF"/>
            <w:vAlign w:val="center"/>
          </w:tcPr>
          <w:p w14:paraId="2044C53F">
            <w:pPr>
              <w:widowControl/>
              <w:jc w:val="center"/>
              <w:rPr>
                <w:rFonts w:ascii="宋体" w:hAnsi="宋体" w:eastAsia="宋体" w:cs="宋体"/>
                <w:color w:val="000000"/>
                <w:kern w:val="0"/>
                <w:sz w:val="24"/>
                <w:szCs w:val="24"/>
                <w:lang w:val="en-US" w:eastAsia="zh-CN" w:bidi="ar-SA"/>
              </w:rPr>
            </w:pPr>
            <w:r>
              <w:rPr>
                <w:rFonts w:hint="eastAsia" w:ascii="宋体" w:hAnsi="宋体" w:eastAsia="宋体" w:cs="宋体"/>
                <w:color w:val="auto"/>
                <w:kern w:val="0"/>
                <w:sz w:val="24"/>
                <w:highlight w:val="none"/>
              </w:rPr>
              <w:t>8</w:t>
            </w:r>
          </w:p>
        </w:tc>
        <w:tc>
          <w:tcPr>
            <w:tcW w:w="1536" w:type="dxa"/>
            <w:shd w:val="clear" w:color="000000" w:fill="FFFFFF"/>
            <w:vAlign w:val="center"/>
          </w:tcPr>
          <w:p w14:paraId="09088DAE">
            <w:pPr>
              <w:widowControl/>
              <w:jc w:val="center"/>
              <w:rPr>
                <w:rFonts w:ascii="宋体" w:hAnsi="宋体" w:eastAsia="宋体" w:cs="宋体"/>
                <w:color w:val="000000"/>
                <w:kern w:val="0"/>
                <w:sz w:val="24"/>
                <w:szCs w:val="24"/>
                <w:lang w:val="en-US" w:eastAsia="zh-CN" w:bidi="ar-SA"/>
              </w:rPr>
            </w:pPr>
            <w:r>
              <w:rPr>
                <w:rFonts w:hint="eastAsia" w:ascii="宋体" w:hAnsi="宋体" w:eastAsia="宋体" w:cs="宋体"/>
                <w:color w:val="auto"/>
                <w:sz w:val="24"/>
                <w:highlight w:val="none"/>
                <w:shd w:val="clear" w:color="auto" w:fill="FFFFFF"/>
              </w:rPr>
              <w:t>已标价工程量清单</w:t>
            </w:r>
          </w:p>
        </w:tc>
        <w:tc>
          <w:tcPr>
            <w:tcW w:w="2605" w:type="dxa"/>
            <w:shd w:val="clear" w:color="000000" w:fill="FFFFFF"/>
            <w:vAlign w:val="center"/>
          </w:tcPr>
          <w:p w14:paraId="30325945">
            <w:pPr>
              <w:widowControl/>
              <w:jc w:val="center"/>
              <w:rPr>
                <w:rFonts w:ascii="宋体" w:hAnsi="宋体" w:eastAsia="宋体" w:cs="宋体"/>
                <w:kern w:val="2"/>
                <w:sz w:val="24"/>
                <w:szCs w:val="28"/>
                <w:lang w:val="en-US" w:eastAsia="zh-CN" w:bidi="ar-SA"/>
              </w:rPr>
            </w:pPr>
            <w:r>
              <w:rPr>
                <w:rFonts w:hint="eastAsia" w:ascii="宋体" w:hAnsi="宋体" w:eastAsia="宋体" w:cs="宋体"/>
                <w:color w:val="auto"/>
                <w:sz w:val="24"/>
                <w:highlight w:val="none"/>
              </w:rPr>
              <w:t>未出现：供应商提供的报价文件未按工程量清单计价相关格式的规定经造价人员或有注册执业资格的造价工程师签字并加盖执业专用章的；</w:t>
            </w:r>
          </w:p>
        </w:tc>
        <w:tc>
          <w:tcPr>
            <w:tcW w:w="3263" w:type="dxa"/>
            <w:shd w:val="clear" w:color="000000" w:fill="FFFFFF"/>
            <w:vAlign w:val="center"/>
          </w:tcPr>
          <w:p w14:paraId="73AC7698">
            <w:pPr>
              <w:widowControl/>
              <w:jc w:val="center"/>
              <w:rPr>
                <w:rFonts w:ascii="宋体" w:hAnsi="宋体" w:eastAsia="宋体" w:cs="宋体"/>
                <w:color w:val="000000"/>
                <w:kern w:val="0"/>
                <w:sz w:val="24"/>
                <w:szCs w:val="24"/>
                <w:lang w:val="en-US" w:eastAsia="zh-CN" w:bidi="ar-SA"/>
              </w:rPr>
            </w:pPr>
            <w:r>
              <w:rPr>
                <w:rFonts w:hint="eastAsia" w:ascii="宋体" w:hAnsi="宋体" w:eastAsia="宋体" w:cs="宋体"/>
                <w:color w:val="auto"/>
                <w:kern w:val="0"/>
                <w:sz w:val="24"/>
                <w:highlight w:val="none"/>
              </w:rPr>
              <w:t>否</w:t>
            </w:r>
          </w:p>
        </w:tc>
      </w:tr>
      <w:tr w14:paraId="15CCF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16" w:type="dxa"/>
            <w:shd w:val="clear" w:color="000000" w:fill="FFFFFF"/>
            <w:vAlign w:val="center"/>
          </w:tcPr>
          <w:p w14:paraId="6BAA5B84">
            <w:pPr>
              <w:widowControl/>
              <w:jc w:val="center"/>
              <w:rPr>
                <w:rFonts w:ascii="宋体" w:hAnsi="宋体" w:eastAsia="宋体" w:cs="宋体"/>
                <w:color w:val="000000"/>
                <w:kern w:val="0"/>
                <w:sz w:val="24"/>
                <w:szCs w:val="24"/>
                <w:lang w:val="en-US" w:eastAsia="zh-CN" w:bidi="ar-SA"/>
              </w:rPr>
            </w:pPr>
            <w:r>
              <w:rPr>
                <w:rFonts w:hint="eastAsia" w:ascii="宋体" w:hAnsi="宋体" w:eastAsia="宋体" w:cs="宋体"/>
                <w:color w:val="auto"/>
                <w:kern w:val="0"/>
                <w:sz w:val="24"/>
                <w:highlight w:val="none"/>
              </w:rPr>
              <w:t>9</w:t>
            </w:r>
          </w:p>
        </w:tc>
        <w:tc>
          <w:tcPr>
            <w:tcW w:w="1536" w:type="dxa"/>
            <w:shd w:val="clear" w:color="000000" w:fill="FFFFFF"/>
            <w:vAlign w:val="center"/>
          </w:tcPr>
          <w:p w14:paraId="2671E1DB">
            <w:pPr>
              <w:widowControl/>
              <w:jc w:val="center"/>
              <w:rPr>
                <w:rFonts w:ascii="宋体" w:hAnsi="宋体" w:eastAsia="宋体" w:cs="宋体"/>
                <w:color w:val="000000"/>
                <w:kern w:val="0"/>
                <w:sz w:val="24"/>
                <w:szCs w:val="24"/>
                <w:lang w:val="en-US" w:eastAsia="zh-CN" w:bidi="ar-SA"/>
              </w:rPr>
            </w:pPr>
            <w:r>
              <w:rPr>
                <w:rFonts w:hint="eastAsia" w:ascii="宋体" w:hAnsi="宋体" w:eastAsia="宋体" w:cs="宋体"/>
                <w:color w:val="auto"/>
                <w:kern w:val="0"/>
                <w:sz w:val="24"/>
                <w:highlight w:val="none"/>
              </w:rPr>
              <w:t>公平竞争</w:t>
            </w:r>
          </w:p>
        </w:tc>
        <w:tc>
          <w:tcPr>
            <w:tcW w:w="2605" w:type="dxa"/>
            <w:shd w:val="clear" w:color="000000" w:fill="FFFFFF"/>
            <w:vAlign w:val="center"/>
          </w:tcPr>
          <w:p w14:paraId="18E5B174">
            <w:pPr>
              <w:widowControl/>
              <w:jc w:val="center"/>
              <w:rPr>
                <w:rFonts w:ascii="宋体" w:hAnsi="宋体" w:eastAsia="宋体" w:cs="宋体"/>
                <w:kern w:val="2"/>
                <w:sz w:val="24"/>
                <w:szCs w:val="28"/>
                <w:lang w:val="en-US" w:eastAsia="zh-CN" w:bidi="ar-SA"/>
              </w:rPr>
            </w:pPr>
            <w:r>
              <w:rPr>
                <w:rFonts w:hint="eastAsia" w:ascii="宋体" w:hAnsi="宋体" w:eastAsia="宋体" w:cs="宋体"/>
                <w:color w:val="auto"/>
                <w:sz w:val="24"/>
                <w:highlight w:val="none"/>
              </w:rPr>
              <w:t>投标人遵循公平竞争的原则，不存在恶意串通，妨碍其他投标人的竞争行为，不存在损害采购人或者其他投标人的合法权益情形的；</w:t>
            </w:r>
          </w:p>
        </w:tc>
        <w:tc>
          <w:tcPr>
            <w:tcW w:w="3263" w:type="dxa"/>
            <w:shd w:val="clear" w:color="000000" w:fill="FFFFFF"/>
            <w:vAlign w:val="center"/>
          </w:tcPr>
          <w:p w14:paraId="71B8B508">
            <w:pPr>
              <w:widowControl/>
              <w:jc w:val="center"/>
              <w:rPr>
                <w:rFonts w:ascii="宋体" w:hAnsi="宋体" w:eastAsia="宋体" w:cs="宋体"/>
                <w:color w:val="000000"/>
                <w:kern w:val="0"/>
                <w:sz w:val="24"/>
                <w:szCs w:val="24"/>
                <w:lang w:val="en-US" w:eastAsia="zh-CN" w:bidi="ar-SA"/>
              </w:rPr>
            </w:pPr>
            <w:r>
              <w:rPr>
                <w:rFonts w:hint="eastAsia" w:ascii="宋体" w:hAnsi="宋体" w:eastAsia="宋体" w:cs="宋体"/>
                <w:color w:val="auto"/>
                <w:kern w:val="0"/>
                <w:sz w:val="24"/>
                <w:highlight w:val="none"/>
              </w:rPr>
              <w:t>否</w:t>
            </w:r>
          </w:p>
        </w:tc>
      </w:tr>
      <w:tr w14:paraId="2E69B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16" w:type="dxa"/>
            <w:shd w:val="clear" w:color="000000" w:fill="FFFFFF"/>
            <w:vAlign w:val="center"/>
          </w:tcPr>
          <w:p w14:paraId="0B624984">
            <w:pPr>
              <w:widowControl/>
              <w:jc w:val="center"/>
              <w:rPr>
                <w:rFonts w:ascii="宋体" w:hAnsi="宋体" w:eastAsia="宋体" w:cs="宋体"/>
                <w:color w:val="000000"/>
                <w:kern w:val="0"/>
                <w:sz w:val="24"/>
                <w:szCs w:val="24"/>
                <w:lang w:val="en-US" w:eastAsia="zh-CN" w:bidi="ar-SA"/>
              </w:rPr>
            </w:pPr>
            <w:r>
              <w:rPr>
                <w:rFonts w:hint="eastAsia" w:ascii="宋体" w:hAnsi="宋体" w:eastAsia="宋体" w:cs="宋体"/>
                <w:color w:val="auto"/>
                <w:kern w:val="0"/>
                <w:sz w:val="24"/>
                <w:highlight w:val="none"/>
              </w:rPr>
              <w:t>10</w:t>
            </w:r>
          </w:p>
        </w:tc>
        <w:tc>
          <w:tcPr>
            <w:tcW w:w="1536" w:type="dxa"/>
            <w:shd w:val="clear" w:color="000000" w:fill="FFFFFF"/>
            <w:vAlign w:val="center"/>
          </w:tcPr>
          <w:p w14:paraId="034091A1">
            <w:pPr>
              <w:widowControl/>
              <w:jc w:val="center"/>
              <w:rPr>
                <w:rFonts w:ascii="宋体" w:hAnsi="宋体" w:eastAsia="宋体" w:cs="宋体"/>
                <w:color w:val="000000"/>
                <w:kern w:val="0"/>
                <w:sz w:val="24"/>
                <w:szCs w:val="24"/>
                <w:lang w:val="en-US" w:eastAsia="zh-CN" w:bidi="ar-SA"/>
              </w:rPr>
            </w:pPr>
            <w:r>
              <w:rPr>
                <w:rFonts w:hint="eastAsia" w:ascii="宋体" w:hAnsi="宋体" w:eastAsia="宋体" w:cs="宋体"/>
                <w:color w:val="auto"/>
                <w:kern w:val="0"/>
                <w:sz w:val="24"/>
                <w:highlight w:val="none"/>
              </w:rPr>
              <w:t>串通投标</w:t>
            </w:r>
          </w:p>
        </w:tc>
        <w:tc>
          <w:tcPr>
            <w:tcW w:w="2605" w:type="dxa"/>
            <w:shd w:val="clear" w:color="000000" w:fill="FFFFFF"/>
            <w:vAlign w:val="center"/>
          </w:tcPr>
          <w:p w14:paraId="2AE712BF">
            <w:pPr>
              <w:widowControl/>
              <w:jc w:val="center"/>
              <w:rPr>
                <w:rFonts w:ascii="宋体" w:hAnsi="宋体" w:eastAsia="宋体" w:cs="宋体"/>
                <w:kern w:val="2"/>
                <w:sz w:val="24"/>
                <w:szCs w:val="28"/>
                <w:lang w:val="en-US" w:eastAsia="zh-CN" w:bidi="ar-SA"/>
              </w:rPr>
            </w:pPr>
            <w:r>
              <w:rPr>
                <w:rFonts w:hint="eastAsia" w:ascii="宋体" w:hAnsi="宋体" w:eastAsia="宋体" w:cs="宋体"/>
                <w:color w:val="auto"/>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c>
          <w:tcPr>
            <w:tcW w:w="3263" w:type="dxa"/>
            <w:shd w:val="clear" w:color="000000" w:fill="FFFFFF"/>
            <w:vAlign w:val="center"/>
          </w:tcPr>
          <w:p w14:paraId="5BE3380B">
            <w:pPr>
              <w:widowControl/>
              <w:jc w:val="center"/>
              <w:rPr>
                <w:rFonts w:ascii="宋体" w:hAnsi="宋体" w:eastAsia="宋体" w:cs="宋体"/>
                <w:color w:val="000000"/>
                <w:kern w:val="0"/>
                <w:sz w:val="24"/>
                <w:szCs w:val="24"/>
                <w:lang w:val="en-US" w:eastAsia="zh-CN" w:bidi="ar-SA"/>
              </w:rPr>
            </w:pPr>
            <w:r>
              <w:rPr>
                <w:rFonts w:hint="eastAsia" w:ascii="宋体" w:hAnsi="宋体" w:eastAsia="宋体" w:cs="宋体"/>
                <w:color w:val="auto"/>
                <w:kern w:val="0"/>
                <w:sz w:val="24"/>
                <w:highlight w:val="none"/>
              </w:rPr>
              <w:t>否</w:t>
            </w:r>
          </w:p>
        </w:tc>
      </w:tr>
      <w:tr w14:paraId="36CBC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16" w:type="dxa"/>
            <w:shd w:val="clear" w:color="000000" w:fill="FFFFFF"/>
            <w:vAlign w:val="center"/>
          </w:tcPr>
          <w:p w14:paraId="516705BC">
            <w:pPr>
              <w:widowControl/>
              <w:jc w:val="center"/>
              <w:rPr>
                <w:rFonts w:hint="eastAsia" w:ascii="宋体" w:hAnsi="宋体" w:cs="宋体"/>
                <w:color w:val="000000"/>
                <w:kern w:val="0"/>
                <w:sz w:val="24"/>
              </w:rPr>
            </w:pPr>
            <w:r>
              <w:rPr>
                <w:rFonts w:hint="eastAsia" w:ascii="宋体" w:hAnsi="宋体" w:eastAsia="宋体" w:cs="宋体"/>
                <w:color w:val="auto"/>
                <w:kern w:val="0"/>
                <w:sz w:val="24"/>
                <w:highlight w:val="none"/>
              </w:rPr>
              <w:t>11</w:t>
            </w:r>
          </w:p>
        </w:tc>
        <w:tc>
          <w:tcPr>
            <w:tcW w:w="1536" w:type="dxa"/>
            <w:shd w:val="clear" w:color="000000" w:fill="FFFFFF"/>
            <w:vAlign w:val="center"/>
          </w:tcPr>
          <w:p w14:paraId="1726FEF0">
            <w:pPr>
              <w:widowControl/>
              <w:jc w:val="center"/>
              <w:rPr>
                <w:rFonts w:hint="eastAsia" w:ascii="宋体" w:hAnsi="宋体" w:cs="宋体"/>
                <w:color w:val="000000"/>
                <w:kern w:val="0"/>
                <w:sz w:val="24"/>
              </w:rPr>
            </w:pPr>
            <w:r>
              <w:rPr>
                <w:rFonts w:hint="eastAsia" w:ascii="宋体" w:hAnsi="宋体" w:eastAsia="宋体" w:cs="宋体"/>
                <w:color w:val="auto"/>
                <w:kern w:val="0"/>
                <w:sz w:val="24"/>
                <w:highlight w:val="none"/>
              </w:rPr>
              <w:t>附加条件</w:t>
            </w:r>
          </w:p>
        </w:tc>
        <w:tc>
          <w:tcPr>
            <w:tcW w:w="2605" w:type="dxa"/>
            <w:shd w:val="clear" w:color="000000" w:fill="FFFFFF"/>
            <w:vAlign w:val="center"/>
          </w:tcPr>
          <w:p w14:paraId="4538AD3E">
            <w:pPr>
              <w:widowControl/>
              <w:jc w:val="center"/>
              <w:rPr>
                <w:rFonts w:hint="eastAsia" w:ascii="宋体" w:hAnsi="宋体" w:cs="宋体"/>
                <w:sz w:val="24"/>
                <w:szCs w:val="28"/>
              </w:rPr>
            </w:pPr>
            <w:r>
              <w:rPr>
                <w:rFonts w:hint="eastAsia" w:ascii="宋体" w:hAnsi="宋体" w:eastAsia="宋体" w:cs="宋体"/>
                <w:color w:val="auto"/>
                <w:sz w:val="24"/>
                <w:szCs w:val="28"/>
                <w:highlight w:val="none"/>
              </w:rPr>
              <w:t>投标文件未含有采购人不能接受的附加条件的；</w:t>
            </w:r>
          </w:p>
        </w:tc>
        <w:tc>
          <w:tcPr>
            <w:tcW w:w="3263" w:type="dxa"/>
            <w:shd w:val="clear" w:color="000000" w:fill="FFFFFF"/>
            <w:vAlign w:val="center"/>
          </w:tcPr>
          <w:p w14:paraId="4F90ACD9">
            <w:pPr>
              <w:widowControl/>
              <w:jc w:val="center"/>
            </w:pPr>
            <w:r>
              <w:rPr>
                <w:rFonts w:hint="eastAsia" w:ascii="宋体" w:hAnsi="宋体" w:eastAsia="宋体" w:cs="宋体"/>
                <w:color w:val="auto"/>
                <w:kern w:val="0"/>
                <w:sz w:val="24"/>
                <w:highlight w:val="none"/>
              </w:rPr>
              <w:t>否</w:t>
            </w:r>
          </w:p>
        </w:tc>
      </w:tr>
      <w:tr w14:paraId="79358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16" w:type="dxa"/>
            <w:shd w:val="clear" w:color="000000" w:fill="FFFFFF"/>
            <w:vAlign w:val="center"/>
          </w:tcPr>
          <w:p w14:paraId="6AA5A23E">
            <w:pPr>
              <w:widowControl/>
              <w:jc w:val="center"/>
              <w:rPr>
                <w:rFonts w:hint="eastAsia" w:ascii="宋体" w:hAnsi="宋体" w:cs="宋体"/>
                <w:color w:val="000000"/>
                <w:kern w:val="0"/>
                <w:sz w:val="24"/>
              </w:rPr>
            </w:pPr>
            <w:r>
              <w:rPr>
                <w:rFonts w:hint="eastAsia" w:ascii="宋体" w:hAnsi="宋体" w:eastAsia="宋体" w:cs="宋体"/>
                <w:color w:val="auto"/>
                <w:kern w:val="0"/>
                <w:sz w:val="24"/>
                <w:highlight w:val="none"/>
              </w:rPr>
              <w:t>12</w:t>
            </w:r>
          </w:p>
        </w:tc>
        <w:tc>
          <w:tcPr>
            <w:tcW w:w="1536" w:type="dxa"/>
            <w:shd w:val="clear" w:color="000000" w:fill="FFFFFF"/>
            <w:vAlign w:val="center"/>
          </w:tcPr>
          <w:p w14:paraId="0B3EE320">
            <w:pPr>
              <w:widowControl/>
              <w:jc w:val="center"/>
              <w:rPr>
                <w:rFonts w:hint="eastAsia" w:ascii="宋体" w:hAnsi="宋体" w:cs="宋体"/>
                <w:color w:val="000000"/>
                <w:kern w:val="0"/>
                <w:sz w:val="24"/>
              </w:rPr>
            </w:pPr>
            <w:r>
              <w:rPr>
                <w:rFonts w:hint="eastAsia" w:ascii="宋体" w:hAnsi="宋体" w:eastAsia="宋体" w:cs="宋体"/>
                <w:color w:val="auto"/>
                <w:kern w:val="0"/>
                <w:sz w:val="24"/>
                <w:highlight w:val="none"/>
              </w:rPr>
              <w:t>报价合理性</w:t>
            </w:r>
          </w:p>
        </w:tc>
        <w:tc>
          <w:tcPr>
            <w:tcW w:w="2605" w:type="dxa"/>
            <w:shd w:val="clear" w:color="000000" w:fill="FFFFFF"/>
            <w:vAlign w:val="center"/>
          </w:tcPr>
          <w:p w14:paraId="7F0AF17B">
            <w:pPr>
              <w:widowControl/>
              <w:jc w:val="center"/>
              <w:rPr>
                <w:rFonts w:hint="eastAsia" w:ascii="宋体" w:hAnsi="宋体" w:cs="宋体"/>
                <w:sz w:val="24"/>
                <w:szCs w:val="28"/>
              </w:rPr>
            </w:pPr>
            <w:r>
              <w:rPr>
                <w:rFonts w:hint="eastAsia" w:ascii="宋体" w:hAnsi="宋体" w:eastAsia="宋体" w:cs="宋体"/>
                <w:color w:val="auto"/>
                <w:sz w:val="24"/>
                <w:szCs w:val="28"/>
                <w:highlight w:val="none"/>
              </w:rPr>
              <w:t>报价合理，或投标人的报价明显低于其他通过符合性审查投标人的报价，有可能影响产品质量或者不能诚信履约的，能够应评标委员会要求在规定时间内证明其报价合理性的；</w:t>
            </w:r>
          </w:p>
        </w:tc>
        <w:tc>
          <w:tcPr>
            <w:tcW w:w="3263" w:type="dxa"/>
            <w:shd w:val="clear" w:color="000000" w:fill="FFFFFF"/>
            <w:vAlign w:val="center"/>
          </w:tcPr>
          <w:p w14:paraId="0940B273">
            <w:pPr>
              <w:widowControl/>
              <w:jc w:val="center"/>
            </w:pPr>
            <w:r>
              <w:rPr>
                <w:rFonts w:hint="eastAsia" w:ascii="宋体" w:hAnsi="宋体" w:eastAsia="宋体" w:cs="宋体"/>
                <w:color w:val="auto"/>
                <w:kern w:val="0"/>
                <w:sz w:val="24"/>
                <w:highlight w:val="none"/>
              </w:rPr>
              <w:t>否</w:t>
            </w:r>
          </w:p>
        </w:tc>
      </w:tr>
      <w:tr w14:paraId="252FB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16" w:type="dxa"/>
            <w:shd w:val="clear" w:color="000000" w:fill="FFFFFF"/>
            <w:vAlign w:val="center"/>
          </w:tcPr>
          <w:p w14:paraId="23BB7E33">
            <w:pPr>
              <w:widowControl/>
              <w:jc w:val="center"/>
              <w:rPr>
                <w:rFonts w:hint="eastAsia" w:ascii="宋体" w:hAnsi="宋体" w:cs="宋体"/>
                <w:color w:val="000000"/>
                <w:kern w:val="0"/>
                <w:sz w:val="24"/>
              </w:rPr>
            </w:pPr>
            <w:r>
              <w:rPr>
                <w:rFonts w:hint="eastAsia" w:ascii="宋体" w:hAnsi="宋体" w:eastAsia="宋体" w:cs="宋体"/>
                <w:color w:val="auto"/>
                <w:kern w:val="0"/>
                <w:sz w:val="24"/>
                <w:highlight w:val="none"/>
              </w:rPr>
              <w:t>13</w:t>
            </w:r>
          </w:p>
        </w:tc>
        <w:tc>
          <w:tcPr>
            <w:tcW w:w="1536" w:type="dxa"/>
            <w:shd w:val="clear" w:color="000000" w:fill="FFFFFF"/>
            <w:vAlign w:val="center"/>
          </w:tcPr>
          <w:p w14:paraId="04BA7723">
            <w:pPr>
              <w:widowControl/>
              <w:jc w:val="center"/>
              <w:rPr>
                <w:rFonts w:hint="eastAsia" w:ascii="宋体" w:hAnsi="宋体" w:cs="宋体"/>
                <w:color w:val="000000"/>
                <w:kern w:val="0"/>
                <w:sz w:val="24"/>
              </w:rPr>
            </w:pPr>
            <w:r>
              <w:rPr>
                <w:rFonts w:hint="eastAsia" w:ascii="宋体" w:hAnsi="宋体" w:eastAsia="宋体" w:cs="宋体"/>
                <w:color w:val="auto"/>
                <w:kern w:val="0"/>
                <w:sz w:val="24"/>
                <w:highlight w:val="none"/>
              </w:rPr>
              <w:t>其他无效情形</w:t>
            </w:r>
          </w:p>
        </w:tc>
        <w:tc>
          <w:tcPr>
            <w:tcW w:w="2605" w:type="dxa"/>
            <w:shd w:val="clear" w:color="000000" w:fill="FFFFFF"/>
            <w:vAlign w:val="center"/>
          </w:tcPr>
          <w:p w14:paraId="4CEA49B0">
            <w:pPr>
              <w:widowControl/>
              <w:jc w:val="center"/>
              <w:rPr>
                <w:rFonts w:hint="eastAsia" w:ascii="宋体" w:hAnsi="宋体" w:cs="宋体"/>
                <w:sz w:val="24"/>
                <w:szCs w:val="28"/>
              </w:rPr>
            </w:pPr>
            <w:r>
              <w:rPr>
                <w:rFonts w:hint="eastAsia" w:ascii="宋体" w:hAnsi="宋体" w:eastAsia="宋体" w:cs="宋体"/>
                <w:color w:val="auto"/>
                <w:sz w:val="24"/>
                <w:szCs w:val="28"/>
                <w:highlight w:val="none"/>
              </w:rPr>
              <w:t>未出现按照法律、法规、规章和规范性文件规定的应当列入的其他情形。</w:t>
            </w:r>
          </w:p>
        </w:tc>
        <w:tc>
          <w:tcPr>
            <w:tcW w:w="3263" w:type="dxa"/>
            <w:shd w:val="clear" w:color="000000" w:fill="FFFFFF"/>
            <w:vAlign w:val="center"/>
          </w:tcPr>
          <w:p w14:paraId="79BFA8E5">
            <w:pPr>
              <w:widowControl/>
              <w:jc w:val="center"/>
            </w:pPr>
            <w:r>
              <w:rPr>
                <w:rFonts w:hint="eastAsia" w:ascii="宋体" w:hAnsi="宋体" w:eastAsia="宋体" w:cs="宋体"/>
                <w:color w:val="auto"/>
                <w:kern w:val="0"/>
                <w:sz w:val="24"/>
                <w:highlight w:val="none"/>
              </w:rPr>
              <w:t>否</w:t>
            </w:r>
          </w:p>
        </w:tc>
      </w:tr>
    </w:tbl>
    <w:p w14:paraId="2DF5A5EC">
      <w:pPr>
        <w:tabs>
          <w:tab w:val="left" w:pos="900"/>
          <w:tab w:val="left" w:pos="1080"/>
          <w:tab w:val="left" w:pos="1589"/>
        </w:tabs>
        <w:snapToGrid w:val="0"/>
        <w:spacing w:line="360" w:lineRule="auto"/>
        <w:rPr>
          <w:rFonts w:eastAsiaTheme="minorEastAsia"/>
          <w:sz w:val="24"/>
        </w:rPr>
      </w:pPr>
    </w:p>
    <w:p w14:paraId="2E91A47F">
      <w:pPr>
        <w:numPr>
          <w:ilvl w:val="0"/>
          <w:numId w:val="11"/>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14:paraId="6C6C6448">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14:paraId="065481C6">
      <w:pPr>
        <w:numPr>
          <w:ilvl w:val="1"/>
          <w:numId w:val="11"/>
        </w:numPr>
        <w:tabs>
          <w:tab w:val="left" w:pos="1080"/>
          <w:tab w:val="left" w:pos="1872"/>
        </w:tabs>
        <w:snapToGrid w:val="0"/>
        <w:spacing w:line="360" w:lineRule="auto"/>
        <w:ind w:left="1077" w:hanging="720"/>
        <w:rPr>
          <w:rFonts w:eastAsiaTheme="minorEastAsia"/>
          <w:sz w:val="24"/>
        </w:rPr>
      </w:pPr>
      <w:r>
        <w:rPr>
          <w:rFonts w:hint="eastAsia" w:eastAsiaTheme="minor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486492F9">
      <w:pPr>
        <w:numPr>
          <w:ilvl w:val="1"/>
          <w:numId w:val="11"/>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对磋商文件作出的实质性变动是磋商文件的有效组成部分，磋商小组应当及时以书面形式同时通知所有参加磋商的供应商。</w:t>
      </w:r>
    </w:p>
    <w:p w14:paraId="04D7166A">
      <w:pPr>
        <w:numPr>
          <w:ilvl w:val="1"/>
          <w:numId w:val="11"/>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hint="eastAsia" w:eastAsiaTheme="minorEastAsia"/>
          <w:kern w:val="0"/>
          <w:sz w:val="24"/>
        </w:rPr>
        <w:t>）或授权代表签字或者加盖公章。由授权代表签字的，应当附授权委托书。供应商为自然人的，应当由本人签字并附身份证明。</w:t>
      </w:r>
    </w:p>
    <w:p w14:paraId="7BF14692">
      <w:pPr>
        <w:numPr>
          <w:ilvl w:val="1"/>
          <w:numId w:val="11"/>
        </w:numPr>
        <w:tabs>
          <w:tab w:val="left" w:pos="1080"/>
          <w:tab w:val="left" w:pos="1872"/>
        </w:tabs>
        <w:snapToGrid w:val="0"/>
        <w:spacing w:line="360" w:lineRule="auto"/>
        <w:ind w:left="1077" w:hanging="720"/>
        <w:rPr>
          <w:rFonts w:eastAsiaTheme="minorEastAsia"/>
          <w:sz w:val="24"/>
        </w:rPr>
      </w:pPr>
      <w:r>
        <w:rPr>
          <w:rFonts w:hint="eastAsia" w:eastAsiaTheme="minorEastAsia"/>
          <w:sz w:val="24"/>
        </w:rPr>
        <w:t>响应文件的澄清、说明或者更正：</w:t>
      </w:r>
    </w:p>
    <w:p w14:paraId="62991D57">
      <w:pPr>
        <w:numPr>
          <w:ilvl w:val="2"/>
          <w:numId w:val="11"/>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1DE06C60">
      <w:pPr>
        <w:numPr>
          <w:ilvl w:val="2"/>
          <w:numId w:val="11"/>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磋商小组对响应文件进行审查，如发现供应商提交的响应文件存在不满足《符合性审查要求》的内容，如属于表中“不允许”澄清、说明或者更正的内容，则供应商响应文件按</w:t>
      </w:r>
      <w:r>
        <w:rPr>
          <w:rFonts w:eastAsiaTheme="minorEastAsia"/>
          <w:b/>
          <w:sz w:val="24"/>
        </w:rPr>
        <w:t>无效处理</w:t>
      </w:r>
      <w:r>
        <w:rPr>
          <w:rFonts w:eastAsiaTheme="minorEastAsia"/>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14:paraId="48D04205">
      <w:pPr>
        <w:numPr>
          <w:ilvl w:val="2"/>
          <w:numId w:val="11"/>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28E65B9C">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14:paraId="362458B3">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10FB7EDC">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14:paraId="6E130146">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14:paraId="10BF006A">
      <w:pPr>
        <w:numPr>
          <w:ilvl w:val="0"/>
          <w:numId w:val="11"/>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14:paraId="1C3E25E8">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0F61C47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14:paraId="2D317386">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14:paraId="5D606FFD">
      <w:pPr>
        <w:tabs>
          <w:tab w:val="left" w:pos="1080"/>
          <w:tab w:val="left" w:pos="1589"/>
          <w:tab w:val="left" w:pos="2035"/>
          <w:tab w:val="left" w:pos="2114"/>
        </w:tabs>
        <w:snapToGrid w:val="0"/>
        <w:spacing w:line="360" w:lineRule="auto"/>
        <w:ind w:left="2035"/>
        <w:rPr>
          <w:rFonts w:hint="default" w:eastAsiaTheme="minorEastAsia"/>
          <w:sz w:val="24"/>
          <w:u w:val="single"/>
          <w:lang w:val="en-US" w:eastAsia="zh-CN"/>
        </w:rPr>
      </w:pPr>
      <w:r>
        <w:rPr>
          <w:rFonts w:eastAsiaTheme="minorEastAsia"/>
          <w:sz w:val="24"/>
        </w:rPr>
        <w:t>□有，具体规定为：</w:t>
      </w:r>
      <w:r>
        <w:rPr>
          <w:rFonts w:hint="eastAsia" w:eastAsiaTheme="minorEastAsia"/>
          <w:sz w:val="24"/>
          <w:u w:val="single"/>
          <w:lang w:val="en-US" w:eastAsia="zh-CN"/>
        </w:rPr>
        <w:t xml:space="preserve">      /       </w:t>
      </w:r>
    </w:p>
    <w:p w14:paraId="1F570A16">
      <w:pPr>
        <w:tabs>
          <w:tab w:val="left" w:pos="1080"/>
          <w:tab w:val="left" w:pos="1589"/>
          <w:tab w:val="left" w:pos="2035"/>
          <w:tab w:val="left" w:pos="2114"/>
        </w:tabs>
        <w:snapToGrid w:val="0"/>
        <w:spacing w:line="360" w:lineRule="auto"/>
        <w:ind w:left="2035"/>
        <w:rPr>
          <w:rFonts w:eastAsiaTheme="minorEastAsia"/>
          <w:sz w:val="24"/>
        </w:rPr>
      </w:pPr>
      <w:r>
        <w:rPr>
          <w:rFonts w:hint="eastAsia" w:ascii="宋体" w:hAnsi="宋体" w:cs="宋体"/>
          <w:b/>
          <w:sz w:val="24"/>
        </w:rPr>
        <w:sym w:font="Wingdings 2" w:char="00A1"/>
      </w:r>
      <w:r>
        <w:rPr>
          <w:rFonts w:eastAsiaTheme="minorEastAsia"/>
          <w:sz w:val="24"/>
        </w:rPr>
        <w:t>无，按下述3.2.2-3.2.</w:t>
      </w:r>
      <w:r>
        <w:rPr>
          <w:rFonts w:hint="eastAsia" w:eastAsiaTheme="minorEastAsia"/>
          <w:sz w:val="24"/>
        </w:rPr>
        <w:t>6</w:t>
      </w:r>
      <w:r>
        <w:rPr>
          <w:rFonts w:eastAsiaTheme="minorEastAsia"/>
          <w:sz w:val="24"/>
        </w:rPr>
        <w:t>项规定修正。</w:t>
      </w:r>
    </w:p>
    <w:p w14:paraId="125C3601">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大写金额和小写金额不一致的，以大写金额为准；</w:t>
      </w:r>
    </w:p>
    <w:p w14:paraId="76907AC2">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单价金额小数点或者百分比有明显错位的，以总价为准，并修改单价；</w:t>
      </w:r>
    </w:p>
    <w:p w14:paraId="1FC25FBC">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总价金额与按单价汇总金额不一致的，以单价金额计算结果为准。</w:t>
      </w:r>
    </w:p>
    <w:p w14:paraId="5C922505">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w:t>
      </w:r>
    </w:p>
    <w:p w14:paraId="5F77A294">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修正后的报价经供应商书面确认后产生约束力，供应商不确认的，</w:t>
      </w:r>
      <w:r>
        <w:rPr>
          <w:rFonts w:eastAsiaTheme="minorEastAsia"/>
          <w:b/>
          <w:sz w:val="24"/>
        </w:rPr>
        <w:t>其响应无效</w:t>
      </w:r>
      <w:r>
        <w:rPr>
          <w:rFonts w:eastAsiaTheme="minorEastAsia"/>
          <w:sz w:val="24"/>
        </w:rPr>
        <w:t>。</w:t>
      </w:r>
    </w:p>
    <w:p w14:paraId="0BA4DF83">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落实政府采购政策的价格调整：只有符合第二章《供应商须知》4.2条规定情形的，可以享受中小企业扶持政策，用扣除后的价格参加评审；否则，评审时价格不予扣除。</w:t>
      </w:r>
    </w:p>
    <w:p w14:paraId="4F1F4C9A">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对于未预留份额专门面向中小企业采购的采购项目，以及预留份额项目中的非预留部分采购包，对小微企业报价给予</w:t>
      </w:r>
      <w:r>
        <w:rPr>
          <w:rFonts w:hint="eastAsia" w:eastAsiaTheme="minorEastAsia"/>
          <w:sz w:val="24"/>
          <w:u w:val="single"/>
          <w:lang w:val="en-US" w:eastAsia="zh-CN"/>
        </w:rPr>
        <w:t xml:space="preserve">   10   </w:t>
      </w:r>
      <w:r>
        <w:rPr>
          <w:rFonts w:eastAsiaTheme="minorEastAsia"/>
          <w:sz w:val="24"/>
        </w:rPr>
        <w:t>%的扣除，用扣除后的价格参加评审。</w:t>
      </w:r>
    </w:p>
    <w:p w14:paraId="7ECA89A2">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eastAsiaTheme="minorEastAsia"/>
          <w:sz w:val="24"/>
          <w:u w:val="single"/>
          <w:lang w:val="en-US" w:eastAsia="zh-CN"/>
        </w:rPr>
        <w:t xml:space="preserve">  /  </w:t>
      </w:r>
      <w:r>
        <w:rPr>
          <w:rFonts w:eastAsiaTheme="minorEastAsia"/>
          <w:sz w:val="24"/>
        </w:rPr>
        <w:t>%的扣除，用扣除后的价格参加评审。</w:t>
      </w:r>
    </w:p>
    <w:p w14:paraId="3B0EF5F3">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组成联合体或者接受分包的小微企业与联合体内其他企业、分包企业之间存在直接控股、管理关系的，不享受价格扣除优惠政策。</w:t>
      </w:r>
    </w:p>
    <w:p w14:paraId="47FE4CE9">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14:paraId="490B6A06">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color w:val="000000" w:themeColor="text1"/>
          <w:sz w:val="24"/>
          <w14:textFill>
            <w14:solidFill>
              <w14:schemeClr w14:val="tx1"/>
            </w14:solidFill>
          </w14:textFill>
        </w:rPr>
        <w:t>中小企业参加政府采购活动，应当按照竞争性磋商文件给定的格式出具《中小企业声明函》，否则不得享受相关中小企业扶持政策。</w:t>
      </w:r>
    </w:p>
    <w:p w14:paraId="01D9542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14:paraId="097CFC1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14:paraId="4D7CC362">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若供应商同时属于小型或微型企业、监狱企业、残疾人福利性单位中的两种及以上，将不重复享受小微企业价格扣减的优惠政策。</w:t>
      </w:r>
    </w:p>
    <w:p w14:paraId="37A5C7D3">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其他为落实政府采购政策实施的优先采购：</w:t>
      </w:r>
      <w:r>
        <w:rPr>
          <w:rFonts w:hint="eastAsia" w:ascii="宋体" w:hAnsi="宋体" w:cs="宋体"/>
          <w:sz w:val="24"/>
          <w:u w:val="single"/>
        </w:rPr>
        <w:t>扶持不发达地区和少数民族地区、促进中小企业发展、支持监狱、戒毒企业发展、促进残疾人就业等政府采购政策、优先采购贫困地区农副产品等政府采购政策</w:t>
      </w:r>
      <w:r>
        <w:rPr>
          <w:rFonts w:eastAsiaTheme="minorEastAsia"/>
          <w:sz w:val="24"/>
        </w:rPr>
        <w:t>。</w:t>
      </w:r>
    </w:p>
    <w:p w14:paraId="6FA27E77">
      <w:pPr>
        <w:numPr>
          <w:ilvl w:val="0"/>
          <w:numId w:val="11"/>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14:paraId="47DA864E">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14:paraId="255F278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hAnsi="Segoe UI Symbol" w:cs="Segoe UI Symbol" w:eastAsiaTheme="minorEastAsia"/>
          <w:sz w:val="24"/>
        </w:rPr>
        <w:t>★</w:t>
      </w:r>
      <w:r>
        <w:rPr>
          <w:rFonts w:eastAsiaTheme="minorEastAsia"/>
          <w:sz w:val="24"/>
        </w:rPr>
        <w:t>号条款或磋商文件技术指标超出磋商文件《采购需求》中主要技术参数允许偏差的最大范围的（如有）；</w:t>
      </w:r>
    </w:p>
    <w:p w14:paraId="7137D568">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14:paraId="4E7CC4B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如供应商的最后报价超过竞争性磋商文件中规定的项目/采购包预算金额或者项目/采购包最高限价的；</w:t>
      </w:r>
    </w:p>
    <w:p w14:paraId="23940D7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14:paraId="01D5EF78">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14:paraId="0E1FC2A2">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其他：</w:t>
      </w:r>
      <w:r>
        <w:rPr>
          <w:rFonts w:hint="eastAsia" w:eastAsiaTheme="minorEastAsia"/>
          <w:sz w:val="24"/>
          <w:u w:val="single"/>
          <w:lang w:val="en-US" w:eastAsia="zh-CN"/>
        </w:rPr>
        <w:t xml:space="preserve">  /  </w:t>
      </w:r>
      <w:r>
        <w:rPr>
          <w:rFonts w:eastAsiaTheme="minorEastAsia"/>
          <w:sz w:val="24"/>
        </w:rPr>
        <w:t>。</w:t>
      </w:r>
    </w:p>
    <w:bookmarkEnd w:id="625"/>
    <w:bookmarkEnd w:id="626"/>
    <w:p w14:paraId="46605C65">
      <w:pPr>
        <w:numPr>
          <w:ilvl w:val="0"/>
          <w:numId w:val="11"/>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4DE54088">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46DCCB05">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14:paraId="60A7E8C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w:t>
      </w:r>
      <w:r>
        <w:rPr>
          <w:rFonts w:hint="eastAsia" w:ascii="宋体" w:hAnsi="宋体" w:cs="宋体"/>
          <w:sz w:val="24"/>
          <w:u w:val="single"/>
        </w:rPr>
        <w:t xml:space="preserve">   /   </w:t>
      </w:r>
      <w:r>
        <w:rPr>
          <w:rFonts w:eastAsiaTheme="minorEastAsia"/>
          <w:sz w:val="24"/>
        </w:rPr>
        <w:t>。</w:t>
      </w:r>
    </w:p>
    <w:p w14:paraId="5D1D8D50">
      <w:pPr>
        <w:numPr>
          <w:ilvl w:val="0"/>
          <w:numId w:val="11"/>
        </w:numPr>
        <w:tabs>
          <w:tab w:val="left" w:pos="360"/>
        </w:tabs>
        <w:snapToGrid w:val="0"/>
        <w:spacing w:line="360" w:lineRule="auto"/>
        <w:outlineLvl w:val="1"/>
        <w:rPr>
          <w:rFonts w:eastAsiaTheme="minorEastAsia"/>
          <w:sz w:val="24"/>
        </w:rPr>
      </w:pPr>
      <w:r>
        <w:rPr>
          <w:rFonts w:eastAsiaTheme="minorEastAsia"/>
          <w:sz w:val="24"/>
        </w:rPr>
        <w:t>确定</w:t>
      </w:r>
      <w:bookmarkStart w:id="642" w:name="_Toc164351640"/>
      <w:bookmarkStart w:id="643" w:name="_Toc164229387"/>
      <w:bookmarkStart w:id="644" w:name="_Toc264969236"/>
      <w:bookmarkStart w:id="645" w:name="_Toc265228384"/>
      <w:bookmarkStart w:id="646" w:name="_Toc305158814"/>
      <w:bookmarkStart w:id="647" w:name="_Toc164608815"/>
      <w:bookmarkStart w:id="648" w:name="_Toc151193934"/>
      <w:bookmarkStart w:id="649" w:name="_Toc151193644"/>
      <w:bookmarkStart w:id="650" w:name="_Toc164229241"/>
      <w:bookmarkStart w:id="651" w:name="_Toc150509297"/>
      <w:bookmarkStart w:id="652" w:name="_Toc164608660"/>
      <w:bookmarkStart w:id="653" w:name="_Toc151193788"/>
      <w:bookmarkStart w:id="654" w:name="_Toc305158888"/>
      <w:bookmarkStart w:id="655" w:name="_Toc226965819"/>
      <w:bookmarkStart w:id="656" w:name="_Toc127161460"/>
      <w:bookmarkStart w:id="657" w:name="_Toc195842911"/>
      <w:bookmarkStart w:id="658" w:name="_Toc151190173"/>
      <w:bookmarkStart w:id="659" w:name="_Toc226965736"/>
      <w:bookmarkStart w:id="660" w:name="_Toc520356170"/>
      <w:bookmarkStart w:id="661" w:name="_Toc127151546"/>
      <w:bookmarkStart w:id="662" w:name="_Toc226309790"/>
      <w:bookmarkStart w:id="663" w:name="_Toc150480784"/>
      <w:bookmarkStart w:id="664" w:name="_Toc151193860"/>
      <w:bookmarkStart w:id="665" w:name="_Toc149720839"/>
      <w:bookmarkStart w:id="666" w:name="_Toc142311048"/>
      <w:bookmarkStart w:id="667" w:name="_Ref467307010"/>
      <w:bookmarkStart w:id="668" w:name="_Toc151193716"/>
      <w:bookmarkStart w:id="669" w:name="_Toc150774646"/>
      <w:bookmarkStart w:id="670" w:name="_Toc226337242"/>
      <w:bookmarkStart w:id="671" w:name="_Toc127151747"/>
      <w:bookmarkStart w:id="672" w:name="_Toc150774751"/>
      <w:r>
        <w:rPr>
          <w:rFonts w:eastAsiaTheme="minorEastAsia"/>
          <w:sz w:val="24"/>
        </w:rPr>
        <w:t>成交候选人名单</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55412CB4">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559803BD">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sz w:val="24"/>
        </w:rPr>
        <w:t>___</w:t>
      </w:r>
      <w:r>
        <w:rPr>
          <w:rFonts w:hint="eastAsia"/>
          <w:sz w:val="24"/>
          <w:lang w:val="en-US" w:eastAsia="zh-CN"/>
        </w:rPr>
        <w:t>3</w:t>
      </w:r>
      <w:r>
        <w:rPr>
          <w:sz w:val="24"/>
        </w:rPr>
        <w:t>__名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14:paraId="56E59CE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14:paraId="42AF5954">
      <w:pPr>
        <w:numPr>
          <w:ilvl w:val="0"/>
          <w:numId w:val="11"/>
        </w:numPr>
        <w:tabs>
          <w:tab w:val="left" w:pos="360"/>
        </w:tabs>
        <w:snapToGrid w:val="0"/>
        <w:spacing w:line="360" w:lineRule="auto"/>
        <w:outlineLvl w:val="1"/>
        <w:rPr>
          <w:rFonts w:eastAsiaTheme="minorEastAsia"/>
          <w:sz w:val="24"/>
        </w:rPr>
      </w:pPr>
      <w:r>
        <w:rPr>
          <w:rFonts w:eastAsiaTheme="minorEastAsia"/>
          <w:sz w:val="24"/>
        </w:rPr>
        <w:t>报告违法行为</w:t>
      </w:r>
    </w:p>
    <w:p w14:paraId="178046F6">
      <w:pPr>
        <w:widowControl/>
        <w:numPr>
          <w:ilvl w:val="1"/>
          <w:numId w:val="11"/>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r>
        <w:rPr>
          <w:rFonts w:eastAsiaTheme="minorEastAsia"/>
          <w:b/>
          <w:sz w:val="24"/>
        </w:rPr>
        <w:br w:type="page"/>
      </w:r>
    </w:p>
    <w:p w14:paraId="3CF5BBB5">
      <w:pPr>
        <w:pStyle w:val="3"/>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二、评审标准</w:t>
      </w:r>
    </w:p>
    <w:p w14:paraId="72D294C9">
      <w:pPr>
        <w:tabs>
          <w:tab w:val="left" w:pos="360"/>
          <w:tab w:val="left" w:pos="900"/>
          <w:tab w:val="left" w:pos="1080"/>
          <w:tab w:val="left" w:pos="2014"/>
        </w:tabs>
        <w:snapToGrid w:val="0"/>
        <w:spacing w:line="360" w:lineRule="auto"/>
        <w:rPr>
          <w:rFonts w:eastAsiaTheme="minorEastAsia"/>
          <w:sz w:val="24"/>
        </w:rPr>
      </w:pPr>
    </w:p>
    <w:tbl>
      <w:tblPr>
        <w:tblStyle w:val="4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462"/>
        <w:gridCol w:w="913"/>
        <w:gridCol w:w="4269"/>
        <w:gridCol w:w="2149"/>
      </w:tblGrid>
      <w:tr w14:paraId="1AFFD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14:paraId="23DDC941">
            <w:pPr>
              <w:ind w:firstLine="28"/>
              <w:jc w:val="center"/>
              <w:rPr>
                <w:rFonts w:eastAsiaTheme="minorEastAsia"/>
                <w:b/>
                <w:sz w:val="24"/>
              </w:rPr>
            </w:pPr>
            <w:r>
              <w:rPr>
                <w:rFonts w:eastAsiaTheme="minorEastAsia"/>
                <w:b/>
                <w:sz w:val="24"/>
              </w:rPr>
              <w:t>序号</w:t>
            </w:r>
          </w:p>
        </w:tc>
        <w:tc>
          <w:tcPr>
            <w:tcW w:w="1462" w:type="dxa"/>
            <w:vAlign w:val="center"/>
          </w:tcPr>
          <w:p w14:paraId="248DC1A4">
            <w:pPr>
              <w:ind w:firstLine="28"/>
              <w:jc w:val="center"/>
              <w:rPr>
                <w:rFonts w:eastAsiaTheme="minorEastAsia"/>
                <w:b/>
                <w:sz w:val="24"/>
              </w:rPr>
            </w:pPr>
            <w:r>
              <w:rPr>
                <w:rFonts w:eastAsiaTheme="minorEastAsia"/>
                <w:b/>
                <w:sz w:val="24"/>
              </w:rPr>
              <w:t>评分因素</w:t>
            </w:r>
          </w:p>
        </w:tc>
        <w:tc>
          <w:tcPr>
            <w:tcW w:w="913" w:type="dxa"/>
            <w:vAlign w:val="center"/>
          </w:tcPr>
          <w:p w14:paraId="6D4A7D9A">
            <w:pPr>
              <w:ind w:firstLine="28"/>
              <w:jc w:val="center"/>
              <w:rPr>
                <w:rFonts w:eastAsiaTheme="minorEastAsia"/>
                <w:b/>
                <w:sz w:val="24"/>
              </w:rPr>
            </w:pPr>
            <w:r>
              <w:rPr>
                <w:rFonts w:eastAsiaTheme="minorEastAsia"/>
                <w:b/>
                <w:sz w:val="24"/>
              </w:rPr>
              <w:t>分值</w:t>
            </w:r>
          </w:p>
        </w:tc>
        <w:tc>
          <w:tcPr>
            <w:tcW w:w="4269" w:type="dxa"/>
            <w:vAlign w:val="center"/>
          </w:tcPr>
          <w:p w14:paraId="5DC172A8">
            <w:pPr>
              <w:ind w:firstLine="28"/>
              <w:jc w:val="center"/>
              <w:rPr>
                <w:rFonts w:eastAsiaTheme="minorEastAsia"/>
                <w:b/>
                <w:sz w:val="24"/>
              </w:rPr>
            </w:pPr>
            <w:r>
              <w:rPr>
                <w:rFonts w:eastAsiaTheme="minorEastAsia"/>
                <w:b/>
                <w:sz w:val="24"/>
              </w:rPr>
              <w:t>评分标准</w:t>
            </w:r>
          </w:p>
        </w:tc>
        <w:tc>
          <w:tcPr>
            <w:tcW w:w="2149" w:type="dxa"/>
            <w:vAlign w:val="center"/>
          </w:tcPr>
          <w:p w14:paraId="61587EA8">
            <w:pPr>
              <w:pStyle w:val="245"/>
              <w:spacing w:before="0" w:after="0" w:line="240" w:lineRule="auto"/>
              <w:rPr>
                <w:rFonts w:eastAsiaTheme="minorEastAsia"/>
                <w:szCs w:val="24"/>
              </w:rPr>
            </w:pPr>
            <w:r>
              <w:rPr>
                <w:rFonts w:eastAsiaTheme="minorEastAsia"/>
                <w:szCs w:val="24"/>
              </w:rPr>
              <w:t>说明</w:t>
            </w:r>
          </w:p>
        </w:tc>
      </w:tr>
      <w:tr w14:paraId="1681F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35" w:type="dxa"/>
            <w:vMerge w:val="restart"/>
            <w:vAlign w:val="center"/>
          </w:tcPr>
          <w:p w14:paraId="1950A8B8">
            <w:pPr>
              <w:ind w:firstLine="28"/>
              <w:jc w:val="center"/>
              <w:rPr>
                <w:rFonts w:ascii="Times New Roman" w:hAnsi="Times New Roman" w:cs="Times New Roman" w:eastAsiaTheme="minorEastAsia"/>
                <w:sz w:val="24"/>
              </w:rPr>
            </w:pPr>
            <w:r>
              <w:rPr>
                <w:rFonts w:hint="eastAsia" w:ascii="Times New Roman" w:hAnsi="Times New Roman" w:cs="Times New Roman" w:eastAsiaTheme="minorEastAsia"/>
                <w:sz w:val="24"/>
              </w:rPr>
              <w:t>商务部分（1</w:t>
            </w:r>
            <w:r>
              <w:rPr>
                <w:rFonts w:hint="eastAsia" w:ascii="Times New Roman" w:hAnsi="Times New Roman" w:cs="Times New Roman" w:eastAsiaTheme="minorEastAsia"/>
                <w:sz w:val="24"/>
                <w:lang w:val="en-US" w:eastAsia="zh-CN"/>
              </w:rPr>
              <w:t>6</w:t>
            </w:r>
            <w:r>
              <w:rPr>
                <w:rFonts w:hint="eastAsia" w:ascii="Times New Roman" w:hAnsi="Times New Roman" w:cs="Times New Roman" w:eastAsiaTheme="minorEastAsia"/>
                <w:sz w:val="24"/>
              </w:rPr>
              <w:t>分）</w:t>
            </w:r>
          </w:p>
        </w:tc>
        <w:tc>
          <w:tcPr>
            <w:tcW w:w="1462" w:type="dxa"/>
            <w:shd w:val="clear" w:color="auto" w:fill="auto"/>
            <w:vAlign w:val="center"/>
          </w:tcPr>
          <w:p w14:paraId="3E976DC3">
            <w:pPr>
              <w:ind w:firstLine="28"/>
              <w:jc w:val="center"/>
              <w:rPr>
                <w:rFonts w:hint="eastAsia" w:ascii="Times New Roman" w:hAnsi="Times New Roman" w:cs="Times New Roman" w:eastAsiaTheme="minorEastAsia"/>
                <w:sz w:val="24"/>
                <w:lang w:val="en-US" w:eastAsia="zh-CN"/>
              </w:rPr>
            </w:pPr>
            <w:r>
              <w:rPr>
                <w:rFonts w:hint="eastAsia" w:ascii="Times New Roman" w:hAnsi="Times New Roman" w:cs="Times New Roman" w:eastAsiaTheme="minorEastAsia"/>
                <w:sz w:val="24"/>
              </w:rPr>
              <w:t>业绩（</w:t>
            </w:r>
            <w:r>
              <w:rPr>
                <w:rFonts w:hint="eastAsia" w:ascii="Times New Roman" w:hAnsi="Times New Roman" w:cs="Times New Roman" w:eastAsiaTheme="minorEastAsia"/>
                <w:sz w:val="24"/>
                <w:lang w:val="en-US" w:eastAsia="zh-CN"/>
              </w:rPr>
              <w:t>5</w:t>
            </w:r>
            <w:r>
              <w:rPr>
                <w:rFonts w:hint="eastAsia" w:ascii="Times New Roman" w:hAnsi="Times New Roman" w:cs="Times New Roman" w:eastAsiaTheme="minorEastAsia"/>
                <w:sz w:val="24"/>
              </w:rPr>
              <w:t>分）</w:t>
            </w:r>
          </w:p>
        </w:tc>
        <w:tc>
          <w:tcPr>
            <w:tcW w:w="913" w:type="dxa"/>
            <w:shd w:val="clear" w:color="auto" w:fill="auto"/>
            <w:vAlign w:val="center"/>
          </w:tcPr>
          <w:p w14:paraId="39E75587">
            <w:pPr>
              <w:ind w:firstLine="28"/>
              <w:jc w:val="center"/>
              <w:rPr>
                <w:rFonts w:hint="eastAsia" w:ascii="Times New Roman" w:hAnsi="Times New Roman" w:cs="Times New Roman" w:eastAsiaTheme="minorEastAsia"/>
                <w:sz w:val="24"/>
                <w:lang w:val="en-US" w:eastAsia="zh-CN"/>
              </w:rPr>
            </w:pPr>
            <w:r>
              <w:rPr>
                <w:rFonts w:hint="eastAsia" w:ascii="Times New Roman" w:hAnsi="Times New Roman" w:cs="Times New Roman" w:eastAsiaTheme="minorEastAsia"/>
                <w:sz w:val="24"/>
                <w:lang w:val="en-US" w:eastAsia="zh-CN"/>
              </w:rPr>
              <w:t>5</w:t>
            </w:r>
          </w:p>
        </w:tc>
        <w:tc>
          <w:tcPr>
            <w:tcW w:w="4269" w:type="dxa"/>
            <w:shd w:val="clear" w:color="auto" w:fill="auto"/>
            <w:vAlign w:val="center"/>
          </w:tcPr>
          <w:p w14:paraId="3F9553D4">
            <w:pPr>
              <w:ind w:firstLine="28"/>
              <w:jc w:val="left"/>
              <w:rPr>
                <w:rFonts w:hint="eastAsia" w:ascii="Times New Roman" w:hAnsi="Times New Roman" w:cs="Times New Roman" w:eastAsiaTheme="minorEastAsia"/>
                <w:sz w:val="24"/>
              </w:rPr>
            </w:pPr>
            <w:r>
              <w:rPr>
                <w:rFonts w:hint="eastAsia" w:ascii="Times New Roman" w:hAnsi="Times New Roman" w:cs="Times New Roman" w:eastAsiaTheme="minorEastAsia"/>
                <w:sz w:val="24"/>
              </w:rPr>
              <w:t xml:space="preserve">企业近 </w:t>
            </w:r>
            <w:r>
              <w:rPr>
                <w:rFonts w:hint="eastAsia" w:ascii="Times New Roman" w:hAnsi="Times New Roman" w:cs="Times New Roman" w:eastAsiaTheme="minorEastAsia"/>
                <w:sz w:val="24"/>
                <w:lang w:val="en-US" w:eastAsia="zh-CN"/>
              </w:rPr>
              <w:t>3</w:t>
            </w:r>
            <w:r>
              <w:rPr>
                <w:rFonts w:hint="eastAsia" w:ascii="Times New Roman" w:hAnsi="Times New Roman" w:cs="Times New Roman" w:eastAsiaTheme="minorEastAsia"/>
                <w:sz w:val="24"/>
              </w:rPr>
              <w:t>年完成的</w:t>
            </w:r>
            <w:r>
              <w:rPr>
                <w:rFonts w:hint="eastAsia" w:ascii="Times New Roman" w:hAnsi="Times New Roman" w:cs="Times New Roman" w:eastAsiaTheme="minorEastAsia"/>
                <w:sz w:val="24"/>
                <w:lang w:val="en-US" w:eastAsia="zh-CN"/>
              </w:rPr>
              <w:t>类似</w:t>
            </w:r>
            <w:r>
              <w:rPr>
                <w:rFonts w:hint="eastAsia" w:ascii="Times New Roman" w:hAnsi="Times New Roman" w:cs="Times New Roman" w:eastAsiaTheme="minorEastAsia"/>
                <w:sz w:val="24"/>
              </w:rPr>
              <w:t>工程项目，毎有 1 项 得</w:t>
            </w:r>
            <w:r>
              <w:rPr>
                <w:rFonts w:hint="eastAsia" w:ascii="Times New Roman" w:hAnsi="Times New Roman" w:cs="Times New Roman" w:eastAsiaTheme="minorEastAsia"/>
                <w:sz w:val="24"/>
                <w:lang w:val="en-US" w:eastAsia="zh-CN"/>
              </w:rPr>
              <w:t>1</w:t>
            </w:r>
            <w:r>
              <w:rPr>
                <w:rFonts w:hint="eastAsia" w:ascii="Times New Roman" w:hAnsi="Times New Roman" w:cs="Times New Roman" w:eastAsiaTheme="minorEastAsia"/>
                <w:sz w:val="24"/>
              </w:rPr>
              <w:t xml:space="preserve">分，最多得 </w:t>
            </w:r>
            <w:r>
              <w:rPr>
                <w:rFonts w:hint="eastAsia" w:ascii="Times New Roman" w:hAnsi="Times New Roman" w:cs="Times New Roman" w:eastAsiaTheme="minorEastAsia"/>
                <w:sz w:val="24"/>
                <w:lang w:val="en-US" w:eastAsia="zh-CN"/>
              </w:rPr>
              <w:t>5</w:t>
            </w:r>
            <w:r>
              <w:rPr>
                <w:rFonts w:hint="eastAsia" w:ascii="Times New Roman" w:hAnsi="Times New Roman" w:cs="Times New Roman" w:eastAsiaTheme="minorEastAsia"/>
                <w:sz w:val="24"/>
              </w:rPr>
              <w:t xml:space="preserve"> 分。</w:t>
            </w:r>
          </w:p>
          <w:p w14:paraId="1BAA3337">
            <w:pPr>
              <w:ind w:firstLine="28"/>
              <w:jc w:val="left"/>
              <w:rPr>
                <w:rFonts w:hint="eastAsia" w:ascii="Times New Roman" w:hAnsi="Times New Roman" w:cs="Times New Roman" w:eastAsiaTheme="minorEastAsia"/>
                <w:sz w:val="24"/>
                <w:lang w:val="en-US" w:eastAsia="zh-CN"/>
              </w:rPr>
            </w:pPr>
            <w:r>
              <w:rPr>
                <w:rFonts w:hint="eastAsia" w:ascii="Times New Roman" w:hAnsi="Times New Roman" w:cs="Times New Roman" w:eastAsiaTheme="minorEastAsia"/>
                <w:sz w:val="24"/>
              </w:rPr>
              <w:t xml:space="preserve">注：须提供企业近 </w:t>
            </w:r>
            <w:r>
              <w:rPr>
                <w:rFonts w:hint="eastAsia" w:ascii="Times New Roman" w:hAnsi="Times New Roman" w:cs="Times New Roman" w:eastAsiaTheme="minorEastAsia"/>
                <w:sz w:val="24"/>
                <w:lang w:val="en-US" w:eastAsia="zh-CN"/>
              </w:rPr>
              <w:t>3</w:t>
            </w:r>
            <w:r>
              <w:rPr>
                <w:rFonts w:hint="eastAsia" w:ascii="Times New Roman" w:hAnsi="Times New Roman" w:cs="Times New Roman" w:eastAsiaTheme="minorEastAsia"/>
                <w:sz w:val="24"/>
              </w:rPr>
              <w:t xml:space="preserve"> 年完成的中标价（或工程规模）</w:t>
            </w:r>
            <w:r>
              <w:rPr>
                <w:rFonts w:hint="eastAsia" w:cs="Times New Roman" w:eastAsiaTheme="minorEastAsia"/>
                <w:sz w:val="24"/>
                <w:lang w:val="en-US" w:eastAsia="zh-CN"/>
              </w:rPr>
              <w:t>130</w:t>
            </w:r>
            <w:r>
              <w:rPr>
                <w:rFonts w:hint="eastAsia" w:ascii="Times New Roman" w:hAnsi="Times New Roman" w:cs="Times New Roman" w:eastAsiaTheme="minorEastAsia"/>
                <w:sz w:val="24"/>
              </w:rPr>
              <w:t>万元以上的</w:t>
            </w:r>
            <w:r>
              <w:rPr>
                <w:rFonts w:hint="eastAsia" w:ascii="Times New Roman" w:hAnsi="Times New Roman" w:cs="Times New Roman" w:eastAsiaTheme="minorEastAsia"/>
                <w:sz w:val="24"/>
                <w:lang w:val="en-US" w:eastAsia="zh-CN"/>
              </w:rPr>
              <w:t>类似</w:t>
            </w:r>
            <w:r>
              <w:rPr>
                <w:rFonts w:hint="eastAsia" w:ascii="Times New Roman" w:hAnsi="Times New Roman" w:cs="Times New Roman" w:eastAsiaTheme="minorEastAsia"/>
                <w:sz w:val="24"/>
              </w:rPr>
              <w:t>工程的中标通知书或合同协议书及验收资料或业主证明等相关证明文件</w:t>
            </w:r>
            <w:r>
              <w:rPr>
                <w:rFonts w:hint="eastAsia" w:cs="Times New Roman" w:eastAsiaTheme="minorEastAsia"/>
                <w:sz w:val="24"/>
                <w:lang w:eastAsia="zh-CN"/>
              </w:rPr>
              <w:t>。</w:t>
            </w:r>
          </w:p>
        </w:tc>
        <w:tc>
          <w:tcPr>
            <w:tcW w:w="2149" w:type="dxa"/>
            <w:vAlign w:val="center"/>
          </w:tcPr>
          <w:p w14:paraId="09517F01">
            <w:pPr>
              <w:pStyle w:val="245"/>
              <w:spacing w:before="0" w:after="0" w:line="240" w:lineRule="auto"/>
              <w:rPr>
                <w:rFonts w:eastAsiaTheme="minorEastAsia"/>
                <w:szCs w:val="24"/>
              </w:rPr>
            </w:pPr>
          </w:p>
        </w:tc>
      </w:tr>
      <w:tr w14:paraId="2E4B1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35" w:type="dxa"/>
            <w:vMerge w:val="continue"/>
            <w:vAlign w:val="center"/>
          </w:tcPr>
          <w:p w14:paraId="6F499224">
            <w:pPr>
              <w:ind w:firstLine="28"/>
              <w:jc w:val="center"/>
              <w:rPr>
                <w:rFonts w:ascii="Times New Roman" w:hAnsi="Times New Roman" w:cs="Times New Roman" w:eastAsiaTheme="minorEastAsia"/>
                <w:sz w:val="24"/>
              </w:rPr>
            </w:pPr>
          </w:p>
        </w:tc>
        <w:tc>
          <w:tcPr>
            <w:tcW w:w="1462" w:type="dxa"/>
            <w:vMerge w:val="restart"/>
            <w:vAlign w:val="center"/>
          </w:tcPr>
          <w:p w14:paraId="0A167DF7">
            <w:pPr>
              <w:ind w:firstLine="28"/>
              <w:jc w:val="center"/>
              <w:rPr>
                <w:rFonts w:ascii="Times New Roman" w:hAnsi="Times New Roman" w:cs="Times New Roman" w:eastAsiaTheme="minorEastAsia"/>
                <w:sz w:val="24"/>
              </w:rPr>
            </w:pPr>
            <w:r>
              <w:rPr>
                <w:rFonts w:hint="eastAsia" w:ascii="Times New Roman" w:hAnsi="Times New Roman" w:cs="Times New Roman" w:eastAsiaTheme="minorEastAsia"/>
                <w:sz w:val="24"/>
              </w:rPr>
              <w:t>项目管理机构配置（</w:t>
            </w:r>
            <w:r>
              <w:rPr>
                <w:rFonts w:hint="eastAsia" w:ascii="Times New Roman" w:hAnsi="Times New Roman" w:cs="Times New Roman" w:eastAsiaTheme="minorEastAsia"/>
                <w:sz w:val="24"/>
                <w:lang w:val="en-US" w:eastAsia="zh-CN"/>
              </w:rPr>
              <w:t>9</w:t>
            </w:r>
            <w:r>
              <w:rPr>
                <w:rFonts w:hint="eastAsia" w:ascii="Times New Roman" w:hAnsi="Times New Roman" w:cs="Times New Roman" w:eastAsiaTheme="minorEastAsia"/>
                <w:sz w:val="24"/>
              </w:rPr>
              <w:t>分）</w:t>
            </w:r>
          </w:p>
        </w:tc>
        <w:tc>
          <w:tcPr>
            <w:tcW w:w="913" w:type="dxa"/>
            <w:vAlign w:val="center"/>
          </w:tcPr>
          <w:p w14:paraId="6D144DD7">
            <w:pPr>
              <w:ind w:firstLine="28"/>
              <w:jc w:val="center"/>
              <w:rPr>
                <w:rFonts w:ascii="Times New Roman" w:hAnsi="Times New Roman" w:cs="Times New Roman" w:eastAsiaTheme="minorEastAsia"/>
                <w:sz w:val="24"/>
              </w:rPr>
            </w:pPr>
            <w:r>
              <w:rPr>
                <w:rFonts w:hint="eastAsia" w:ascii="Times New Roman" w:hAnsi="Times New Roman" w:cs="Times New Roman" w:eastAsiaTheme="minorEastAsia"/>
                <w:sz w:val="24"/>
                <w:lang w:val="en-US" w:eastAsia="zh-CN"/>
              </w:rPr>
              <w:t>3</w:t>
            </w:r>
          </w:p>
        </w:tc>
        <w:tc>
          <w:tcPr>
            <w:tcW w:w="4269" w:type="dxa"/>
            <w:shd w:val="clear" w:color="auto" w:fill="auto"/>
            <w:vAlign w:val="center"/>
          </w:tcPr>
          <w:p w14:paraId="07C898D7">
            <w:pPr>
              <w:ind w:firstLine="28"/>
              <w:jc w:val="left"/>
              <w:rPr>
                <w:rFonts w:hint="eastAsia" w:ascii="Times New Roman" w:hAnsi="Times New Roman" w:cs="Times New Roman" w:eastAsiaTheme="minorEastAsia"/>
                <w:sz w:val="24"/>
                <w:lang w:val="en-US" w:eastAsia="zh-CN"/>
              </w:rPr>
            </w:pPr>
            <w:r>
              <w:rPr>
                <w:rFonts w:hint="eastAsia" w:ascii="Times New Roman" w:hAnsi="Times New Roman" w:cs="Times New Roman" w:eastAsiaTheme="minorEastAsia"/>
                <w:sz w:val="24"/>
                <w:lang w:val="en-US" w:eastAsia="zh-CN"/>
              </w:rPr>
              <w:t>项目经理资历：</w:t>
            </w:r>
          </w:p>
          <w:p w14:paraId="261FA2A5">
            <w:pPr>
              <w:ind w:firstLine="28"/>
              <w:jc w:val="left"/>
              <w:rPr>
                <w:rFonts w:hint="eastAsia" w:ascii="Times New Roman" w:hAnsi="Times New Roman" w:cs="Times New Roman" w:eastAsiaTheme="minorEastAsia"/>
                <w:sz w:val="24"/>
                <w:lang w:val="en-US" w:eastAsia="zh-CN"/>
              </w:rPr>
            </w:pPr>
            <w:r>
              <w:rPr>
                <w:rFonts w:hint="eastAsia" w:ascii="Times New Roman" w:hAnsi="Times New Roman" w:cs="Times New Roman" w:eastAsiaTheme="minorEastAsia"/>
                <w:sz w:val="24"/>
                <w:lang w:val="en-US" w:eastAsia="zh-CN"/>
              </w:rPr>
              <w:t>（1）学历：具有大学本科 （含）以上学历者，得 1.5 分； 其他，得 0 分；</w:t>
            </w:r>
          </w:p>
          <w:p w14:paraId="6AEFEF20">
            <w:pPr>
              <w:ind w:firstLine="28"/>
              <w:jc w:val="left"/>
              <w:rPr>
                <w:rFonts w:hint="eastAsia" w:ascii="Times New Roman" w:hAnsi="Times New Roman" w:cs="Times New Roman" w:eastAsiaTheme="minorEastAsia"/>
                <w:sz w:val="24"/>
                <w:lang w:val="en-US" w:eastAsia="zh-CN"/>
              </w:rPr>
            </w:pPr>
            <w:r>
              <w:rPr>
                <w:rFonts w:hint="eastAsia" w:ascii="Times New Roman" w:hAnsi="Times New Roman" w:cs="Times New Roman" w:eastAsiaTheme="minorEastAsia"/>
                <w:sz w:val="24"/>
                <w:lang w:val="en-US" w:eastAsia="zh-CN"/>
              </w:rPr>
              <w:t>（2）职称：具有相关专业中级（含）以上职称， 得 1.5分；其他， 得 0 分；</w:t>
            </w:r>
          </w:p>
          <w:p w14:paraId="46C26F8C">
            <w:pPr>
              <w:ind w:firstLine="28"/>
              <w:jc w:val="left"/>
              <w:rPr>
                <w:rFonts w:hint="eastAsia" w:ascii="Times New Roman" w:hAnsi="Times New Roman" w:cs="Times New Roman" w:eastAsiaTheme="minorEastAsia"/>
                <w:sz w:val="24"/>
                <w:lang w:val="en-US" w:eastAsia="zh-CN"/>
              </w:rPr>
            </w:pPr>
            <w:r>
              <w:rPr>
                <w:rFonts w:hint="eastAsia" w:ascii="Times New Roman" w:hAnsi="Times New Roman" w:cs="Times New Roman" w:eastAsiaTheme="minorEastAsia"/>
                <w:sz w:val="24"/>
                <w:lang w:val="en-US" w:eastAsia="zh-CN"/>
              </w:rPr>
              <w:t>注：须提供有效学历证书及 职称证书证明材料。</w:t>
            </w:r>
          </w:p>
        </w:tc>
        <w:tc>
          <w:tcPr>
            <w:tcW w:w="2149" w:type="dxa"/>
            <w:vAlign w:val="center"/>
          </w:tcPr>
          <w:p w14:paraId="1922AA07">
            <w:pPr>
              <w:pStyle w:val="245"/>
              <w:spacing w:before="0" w:after="0" w:line="240" w:lineRule="auto"/>
              <w:rPr>
                <w:rFonts w:eastAsiaTheme="minorEastAsia"/>
                <w:szCs w:val="24"/>
              </w:rPr>
            </w:pPr>
          </w:p>
        </w:tc>
      </w:tr>
      <w:tr w14:paraId="0E155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35" w:type="dxa"/>
            <w:vMerge w:val="continue"/>
            <w:vAlign w:val="center"/>
          </w:tcPr>
          <w:p w14:paraId="37A8067B">
            <w:pPr>
              <w:ind w:firstLine="28"/>
              <w:jc w:val="center"/>
              <w:rPr>
                <w:rFonts w:ascii="Times New Roman" w:hAnsi="Times New Roman" w:cs="Times New Roman" w:eastAsiaTheme="minorEastAsia"/>
                <w:sz w:val="24"/>
              </w:rPr>
            </w:pPr>
          </w:p>
        </w:tc>
        <w:tc>
          <w:tcPr>
            <w:tcW w:w="1462" w:type="dxa"/>
            <w:vMerge w:val="continue"/>
            <w:vAlign w:val="center"/>
          </w:tcPr>
          <w:p w14:paraId="556F6629">
            <w:pPr>
              <w:ind w:firstLine="28"/>
              <w:jc w:val="center"/>
              <w:rPr>
                <w:rFonts w:ascii="Times New Roman" w:hAnsi="Times New Roman" w:cs="Times New Roman" w:eastAsiaTheme="minorEastAsia"/>
                <w:sz w:val="24"/>
              </w:rPr>
            </w:pPr>
          </w:p>
        </w:tc>
        <w:tc>
          <w:tcPr>
            <w:tcW w:w="913" w:type="dxa"/>
            <w:vAlign w:val="center"/>
          </w:tcPr>
          <w:p w14:paraId="5AA1FC28">
            <w:pPr>
              <w:ind w:firstLine="28"/>
              <w:jc w:val="center"/>
              <w:rPr>
                <w:rFonts w:ascii="Times New Roman" w:hAnsi="Times New Roman" w:cs="Times New Roman" w:eastAsiaTheme="minorEastAsia"/>
                <w:sz w:val="24"/>
              </w:rPr>
            </w:pPr>
            <w:r>
              <w:rPr>
                <w:rFonts w:hint="eastAsia" w:ascii="Times New Roman" w:hAnsi="Times New Roman" w:cs="Times New Roman" w:eastAsiaTheme="minorEastAsia"/>
                <w:sz w:val="24"/>
                <w:lang w:val="en-US" w:eastAsia="zh-CN"/>
              </w:rPr>
              <w:t>3</w:t>
            </w:r>
          </w:p>
        </w:tc>
        <w:tc>
          <w:tcPr>
            <w:tcW w:w="4269" w:type="dxa"/>
            <w:shd w:val="clear" w:color="auto" w:fill="auto"/>
            <w:vAlign w:val="center"/>
          </w:tcPr>
          <w:p w14:paraId="202FF563">
            <w:pPr>
              <w:ind w:firstLine="28"/>
              <w:jc w:val="left"/>
              <w:rPr>
                <w:rFonts w:hint="eastAsia" w:ascii="Times New Roman" w:hAnsi="Times New Roman" w:cs="Times New Roman" w:eastAsiaTheme="minorEastAsia"/>
                <w:sz w:val="24"/>
                <w:lang w:val="en-US" w:eastAsia="zh-CN"/>
              </w:rPr>
            </w:pPr>
            <w:r>
              <w:rPr>
                <w:rFonts w:hint="eastAsia" w:ascii="Times New Roman" w:hAnsi="Times New Roman" w:cs="Times New Roman" w:eastAsiaTheme="minorEastAsia"/>
                <w:sz w:val="24"/>
                <w:lang w:val="en-US" w:eastAsia="zh-CN"/>
              </w:rPr>
              <w:t>技术负责人资历：</w:t>
            </w:r>
          </w:p>
          <w:p w14:paraId="73047DAF">
            <w:pPr>
              <w:ind w:firstLine="28"/>
              <w:jc w:val="left"/>
              <w:rPr>
                <w:rFonts w:hint="eastAsia" w:ascii="Times New Roman" w:hAnsi="Times New Roman" w:cs="Times New Roman" w:eastAsiaTheme="minorEastAsia"/>
                <w:sz w:val="24"/>
                <w:lang w:val="en-US" w:eastAsia="zh-CN"/>
              </w:rPr>
            </w:pPr>
            <w:r>
              <w:rPr>
                <w:rFonts w:hint="eastAsia" w:ascii="Times New Roman" w:hAnsi="Times New Roman" w:cs="Times New Roman" w:eastAsiaTheme="minorEastAsia"/>
                <w:sz w:val="24"/>
                <w:lang w:val="en-US" w:eastAsia="zh-CN"/>
              </w:rPr>
              <w:t>（1）学历：具有大学本科（含）以上学历者，得 1 分； 其他， 得 0 分；</w:t>
            </w:r>
          </w:p>
          <w:p w14:paraId="4670F130">
            <w:pPr>
              <w:ind w:firstLine="28"/>
              <w:jc w:val="left"/>
              <w:rPr>
                <w:rFonts w:hint="eastAsia" w:ascii="Times New Roman" w:hAnsi="Times New Roman" w:cs="Times New Roman" w:eastAsiaTheme="minorEastAsia"/>
                <w:sz w:val="24"/>
                <w:lang w:val="en-US" w:eastAsia="zh-CN"/>
              </w:rPr>
            </w:pPr>
            <w:r>
              <w:rPr>
                <w:rFonts w:hint="eastAsia" w:ascii="Times New Roman" w:hAnsi="Times New Roman" w:cs="Times New Roman" w:eastAsiaTheme="minorEastAsia"/>
                <w:sz w:val="24"/>
                <w:lang w:val="en-US" w:eastAsia="zh-CN"/>
              </w:rPr>
              <w:t>（2）职称：具有相关专业 中级（含） 以上职 称，得 2分；其他，得 0 分；</w:t>
            </w:r>
          </w:p>
          <w:p w14:paraId="14E8D3C7">
            <w:pPr>
              <w:ind w:firstLine="28"/>
              <w:jc w:val="left"/>
              <w:rPr>
                <w:rFonts w:hint="eastAsia" w:ascii="Times New Roman" w:hAnsi="Times New Roman" w:cs="Times New Roman" w:eastAsiaTheme="minorEastAsia"/>
                <w:sz w:val="24"/>
                <w:lang w:val="en-US" w:eastAsia="zh-CN"/>
              </w:rPr>
            </w:pPr>
            <w:r>
              <w:rPr>
                <w:rFonts w:hint="eastAsia" w:ascii="Times New Roman" w:hAnsi="Times New Roman" w:cs="Times New Roman" w:eastAsiaTheme="minorEastAsia"/>
                <w:sz w:val="24"/>
                <w:lang w:val="en-US" w:eastAsia="zh-CN"/>
              </w:rPr>
              <w:t>注：须提供有效学历证书及职称证书证明材料。</w:t>
            </w:r>
          </w:p>
        </w:tc>
        <w:tc>
          <w:tcPr>
            <w:tcW w:w="2149" w:type="dxa"/>
            <w:vAlign w:val="center"/>
          </w:tcPr>
          <w:p w14:paraId="1A32902D">
            <w:pPr>
              <w:pStyle w:val="245"/>
              <w:spacing w:before="0" w:after="0" w:line="240" w:lineRule="auto"/>
              <w:rPr>
                <w:rFonts w:eastAsiaTheme="minorEastAsia"/>
                <w:szCs w:val="24"/>
              </w:rPr>
            </w:pPr>
          </w:p>
        </w:tc>
      </w:tr>
      <w:tr w14:paraId="1E12E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35" w:type="dxa"/>
            <w:vMerge w:val="continue"/>
            <w:vAlign w:val="center"/>
          </w:tcPr>
          <w:p w14:paraId="02138747">
            <w:pPr>
              <w:ind w:firstLine="28"/>
              <w:jc w:val="center"/>
              <w:rPr>
                <w:rFonts w:ascii="Times New Roman" w:hAnsi="Times New Roman" w:cs="Times New Roman" w:eastAsiaTheme="minorEastAsia"/>
                <w:sz w:val="24"/>
              </w:rPr>
            </w:pPr>
          </w:p>
        </w:tc>
        <w:tc>
          <w:tcPr>
            <w:tcW w:w="1462" w:type="dxa"/>
            <w:vMerge w:val="continue"/>
            <w:vAlign w:val="center"/>
          </w:tcPr>
          <w:p w14:paraId="167617E6">
            <w:pPr>
              <w:ind w:firstLine="28"/>
              <w:jc w:val="center"/>
              <w:rPr>
                <w:rFonts w:ascii="Times New Roman" w:hAnsi="Times New Roman" w:cs="Times New Roman" w:eastAsiaTheme="minorEastAsia"/>
                <w:sz w:val="24"/>
              </w:rPr>
            </w:pPr>
          </w:p>
        </w:tc>
        <w:tc>
          <w:tcPr>
            <w:tcW w:w="913" w:type="dxa"/>
            <w:vAlign w:val="center"/>
          </w:tcPr>
          <w:p w14:paraId="3287D47F">
            <w:pPr>
              <w:ind w:firstLine="28"/>
              <w:jc w:val="center"/>
              <w:rPr>
                <w:rFonts w:ascii="Times New Roman" w:hAnsi="Times New Roman" w:cs="Times New Roman" w:eastAsiaTheme="minorEastAsia"/>
                <w:sz w:val="24"/>
              </w:rPr>
            </w:pPr>
            <w:r>
              <w:rPr>
                <w:rFonts w:hint="eastAsia" w:ascii="Times New Roman" w:hAnsi="Times New Roman" w:cs="Times New Roman" w:eastAsiaTheme="minorEastAsia"/>
                <w:sz w:val="24"/>
                <w:lang w:val="en-US" w:eastAsia="zh-CN"/>
              </w:rPr>
              <w:t>3</w:t>
            </w:r>
          </w:p>
        </w:tc>
        <w:tc>
          <w:tcPr>
            <w:tcW w:w="4269" w:type="dxa"/>
            <w:shd w:val="clear" w:color="auto" w:fill="auto"/>
            <w:vAlign w:val="center"/>
          </w:tcPr>
          <w:p w14:paraId="2B05F4CE">
            <w:pPr>
              <w:ind w:firstLine="28"/>
              <w:jc w:val="left"/>
              <w:rPr>
                <w:rFonts w:hint="eastAsia" w:ascii="Times New Roman" w:hAnsi="Times New Roman" w:cs="Times New Roman" w:eastAsiaTheme="minorEastAsia"/>
                <w:sz w:val="24"/>
                <w:lang w:val="en-US" w:eastAsia="zh-CN"/>
              </w:rPr>
            </w:pPr>
            <w:r>
              <w:rPr>
                <w:rFonts w:hint="eastAsia" w:ascii="Times New Roman" w:hAnsi="Times New Roman" w:cs="Times New Roman" w:eastAsiaTheme="minorEastAsia"/>
                <w:sz w:val="24"/>
                <w:lang w:val="en-US" w:eastAsia="zh-CN"/>
              </w:rPr>
              <w:t>项目管理机构人员构成情况：项目管理团队中，安全、质检、施工、造价、财务、资料管理等岗位设置齐全，得 3 分；每有一项缺失减 0.5 分。</w:t>
            </w:r>
          </w:p>
        </w:tc>
        <w:tc>
          <w:tcPr>
            <w:tcW w:w="2149" w:type="dxa"/>
            <w:vAlign w:val="center"/>
          </w:tcPr>
          <w:p w14:paraId="5AAEF0E5">
            <w:pPr>
              <w:pStyle w:val="245"/>
              <w:spacing w:before="0" w:after="0" w:line="240" w:lineRule="auto"/>
              <w:rPr>
                <w:rFonts w:eastAsiaTheme="minorEastAsia"/>
                <w:szCs w:val="24"/>
              </w:rPr>
            </w:pPr>
          </w:p>
        </w:tc>
      </w:tr>
      <w:tr w14:paraId="28A33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35" w:type="dxa"/>
            <w:vMerge w:val="continue"/>
            <w:vAlign w:val="center"/>
          </w:tcPr>
          <w:p w14:paraId="5F2CD400">
            <w:pPr>
              <w:ind w:firstLine="28"/>
              <w:jc w:val="center"/>
              <w:rPr>
                <w:rFonts w:ascii="Times New Roman" w:hAnsi="Times New Roman" w:cs="Times New Roman" w:eastAsiaTheme="minorEastAsia"/>
                <w:sz w:val="24"/>
              </w:rPr>
            </w:pPr>
          </w:p>
        </w:tc>
        <w:tc>
          <w:tcPr>
            <w:tcW w:w="1462" w:type="dxa"/>
            <w:shd w:val="clear" w:color="auto" w:fill="auto"/>
            <w:vAlign w:val="center"/>
          </w:tcPr>
          <w:p w14:paraId="73A21D01">
            <w:pPr>
              <w:widowControl/>
              <w:spacing w:line="240" w:lineRule="auto"/>
              <w:ind w:firstLine="28"/>
              <w:jc w:val="center"/>
              <w:rPr>
                <w:rFonts w:hint="eastAsia" w:ascii="Times New Roman" w:hAnsi="Times New Roman" w:cs="Times New Roman" w:eastAsiaTheme="minorEastAsia"/>
                <w:kern w:val="2"/>
                <w:sz w:val="24"/>
                <w:szCs w:val="24"/>
              </w:rPr>
            </w:pPr>
            <w:r>
              <w:rPr>
                <w:rFonts w:hint="eastAsia" w:ascii="Times New Roman" w:hAnsi="Times New Roman" w:cs="Times New Roman" w:eastAsiaTheme="minorEastAsia"/>
                <w:kern w:val="2"/>
                <w:sz w:val="24"/>
                <w:szCs w:val="24"/>
              </w:rPr>
              <w:t>体系认证</w:t>
            </w:r>
          </w:p>
          <w:p w14:paraId="5F49D6D8">
            <w:pPr>
              <w:ind w:firstLine="28"/>
              <w:jc w:val="center"/>
              <w:rPr>
                <w:rFonts w:hint="eastAsia" w:ascii="Times New Roman" w:hAnsi="Times New Roman" w:cs="Times New Roman" w:eastAsiaTheme="minorEastAsia"/>
                <w:sz w:val="24"/>
                <w:lang w:val="en-US" w:eastAsia="zh-CN"/>
              </w:rPr>
            </w:pPr>
            <w:r>
              <w:rPr>
                <w:rFonts w:hint="eastAsia" w:ascii="Times New Roman" w:hAnsi="Times New Roman" w:cs="Times New Roman" w:eastAsiaTheme="minorEastAsia"/>
                <w:kern w:val="2"/>
                <w:sz w:val="24"/>
                <w:szCs w:val="24"/>
              </w:rPr>
              <w:t>（</w:t>
            </w:r>
            <w:r>
              <w:rPr>
                <w:rFonts w:hint="eastAsia" w:ascii="Times New Roman" w:hAnsi="Times New Roman" w:cs="Times New Roman" w:eastAsiaTheme="minorEastAsia"/>
                <w:kern w:val="2"/>
                <w:sz w:val="24"/>
                <w:szCs w:val="24"/>
                <w:lang w:val="en-US" w:eastAsia="zh-CN"/>
              </w:rPr>
              <w:t>2</w:t>
            </w:r>
            <w:r>
              <w:rPr>
                <w:rFonts w:hint="eastAsia" w:ascii="Times New Roman" w:hAnsi="Times New Roman" w:cs="Times New Roman" w:eastAsiaTheme="minorEastAsia"/>
                <w:kern w:val="2"/>
                <w:sz w:val="24"/>
                <w:szCs w:val="24"/>
              </w:rPr>
              <w:t>分</w:t>
            </w:r>
            <w:r>
              <w:rPr>
                <w:rFonts w:hint="eastAsia" w:ascii="宋体" w:hAnsi="宋体" w:eastAsia="宋体" w:cs="宋体"/>
                <w:color w:val="auto"/>
                <w:kern w:val="0"/>
                <w:szCs w:val="21"/>
                <w:highlight w:val="none"/>
              </w:rPr>
              <w:t>）</w:t>
            </w:r>
          </w:p>
        </w:tc>
        <w:tc>
          <w:tcPr>
            <w:tcW w:w="913" w:type="dxa"/>
            <w:shd w:val="clear" w:color="auto" w:fill="auto"/>
            <w:vAlign w:val="center"/>
          </w:tcPr>
          <w:p w14:paraId="7ADF0147">
            <w:pPr>
              <w:ind w:firstLine="28"/>
              <w:jc w:val="center"/>
              <w:rPr>
                <w:rFonts w:hint="eastAsia" w:ascii="Times New Roman" w:hAnsi="Times New Roman" w:cs="Times New Roman" w:eastAsiaTheme="minorEastAsia"/>
                <w:sz w:val="24"/>
                <w:lang w:val="en-US" w:eastAsia="zh-CN"/>
              </w:rPr>
            </w:pPr>
            <w:r>
              <w:rPr>
                <w:rFonts w:hint="eastAsia" w:ascii="Times New Roman" w:hAnsi="Times New Roman" w:cs="Times New Roman" w:eastAsiaTheme="minorEastAsia"/>
                <w:sz w:val="24"/>
                <w:lang w:val="en-US" w:eastAsia="zh-CN"/>
              </w:rPr>
              <w:t>2</w:t>
            </w:r>
          </w:p>
        </w:tc>
        <w:tc>
          <w:tcPr>
            <w:tcW w:w="4269" w:type="dxa"/>
            <w:shd w:val="clear" w:color="auto" w:fill="auto"/>
            <w:vAlign w:val="center"/>
          </w:tcPr>
          <w:p w14:paraId="2DAA68B7">
            <w:pPr>
              <w:widowControl/>
              <w:spacing w:line="240" w:lineRule="auto"/>
              <w:ind w:firstLine="28"/>
              <w:jc w:val="left"/>
              <w:rPr>
                <w:rFonts w:hint="eastAsia" w:ascii="Times New Roman" w:hAnsi="Times New Roman" w:cs="Times New Roman" w:eastAsiaTheme="minorEastAsia"/>
                <w:kern w:val="2"/>
                <w:sz w:val="24"/>
                <w:szCs w:val="24"/>
              </w:rPr>
            </w:pPr>
            <w:r>
              <w:rPr>
                <w:rFonts w:hint="eastAsia" w:ascii="Times New Roman" w:hAnsi="Times New Roman" w:cs="Times New Roman" w:eastAsiaTheme="minorEastAsia"/>
                <w:kern w:val="2"/>
                <w:sz w:val="24"/>
                <w:szCs w:val="24"/>
              </w:rPr>
              <w:t xml:space="preserve">（1）已经取得 ISO9001 质量管理体系认证且运行情况良好的得 </w:t>
            </w:r>
            <w:r>
              <w:rPr>
                <w:rFonts w:hint="eastAsia" w:ascii="Times New Roman" w:hAnsi="Times New Roman" w:cs="Times New Roman" w:eastAsiaTheme="minorEastAsia"/>
                <w:kern w:val="2"/>
                <w:sz w:val="24"/>
                <w:szCs w:val="24"/>
                <w:lang w:val="en-US" w:eastAsia="zh-CN"/>
              </w:rPr>
              <w:t>0.5</w:t>
            </w:r>
            <w:r>
              <w:rPr>
                <w:rFonts w:hint="eastAsia" w:ascii="Times New Roman" w:hAnsi="Times New Roman" w:cs="Times New Roman" w:eastAsiaTheme="minorEastAsia"/>
                <w:kern w:val="2"/>
                <w:sz w:val="24"/>
                <w:szCs w:val="24"/>
              </w:rPr>
              <w:t>分，否则不得分；</w:t>
            </w:r>
          </w:p>
          <w:p w14:paraId="1FB82DAB">
            <w:pPr>
              <w:widowControl/>
              <w:spacing w:line="240" w:lineRule="auto"/>
              <w:ind w:firstLine="28"/>
              <w:jc w:val="left"/>
              <w:rPr>
                <w:rFonts w:hint="eastAsia" w:ascii="Times New Roman" w:hAnsi="Times New Roman" w:cs="Times New Roman" w:eastAsiaTheme="minorEastAsia"/>
                <w:kern w:val="2"/>
                <w:sz w:val="24"/>
                <w:szCs w:val="24"/>
              </w:rPr>
            </w:pPr>
            <w:r>
              <w:rPr>
                <w:rFonts w:hint="eastAsia" w:ascii="Times New Roman" w:hAnsi="Times New Roman" w:cs="Times New Roman" w:eastAsiaTheme="minorEastAsia"/>
                <w:kern w:val="2"/>
                <w:sz w:val="24"/>
                <w:szCs w:val="24"/>
              </w:rPr>
              <w:t>（2）已经取得 ISO14001 环境管理体系认证且运行情况良</w:t>
            </w:r>
          </w:p>
          <w:p w14:paraId="5418632C">
            <w:pPr>
              <w:widowControl/>
              <w:spacing w:line="240" w:lineRule="auto"/>
              <w:ind w:firstLine="28"/>
              <w:jc w:val="left"/>
              <w:rPr>
                <w:rFonts w:hint="eastAsia" w:ascii="Times New Roman" w:hAnsi="Times New Roman" w:cs="Times New Roman" w:eastAsiaTheme="minorEastAsia"/>
                <w:kern w:val="2"/>
                <w:sz w:val="24"/>
                <w:szCs w:val="24"/>
              </w:rPr>
            </w:pPr>
            <w:r>
              <w:rPr>
                <w:rFonts w:hint="eastAsia" w:ascii="Times New Roman" w:hAnsi="Times New Roman" w:cs="Times New Roman" w:eastAsiaTheme="minorEastAsia"/>
                <w:kern w:val="2"/>
                <w:sz w:val="24"/>
                <w:szCs w:val="24"/>
              </w:rPr>
              <w:t>好的得</w:t>
            </w:r>
            <w:r>
              <w:rPr>
                <w:rFonts w:hint="eastAsia" w:ascii="Times New Roman" w:hAnsi="Times New Roman" w:cs="Times New Roman" w:eastAsiaTheme="minorEastAsia"/>
                <w:kern w:val="2"/>
                <w:sz w:val="24"/>
                <w:szCs w:val="24"/>
                <w:lang w:val="en-US" w:eastAsia="zh-CN"/>
              </w:rPr>
              <w:t>0.5</w:t>
            </w:r>
            <w:r>
              <w:rPr>
                <w:rFonts w:hint="eastAsia" w:ascii="Times New Roman" w:hAnsi="Times New Roman" w:cs="Times New Roman" w:eastAsiaTheme="minorEastAsia"/>
                <w:kern w:val="2"/>
                <w:sz w:val="24"/>
                <w:szCs w:val="24"/>
              </w:rPr>
              <w:t>分，否则不得分；</w:t>
            </w:r>
          </w:p>
          <w:p w14:paraId="2ED5D052">
            <w:pPr>
              <w:widowControl/>
              <w:spacing w:line="240" w:lineRule="auto"/>
              <w:ind w:firstLine="28"/>
              <w:jc w:val="left"/>
              <w:rPr>
                <w:rFonts w:hint="eastAsia" w:ascii="Times New Roman" w:hAnsi="Times New Roman" w:cs="Times New Roman" w:eastAsiaTheme="minorEastAsia"/>
                <w:kern w:val="2"/>
                <w:sz w:val="24"/>
                <w:szCs w:val="24"/>
              </w:rPr>
            </w:pPr>
            <w:r>
              <w:rPr>
                <w:rFonts w:hint="eastAsia" w:ascii="Times New Roman" w:hAnsi="Times New Roman" w:cs="Times New Roman" w:eastAsiaTheme="minorEastAsia"/>
                <w:kern w:val="2"/>
                <w:sz w:val="24"/>
                <w:szCs w:val="24"/>
              </w:rPr>
              <w:t>（3）已经取得 OHSAS18001 职业安全健康管理体系认证且</w:t>
            </w:r>
          </w:p>
          <w:p w14:paraId="0F216AF9">
            <w:pPr>
              <w:widowControl/>
              <w:ind w:firstLine="28"/>
              <w:jc w:val="left"/>
              <w:rPr>
                <w:rFonts w:hint="eastAsia" w:ascii="Times New Roman" w:hAnsi="Times New Roman" w:cs="Times New Roman" w:eastAsiaTheme="minorEastAsia"/>
                <w:sz w:val="24"/>
                <w:lang w:val="en-US" w:eastAsia="zh-CN"/>
              </w:rPr>
            </w:pPr>
            <w:r>
              <w:rPr>
                <w:rFonts w:hint="eastAsia" w:ascii="Times New Roman" w:hAnsi="Times New Roman" w:cs="Times New Roman" w:eastAsiaTheme="minorEastAsia"/>
                <w:kern w:val="2"/>
                <w:sz w:val="24"/>
                <w:szCs w:val="24"/>
              </w:rPr>
              <w:t>运行情况良好的得 1 分，否则不得分。</w:t>
            </w:r>
          </w:p>
        </w:tc>
        <w:tc>
          <w:tcPr>
            <w:tcW w:w="2149" w:type="dxa"/>
            <w:vAlign w:val="center"/>
          </w:tcPr>
          <w:p w14:paraId="096A197B">
            <w:pPr>
              <w:pStyle w:val="245"/>
              <w:spacing w:before="0" w:after="0" w:line="240" w:lineRule="auto"/>
              <w:rPr>
                <w:rFonts w:eastAsiaTheme="minorEastAsia"/>
                <w:szCs w:val="24"/>
              </w:rPr>
            </w:pPr>
          </w:p>
        </w:tc>
      </w:tr>
      <w:tr w14:paraId="4C33B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35" w:type="dxa"/>
            <w:vMerge w:val="restart"/>
            <w:vAlign w:val="center"/>
          </w:tcPr>
          <w:p w14:paraId="4DD88268">
            <w:pPr>
              <w:ind w:firstLine="28"/>
              <w:jc w:val="center"/>
              <w:rPr>
                <w:rFonts w:ascii="Times New Roman" w:hAnsi="Times New Roman" w:cs="Times New Roman" w:eastAsiaTheme="minorEastAsia"/>
                <w:sz w:val="24"/>
              </w:rPr>
            </w:pPr>
            <w:r>
              <w:rPr>
                <w:rFonts w:hint="eastAsia" w:ascii="Times New Roman" w:hAnsi="Times New Roman" w:cs="Times New Roman" w:eastAsiaTheme="minorEastAsia"/>
                <w:sz w:val="24"/>
              </w:rPr>
              <w:t>技术部分（5</w:t>
            </w:r>
            <w:r>
              <w:rPr>
                <w:rFonts w:hint="eastAsia" w:ascii="Times New Roman" w:hAnsi="Times New Roman" w:cs="Times New Roman" w:eastAsiaTheme="minorEastAsia"/>
                <w:sz w:val="24"/>
                <w:lang w:val="en-US" w:eastAsia="zh-CN"/>
              </w:rPr>
              <w:t>4</w:t>
            </w:r>
            <w:r>
              <w:rPr>
                <w:rFonts w:hint="eastAsia" w:ascii="Times New Roman" w:hAnsi="Times New Roman" w:cs="Times New Roman" w:eastAsiaTheme="minorEastAsia"/>
                <w:sz w:val="24"/>
              </w:rPr>
              <w:t>）</w:t>
            </w:r>
          </w:p>
        </w:tc>
        <w:tc>
          <w:tcPr>
            <w:tcW w:w="1462" w:type="dxa"/>
            <w:shd w:val="clear" w:color="auto" w:fill="auto"/>
            <w:vAlign w:val="center"/>
          </w:tcPr>
          <w:p w14:paraId="2341DDA5">
            <w:pPr>
              <w:ind w:firstLine="28"/>
              <w:jc w:val="center"/>
              <w:rPr>
                <w:rFonts w:hint="eastAsia" w:ascii="Times New Roman" w:hAnsi="Times New Roman" w:cs="Times New Roman" w:eastAsiaTheme="minorEastAsia"/>
                <w:sz w:val="24"/>
                <w:lang w:val="en-US" w:eastAsia="zh-CN"/>
              </w:rPr>
            </w:pPr>
            <w:r>
              <w:rPr>
                <w:rFonts w:hint="eastAsia" w:ascii="Times New Roman" w:hAnsi="Times New Roman" w:cs="Times New Roman" w:eastAsiaTheme="minorEastAsia"/>
                <w:sz w:val="24"/>
              </w:rPr>
              <w:t>施工方案与技术措施</w:t>
            </w:r>
            <w:r>
              <w:rPr>
                <w:rFonts w:hint="eastAsia" w:ascii="Times New Roman" w:hAnsi="Times New Roman" w:cs="Times New Roman" w:eastAsiaTheme="minorEastAsia"/>
                <w:sz w:val="24"/>
                <w:lang w:val="en-US" w:eastAsia="zh-CN"/>
              </w:rPr>
              <w:t>（12分</w:t>
            </w:r>
            <w:r>
              <w:rPr>
                <w:rFonts w:hint="eastAsia" w:ascii="Times New Roman" w:hAnsi="Times New Roman" w:cs="Times New Roman" w:eastAsiaTheme="minorEastAsia"/>
                <w:sz w:val="24"/>
              </w:rPr>
              <w:t>）</w:t>
            </w:r>
          </w:p>
        </w:tc>
        <w:tc>
          <w:tcPr>
            <w:tcW w:w="913" w:type="dxa"/>
            <w:shd w:val="clear" w:color="auto" w:fill="auto"/>
            <w:vAlign w:val="center"/>
          </w:tcPr>
          <w:p w14:paraId="345113D7">
            <w:pPr>
              <w:ind w:firstLine="28"/>
              <w:jc w:val="center"/>
              <w:rPr>
                <w:rFonts w:hint="eastAsia" w:ascii="Times New Roman" w:hAnsi="Times New Roman" w:cs="Times New Roman" w:eastAsiaTheme="minorEastAsia"/>
                <w:sz w:val="24"/>
                <w:lang w:val="en-US" w:eastAsia="zh-CN"/>
              </w:rPr>
            </w:pPr>
            <w:r>
              <w:rPr>
                <w:rFonts w:hint="eastAsia" w:ascii="Times New Roman" w:hAnsi="Times New Roman" w:cs="Times New Roman" w:eastAsiaTheme="minorEastAsia"/>
                <w:sz w:val="24"/>
              </w:rPr>
              <w:t>1</w:t>
            </w:r>
            <w:r>
              <w:rPr>
                <w:rFonts w:hint="eastAsia" w:ascii="Times New Roman" w:hAnsi="Times New Roman" w:cs="Times New Roman" w:eastAsiaTheme="minorEastAsia"/>
                <w:sz w:val="24"/>
                <w:lang w:val="en-US" w:eastAsia="zh-CN"/>
              </w:rPr>
              <w:t>2</w:t>
            </w:r>
          </w:p>
        </w:tc>
        <w:tc>
          <w:tcPr>
            <w:tcW w:w="4269" w:type="dxa"/>
            <w:shd w:val="clear" w:color="auto" w:fill="auto"/>
            <w:vAlign w:val="center"/>
          </w:tcPr>
          <w:p w14:paraId="42CF42A5">
            <w:pPr>
              <w:ind w:firstLine="28"/>
              <w:jc w:val="left"/>
              <w:rPr>
                <w:rFonts w:hint="eastAsia" w:ascii="Times New Roman" w:hAnsi="Times New Roman" w:cs="Times New Roman" w:eastAsiaTheme="minorEastAsia"/>
                <w:sz w:val="24"/>
              </w:rPr>
            </w:pPr>
            <w:r>
              <w:rPr>
                <w:rFonts w:hint="eastAsia" w:ascii="Times New Roman" w:hAnsi="Times New Roman" w:cs="Times New Roman" w:eastAsiaTheme="minorEastAsia"/>
                <w:sz w:val="24"/>
              </w:rPr>
              <w:t>（1）方案能保障质量、机械设备投入合理、技术措施有保障得1</w:t>
            </w:r>
            <w:r>
              <w:rPr>
                <w:rFonts w:hint="eastAsia" w:ascii="Times New Roman" w:hAnsi="Times New Roman" w:cs="Times New Roman" w:eastAsiaTheme="minorEastAsia"/>
                <w:sz w:val="24"/>
                <w:lang w:val="en-US" w:eastAsia="zh-CN"/>
              </w:rPr>
              <w:t>2</w:t>
            </w:r>
            <w:r>
              <w:rPr>
                <w:rFonts w:hint="eastAsia" w:ascii="Times New Roman" w:hAnsi="Times New Roman" w:cs="Times New Roman" w:eastAsiaTheme="minorEastAsia"/>
                <w:sz w:val="24"/>
              </w:rPr>
              <w:t>分；</w:t>
            </w:r>
          </w:p>
          <w:p w14:paraId="7B889B6D">
            <w:pPr>
              <w:ind w:firstLine="28"/>
              <w:jc w:val="left"/>
              <w:rPr>
                <w:rFonts w:hint="eastAsia" w:ascii="Times New Roman" w:hAnsi="Times New Roman" w:cs="Times New Roman" w:eastAsiaTheme="minorEastAsia"/>
                <w:sz w:val="24"/>
              </w:rPr>
            </w:pPr>
            <w:r>
              <w:rPr>
                <w:rFonts w:hint="eastAsia" w:ascii="Times New Roman" w:hAnsi="Times New Roman" w:cs="Times New Roman" w:eastAsiaTheme="minorEastAsia"/>
                <w:sz w:val="24"/>
              </w:rPr>
              <w:t>（2</w:t>
            </w:r>
            <w:r>
              <w:rPr>
                <w:rFonts w:hint="eastAsia" w:ascii="Times New Roman" w:hAnsi="Times New Roman" w:cs="Times New Roman" w:eastAsiaTheme="minorEastAsia"/>
                <w:sz w:val="24"/>
                <w:lang w:eastAsia="zh-CN"/>
              </w:rPr>
              <w:t>）</w:t>
            </w:r>
            <w:r>
              <w:rPr>
                <w:rFonts w:hint="eastAsia" w:ascii="Times New Roman" w:hAnsi="Times New Roman" w:cs="Times New Roman" w:eastAsiaTheme="minorEastAsia"/>
                <w:sz w:val="24"/>
              </w:rPr>
              <w:t>方案能保障质量、机械设备投入基本合理、技术措施基本有保障得7分；</w:t>
            </w:r>
          </w:p>
          <w:p w14:paraId="12FFCC12">
            <w:pPr>
              <w:ind w:firstLine="28"/>
              <w:jc w:val="left"/>
              <w:rPr>
                <w:rFonts w:hint="eastAsia" w:ascii="Times New Roman" w:hAnsi="Times New Roman" w:cs="Times New Roman" w:eastAsiaTheme="minorEastAsia"/>
                <w:sz w:val="24"/>
              </w:rPr>
            </w:pPr>
            <w:r>
              <w:rPr>
                <w:rFonts w:hint="eastAsia" w:ascii="Times New Roman" w:hAnsi="Times New Roman" w:cs="Times New Roman" w:eastAsiaTheme="minorEastAsia"/>
                <w:sz w:val="24"/>
              </w:rPr>
              <w:t>（3）方案较能保障质量、机械设备投入较合理、技术措施一般得4分；</w:t>
            </w:r>
          </w:p>
          <w:p w14:paraId="0171629D">
            <w:pPr>
              <w:ind w:firstLine="28"/>
              <w:jc w:val="left"/>
              <w:rPr>
                <w:rFonts w:hint="eastAsia" w:ascii="Times New Roman" w:hAnsi="Times New Roman" w:cs="Times New Roman" w:eastAsiaTheme="minorEastAsia"/>
                <w:sz w:val="24"/>
              </w:rPr>
            </w:pPr>
            <w:r>
              <w:rPr>
                <w:rFonts w:hint="eastAsia" w:ascii="Times New Roman" w:hAnsi="Times New Roman" w:cs="Times New Roman" w:eastAsiaTheme="minorEastAsia"/>
                <w:sz w:val="24"/>
              </w:rPr>
              <w:t>（4）方案不能保障质量、机械设备投入不合理、技术措施差得1分。</w:t>
            </w:r>
          </w:p>
          <w:p w14:paraId="0C96D656">
            <w:pPr>
              <w:ind w:firstLine="28"/>
              <w:jc w:val="left"/>
              <w:rPr>
                <w:rFonts w:hint="eastAsia" w:ascii="Times New Roman" w:hAnsi="Times New Roman" w:cs="Times New Roman" w:eastAsiaTheme="minorEastAsia"/>
                <w:sz w:val="24"/>
                <w:lang w:val="en-US" w:eastAsia="zh-CN"/>
              </w:rPr>
            </w:pPr>
            <w:r>
              <w:rPr>
                <w:rFonts w:hint="eastAsia" w:ascii="Times New Roman" w:hAnsi="Times New Roman" w:cs="Times New Roman" w:eastAsiaTheme="minorEastAsia"/>
                <w:sz w:val="24"/>
              </w:rPr>
              <w:t>（5）未提供得0分</w:t>
            </w:r>
            <w:r>
              <w:rPr>
                <w:rFonts w:hint="eastAsia" w:ascii="Times New Roman" w:hAnsi="Times New Roman" w:cs="Times New Roman" w:eastAsiaTheme="minorEastAsia"/>
                <w:sz w:val="24"/>
                <w:lang w:eastAsia="zh-CN"/>
              </w:rPr>
              <w:t>。</w:t>
            </w:r>
          </w:p>
        </w:tc>
        <w:tc>
          <w:tcPr>
            <w:tcW w:w="2149" w:type="dxa"/>
            <w:vAlign w:val="center"/>
          </w:tcPr>
          <w:p w14:paraId="3EEA1260">
            <w:pPr>
              <w:pStyle w:val="245"/>
              <w:spacing w:before="0" w:after="0" w:line="240" w:lineRule="auto"/>
              <w:rPr>
                <w:rFonts w:eastAsiaTheme="minorEastAsia"/>
                <w:szCs w:val="24"/>
              </w:rPr>
            </w:pPr>
          </w:p>
        </w:tc>
      </w:tr>
      <w:tr w14:paraId="069E5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35" w:type="dxa"/>
            <w:vMerge w:val="continue"/>
            <w:vAlign w:val="center"/>
          </w:tcPr>
          <w:p w14:paraId="2237C5D0">
            <w:pPr>
              <w:ind w:firstLine="28"/>
              <w:jc w:val="center"/>
              <w:rPr>
                <w:rFonts w:ascii="Times New Roman" w:hAnsi="Times New Roman" w:cs="Times New Roman" w:eastAsiaTheme="minorEastAsia"/>
                <w:sz w:val="24"/>
              </w:rPr>
            </w:pPr>
          </w:p>
        </w:tc>
        <w:tc>
          <w:tcPr>
            <w:tcW w:w="1462" w:type="dxa"/>
            <w:shd w:val="clear" w:color="auto" w:fill="auto"/>
            <w:vAlign w:val="center"/>
          </w:tcPr>
          <w:p w14:paraId="676228E4">
            <w:pPr>
              <w:ind w:firstLine="28"/>
              <w:jc w:val="center"/>
              <w:rPr>
                <w:rFonts w:hint="eastAsia" w:ascii="Times New Roman" w:hAnsi="Times New Roman" w:cs="Times New Roman" w:eastAsiaTheme="minorEastAsia"/>
                <w:sz w:val="24"/>
                <w:lang w:val="en-US" w:eastAsia="zh-CN"/>
              </w:rPr>
            </w:pPr>
            <w:r>
              <w:rPr>
                <w:rFonts w:hint="eastAsia" w:ascii="Times New Roman" w:hAnsi="Times New Roman" w:cs="Times New Roman" w:eastAsiaTheme="minorEastAsia"/>
                <w:sz w:val="24"/>
              </w:rPr>
              <w:t>质量保证</w:t>
            </w:r>
            <w:r>
              <w:rPr>
                <w:rFonts w:hint="eastAsia" w:ascii="Times New Roman" w:hAnsi="Times New Roman" w:cs="Times New Roman" w:eastAsiaTheme="minorEastAsia"/>
                <w:sz w:val="24"/>
                <w:lang w:val="en-US" w:eastAsia="zh-CN"/>
              </w:rPr>
              <w:t>措施（12分</w:t>
            </w:r>
            <w:r>
              <w:rPr>
                <w:rFonts w:hint="eastAsia" w:ascii="Times New Roman" w:hAnsi="Times New Roman" w:cs="Times New Roman" w:eastAsiaTheme="minorEastAsia"/>
                <w:sz w:val="24"/>
              </w:rPr>
              <w:t>）</w:t>
            </w:r>
          </w:p>
        </w:tc>
        <w:tc>
          <w:tcPr>
            <w:tcW w:w="913" w:type="dxa"/>
            <w:shd w:val="clear" w:color="auto" w:fill="auto"/>
            <w:vAlign w:val="center"/>
          </w:tcPr>
          <w:p w14:paraId="0FE60CF2">
            <w:pPr>
              <w:ind w:firstLine="28"/>
              <w:jc w:val="center"/>
              <w:rPr>
                <w:rFonts w:hint="eastAsia" w:ascii="Times New Roman" w:hAnsi="Times New Roman" w:cs="Times New Roman" w:eastAsiaTheme="minorEastAsia"/>
                <w:sz w:val="24"/>
                <w:lang w:val="en-US" w:eastAsia="zh-CN"/>
              </w:rPr>
            </w:pPr>
            <w:r>
              <w:rPr>
                <w:rFonts w:hint="eastAsia" w:ascii="Times New Roman" w:hAnsi="Times New Roman" w:cs="Times New Roman" w:eastAsiaTheme="minorEastAsia"/>
                <w:sz w:val="24"/>
              </w:rPr>
              <w:t>1</w:t>
            </w:r>
            <w:r>
              <w:rPr>
                <w:rFonts w:hint="eastAsia" w:ascii="Times New Roman" w:hAnsi="Times New Roman" w:cs="Times New Roman" w:eastAsiaTheme="minorEastAsia"/>
                <w:sz w:val="24"/>
                <w:lang w:val="en-US" w:eastAsia="zh-CN"/>
              </w:rPr>
              <w:t>2</w:t>
            </w:r>
          </w:p>
        </w:tc>
        <w:tc>
          <w:tcPr>
            <w:tcW w:w="4269" w:type="dxa"/>
            <w:shd w:val="clear" w:color="auto" w:fill="auto"/>
            <w:vAlign w:val="center"/>
          </w:tcPr>
          <w:p w14:paraId="45E0B3C7">
            <w:pPr>
              <w:ind w:firstLine="28"/>
              <w:jc w:val="left"/>
              <w:rPr>
                <w:rFonts w:hint="eastAsia" w:ascii="Times New Roman" w:hAnsi="Times New Roman" w:cs="Times New Roman" w:eastAsiaTheme="minorEastAsia"/>
                <w:sz w:val="24"/>
              </w:rPr>
            </w:pPr>
            <w:r>
              <w:rPr>
                <w:rFonts w:hint="eastAsia" w:ascii="Times New Roman" w:hAnsi="Times New Roman" w:cs="Times New Roman" w:eastAsiaTheme="minorEastAsia"/>
                <w:sz w:val="24"/>
              </w:rPr>
              <w:t>（1）该措施依据本项目编制，安全管理规范、保障措施详细可行、合理性强，得1</w:t>
            </w:r>
            <w:r>
              <w:rPr>
                <w:rFonts w:hint="eastAsia" w:ascii="Times New Roman" w:hAnsi="Times New Roman" w:cs="Times New Roman" w:eastAsiaTheme="minorEastAsia"/>
                <w:sz w:val="24"/>
                <w:lang w:val="en-US" w:eastAsia="zh-CN"/>
              </w:rPr>
              <w:t>2</w:t>
            </w:r>
            <w:r>
              <w:rPr>
                <w:rFonts w:hint="eastAsia" w:ascii="Times New Roman" w:hAnsi="Times New Roman" w:cs="Times New Roman" w:eastAsiaTheme="minorEastAsia"/>
                <w:sz w:val="24"/>
              </w:rPr>
              <w:t>分；</w:t>
            </w:r>
          </w:p>
          <w:p w14:paraId="3AB9A047">
            <w:pPr>
              <w:ind w:firstLine="28"/>
              <w:jc w:val="left"/>
              <w:rPr>
                <w:rFonts w:hint="eastAsia" w:ascii="Times New Roman" w:hAnsi="Times New Roman" w:cs="Times New Roman" w:eastAsiaTheme="minorEastAsia"/>
                <w:sz w:val="24"/>
              </w:rPr>
            </w:pPr>
            <w:r>
              <w:rPr>
                <w:rFonts w:hint="eastAsia" w:ascii="Times New Roman" w:hAnsi="Times New Roman" w:cs="Times New Roman" w:eastAsiaTheme="minorEastAsia"/>
                <w:sz w:val="24"/>
              </w:rPr>
              <w:t>（2）该措施依据本项目编制，安全管理规范、保障措施可行、较合理，得8分；</w:t>
            </w:r>
          </w:p>
          <w:p w14:paraId="200B2A56">
            <w:pPr>
              <w:ind w:firstLine="28"/>
              <w:jc w:val="left"/>
              <w:rPr>
                <w:rFonts w:hint="eastAsia" w:ascii="Times New Roman" w:hAnsi="Times New Roman" w:cs="Times New Roman" w:eastAsiaTheme="minorEastAsia"/>
                <w:sz w:val="24"/>
              </w:rPr>
            </w:pPr>
            <w:r>
              <w:rPr>
                <w:rFonts w:hint="eastAsia" w:ascii="Times New Roman" w:hAnsi="Times New Roman" w:cs="Times New Roman" w:eastAsiaTheme="minorEastAsia"/>
                <w:sz w:val="24"/>
              </w:rPr>
              <w:t>（3）该措施贴近本项目编制，安全管理较规范、保障措施可行性一般、合理性一般，得6分；</w:t>
            </w:r>
          </w:p>
          <w:p w14:paraId="577C9572">
            <w:pPr>
              <w:ind w:firstLine="28"/>
              <w:jc w:val="left"/>
              <w:rPr>
                <w:rFonts w:hint="eastAsia" w:ascii="Times New Roman" w:hAnsi="Times New Roman" w:cs="Times New Roman" w:eastAsiaTheme="minorEastAsia"/>
                <w:sz w:val="24"/>
              </w:rPr>
            </w:pPr>
            <w:r>
              <w:rPr>
                <w:rFonts w:hint="eastAsia" w:ascii="Times New Roman" w:hAnsi="Times New Roman" w:cs="Times New Roman" w:eastAsiaTheme="minorEastAsia"/>
                <w:sz w:val="24"/>
              </w:rPr>
              <w:t>（4）安全管理规范、保障措施差、基本满足要求，得4分；</w:t>
            </w:r>
          </w:p>
          <w:p w14:paraId="02DAB6A0">
            <w:pPr>
              <w:ind w:firstLine="28"/>
              <w:jc w:val="left"/>
              <w:rPr>
                <w:rFonts w:hint="eastAsia" w:ascii="Times New Roman" w:hAnsi="Times New Roman" w:cs="Times New Roman" w:eastAsiaTheme="minorEastAsia"/>
                <w:sz w:val="24"/>
              </w:rPr>
            </w:pPr>
            <w:r>
              <w:rPr>
                <w:rFonts w:hint="eastAsia" w:ascii="Times New Roman" w:hAnsi="Times New Roman" w:cs="Times New Roman" w:eastAsiaTheme="minorEastAsia"/>
                <w:sz w:val="24"/>
              </w:rPr>
              <w:t>（5）该措施未贴近本项目编制，安全管理不规范，保障措施很差，无法满足该项目要求得1分；</w:t>
            </w:r>
          </w:p>
          <w:p w14:paraId="0B4C72E8">
            <w:pPr>
              <w:ind w:firstLine="28"/>
              <w:jc w:val="left"/>
              <w:rPr>
                <w:rFonts w:hint="eastAsia" w:ascii="Times New Roman" w:hAnsi="Times New Roman" w:cs="Times New Roman" w:eastAsiaTheme="minorEastAsia"/>
                <w:sz w:val="24"/>
                <w:lang w:val="en-US" w:eastAsia="zh-CN"/>
              </w:rPr>
            </w:pPr>
            <w:r>
              <w:rPr>
                <w:rFonts w:hint="eastAsia" w:ascii="Times New Roman" w:hAnsi="Times New Roman" w:cs="Times New Roman" w:eastAsiaTheme="minorEastAsia"/>
                <w:sz w:val="24"/>
              </w:rPr>
              <w:t>（6）未提供不得分。</w:t>
            </w:r>
          </w:p>
        </w:tc>
        <w:tc>
          <w:tcPr>
            <w:tcW w:w="2149" w:type="dxa"/>
            <w:vAlign w:val="center"/>
          </w:tcPr>
          <w:p w14:paraId="0B75CB72">
            <w:pPr>
              <w:pStyle w:val="245"/>
              <w:spacing w:before="0" w:after="0" w:line="240" w:lineRule="auto"/>
              <w:rPr>
                <w:rFonts w:eastAsiaTheme="minorEastAsia"/>
                <w:szCs w:val="24"/>
              </w:rPr>
            </w:pPr>
          </w:p>
        </w:tc>
      </w:tr>
      <w:tr w14:paraId="646AE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35" w:type="dxa"/>
            <w:vMerge w:val="continue"/>
            <w:vAlign w:val="center"/>
          </w:tcPr>
          <w:p w14:paraId="4978FD0E">
            <w:pPr>
              <w:ind w:firstLine="28"/>
              <w:jc w:val="center"/>
              <w:rPr>
                <w:rFonts w:ascii="Times New Roman" w:hAnsi="Times New Roman" w:cs="Times New Roman" w:eastAsiaTheme="minorEastAsia"/>
                <w:sz w:val="24"/>
              </w:rPr>
            </w:pPr>
          </w:p>
        </w:tc>
        <w:tc>
          <w:tcPr>
            <w:tcW w:w="1462" w:type="dxa"/>
            <w:shd w:val="clear" w:color="auto" w:fill="auto"/>
            <w:vAlign w:val="center"/>
          </w:tcPr>
          <w:p w14:paraId="5CD16E4A">
            <w:pPr>
              <w:ind w:firstLine="28"/>
              <w:jc w:val="center"/>
              <w:rPr>
                <w:rFonts w:hint="eastAsia" w:ascii="Times New Roman" w:hAnsi="Times New Roman" w:cs="Times New Roman" w:eastAsiaTheme="minorEastAsia"/>
                <w:sz w:val="24"/>
                <w:lang w:val="en-US" w:eastAsia="zh-CN"/>
              </w:rPr>
            </w:pPr>
            <w:r>
              <w:rPr>
                <w:rFonts w:hint="eastAsia" w:ascii="Times New Roman" w:hAnsi="Times New Roman" w:eastAsiaTheme="minorEastAsia"/>
                <w:sz w:val="24"/>
                <w:szCs w:val="24"/>
              </w:rPr>
              <w:t>安全生产标准化</w:t>
            </w:r>
            <w:r>
              <w:rPr>
                <w:rFonts w:hint="eastAsia" w:ascii="Times New Roman" w:hAnsi="Times New Roman" w:cs="Times New Roman" w:eastAsiaTheme="minorEastAsia"/>
                <w:sz w:val="24"/>
              </w:rPr>
              <w:t>施工方案及保障措施(8分）</w:t>
            </w:r>
          </w:p>
        </w:tc>
        <w:tc>
          <w:tcPr>
            <w:tcW w:w="913" w:type="dxa"/>
            <w:shd w:val="clear" w:color="auto" w:fill="auto"/>
            <w:vAlign w:val="center"/>
          </w:tcPr>
          <w:p w14:paraId="62DD04CF">
            <w:pPr>
              <w:ind w:firstLine="28"/>
              <w:jc w:val="center"/>
              <w:rPr>
                <w:rFonts w:hint="eastAsia" w:ascii="Times New Roman" w:hAnsi="Times New Roman" w:cs="Times New Roman" w:eastAsiaTheme="minorEastAsia"/>
                <w:sz w:val="24"/>
                <w:lang w:val="en-US" w:eastAsia="zh-CN"/>
              </w:rPr>
            </w:pPr>
            <w:r>
              <w:rPr>
                <w:rFonts w:hint="eastAsia" w:ascii="Times New Roman" w:hAnsi="Times New Roman" w:cs="Times New Roman" w:eastAsiaTheme="minorEastAsia"/>
                <w:sz w:val="24"/>
              </w:rPr>
              <w:t>8</w:t>
            </w:r>
          </w:p>
        </w:tc>
        <w:tc>
          <w:tcPr>
            <w:tcW w:w="4269" w:type="dxa"/>
            <w:shd w:val="clear" w:color="auto" w:fill="auto"/>
            <w:vAlign w:val="center"/>
          </w:tcPr>
          <w:p w14:paraId="5A37BBE3">
            <w:pPr>
              <w:ind w:firstLine="28"/>
              <w:jc w:val="left"/>
              <w:rPr>
                <w:rFonts w:hint="eastAsia" w:ascii="Times New Roman" w:hAnsi="Times New Roman" w:cs="Times New Roman" w:eastAsiaTheme="minorEastAsia"/>
                <w:sz w:val="24"/>
              </w:rPr>
            </w:pPr>
            <w:r>
              <w:rPr>
                <w:rFonts w:hint="eastAsia" w:ascii="Times New Roman" w:hAnsi="Times New Roman" w:cs="Times New Roman" w:eastAsiaTheme="minorEastAsia"/>
                <w:sz w:val="24"/>
                <w:lang w:eastAsia="zh-CN"/>
              </w:rPr>
              <w:t>（</w:t>
            </w:r>
            <w:r>
              <w:rPr>
                <w:rFonts w:hint="eastAsia" w:ascii="Times New Roman" w:hAnsi="Times New Roman" w:cs="Times New Roman" w:eastAsiaTheme="minorEastAsia"/>
                <w:sz w:val="24"/>
                <w:lang w:val="en-US" w:eastAsia="zh-CN"/>
              </w:rPr>
              <w:t>1</w:t>
            </w:r>
            <w:r>
              <w:rPr>
                <w:rFonts w:hint="eastAsia" w:ascii="Times New Roman" w:hAnsi="Times New Roman" w:cs="Times New Roman" w:eastAsiaTheme="minorEastAsia"/>
                <w:sz w:val="24"/>
                <w:lang w:eastAsia="zh-CN"/>
              </w:rPr>
              <w:t>）</w:t>
            </w:r>
            <w:r>
              <w:rPr>
                <w:rFonts w:hint="eastAsia" w:ascii="Times New Roman" w:hAnsi="Times New Roman" w:cs="Times New Roman" w:eastAsiaTheme="minorEastAsia"/>
                <w:sz w:val="24"/>
              </w:rPr>
              <w:t>方案针对性强、措施科学、合理得8分；</w:t>
            </w:r>
          </w:p>
          <w:p w14:paraId="2BA6AF39">
            <w:pPr>
              <w:ind w:firstLine="28"/>
              <w:jc w:val="left"/>
              <w:rPr>
                <w:rFonts w:hint="eastAsia" w:ascii="Times New Roman" w:hAnsi="Times New Roman" w:cs="Times New Roman" w:eastAsiaTheme="minorEastAsia"/>
                <w:sz w:val="24"/>
              </w:rPr>
            </w:pPr>
            <w:r>
              <w:rPr>
                <w:rFonts w:hint="eastAsia" w:ascii="Times New Roman" w:hAnsi="Times New Roman" w:cs="Times New Roman" w:eastAsiaTheme="minorEastAsia"/>
                <w:sz w:val="24"/>
                <w:lang w:eastAsia="zh-CN"/>
              </w:rPr>
              <w:t>（</w:t>
            </w:r>
            <w:r>
              <w:rPr>
                <w:rFonts w:hint="eastAsia" w:ascii="Times New Roman" w:hAnsi="Times New Roman" w:cs="Times New Roman" w:eastAsiaTheme="minorEastAsia"/>
                <w:sz w:val="24"/>
                <w:lang w:val="en-US" w:eastAsia="zh-CN"/>
              </w:rPr>
              <w:t>2</w:t>
            </w:r>
            <w:r>
              <w:rPr>
                <w:rFonts w:hint="eastAsia" w:ascii="Times New Roman" w:hAnsi="Times New Roman" w:cs="Times New Roman" w:eastAsiaTheme="minorEastAsia"/>
                <w:sz w:val="24"/>
                <w:lang w:eastAsia="zh-CN"/>
              </w:rPr>
              <w:t>）</w:t>
            </w:r>
            <w:r>
              <w:rPr>
                <w:rFonts w:hint="eastAsia" w:ascii="Times New Roman" w:hAnsi="Times New Roman" w:cs="Times New Roman" w:eastAsiaTheme="minorEastAsia"/>
                <w:sz w:val="24"/>
              </w:rPr>
              <w:t>方案针对性较好、措施较科学、合理得5分；</w:t>
            </w:r>
          </w:p>
          <w:p w14:paraId="64A18C47">
            <w:pPr>
              <w:ind w:firstLine="28"/>
              <w:jc w:val="left"/>
              <w:rPr>
                <w:rFonts w:hint="eastAsia" w:ascii="Times New Roman" w:hAnsi="Times New Roman" w:cs="Times New Roman" w:eastAsiaTheme="minorEastAsia"/>
                <w:sz w:val="24"/>
              </w:rPr>
            </w:pPr>
            <w:r>
              <w:rPr>
                <w:rFonts w:hint="eastAsia" w:ascii="Times New Roman" w:hAnsi="Times New Roman" w:cs="Times New Roman" w:eastAsiaTheme="minorEastAsia"/>
                <w:sz w:val="24"/>
                <w:lang w:eastAsia="zh-CN"/>
              </w:rPr>
              <w:t>（</w:t>
            </w:r>
            <w:r>
              <w:rPr>
                <w:rFonts w:hint="eastAsia" w:ascii="Times New Roman" w:hAnsi="Times New Roman" w:cs="Times New Roman" w:eastAsiaTheme="minorEastAsia"/>
                <w:sz w:val="24"/>
                <w:lang w:val="en-US" w:eastAsia="zh-CN"/>
              </w:rPr>
              <w:t>3</w:t>
            </w:r>
            <w:r>
              <w:rPr>
                <w:rFonts w:hint="eastAsia" w:ascii="Times New Roman" w:hAnsi="Times New Roman" w:cs="Times New Roman" w:eastAsiaTheme="minorEastAsia"/>
                <w:sz w:val="24"/>
                <w:lang w:eastAsia="zh-CN"/>
              </w:rPr>
              <w:t>）</w:t>
            </w:r>
            <w:r>
              <w:rPr>
                <w:rFonts w:hint="eastAsia" w:ascii="Times New Roman" w:hAnsi="Times New Roman" w:cs="Times New Roman" w:eastAsiaTheme="minorEastAsia"/>
                <w:sz w:val="24"/>
              </w:rPr>
              <w:t>方案针对性一般、措施可行性一般得2分；</w:t>
            </w:r>
          </w:p>
          <w:p w14:paraId="537CBD8C">
            <w:pPr>
              <w:ind w:firstLine="28"/>
              <w:jc w:val="left"/>
              <w:rPr>
                <w:rFonts w:hint="eastAsia" w:ascii="Times New Roman" w:hAnsi="Times New Roman" w:cs="Times New Roman" w:eastAsiaTheme="minorEastAsia"/>
                <w:sz w:val="24"/>
                <w:lang w:val="en-US" w:eastAsia="zh-CN"/>
              </w:rPr>
            </w:pPr>
            <w:r>
              <w:rPr>
                <w:rFonts w:hint="eastAsia" w:ascii="Times New Roman" w:hAnsi="Times New Roman" w:cs="Times New Roman" w:eastAsiaTheme="minorEastAsia"/>
                <w:sz w:val="24"/>
                <w:lang w:eastAsia="zh-CN"/>
              </w:rPr>
              <w:t>（</w:t>
            </w:r>
            <w:r>
              <w:rPr>
                <w:rFonts w:hint="eastAsia" w:ascii="Times New Roman" w:hAnsi="Times New Roman" w:cs="Times New Roman" w:eastAsiaTheme="minorEastAsia"/>
                <w:sz w:val="24"/>
                <w:lang w:val="en-US" w:eastAsia="zh-CN"/>
              </w:rPr>
              <w:t>4</w:t>
            </w:r>
            <w:r>
              <w:rPr>
                <w:rFonts w:hint="eastAsia" w:ascii="Times New Roman" w:hAnsi="Times New Roman" w:cs="Times New Roman" w:eastAsiaTheme="minorEastAsia"/>
                <w:sz w:val="24"/>
                <w:lang w:eastAsia="zh-CN"/>
              </w:rPr>
              <w:t>）</w:t>
            </w:r>
            <w:r>
              <w:rPr>
                <w:rFonts w:hint="eastAsia" w:ascii="Times New Roman" w:hAnsi="Times New Roman" w:cs="Times New Roman" w:eastAsiaTheme="minorEastAsia"/>
                <w:sz w:val="24"/>
              </w:rPr>
              <w:t>方案针对性差，措施欠合理或未提供相关方案得0分。</w:t>
            </w:r>
          </w:p>
        </w:tc>
        <w:tc>
          <w:tcPr>
            <w:tcW w:w="2149" w:type="dxa"/>
            <w:vAlign w:val="center"/>
          </w:tcPr>
          <w:p w14:paraId="3AB01F7A">
            <w:pPr>
              <w:pStyle w:val="245"/>
              <w:spacing w:before="0" w:after="0" w:line="240" w:lineRule="auto"/>
              <w:rPr>
                <w:rFonts w:eastAsiaTheme="minorEastAsia"/>
                <w:szCs w:val="24"/>
              </w:rPr>
            </w:pPr>
          </w:p>
        </w:tc>
      </w:tr>
      <w:tr w14:paraId="6B5BB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35" w:type="dxa"/>
            <w:vMerge w:val="continue"/>
            <w:vAlign w:val="center"/>
          </w:tcPr>
          <w:p w14:paraId="037CE96A">
            <w:pPr>
              <w:ind w:firstLine="28"/>
              <w:jc w:val="center"/>
              <w:rPr>
                <w:rFonts w:ascii="Times New Roman" w:hAnsi="Times New Roman" w:cs="Times New Roman" w:eastAsiaTheme="minorEastAsia"/>
                <w:sz w:val="24"/>
              </w:rPr>
            </w:pPr>
          </w:p>
        </w:tc>
        <w:tc>
          <w:tcPr>
            <w:tcW w:w="1462" w:type="dxa"/>
            <w:shd w:val="clear" w:color="auto" w:fill="auto"/>
            <w:vAlign w:val="center"/>
          </w:tcPr>
          <w:p w14:paraId="3E17E061">
            <w:pPr>
              <w:ind w:firstLine="28"/>
              <w:jc w:val="center"/>
              <w:rPr>
                <w:rFonts w:hint="eastAsia" w:ascii="Times New Roman" w:hAnsi="Times New Roman" w:cs="Times New Roman" w:eastAsiaTheme="minorEastAsia"/>
                <w:sz w:val="24"/>
                <w:lang w:val="en-US" w:eastAsia="zh-CN"/>
              </w:rPr>
            </w:pPr>
            <w:r>
              <w:rPr>
                <w:rFonts w:hint="eastAsia" w:ascii="Times New Roman" w:hAnsi="Times New Roman" w:cs="Times New Roman" w:eastAsiaTheme="minorEastAsia"/>
                <w:sz w:val="24"/>
              </w:rPr>
              <w:t>工程进度计划及保障措施（</w:t>
            </w:r>
            <w:r>
              <w:rPr>
                <w:rFonts w:hint="eastAsia" w:ascii="Times New Roman" w:hAnsi="Times New Roman" w:cs="Times New Roman" w:eastAsiaTheme="minorEastAsia"/>
                <w:sz w:val="24"/>
                <w:lang w:val="en-US" w:eastAsia="zh-CN"/>
              </w:rPr>
              <w:t>8</w:t>
            </w:r>
            <w:r>
              <w:rPr>
                <w:rFonts w:hint="eastAsia" w:ascii="Times New Roman" w:hAnsi="Times New Roman" w:cs="Times New Roman" w:eastAsiaTheme="minorEastAsia"/>
                <w:sz w:val="24"/>
              </w:rPr>
              <w:t>分）</w:t>
            </w:r>
          </w:p>
        </w:tc>
        <w:tc>
          <w:tcPr>
            <w:tcW w:w="913" w:type="dxa"/>
            <w:shd w:val="clear" w:color="auto" w:fill="auto"/>
            <w:vAlign w:val="center"/>
          </w:tcPr>
          <w:p w14:paraId="139DAB51">
            <w:pPr>
              <w:ind w:firstLine="28"/>
              <w:jc w:val="center"/>
              <w:rPr>
                <w:rFonts w:hint="eastAsia" w:ascii="Times New Roman" w:hAnsi="Times New Roman" w:cs="Times New Roman" w:eastAsiaTheme="minorEastAsia"/>
                <w:sz w:val="24"/>
                <w:lang w:val="en-US" w:eastAsia="zh-CN"/>
              </w:rPr>
            </w:pPr>
            <w:r>
              <w:rPr>
                <w:rFonts w:hint="eastAsia" w:ascii="Times New Roman" w:hAnsi="Times New Roman" w:cs="Times New Roman" w:eastAsiaTheme="minorEastAsia"/>
                <w:sz w:val="24"/>
                <w:lang w:val="en-US" w:eastAsia="zh-CN"/>
              </w:rPr>
              <w:t>8</w:t>
            </w:r>
          </w:p>
        </w:tc>
        <w:tc>
          <w:tcPr>
            <w:tcW w:w="4269" w:type="dxa"/>
            <w:shd w:val="clear" w:color="auto" w:fill="auto"/>
            <w:vAlign w:val="center"/>
          </w:tcPr>
          <w:p w14:paraId="4B106DED">
            <w:pPr>
              <w:ind w:firstLine="28"/>
              <w:jc w:val="left"/>
              <w:rPr>
                <w:rFonts w:hint="eastAsia" w:ascii="Times New Roman" w:hAnsi="Times New Roman" w:cs="Times New Roman" w:eastAsiaTheme="minorEastAsia"/>
                <w:sz w:val="24"/>
              </w:rPr>
            </w:pPr>
            <w:r>
              <w:rPr>
                <w:rFonts w:hint="eastAsia" w:ascii="Times New Roman" w:hAnsi="Times New Roman" w:cs="Times New Roman" w:eastAsiaTheme="minorEastAsia"/>
                <w:sz w:val="24"/>
              </w:rPr>
              <w:t>（1）计划合理，措施有力，有针对性得</w:t>
            </w:r>
            <w:r>
              <w:rPr>
                <w:rFonts w:hint="eastAsia" w:ascii="Times New Roman" w:hAnsi="Times New Roman" w:cs="Times New Roman" w:eastAsiaTheme="minorEastAsia"/>
                <w:sz w:val="24"/>
                <w:lang w:val="en-US" w:eastAsia="zh-CN"/>
              </w:rPr>
              <w:t>8</w:t>
            </w:r>
            <w:r>
              <w:rPr>
                <w:rFonts w:hint="eastAsia" w:ascii="Times New Roman" w:hAnsi="Times New Roman" w:cs="Times New Roman" w:eastAsiaTheme="minorEastAsia"/>
                <w:sz w:val="24"/>
              </w:rPr>
              <w:t>分；</w:t>
            </w:r>
          </w:p>
          <w:p w14:paraId="5CF2FCD3">
            <w:pPr>
              <w:ind w:firstLine="28"/>
              <w:jc w:val="left"/>
              <w:rPr>
                <w:rFonts w:hint="eastAsia" w:ascii="Times New Roman" w:hAnsi="Times New Roman" w:cs="Times New Roman" w:eastAsiaTheme="minorEastAsia"/>
                <w:sz w:val="24"/>
              </w:rPr>
            </w:pPr>
            <w:r>
              <w:rPr>
                <w:rFonts w:hint="eastAsia" w:ascii="Times New Roman" w:hAnsi="Times New Roman" w:cs="Times New Roman" w:eastAsiaTheme="minorEastAsia"/>
                <w:sz w:val="24"/>
              </w:rPr>
              <w:t>（2）计划较合理，措施力度较得当得5分；</w:t>
            </w:r>
          </w:p>
          <w:p w14:paraId="3CB39CE3">
            <w:pPr>
              <w:ind w:firstLine="28"/>
              <w:jc w:val="left"/>
              <w:rPr>
                <w:rFonts w:hint="eastAsia" w:ascii="Times New Roman" w:hAnsi="Times New Roman" w:cs="Times New Roman" w:eastAsiaTheme="minorEastAsia"/>
                <w:sz w:val="24"/>
              </w:rPr>
            </w:pPr>
            <w:r>
              <w:rPr>
                <w:rFonts w:hint="eastAsia" w:ascii="Times New Roman" w:hAnsi="Times New Roman" w:cs="Times New Roman" w:eastAsiaTheme="minorEastAsia"/>
                <w:sz w:val="24"/>
              </w:rPr>
              <w:t>（3）计划基本合理，措施力度基本得当得3分；</w:t>
            </w:r>
          </w:p>
          <w:p w14:paraId="0A48BC0C">
            <w:pPr>
              <w:ind w:firstLine="28"/>
              <w:jc w:val="left"/>
              <w:rPr>
                <w:rFonts w:hint="eastAsia" w:ascii="Times New Roman" w:hAnsi="Times New Roman" w:cs="Times New Roman" w:eastAsiaTheme="minorEastAsia"/>
                <w:sz w:val="24"/>
                <w:lang w:val="en-US" w:eastAsia="zh-CN"/>
              </w:rPr>
            </w:pPr>
            <w:r>
              <w:rPr>
                <w:rFonts w:hint="eastAsia" w:ascii="Times New Roman" w:hAnsi="Times New Roman" w:cs="Times New Roman" w:eastAsiaTheme="minorEastAsia"/>
                <w:sz w:val="24"/>
              </w:rPr>
              <w:t>（4）欠合理或未提供相关方案得0分。</w:t>
            </w:r>
          </w:p>
        </w:tc>
        <w:tc>
          <w:tcPr>
            <w:tcW w:w="2149" w:type="dxa"/>
            <w:vAlign w:val="center"/>
          </w:tcPr>
          <w:p w14:paraId="03B729D6">
            <w:pPr>
              <w:pStyle w:val="245"/>
              <w:spacing w:before="0" w:after="0" w:line="240" w:lineRule="auto"/>
              <w:rPr>
                <w:rFonts w:eastAsiaTheme="minorEastAsia"/>
                <w:szCs w:val="24"/>
              </w:rPr>
            </w:pPr>
          </w:p>
        </w:tc>
      </w:tr>
      <w:tr w14:paraId="745CC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35" w:type="dxa"/>
            <w:vMerge w:val="continue"/>
            <w:vAlign w:val="center"/>
          </w:tcPr>
          <w:p w14:paraId="608F374D">
            <w:pPr>
              <w:ind w:firstLine="28"/>
              <w:jc w:val="center"/>
              <w:rPr>
                <w:rFonts w:ascii="Times New Roman" w:hAnsi="Times New Roman" w:cs="Times New Roman" w:eastAsiaTheme="minorEastAsia"/>
                <w:sz w:val="24"/>
              </w:rPr>
            </w:pPr>
          </w:p>
        </w:tc>
        <w:tc>
          <w:tcPr>
            <w:tcW w:w="1462" w:type="dxa"/>
            <w:shd w:val="clear" w:color="auto" w:fill="auto"/>
            <w:vAlign w:val="center"/>
          </w:tcPr>
          <w:p w14:paraId="5B56815C">
            <w:pPr>
              <w:ind w:firstLine="28"/>
              <w:jc w:val="center"/>
              <w:rPr>
                <w:rFonts w:hint="eastAsia" w:ascii="Times New Roman" w:hAnsi="Times New Roman" w:cs="Times New Roman" w:eastAsiaTheme="minorEastAsia"/>
                <w:sz w:val="24"/>
                <w:lang w:val="en-US" w:eastAsia="zh-CN"/>
              </w:rPr>
            </w:pPr>
            <w:r>
              <w:rPr>
                <w:rFonts w:hint="eastAsia" w:ascii="Times New Roman" w:hAnsi="Times New Roman" w:cs="Times New Roman" w:eastAsiaTheme="minorEastAsia"/>
                <w:sz w:val="24"/>
              </w:rPr>
              <w:t>施工现场总平面布置（6分）</w:t>
            </w:r>
          </w:p>
        </w:tc>
        <w:tc>
          <w:tcPr>
            <w:tcW w:w="913" w:type="dxa"/>
            <w:shd w:val="clear" w:color="auto" w:fill="auto"/>
            <w:vAlign w:val="center"/>
          </w:tcPr>
          <w:p w14:paraId="7174C0CF">
            <w:pPr>
              <w:ind w:firstLine="28"/>
              <w:jc w:val="center"/>
              <w:rPr>
                <w:rFonts w:hint="eastAsia" w:ascii="Times New Roman" w:hAnsi="Times New Roman" w:cs="Times New Roman" w:eastAsiaTheme="minorEastAsia"/>
                <w:sz w:val="24"/>
                <w:lang w:val="en-US" w:eastAsia="zh-CN"/>
              </w:rPr>
            </w:pPr>
            <w:r>
              <w:rPr>
                <w:rFonts w:hint="eastAsia" w:ascii="Times New Roman" w:hAnsi="Times New Roman" w:cs="Times New Roman" w:eastAsiaTheme="minorEastAsia"/>
                <w:sz w:val="24"/>
              </w:rPr>
              <w:t>6</w:t>
            </w:r>
          </w:p>
        </w:tc>
        <w:tc>
          <w:tcPr>
            <w:tcW w:w="4269" w:type="dxa"/>
            <w:shd w:val="clear" w:color="auto" w:fill="auto"/>
            <w:vAlign w:val="center"/>
          </w:tcPr>
          <w:p w14:paraId="4224E6B9">
            <w:pPr>
              <w:ind w:firstLine="28"/>
              <w:jc w:val="left"/>
              <w:rPr>
                <w:rFonts w:hint="eastAsia" w:ascii="Times New Roman" w:hAnsi="Times New Roman" w:cs="Times New Roman" w:eastAsiaTheme="minorEastAsia"/>
                <w:sz w:val="24"/>
              </w:rPr>
            </w:pPr>
            <w:r>
              <w:rPr>
                <w:rFonts w:hint="eastAsia" w:ascii="Times New Roman" w:hAnsi="Times New Roman" w:cs="Times New Roman" w:eastAsiaTheme="minorEastAsia"/>
                <w:sz w:val="24"/>
              </w:rPr>
              <w:t>（1）现场平面布置合理,交通组织,材料存放满足施工要求得6分；</w:t>
            </w:r>
          </w:p>
          <w:p w14:paraId="1A995BF6">
            <w:pPr>
              <w:ind w:firstLine="28"/>
              <w:jc w:val="left"/>
              <w:rPr>
                <w:rFonts w:hint="eastAsia" w:ascii="Times New Roman" w:hAnsi="Times New Roman" w:cs="Times New Roman" w:eastAsiaTheme="minorEastAsia"/>
                <w:sz w:val="24"/>
              </w:rPr>
            </w:pPr>
            <w:r>
              <w:rPr>
                <w:rFonts w:hint="eastAsia" w:ascii="Times New Roman" w:hAnsi="Times New Roman" w:cs="Times New Roman" w:eastAsiaTheme="minorEastAsia"/>
                <w:sz w:val="24"/>
              </w:rPr>
              <w:t>（2）现场平面布置较合理、交通组织,材料存放一般满足施工要求得4分；</w:t>
            </w:r>
          </w:p>
          <w:p w14:paraId="1CAA355A">
            <w:pPr>
              <w:ind w:firstLine="28"/>
              <w:jc w:val="left"/>
              <w:rPr>
                <w:rFonts w:hint="eastAsia" w:ascii="Times New Roman" w:hAnsi="Times New Roman" w:cs="Times New Roman" w:eastAsiaTheme="minorEastAsia"/>
                <w:sz w:val="24"/>
              </w:rPr>
            </w:pPr>
            <w:r>
              <w:rPr>
                <w:rFonts w:hint="eastAsia" w:ascii="Times New Roman" w:hAnsi="Times New Roman" w:cs="Times New Roman" w:eastAsiaTheme="minorEastAsia"/>
                <w:sz w:val="24"/>
              </w:rPr>
              <w:t>（3）现场平面布置一般、交通组织,材料存放较差得2分；</w:t>
            </w:r>
          </w:p>
          <w:p w14:paraId="2F61A714">
            <w:pPr>
              <w:ind w:firstLine="28"/>
              <w:jc w:val="left"/>
              <w:rPr>
                <w:rFonts w:hint="eastAsia" w:ascii="Times New Roman" w:hAnsi="Times New Roman" w:cs="Times New Roman" w:eastAsiaTheme="minorEastAsia"/>
                <w:sz w:val="24"/>
              </w:rPr>
            </w:pPr>
            <w:r>
              <w:rPr>
                <w:rFonts w:hint="eastAsia" w:ascii="Times New Roman" w:hAnsi="Times New Roman" w:cs="Times New Roman" w:eastAsiaTheme="minorEastAsia"/>
                <w:sz w:val="24"/>
              </w:rPr>
              <w:t>（4）现场平面布置欠完善或不可行得1分；</w:t>
            </w:r>
          </w:p>
          <w:p w14:paraId="3B6653F1">
            <w:pPr>
              <w:ind w:firstLine="28"/>
              <w:jc w:val="left"/>
              <w:rPr>
                <w:rFonts w:hint="eastAsia" w:ascii="Times New Roman" w:hAnsi="Times New Roman" w:cs="Times New Roman" w:eastAsiaTheme="minorEastAsia"/>
                <w:sz w:val="24"/>
                <w:lang w:val="en-US" w:eastAsia="zh-CN"/>
              </w:rPr>
            </w:pPr>
            <w:r>
              <w:rPr>
                <w:rFonts w:hint="eastAsia" w:ascii="Times New Roman" w:hAnsi="Times New Roman" w:cs="Times New Roman" w:eastAsiaTheme="minorEastAsia"/>
                <w:sz w:val="24"/>
              </w:rPr>
              <w:t>（5）未提供得0分。</w:t>
            </w:r>
          </w:p>
        </w:tc>
        <w:tc>
          <w:tcPr>
            <w:tcW w:w="2149" w:type="dxa"/>
            <w:vAlign w:val="center"/>
          </w:tcPr>
          <w:p w14:paraId="2B8314FD">
            <w:pPr>
              <w:pStyle w:val="245"/>
              <w:spacing w:before="0" w:after="0" w:line="240" w:lineRule="auto"/>
              <w:rPr>
                <w:rFonts w:eastAsiaTheme="minorEastAsia"/>
                <w:szCs w:val="24"/>
              </w:rPr>
            </w:pPr>
          </w:p>
        </w:tc>
      </w:tr>
      <w:tr w14:paraId="4ED7E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Merge w:val="continue"/>
            <w:vAlign w:val="center"/>
          </w:tcPr>
          <w:p w14:paraId="691107B4">
            <w:pPr>
              <w:ind w:firstLine="28"/>
              <w:jc w:val="center"/>
              <w:rPr>
                <w:rFonts w:ascii="Times New Roman" w:hAnsi="Times New Roman" w:cs="Times New Roman" w:eastAsiaTheme="minorEastAsia"/>
                <w:sz w:val="24"/>
              </w:rPr>
            </w:pPr>
          </w:p>
        </w:tc>
        <w:tc>
          <w:tcPr>
            <w:tcW w:w="1462" w:type="dxa"/>
            <w:shd w:val="clear" w:color="auto" w:fill="auto"/>
            <w:vAlign w:val="center"/>
          </w:tcPr>
          <w:p w14:paraId="09E82EF0">
            <w:pPr>
              <w:ind w:firstLine="28"/>
              <w:jc w:val="center"/>
              <w:rPr>
                <w:rFonts w:hint="eastAsia" w:ascii="Times New Roman" w:hAnsi="Times New Roman" w:cs="Times New Roman" w:eastAsiaTheme="minorEastAsia"/>
                <w:sz w:val="24"/>
                <w:lang w:val="en-US" w:eastAsia="zh-CN"/>
              </w:rPr>
            </w:pPr>
            <w:r>
              <w:rPr>
                <w:rFonts w:hint="eastAsia" w:ascii="Times New Roman" w:hAnsi="Times New Roman" w:cs="Times New Roman" w:eastAsiaTheme="minorEastAsia"/>
                <w:sz w:val="24"/>
              </w:rPr>
              <w:t>材料设备选用</w:t>
            </w:r>
            <w:r>
              <w:rPr>
                <w:rFonts w:hint="eastAsia" w:ascii="Times New Roman" w:hAnsi="Times New Roman" w:cs="Times New Roman" w:eastAsiaTheme="minorEastAsia"/>
                <w:sz w:val="24"/>
                <w:lang w:val="en-US" w:eastAsia="zh-CN"/>
              </w:rPr>
              <w:t>（8分）</w:t>
            </w:r>
          </w:p>
        </w:tc>
        <w:tc>
          <w:tcPr>
            <w:tcW w:w="913" w:type="dxa"/>
            <w:shd w:val="clear" w:color="auto" w:fill="auto"/>
            <w:vAlign w:val="center"/>
          </w:tcPr>
          <w:p w14:paraId="19AFF34A">
            <w:pPr>
              <w:ind w:firstLine="28"/>
              <w:jc w:val="center"/>
              <w:rPr>
                <w:rFonts w:hint="eastAsia" w:ascii="Times New Roman" w:hAnsi="Times New Roman" w:cs="Times New Roman" w:eastAsiaTheme="minorEastAsia"/>
                <w:sz w:val="24"/>
                <w:lang w:val="en-US" w:eastAsia="zh-CN"/>
              </w:rPr>
            </w:pPr>
            <w:r>
              <w:rPr>
                <w:rFonts w:hint="eastAsia" w:ascii="Times New Roman" w:hAnsi="Times New Roman" w:cs="Times New Roman" w:eastAsiaTheme="minorEastAsia"/>
                <w:sz w:val="24"/>
              </w:rPr>
              <w:t>8</w:t>
            </w:r>
          </w:p>
        </w:tc>
        <w:tc>
          <w:tcPr>
            <w:tcW w:w="4269" w:type="dxa"/>
            <w:shd w:val="clear" w:color="auto" w:fill="auto"/>
            <w:vAlign w:val="center"/>
          </w:tcPr>
          <w:p w14:paraId="474C5825">
            <w:pPr>
              <w:ind w:firstLine="28"/>
              <w:jc w:val="left"/>
              <w:rPr>
                <w:rFonts w:hint="eastAsia" w:ascii="Times New Roman" w:hAnsi="Times New Roman" w:cs="Times New Roman" w:eastAsiaTheme="minorEastAsia"/>
                <w:sz w:val="24"/>
              </w:rPr>
            </w:pPr>
            <w:r>
              <w:rPr>
                <w:rFonts w:hint="eastAsia" w:ascii="Times New Roman" w:hAnsi="Times New Roman" w:cs="Times New Roman" w:eastAsiaTheme="minorEastAsia"/>
                <w:sz w:val="24"/>
              </w:rPr>
              <w:t>（1）</w:t>
            </w:r>
            <w:r>
              <w:rPr>
                <w:rFonts w:hint="eastAsia" w:ascii="Times New Roman" w:hAnsi="Times New Roman" w:cs="Times New Roman" w:eastAsiaTheme="minorEastAsia"/>
                <w:sz w:val="24"/>
                <w:lang w:val="en-US" w:eastAsia="zh-CN"/>
              </w:rPr>
              <w:t>材料设备品牌质量好</w:t>
            </w:r>
            <w:r>
              <w:rPr>
                <w:rFonts w:hint="eastAsia" w:ascii="Times New Roman" w:hAnsi="Times New Roman" w:cs="Times New Roman" w:eastAsiaTheme="minorEastAsia"/>
                <w:sz w:val="24"/>
              </w:rPr>
              <w:t>、符合标准、安全可靠、性价比高得8分；</w:t>
            </w:r>
          </w:p>
          <w:p w14:paraId="20F80264">
            <w:pPr>
              <w:ind w:firstLine="28"/>
              <w:jc w:val="left"/>
              <w:rPr>
                <w:rFonts w:hint="eastAsia" w:ascii="Times New Roman" w:hAnsi="Times New Roman" w:cs="Times New Roman" w:eastAsiaTheme="minorEastAsia"/>
                <w:sz w:val="24"/>
              </w:rPr>
            </w:pPr>
            <w:r>
              <w:rPr>
                <w:rFonts w:hint="eastAsia" w:ascii="Times New Roman" w:hAnsi="Times New Roman" w:cs="Times New Roman" w:eastAsiaTheme="minorEastAsia"/>
                <w:sz w:val="24"/>
              </w:rPr>
              <w:t>（2）</w:t>
            </w:r>
            <w:r>
              <w:rPr>
                <w:rFonts w:hint="eastAsia" w:ascii="Times New Roman" w:hAnsi="Times New Roman" w:cs="Times New Roman" w:eastAsiaTheme="minorEastAsia"/>
                <w:sz w:val="24"/>
                <w:lang w:val="en-US" w:eastAsia="zh-CN"/>
              </w:rPr>
              <w:t>材料设备品牌质量好</w:t>
            </w:r>
            <w:r>
              <w:rPr>
                <w:rFonts w:hint="eastAsia" w:ascii="Times New Roman" w:hAnsi="Times New Roman" w:cs="Times New Roman" w:eastAsiaTheme="minorEastAsia"/>
                <w:sz w:val="24"/>
              </w:rPr>
              <w:t>、安全性方面较好、性价比较高得5分 ；</w:t>
            </w:r>
          </w:p>
          <w:p w14:paraId="1B28AE44">
            <w:pPr>
              <w:ind w:firstLine="28"/>
              <w:jc w:val="left"/>
              <w:rPr>
                <w:rFonts w:hint="eastAsia" w:ascii="Times New Roman" w:hAnsi="Times New Roman" w:cs="Times New Roman" w:eastAsiaTheme="minorEastAsia"/>
                <w:sz w:val="24"/>
              </w:rPr>
            </w:pPr>
            <w:r>
              <w:rPr>
                <w:rFonts w:hint="eastAsia" w:ascii="Times New Roman" w:hAnsi="Times New Roman" w:cs="Times New Roman" w:eastAsiaTheme="minorEastAsia"/>
                <w:sz w:val="24"/>
              </w:rPr>
              <w:t>（3）</w:t>
            </w:r>
            <w:r>
              <w:rPr>
                <w:rFonts w:hint="eastAsia" w:ascii="Times New Roman" w:hAnsi="Times New Roman" w:cs="Times New Roman" w:eastAsiaTheme="minorEastAsia"/>
                <w:sz w:val="24"/>
                <w:lang w:val="en-US" w:eastAsia="zh-CN"/>
              </w:rPr>
              <w:t>材料设备品牌质量一般</w:t>
            </w:r>
            <w:r>
              <w:rPr>
                <w:rFonts w:hint="eastAsia" w:ascii="Times New Roman" w:hAnsi="Times New Roman" w:cs="Times New Roman" w:eastAsiaTheme="minorEastAsia"/>
                <w:sz w:val="24"/>
              </w:rPr>
              <w:t>、安全性方面一般、性价比一般，基本满足要求得3分；</w:t>
            </w:r>
          </w:p>
          <w:p w14:paraId="00B64798">
            <w:pPr>
              <w:ind w:firstLine="28"/>
              <w:jc w:val="left"/>
              <w:rPr>
                <w:rFonts w:hint="eastAsia" w:ascii="Times New Roman" w:hAnsi="Times New Roman" w:cs="Times New Roman" w:eastAsiaTheme="minorEastAsia"/>
                <w:sz w:val="24"/>
              </w:rPr>
            </w:pPr>
            <w:r>
              <w:rPr>
                <w:rFonts w:hint="eastAsia" w:ascii="Times New Roman" w:hAnsi="Times New Roman" w:cs="Times New Roman" w:eastAsiaTheme="minorEastAsia"/>
                <w:sz w:val="24"/>
              </w:rPr>
              <w:t>（4）</w:t>
            </w:r>
            <w:r>
              <w:rPr>
                <w:rFonts w:hint="eastAsia" w:ascii="Times New Roman" w:hAnsi="Times New Roman" w:cs="Times New Roman" w:eastAsiaTheme="minorEastAsia"/>
                <w:sz w:val="24"/>
                <w:lang w:val="en-US" w:eastAsia="zh-CN"/>
              </w:rPr>
              <w:t>材料设备品牌质量</w:t>
            </w:r>
            <w:r>
              <w:rPr>
                <w:rFonts w:hint="eastAsia" w:ascii="Times New Roman" w:hAnsi="Times New Roman" w:cs="Times New Roman" w:eastAsiaTheme="minorEastAsia"/>
                <w:sz w:val="24"/>
              </w:rPr>
              <w:t>差、安全性方面差、性价比差，不满足要求得1分；</w:t>
            </w:r>
          </w:p>
          <w:p w14:paraId="2755D822">
            <w:pPr>
              <w:ind w:firstLine="28"/>
              <w:jc w:val="left"/>
              <w:rPr>
                <w:rFonts w:hint="eastAsia" w:ascii="Times New Roman" w:hAnsi="Times New Roman" w:cs="Times New Roman" w:eastAsiaTheme="minorEastAsia"/>
                <w:sz w:val="24"/>
                <w:lang w:val="en-US" w:eastAsia="zh-CN"/>
              </w:rPr>
            </w:pPr>
            <w:r>
              <w:rPr>
                <w:rFonts w:hint="eastAsia" w:ascii="Times New Roman" w:hAnsi="Times New Roman" w:cs="Times New Roman" w:eastAsiaTheme="minorEastAsia"/>
                <w:sz w:val="24"/>
              </w:rPr>
              <w:t>（5）未提供得0分。</w:t>
            </w:r>
          </w:p>
        </w:tc>
        <w:tc>
          <w:tcPr>
            <w:tcW w:w="2149" w:type="dxa"/>
            <w:vAlign w:val="center"/>
          </w:tcPr>
          <w:p w14:paraId="5C6CA3E2">
            <w:pPr>
              <w:pStyle w:val="245"/>
              <w:spacing w:before="0" w:after="0" w:line="240" w:lineRule="auto"/>
              <w:rPr>
                <w:rFonts w:eastAsiaTheme="minorEastAsia"/>
                <w:szCs w:val="24"/>
              </w:rPr>
            </w:pPr>
          </w:p>
        </w:tc>
      </w:tr>
      <w:tr w14:paraId="2721D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14:paraId="6396EAD8">
            <w:pPr>
              <w:ind w:firstLine="28"/>
              <w:jc w:val="center"/>
              <w:rPr>
                <w:rFonts w:hint="default" w:eastAsiaTheme="minorEastAsia"/>
                <w:sz w:val="24"/>
                <w:lang w:val="en-US" w:eastAsia="zh-CN"/>
              </w:rPr>
            </w:pPr>
            <w:r>
              <w:rPr>
                <w:rFonts w:hint="eastAsia" w:eastAsiaTheme="minorEastAsia"/>
                <w:sz w:val="24"/>
                <w:lang w:val="en-US" w:eastAsia="zh-CN"/>
              </w:rPr>
              <w:t>30</w:t>
            </w:r>
          </w:p>
        </w:tc>
        <w:tc>
          <w:tcPr>
            <w:tcW w:w="1462" w:type="dxa"/>
            <w:vAlign w:val="center"/>
          </w:tcPr>
          <w:p w14:paraId="65ECF9A6">
            <w:pPr>
              <w:ind w:firstLine="28"/>
              <w:jc w:val="center"/>
              <w:rPr>
                <w:rFonts w:eastAsiaTheme="minorEastAsia"/>
                <w:sz w:val="24"/>
              </w:rPr>
            </w:pPr>
            <w:r>
              <w:rPr>
                <w:rFonts w:eastAsiaTheme="minorEastAsia"/>
                <w:sz w:val="24"/>
              </w:rPr>
              <w:t>报价</w:t>
            </w:r>
          </w:p>
        </w:tc>
        <w:tc>
          <w:tcPr>
            <w:tcW w:w="913" w:type="dxa"/>
            <w:vAlign w:val="center"/>
          </w:tcPr>
          <w:p w14:paraId="4F324E3D">
            <w:pPr>
              <w:ind w:firstLine="28"/>
              <w:jc w:val="center"/>
              <w:rPr>
                <w:rFonts w:hint="default" w:eastAsiaTheme="minorEastAsia"/>
                <w:sz w:val="24"/>
                <w:lang w:val="en-US" w:eastAsia="zh-CN"/>
              </w:rPr>
            </w:pPr>
            <w:r>
              <w:rPr>
                <w:rFonts w:hint="eastAsia" w:eastAsiaTheme="minorEastAsia"/>
                <w:sz w:val="24"/>
                <w:lang w:val="en-US" w:eastAsia="zh-CN"/>
              </w:rPr>
              <w:t>30</w:t>
            </w:r>
          </w:p>
        </w:tc>
        <w:tc>
          <w:tcPr>
            <w:tcW w:w="4269" w:type="dxa"/>
            <w:vAlign w:val="center"/>
          </w:tcPr>
          <w:p w14:paraId="626772EC">
            <w:pPr>
              <w:ind w:firstLine="28"/>
              <w:jc w:val="left"/>
              <w:rPr>
                <w:rFonts w:eastAsiaTheme="minorEastAsia"/>
                <w:sz w:val="24"/>
              </w:rPr>
            </w:pPr>
            <w:r>
              <w:rPr>
                <w:rFonts w:eastAsiaTheme="minorEastAsia"/>
                <w:sz w:val="24"/>
              </w:rPr>
              <w:t>满足磋商文件要求的最后报价最低的供应商的价格为磋商基准价，其价格分为满分。其他供应商的价格分统一按照下列公式计算：</w:t>
            </w:r>
          </w:p>
          <w:p w14:paraId="3ACA8A8D">
            <w:pPr>
              <w:ind w:firstLine="28"/>
              <w:jc w:val="left"/>
              <w:rPr>
                <w:rFonts w:eastAsiaTheme="minorEastAsia"/>
                <w:sz w:val="24"/>
              </w:rPr>
            </w:pPr>
            <w:r>
              <w:rPr>
                <w:rFonts w:eastAsiaTheme="minorEastAsia"/>
                <w:sz w:val="24"/>
              </w:rPr>
              <w:t>磋商报价得分=（磋商基准价/最后报价）×分值</w:t>
            </w:r>
          </w:p>
        </w:tc>
        <w:tc>
          <w:tcPr>
            <w:tcW w:w="2149" w:type="dxa"/>
            <w:vAlign w:val="center"/>
          </w:tcPr>
          <w:p w14:paraId="0732137A">
            <w:pPr>
              <w:ind w:left="-38"/>
              <w:rPr>
                <w:rFonts w:eastAsiaTheme="minorEastAsia"/>
                <w:sz w:val="24"/>
              </w:rPr>
            </w:pPr>
            <w:r>
              <w:rPr>
                <w:rFonts w:eastAsiaTheme="minorEastAsia"/>
                <w:sz w:val="24"/>
              </w:rPr>
              <w:t>此处最后报价指经过报价修正，及因落实政府采购政策进行价格调整后的报价，详见第三章《评审方法和评审标准》3.2、3.3</w:t>
            </w:r>
          </w:p>
        </w:tc>
      </w:tr>
      <w:tr w14:paraId="1E795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gridSpan w:val="2"/>
            <w:vAlign w:val="center"/>
          </w:tcPr>
          <w:p w14:paraId="73A8275B">
            <w:pPr>
              <w:ind w:firstLine="28"/>
              <w:jc w:val="center"/>
              <w:rPr>
                <w:rFonts w:eastAsiaTheme="minorEastAsia"/>
                <w:sz w:val="24"/>
              </w:rPr>
            </w:pPr>
            <w:r>
              <w:rPr>
                <w:rFonts w:eastAsiaTheme="minorEastAsia"/>
                <w:sz w:val="24"/>
              </w:rPr>
              <w:t>合计</w:t>
            </w:r>
          </w:p>
        </w:tc>
        <w:tc>
          <w:tcPr>
            <w:tcW w:w="913" w:type="dxa"/>
            <w:vAlign w:val="center"/>
          </w:tcPr>
          <w:p w14:paraId="14FAC51F">
            <w:pPr>
              <w:ind w:firstLine="28"/>
              <w:jc w:val="center"/>
              <w:rPr>
                <w:rFonts w:eastAsiaTheme="minorEastAsia"/>
                <w:sz w:val="24"/>
              </w:rPr>
            </w:pPr>
            <w:r>
              <w:rPr>
                <w:rFonts w:eastAsiaTheme="minorEastAsia"/>
                <w:sz w:val="24"/>
              </w:rPr>
              <w:t>100</w:t>
            </w:r>
          </w:p>
        </w:tc>
        <w:tc>
          <w:tcPr>
            <w:tcW w:w="6418" w:type="dxa"/>
            <w:gridSpan w:val="2"/>
            <w:vAlign w:val="center"/>
          </w:tcPr>
          <w:p w14:paraId="736901DD">
            <w:pPr>
              <w:rPr>
                <w:rFonts w:eastAsiaTheme="minorEastAsia"/>
                <w:sz w:val="24"/>
              </w:rPr>
            </w:pPr>
          </w:p>
        </w:tc>
      </w:tr>
    </w:tbl>
    <w:p w14:paraId="4C0BB55A">
      <w:pPr>
        <w:tabs>
          <w:tab w:val="left" w:pos="360"/>
          <w:tab w:val="left" w:pos="1080"/>
        </w:tabs>
        <w:snapToGrid w:val="0"/>
        <w:spacing w:line="360" w:lineRule="auto"/>
        <w:ind w:left="1080"/>
        <w:rPr>
          <w:rFonts w:eastAsiaTheme="minorEastAsia"/>
          <w:color w:val="000000"/>
          <w:sz w:val="24"/>
        </w:rPr>
      </w:pPr>
    </w:p>
    <w:p w14:paraId="3208E1AC">
      <w:pPr>
        <w:widowControl/>
        <w:jc w:val="left"/>
        <w:rPr>
          <w:rFonts w:eastAsiaTheme="minorEastAsia"/>
          <w:b/>
          <w:sz w:val="36"/>
          <w:szCs w:val="36"/>
        </w:rPr>
      </w:pPr>
    </w:p>
    <w:p w14:paraId="56A745EE">
      <w:pPr>
        <w:spacing w:line="360" w:lineRule="auto"/>
        <w:jc w:val="center"/>
        <w:outlineLvl w:val="0"/>
        <w:rPr>
          <w:rFonts w:eastAsiaTheme="minorEastAsia"/>
          <w:b/>
          <w:sz w:val="36"/>
          <w:szCs w:val="36"/>
        </w:rPr>
      </w:pPr>
      <w:r>
        <w:rPr>
          <w:rFonts w:eastAsiaTheme="minorEastAsia"/>
          <w:b/>
          <w:sz w:val="36"/>
          <w:szCs w:val="36"/>
        </w:rPr>
        <w:br w:type="page"/>
      </w:r>
      <w:bookmarkStart w:id="673" w:name="_Toc97371945"/>
      <w:r>
        <w:rPr>
          <w:rFonts w:eastAsiaTheme="minorEastAsia"/>
          <w:b/>
          <w:sz w:val="36"/>
          <w:szCs w:val="36"/>
        </w:rPr>
        <w:t>第四章   采购需求</w:t>
      </w:r>
      <w:bookmarkEnd w:id="673"/>
    </w:p>
    <w:p w14:paraId="121CAB8E">
      <w:pPr>
        <w:spacing w:line="360" w:lineRule="auto"/>
        <w:contextualSpacing/>
        <w:rPr>
          <w:sz w:val="24"/>
        </w:rPr>
      </w:pPr>
    </w:p>
    <w:p w14:paraId="5587D92A">
      <w:pPr>
        <w:pStyle w:val="72"/>
        <w:numPr>
          <w:ilvl w:val="0"/>
          <w:numId w:val="12"/>
        </w:numPr>
        <w:spacing w:line="360" w:lineRule="auto"/>
        <w:ind w:firstLineChars="0"/>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p w14:paraId="393EB241">
      <w:pPr>
        <w:widowControl/>
        <w:spacing w:line="480" w:lineRule="auto"/>
        <w:contextualSpacing w:val="0"/>
        <w:jc w:val="left"/>
        <w:rPr>
          <w:rFonts w:hint="eastAsia" w:ascii="宋体" w:hAnsi="宋体" w:eastAsia="宋体" w:cs="宋体"/>
          <w:bCs w:val="0"/>
          <w:color w:val="auto"/>
          <w:kern w:val="0"/>
          <w:sz w:val="24"/>
          <w:highlight w:val="none"/>
          <w:lang w:eastAsia="zh-CN" w:bidi="ar"/>
        </w:rPr>
      </w:pPr>
      <w:r>
        <w:rPr>
          <w:rFonts w:hint="eastAsia" w:ascii="宋体" w:hAnsi="宋体" w:eastAsia="宋体" w:cs="宋体"/>
          <w:bCs w:val="0"/>
          <w:color w:val="auto"/>
          <w:kern w:val="0"/>
          <w:sz w:val="24"/>
          <w:highlight w:val="none"/>
          <w:lang w:bidi="ar"/>
        </w:rPr>
        <w:t>1.采购标的：</w:t>
      </w:r>
      <w:r>
        <w:rPr>
          <w:rFonts w:hint="eastAsia" w:ascii="宋体" w:hAnsi="宋体" w:cs="宋体"/>
          <w:bCs w:val="0"/>
          <w:color w:val="auto"/>
          <w:kern w:val="0"/>
          <w:sz w:val="24"/>
          <w:highlight w:val="none"/>
          <w:lang w:val="en-US" w:eastAsia="zh-CN" w:bidi="ar"/>
        </w:rPr>
        <w:t>昌平区百善镇善缘家园北区燃气点供替代项目</w:t>
      </w:r>
    </w:p>
    <w:p w14:paraId="231705BE">
      <w:pPr>
        <w:widowControl/>
        <w:spacing w:line="480" w:lineRule="auto"/>
        <w:jc w:val="left"/>
        <w:rPr>
          <w:rFonts w:hint="eastAsia"/>
          <w:lang w:val="en-US" w:eastAsia="zh-CN"/>
        </w:rPr>
      </w:pPr>
      <w:r>
        <w:rPr>
          <w:rFonts w:hint="eastAsia" w:ascii="宋体" w:hAnsi="宋体" w:eastAsia="宋体" w:cs="宋体"/>
          <w:color w:val="auto"/>
          <w:kern w:val="0"/>
          <w:sz w:val="24"/>
          <w:highlight w:val="none"/>
          <w:lang w:val="en-US" w:eastAsia="zh-CN" w:bidi="ar"/>
        </w:rPr>
        <w:t>2</w:t>
      </w:r>
      <w:r>
        <w:rPr>
          <w:rFonts w:hint="eastAsia" w:ascii="宋体" w:hAnsi="宋体" w:cs="宋体"/>
          <w:color w:val="auto"/>
          <w:kern w:val="0"/>
          <w:sz w:val="24"/>
          <w:highlight w:val="none"/>
          <w:lang w:val="en-US" w:eastAsia="zh-CN" w:bidi="ar"/>
        </w:rPr>
        <w:t>.</w:t>
      </w:r>
      <w:r>
        <w:rPr>
          <w:rFonts w:hint="eastAsia" w:ascii="宋体" w:hAnsi="宋体" w:eastAsia="宋体" w:cs="宋体"/>
          <w:color w:val="auto"/>
          <w:kern w:val="0"/>
          <w:sz w:val="24"/>
          <w:highlight w:val="none"/>
          <w:lang w:val="en-US" w:eastAsia="zh-CN" w:bidi="ar"/>
        </w:rPr>
        <w:t>预算金额：</w:t>
      </w:r>
      <w:r>
        <w:rPr>
          <w:rFonts w:hint="eastAsia" w:ascii="宋体" w:hAnsi="宋体" w:eastAsia="宋体" w:cs="宋体"/>
          <w:color w:val="auto"/>
          <w:kern w:val="0"/>
          <w:sz w:val="24"/>
          <w:szCs w:val="24"/>
          <w:highlight w:val="none"/>
          <w:u w:val="none"/>
          <w:lang w:val="en-US" w:eastAsia="zh-CN" w:bidi="ar"/>
        </w:rPr>
        <w:t>168.599913</w:t>
      </w:r>
      <w:r>
        <w:rPr>
          <w:rFonts w:hint="eastAsia" w:ascii="宋体" w:hAnsi="宋体" w:eastAsia="宋体" w:cs="宋体"/>
          <w:color w:val="auto"/>
          <w:kern w:val="0"/>
          <w:sz w:val="24"/>
          <w:highlight w:val="none"/>
          <w:lang w:val="en-US" w:eastAsia="zh-CN" w:bidi="ar"/>
        </w:rPr>
        <w:t>万</w:t>
      </w:r>
      <w:r>
        <w:rPr>
          <w:rFonts w:eastAsiaTheme="minorEastAsia"/>
          <w:sz w:val="24"/>
        </w:rPr>
        <w:t>元</w:t>
      </w:r>
      <w:r>
        <w:rPr>
          <w:rFonts w:hint="eastAsia" w:ascii="宋体" w:hAnsi="宋体" w:eastAsia="宋体" w:cs="宋体"/>
          <w:color w:val="auto"/>
          <w:kern w:val="0"/>
          <w:sz w:val="24"/>
          <w:highlight w:val="none"/>
          <w:lang w:val="en-US" w:eastAsia="zh-CN" w:bidi="ar"/>
        </w:rPr>
        <w:t>、项目最高</w:t>
      </w:r>
      <w:r>
        <w:rPr>
          <w:rFonts w:hint="eastAsia" w:ascii="宋体" w:hAnsi="宋体" w:cs="宋体"/>
          <w:color w:val="auto"/>
          <w:kern w:val="0"/>
          <w:sz w:val="24"/>
          <w:highlight w:val="none"/>
          <w:lang w:val="en-US" w:eastAsia="zh-CN" w:bidi="ar"/>
        </w:rPr>
        <w:t>投标</w:t>
      </w:r>
      <w:r>
        <w:rPr>
          <w:rFonts w:hint="eastAsia" w:ascii="宋体" w:hAnsi="宋体" w:eastAsia="宋体" w:cs="宋体"/>
          <w:color w:val="auto"/>
          <w:kern w:val="0"/>
          <w:sz w:val="24"/>
          <w:highlight w:val="none"/>
          <w:lang w:val="en-US" w:eastAsia="zh-CN" w:bidi="ar"/>
        </w:rPr>
        <w:t>限价：</w:t>
      </w:r>
      <w:r>
        <w:rPr>
          <w:rFonts w:hint="eastAsia" w:ascii="宋体" w:hAnsi="宋体" w:cs="宋体"/>
          <w:color w:val="000000"/>
          <w:kern w:val="0"/>
          <w:sz w:val="24"/>
          <w:szCs w:val="24"/>
          <w:lang w:val="en-US" w:eastAsia="zh-CN" w:bidi="ar"/>
        </w:rPr>
        <w:t>168.597001</w:t>
      </w:r>
      <w:r>
        <w:rPr>
          <w:rFonts w:hint="eastAsia" w:ascii="宋体" w:hAnsi="宋体" w:eastAsia="宋体" w:cs="宋体"/>
          <w:color w:val="auto"/>
          <w:kern w:val="0"/>
          <w:sz w:val="24"/>
          <w:highlight w:val="none"/>
          <w:lang w:val="en-US" w:eastAsia="zh-CN" w:bidi="ar"/>
        </w:rPr>
        <w:t>万元。</w:t>
      </w:r>
    </w:p>
    <w:p w14:paraId="6E93461E">
      <w:pPr>
        <w:widowControl/>
        <w:spacing w:line="480" w:lineRule="auto"/>
        <w:jc w:val="left"/>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3</w:t>
      </w:r>
      <w:r>
        <w:rPr>
          <w:rFonts w:hint="eastAsia" w:ascii="宋体" w:hAnsi="宋体" w:cs="宋体"/>
          <w:color w:val="auto"/>
          <w:kern w:val="0"/>
          <w:sz w:val="24"/>
          <w:highlight w:val="none"/>
          <w:lang w:val="en-US" w:eastAsia="zh-CN" w:bidi="ar"/>
        </w:rPr>
        <w:t>.</w:t>
      </w:r>
      <w:r>
        <w:rPr>
          <w:rFonts w:hint="eastAsia" w:ascii="宋体" w:hAnsi="宋体" w:eastAsia="宋体" w:cs="宋体"/>
          <w:color w:val="auto"/>
          <w:kern w:val="0"/>
          <w:sz w:val="24"/>
          <w:highlight w:val="none"/>
          <w:lang w:val="en-US" w:eastAsia="zh-CN" w:bidi="ar"/>
        </w:rPr>
        <w:t>项目需求：</w:t>
      </w:r>
    </w:p>
    <w:p w14:paraId="4777DF50">
      <w:pPr>
        <w:widowControl/>
        <w:spacing w:line="480" w:lineRule="auto"/>
        <w:jc w:val="left"/>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（1）</w:t>
      </w:r>
      <w:r>
        <w:rPr>
          <w:rFonts w:hint="eastAsia" w:ascii="宋体" w:hAnsi="宋体" w:eastAsia="宋体" w:cs="宋体"/>
          <w:bCs w:val="0"/>
          <w:color w:val="auto"/>
          <w:kern w:val="0"/>
          <w:sz w:val="24"/>
          <w:szCs w:val="24"/>
          <w:highlight w:val="none"/>
          <w:lang w:val="en-US" w:eastAsia="zh-CN" w:bidi="ar"/>
        </w:rPr>
        <w:t>主要工程内容包括外线部分:拟敷设中压(A)无缝钢管燃气管线，新建调压箱一座，敷设低压聚乙烯燃气管线，废除现状带气管线，破除恢复沥青路面、混凝土路面、透水砖路面等。具体内容详见工程量清单所示全部工程内容。</w:t>
      </w:r>
    </w:p>
    <w:p w14:paraId="6D36A9EA">
      <w:pPr>
        <w:widowControl/>
        <w:spacing w:line="480" w:lineRule="auto"/>
        <w:jc w:val="left"/>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（2）详细工程范围见施工图。</w:t>
      </w:r>
    </w:p>
    <w:p w14:paraId="581ECD5C">
      <w:pPr>
        <w:widowControl/>
        <w:spacing w:line="480" w:lineRule="auto"/>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val="en-US" w:eastAsia="zh-CN" w:bidi="ar"/>
        </w:rPr>
        <w:t>4</w:t>
      </w:r>
      <w:r>
        <w:rPr>
          <w:rFonts w:hint="eastAsia" w:ascii="宋体" w:hAnsi="宋体" w:eastAsia="宋体" w:cs="宋体"/>
          <w:color w:val="auto"/>
          <w:kern w:val="0"/>
          <w:sz w:val="24"/>
          <w:highlight w:val="none"/>
          <w:lang w:bidi="ar"/>
        </w:rPr>
        <w:t>.本工程施工场地（现场）具体地理位置：北京市昌平区</w:t>
      </w:r>
      <w:r>
        <w:rPr>
          <w:rFonts w:hint="eastAsia" w:ascii="宋体" w:hAnsi="宋体" w:cs="宋体"/>
          <w:color w:val="auto"/>
          <w:kern w:val="0"/>
          <w:sz w:val="24"/>
          <w:highlight w:val="none"/>
          <w:lang w:val="en-US" w:eastAsia="zh-CN" w:bidi="ar"/>
        </w:rPr>
        <w:t>百善镇</w:t>
      </w:r>
      <w:r>
        <w:rPr>
          <w:rFonts w:hint="eastAsia" w:ascii="宋体" w:hAnsi="宋体" w:eastAsia="宋体" w:cs="宋体"/>
          <w:color w:val="auto"/>
          <w:kern w:val="0"/>
          <w:sz w:val="24"/>
          <w:highlight w:val="none"/>
          <w:lang w:bidi="ar"/>
        </w:rPr>
        <w:t>。</w:t>
      </w:r>
    </w:p>
    <w:p w14:paraId="4EAF6A06">
      <w:pPr>
        <w:widowControl/>
        <w:spacing w:line="480" w:lineRule="auto"/>
        <w:jc w:val="left"/>
        <w:rPr>
          <w:rFonts w:hint="eastAsia" w:ascii="宋体" w:hAnsi="宋体" w:eastAsia="宋体" w:cs="宋体"/>
          <w:b/>
          <w:color w:val="auto"/>
          <w:sz w:val="24"/>
          <w:highlight w:val="none"/>
          <w:lang w:eastAsia="zh-CN"/>
        </w:rPr>
      </w:pPr>
      <w:r>
        <w:rPr>
          <w:rFonts w:hint="eastAsia" w:ascii="宋体" w:hAnsi="宋体" w:eastAsia="宋体" w:cs="宋体"/>
          <w:color w:val="auto"/>
          <w:kern w:val="0"/>
          <w:sz w:val="24"/>
          <w:highlight w:val="none"/>
          <w:lang w:val="en-US" w:eastAsia="zh-CN" w:bidi="ar"/>
        </w:rPr>
        <w:t>5</w:t>
      </w:r>
      <w:r>
        <w:rPr>
          <w:rFonts w:hint="eastAsia" w:ascii="宋体" w:hAnsi="宋体" w:eastAsia="宋体" w:cs="宋体"/>
          <w:color w:val="auto"/>
          <w:kern w:val="0"/>
          <w:sz w:val="24"/>
          <w:highlight w:val="none"/>
          <w:lang w:bidi="ar"/>
        </w:rPr>
        <w:t>. 本工程承包人自行施工的工程范围：</w:t>
      </w:r>
      <w:r>
        <w:rPr>
          <w:rFonts w:hint="eastAsia" w:ascii="宋体" w:hAnsi="宋体" w:eastAsia="宋体" w:cs="宋体"/>
          <w:bCs/>
          <w:color w:val="auto"/>
          <w:sz w:val="24"/>
          <w:highlight w:val="none"/>
        </w:rPr>
        <w:t>具体内容详见工程量清单。</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后附</w:t>
      </w:r>
      <w:r>
        <w:rPr>
          <w:rFonts w:hint="eastAsia" w:ascii="宋体" w:hAnsi="宋体" w:eastAsia="宋体" w:cs="宋体"/>
          <w:bCs/>
          <w:color w:val="auto"/>
          <w:sz w:val="24"/>
          <w:highlight w:val="none"/>
          <w:lang w:eastAsia="zh-CN"/>
        </w:rPr>
        <w:t>）</w:t>
      </w:r>
    </w:p>
    <w:p w14:paraId="23156305">
      <w:pPr>
        <w:pStyle w:val="72"/>
        <w:numPr>
          <w:ilvl w:val="0"/>
          <w:numId w:val="12"/>
        </w:numPr>
        <w:spacing w:line="480" w:lineRule="auto"/>
        <w:ind w:firstLineChars="0"/>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商务要求</w:t>
      </w:r>
    </w:p>
    <w:p w14:paraId="35FB3A37">
      <w:pPr>
        <w:numPr>
          <w:ilvl w:val="0"/>
          <w:numId w:val="13"/>
        </w:numPr>
        <w:spacing w:line="480" w:lineRule="auto"/>
        <w:contextualSpacing/>
        <w:rPr>
          <w:rFonts w:hint="eastAsia" w:ascii="宋体" w:hAnsi="宋体" w:eastAsia="宋体" w:cs="宋体"/>
          <w:color w:val="auto"/>
          <w:highlight w:val="none"/>
        </w:rPr>
      </w:pPr>
      <w:r>
        <w:rPr>
          <w:rFonts w:hint="eastAsia" w:ascii="宋体" w:hAnsi="宋体" w:eastAsia="宋体" w:cs="宋体"/>
          <w:color w:val="auto"/>
          <w:sz w:val="24"/>
          <w:highlight w:val="none"/>
        </w:rPr>
        <w:t>工期要求：总工期为</w:t>
      </w:r>
      <w:r>
        <w:rPr>
          <w:rFonts w:hint="eastAsia" w:ascii="宋体" w:hAnsi="宋体" w:cs="宋体"/>
          <w:color w:val="auto"/>
          <w:sz w:val="24"/>
          <w:highlight w:val="none"/>
          <w:u w:val="single"/>
          <w:lang w:val="en-US" w:eastAsia="zh-CN"/>
        </w:rPr>
        <w:t xml:space="preserve"> 90 </w:t>
      </w:r>
      <w:r>
        <w:rPr>
          <w:rFonts w:hint="eastAsia" w:ascii="宋体" w:hAnsi="宋体" w:cs="宋体"/>
          <w:color w:val="auto"/>
          <w:sz w:val="24"/>
          <w:highlight w:val="none"/>
          <w:u w:val="none"/>
          <w:lang w:val="en-US" w:eastAsia="zh-CN"/>
        </w:rPr>
        <w:t>日历天。</w:t>
      </w:r>
    </w:p>
    <w:p w14:paraId="046A10FB">
      <w:pPr>
        <w:pStyle w:val="249"/>
        <w:spacing w:line="360" w:lineRule="auto"/>
        <w:ind w:firstLine="240" w:firstLineChars="100"/>
      </w:pPr>
      <w:r>
        <w:rPr>
          <w:rFonts w:hint="eastAsia"/>
        </w:rPr>
        <w:t>实际开工日期自监理人发出的开工通知中载明的开工日期起算。</w:t>
      </w:r>
    </w:p>
    <w:p w14:paraId="274AEB1B">
      <w:pPr>
        <w:widowControl/>
        <w:spacing w:line="48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2.付款条件（进度和方式）：</w:t>
      </w:r>
      <w:r>
        <w:rPr>
          <w:rFonts w:hint="eastAsia" w:ascii="宋体" w:hAnsi="宋体" w:eastAsia="宋体" w:cs="宋体"/>
          <w:color w:val="auto"/>
          <w:kern w:val="0"/>
          <w:sz w:val="24"/>
          <w:highlight w:val="none"/>
          <w:lang w:bidi="ar"/>
        </w:rPr>
        <w:t>按合同条款专用部分约定执行。</w:t>
      </w:r>
    </w:p>
    <w:p w14:paraId="4F839510">
      <w:pPr>
        <w:widowControl/>
        <w:spacing w:line="480" w:lineRule="auto"/>
        <w:jc w:val="left"/>
        <w:rPr>
          <w:rFonts w:hint="eastAsia" w:ascii="宋体" w:hAnsi="宋体" w:eastAsia="宋体" w:cs="宋体"/>
          <w:color w:val="auto"/>
          <w:highlight w:val="none"/>
        </w:rPr>
      </w:pPr>
      <w:r>
        <w:rPr>
          <w:rFonts w:hint="eastAsia" w:ascii="宋体" w:hAnsi="宋体" w:eastAsia="宋体" w:cs="宋体"/>
          <w:color w:val="auto"/>
          <w:sz w:val="24"/>
          <w:highlight w:val="none"/>
        </w:rPr>
        <w:t>3.</w:t>
      </w:r>
      <w:r>
        <w:rPr>
          <w:rFonts w:hint="eastAsia" w:ascii="宋体" w:hAnsi="宋体" w:eastAsia="宋体" w:cs="宋体"/>
          <w:color w:val="auto"/>
          <w:kern w:val="0"/>
          <w:sz w:val="24"/>
          <w:highlight w:val="none"/>
          <w:lang w:bidi="ar"/>
        </w:rPr>
        <w:t>质量要求：符合现行国家有关工程施工验收规范和标准的要求（合格）。</w:t>
      </w:r>
    </w:p>
    <w:p w14:paraId="6CBFCF88">
      <w:pPr>
        <w:widowControl/>
        <w:spacing w:line="480" w:lineRule="auto"/>
        <w:jc w:val="left"/>
        <w:rPr>
          <w:rFonts w:hint="eastAsia" w:ascii="宋体" w:hAnsi="宋体" w:eastAsia="宋体" w:cs="宋体"/>
          <w:color w:val="auto"/>
          <w:highlight w:val="none"/>
        </w:rPr>
      </w:pPr>
      <w:r>
        <w:rPr>
          <w:rFonts w:hint="eastAsia" w:ascii="宋体" w:hAnsi="宋体" w:eastAsia="宋体" w:cs="宋体"/>
          <w:color w:val="auto"/>
          <w:kern w:val="0"/>
          <w:sz w:val="24"/>
          <w:highlight w:val="none"/>
          <w:lang w:bidi="ar"/>
        </w:rPr>
        <w:t xml:space="preserve">4. </w:t>
      </w:r>
      <w:r>
        <w:rPr>
          <w:rFonts w:hint="eastAsia" w:ascii="宋体" w:hAnsi="宋体" w:cs="宋体"/>
          <w:color w:val="auto"/>
          <w:kern w:val="0"/>
          <w:sz w:val="24"/>
          <w:szCs w:val="24"/>
          <w:highlight w:val="none"/>
          <w:lang w:bidi="ar"/>
        </w:rPr>
        <w:t>安全生产标准化</w:t>
      </w:r>
      <w:r>
        <w:rPr>
          <w:rFonts w:hint="eastAsia" w:ascii="宋体" w:hAnsi="宋体" w:eastAsia="宋体" w:cs="宋体"/>
          <w:color w:val="auto"/>
          <w:kern w:val="0"/>
          <w:sz w:val="24"/>
          <w:highlight w:val="none"/>
          <w:lang w:bidi="ar"/>
        </w:rPr>
        <w:t>施工措施及要求：</w:t>
      </w:r>
    </w:p>
    <w:p w14:paraId="50E3F46C">
      <w:pPr>
        <w:widowControl/>
        <w:spacing w:line="480" w:lineRule="auto"/>
        <w:ind w:firstLine="480" w:firstLineChars="200"/>
        <w:jc w:val="left"/>
        <w:rPr>
          <w:rFonts w:hint="eastAsia" w:ascii="宋体" w:hAnsi="宋体" w:eastAsia="宋体" w:cs="宋体"/>
          <w:b/>
          <w:i/>
          <w:color w:val="auto"/>
          <w:sz w:val="24"/>
          <w:highlight w:val="none"/>
        </w:rPr>
      </w:pPr>
      <w:r>
        <w:rPr>
          <w:rFonts w:hint="eastAsia" w:ascii="宋体" w:hAnsi="宋体" w:eastAsia="宋体" w:cs="宋体"/>
          <w:color w:val="auto"/>
          <w:kern w:val="0"/>
          <w:sz w:val="24"/>
          <w:highlight w:val="none"/>
          <w:lang w:bidi="ar"/>
        </w:rPr>
        <w:t>施工现场安全生产标准化管理目标等级：达标（合格）标准。</w:t>
      </w:r>
    </w:p>
    <w:p w14:paraId="6EFA1A18">
      <w:pPr>
        <w:pStyle w:val="72"/>
        <w:numPr>
          <w:ilvl w:val="0"/>
          <w:numId w:val="12"/>
        </w:numPr>
        <w:spacing w:line="480" w:lineRule="auto"/>
        <w:ind w:firstLineChars="0"/>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技术要求</w:t>
      </w:r>
    </w:p>
    <w:p w14:paraId="1E38D872">
      <w:pPr>
        <w:spacing w:line="48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 基本要求</w:t>
      </w:r>
    </w:p>
    <w:p w14:paraId="0A8726D8">
      <w:pPr>
        <w:spacing w:line="48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1.1 采购标的需实现的功能或者目标</w:t>
      </w:r>
    </w:p>
    <w:p w14:paraId="4AFAE8F8">
      <w:pPr>
        <w:spacing w:line="48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1.2 需执行的国家相关标准、行业标准、地方标准或者其他标准、规范</w:t>
      </w:r>
    </w:p>
    <w:p w14:paraId="6996CADD">
      <w:pPr>
        <w:spacing w:line="48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 验收标准</w:t>
      </w:r>
    </w:p>
    <w:p w14:paraId="08363A16">
      <w:pPr>
        <w:widowControl/>
        <w:spacing w:line="480" w:lineRule="auto"/>
        <w:ind w:firstLine="480" w:firstLineChars="200"/>
        <w:jc w:val="left"/>
        <w:rPr>
          <w:rFonts w:hint="eastAsia" w:ascii="宋体" w:hAnsi="宋体" w:eastAsia="宋体" w:cs="宋体"/>
          <w:color w:val="auto"/>
          <w:highlight w:val="none"/>
        </w:rPr>
      </w:pPr>
      <w:r>
        <w:rPr>
          <w:rFonts w:hint="eastAsia" w:ascii="宋体" w:hAnsi="宋体" w:eastAsia="宋体" w:cs="宋体"/>
          <w:color w:val="auto"/>
          <w:kern w:val="0"/>
          <w:sz w:val="24"/>
          <w:highlight w:val="none"/>
          <w:lang w:bidi="ar"/>
        </w:rPr>
        <w:t xml:space="preserve">2.1 严格按照国家相关法律法规和国家现行标准和规范进行验收； </w:t>
      </w:r>
    </w:p>
    <w:p w14:paraId="1C4C81CE">
      <w:pPr>
        <w:widowControl/>
        <w:spacing w:line="480" w:lineRule="auto"/>
        <w:ind w:firstLine="480" w:firstLineChars="200"/>
        <w:jc w:val="left"/>
        <w:rPr>
          <w:rFonts w:hint="eastAsia" w:ascii="宋体" w:hAnsi="宋体" w:eastAsia="宋体" w:cs="宋体"/>
          <w:color w:val="auto"/>
          <w:highlight w:val="none"/>
        </w:rPr>
      </w:pPr>
      <w:r>
        <w:rPr>
          <w:rFonts w:hint="eastAsia" w:ascii="宋体" w:hAnsi="宋体" w:eastAsia="宋体" w:cs="宋体"/>
          <w:color w:val="auto"/>
          <w:kern w:val="0"/>
          <w:sz w:val="24"/>
          <w:highlight w:val="none"/>
          <w:lang w:bidi="ar"/>
        </w:rPr>
        <w:t xml:space="preserve">2.2 供应商针对本项目的施工，必须达到国家及行业现行技术规范标准，符合国家 </w:t>
      </w:r>
    </w:p>
    <w:p w14:paraId="4347474D">
      <w:pPr>
        <w:widowControl/>
        <w:spacing w:line="480" w:lineRule="auto"/>
        <w:jc w:val="left"/>
        <w:rPr>
          <w:rFonts w:hint="eastAsia" w:ascii="宋体" w:hAnsi="宋体" w:eastAsia="宋体" w:cs="宋体"/>
          <w:color w:val="auto"/>
          <w:highlight w:val="none"/>
        </w:rPr>
      </w:pPr>
      <w:r>
        <w:rPr>
          <w:rFonts w:hint="eastAsia" w:ascii="宋体" w:hAnsi="宋体" w:eastAsia="宋体" w:cs="宋体"/>
          <w:color w:val="auto"/>
          <w:kern w:val="0"/>
          <w:sz w:val="24"/>
          <w:highlight w:val="none"/>
          <w:lang w:bidi="ar"/>
        </w:rPr>
        <w:t>及行业验收合格标准</w:t>
      </w:r>
    </w:p>
    <w:p w14:paraId="600CD5AC">
      <w:pPr>
        <w:spacing w:line="48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 其他要求（如有）</w:t>
      </w:r>
    </w:p>
    <w:p w14:paraId="0307DE0C">
      <w:pPr>
        <w:pStyle w:val="72"/>
        <w:adjustRightInd w:val="0"/>
        <w:spacing w:line="480" w:lineRule="auto"/>
        <w:ind w:firstLine="48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如果属于政务信息系统项目，其采购需求还应当符合《政务信息系统政府采购管理暂行办法》（财库〔2017〕210号）的相关要求。</w:t>
      </w:r>
    </w:p>
    <w:p w14:paraId="65F1936C">
      <w:pPr>
        <w:pStyle w:val="17"/>
        <w:spacing w:line="241" w:lineRule="auto"/>
        <w:rPr>
          <w:rFonts w:hint="default" w:eastAsia="宋体"/>
          <w:highlight w:val="none"/>
          <w:lang w:val="en-US" w:eastAsia="zh-CN"/>
        </w:rPr>
      </w:pPr>
      <w:r>
        <w:rPr>
          <w:rFonts w:hint="eastAsia"/>
          <w:highlight w:val="none"/>
          <w:lang w:val="en-US" w:eastAsia="zh-CN"/>
        </w:rPr>
        <w:t>四、工程量清单后附。</w:t>
      </w:r>
    </w:p>
    <w:p w14:paraId="536072C1">
      <w:pPr>
        <w:autoSpaceDE w:val="0"/>
        <w:autoSpaceDN w:val="0"/>
        <w:rPr>
          <w:rFonts w:eastAsiaTheme="minorEastAsia"/>
          <w:bCs/>
        </w:rPr>
      </w:pPr>
    </w:p>
    <w:p w14:paraId="0C448604">
      <w:pPr>
        <w:rPr>
          <w:rFonts w:eastAsiaTheme="minorEastAsia"/>
        </w:rPr>
      </w:pPr>
    </w:p>
    <w:p w14:paraId="43E00E0B">
      <w:pPr>
        <w:spacing w:line="360" w:lineRule="auto"/>
        <w:jc w:val="center"/>
        <w:outlineLvl w:val="0"/>
        <w:rPr>
          <w:rFonts w:eastAsiaTheme="minorEastAsia"/>
          <w:b/>
          <w:sz w:val="36"/>
          <w:szCs w:val="36"/>
        </w:rPr>
      </w:pPr>
      <w:r>
        <w:rPr>
          <w:rFonts w:eastAsiaTheme="minorEastAsia"/>
          <w:b/>
          <w:sz w:val="36"/>
          <w:szCs w:val="36"/>
        </w:rPr>
        <w:br w:type="page"/>
      </w:r>
      <w:bookmarkStart w:id="674" w:name="_Toc97371946"/>
      <w:r>
        <w:rPr>
          <w:rFonts w:eastAsiaTheme="minorEastAsia"/>
          <w:b/>
          <w:sz w:val="36"/>
          <w:szCs w:val="36"/>
        </w:rPr>
        <w:t>第五章   合同草案条款</w:t>
      </w:r>
      <w:bookmarkEnd w:id="674"/>
    </w:p>
    <w:p w14:paraId="31F15DE2">
      <w:pPr>
        <w:spacing w:line="360" w:lineRule="auto"/>
        <w:jc w:val="center"/>
        <w:outlineLvl w:val="0"/>
        <w:rPr>
          <w:rFonts w:eastAsiaTheme="minorEastAsia"/>
          <w:b/>
          <w:sz w:val="36"/>
          <w:szCs w:val="36"/>
        </w:rPr>
      </w:pPr>
    </w:p>
    <w:p w14:paraId="5B4BE552">
      <w:pPr>
        <w:keepNext w:val="0"/>
        <w:keepLines w:val="0"/>
        <w:pageBreakBefore w:val="0"/>
        <w:widowControl w:val="0"/>
        <w:kinsoku/>
        <w:wordWrap/>
        <w:overflowPunct/>
        <w:topLinePunct w:val="0"/>
        <w:autoSpaceDE/>
        <w:autoSpaceDN/>
        <w:bidi w:val="0"/>
        <w:adjustRightInd/>
        <w:snapToGrid/>
        <w:jc w:val="center"/>
        <w:textAlignment w:val="auto"/>
        <w:outlineLvl w:val="1"/>
        <w:rPr>
          <w:b/>
          <w:color w:val="auto"/>
          <w:sz w:val="32"/>
          <w:szCs w:val="32"/>
          <w:highlight w:val="none"/>
        </w:rPr>
      </w:pPr>
      <w:bookmarkStart w:id="675" w:name="_Toc16858"/>
      <w:bookmarkStart w:id="676" w:name="_Toc32159"/>
      <w:bookmarkStart w:id="677" w:name="_Toc29973"/>
      <w:bookmarkStart w:id="678" w:name="_Toc617"/>
      <w:r>
        <w:rPr>
          <w:rFonts w:hint="eastAsia"/>
          <w:b/>
          <w:color w:val="auto"/>
          <w:sz w:val="32"/>
          <w:szCs w:val="32"/>
          <w:highlight w:val="none"/>
        </w:rPr>
        <w:t>第</w:t>
      </w:r>
      <w:r>
        <w:rPr>
          <w:rFonts w:hint="eastAsia"/>
          <w:b/>
          <w:color w:val="auto"/>
          <w:sz w:val="32"/>
          <w:szCs w:val="32"/>
          <w:highlight w:val="none"/>
          <w:lang w:val="en-US" w:eastAsia="zh-CN"/>
        </w:rPr>
        <w:t>一部分</w:t>
      </w:r>
      <w:r>
        <w:rPr>
          <w:b/>
          <w:color w:val="auto"/>
          <w:sz w:val="32"/>
          <w:szCs w:val="32"/>
          <w:highlight w:val="none"/>
        </w:rPr>
        <w:t xml:space="preserve">  </w:t>
      </w:r>
      <w:r>
        <w:rPr>
          <w:rFonts w:hint="eastAsia"/>
          <w:b/>
          <w:color w:val="auto"/>
          <w:sz w:val="32"/>
          <w:szCs w:val="32"/>
          <w:highlight w:val="none"/>
        </w:rPr>
        <w:t>合同条款</w:t>
      </w:r>
      <w:r>
        <w:rPr>
          <w:rFonts w:hint="eastAsia"/>
          <w:b/>
          <w:color w:val="auto"/>
          <w:sz w:val="32"/>
          <w:szCs w:val="32"/>
          <w:highlight w:val="none"/>
          <w:lang w:val="en-US" w:eastAsia="zh-CN"/>
        </w:rPr>
        <w:t>通用</w:t>
      </w:r>
      <w:r>
        <w:rPr>
          <w:rFonts w:hint="eastAsia"/>
          <w:b/>
          <w:color w:val="auto"/>
          <w:sz w:val="32"/>
          <w:szCs w:val="32"/>
          <w:highlight w:val="none"/>
        </w:rPr>
        <w:t>部分</w:t>
      </w:r>
      <w:bookmarkEnd w:id="675"/>
      <w:bookmarkEnd w:id="676"/>
      <w:bookmarkEnd w:id="677"/>
    </w:p>
    <w:p w14:paraId="156ED73D">
      <w:pPr>
        <w:spacing w:line="360" w:lineRule="auto"/>
        <w:jc w:val="center"/>
        <w:rPr>
          <w:rFonts w:ascii="黑体" w:hAnsi="黑体" w:eastAsia="黑体"/>
          <w:color w:val="auto"/>
          <w:sz w:val="28"/>
          <w:szCs w:val="28"/>
          <w:highlight w:val="none"/>
        </w:rPr>
      </w:pPr>
    </w:p>
    <w:p w14:paraId="1BEE1BEF">
      <w:pPr>
        <w:pStyle w:val="2"/>
        <w:rPr>
          <w:color w:val="auto"/>
          <w:sz w:val="32"/>
          <w:szCs w:val="32"/>
          <w:highlight w:val="none"/>
        </w:rPr>
      </w:pPr>
      <w:bookmarkStart w:id="679" w:name="_Toc3159"/>
      <w:bookmarkStart w:id="680" w:name="_Toc15684"/>
      <w:bookmarkStart w:id="681" w:name="_Toc414"/>
      <w:bookmarkStart w:id="682" w:name="_Toc342296418"/>
      <w:bookmarkStart w:id="683" w:name="_Toc241459659"/>
      <w:r>
        <w:rPr>
          <w:rFonts w:hint="eastAsia"/>
          <w:color w:val="auto"/>
          <w:sz w:val="32"/>
          <w:szCs w:val="32"/>
          <w:highlight w:val="none"/>
        </w:rPr>
        <w:t>合同条款通用部分</w:t>
      </w:r>
      <w:bookmarkEnd w:id="679"/>
      <w:bookmarkEnd w:id="680"/>
      <w:bookmarkEnd w:id="681"/>
    </w:p>
    <w:p w14:paraId="5C7A9EC1">
      <w:pPr>
        <w:pStyle w:val="3"/>
        <w:keepNext w:val="0"/>
        <w:keepLines w:val="0"/>
        <w:widowControl/>
        <w:snapToGrid w:val="0"/>
        <w:spacing w:before="0" w:after="0" w:line="360" w:lineRule="auto"/>
        <w:ind w:left="210" w:leftChars="100"/>
        <w:jc w:val="left"/>
        <w:rPr>
          <w:rFonts w:ascii="宋体" w:hAnsi="宋体"/>
          <w:color w:val="auto"/>
          <w:sz w:val="21"/>
          <w:szCs w:val="21"/>
          <w:highlight w:val="none"/>
        </w:rPr>
      </w:pPr>
      <w:bookmarkStart w:id="684" w:name="_Toc11858"/>
      <w:bookmarkStart w:id="685" w:name="_Toc26201"/>
      <w:bookmarkStart w:id="686" w:name="_Toc15078"/>
      <w:r>
        <w:rPr>
          <w:rFonts w:hint="eastAsia" w:ascii="宋体" w:hAnsi="宋体"/>
          <w:b w:val="0"/>
          <w:color w:val="auto"/>
          <w:sz w:val="21"/>
          <w:szCs w:val="21"/>
          <w:highlight w:val="none"/>
          <w:shd w:val="clear" w:color="auto" w:fill="FFFFFF"/>
        </w:rPr>
        <w:t>1.一般约定</w:t>
      </w:r>
      <w:bookmarkEnd w:id="684"/>
      <w:bookmarkEnd w:id="685"/>
      <w:bookmarkEnd w:id="686"/>
    </w:p>
    <w:p w14:paraId="2AE894C0">
      <w:pPr>
        <w:pStyle w:val="4"/>
        <w:keepNext w:val="0"/>
        <w:keepLines w:val="0"/>
        <w:widowControl/>
        <w:snapToGrid w:val="0"/>
        <w:spacing w:before="0" w:after="0" w:line="360" w:lineRule="auto"/>
        <w:ind w:left="210" w:leftChars="100"/>
        <w:jc w:val="left"/>
        <w:rPr>
          <w:rFonts w:ascii="宋体" w:hAnsi="宋体"/>
          <w:color w:val="auto"/>
          <w:sz w:val="21"/>
          <w:szCs w:val="21"/>
          <w:highlight w:val="none"/>
        </w:rPr>
      </w:pPr>
      <w:bookmarkStart w:id="687" w:name="_Toc63"/>
      <w:bookmarkStart w:id="688" w:name="_Toc3928"/>
      <w:bookmarkStart w:id="689" w:name="_Toc7481"/>
      <w:r>
        <w:rPr>
          <w:rFonts w:hint="eastAsia" w:ascii="宋体" w:hAnsi="宋体" w:cs="宋体"/>
          <w:b w:val="0"/>
          <w:color w:val="auto"/>
          <w:sz w:val="21"/>
          <w:szCs w:val="21"/>
          <w:highlight w:val="none"/>
          <w:shd w:val="clear" w:color="auto" w:fill="FFFFFF"/>
        </w:rPr>
        <w:t>1.1  词语定义</w:t>
      </w:r>
      <w:bookmarkEnd w:id="687"/>
      <w:bookmarkEnd w:id="688"/>
      <w:bookmarkEnd w:id="689"/>
    </w:p>
    <w:p w14:paraId="35BF3841">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合同条款通用部分、合同条款专用部分中的下列词语应具有本款所赋予的含义。</w:t>
      </w:r>
    </w:p>
    <w:p w14:paraId="30CCC786">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1.1.1  合同</w:t>
      </w:r>
    </w:p>
    <w:p w14:paraId="795FF81E">
      <w:pPr>
        <w:widowControl/>
        <w:snapToGrid w:val="0"/>
        <w:spacing w:line="360" w:lineRule="auto"/>
        <w:ind w:left="210" w:leftChars="100" w:firstLine="63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1.1.1.1  合同文件（或称合同）：指合同协议书、中标通知书、投标函及投标函附录、合同条款专用部分、合同条款通用部分、技术标准和要求、图纸、已标价工程量清单，以及其他合同文件。</w:t>
      </w:r>
    </w:p>
    <w:p w14:paraId="26B08621">
      <w:pPr>
        <w:widowControl/>
        <w:snapToGrid w:val="0"/>
        <w:spacing w:line="360" w:lineRule="auto"/>
        <w:ind w:left="210" w:leftChars="100" w:firstLine="63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1.1.1.2  合同协议书：指第1.5款所指的合同协议书。</w:t>
      </w:r>
    </w:p>
    <w:p w14:paraId="7794A6E1">
      <w:pPr>
        <w:widowControl/>
        <w:snapToGrid w:val="0"/>
        <w:spacing w:line="360" w:lineRule="auto"/>
        <w:ind w:left="210" w:leftChars="100" w:firstLine="63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1.1.1.3  中标通知书：指发包人通知承包人中标的函件。</w:t>
      </w:r>
    </w:p>
    <w:p w14:paraId="5CA6F646">
      <w:pPr>
        <w:widowControl/>
        <w:snapToGrid w:val="0"/>
        <w:spacing w:line="360" w:lineRule="auto"/>
        <w:ind w:left="210" w:leftChars="100" w:firstLine="63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1.1.1.4  投标函：指构成合同文件组成部分的由承包人填写并签署的投标函。</w:t>
      </w:r>
    </w:p>
    <w:p w14:paraId="0C3A9EB3">
      <w:pPr>
        <w:widowControl/>
        <w:snapToGrid w:val="0"/>
        <w:spacing w:line="360" w:lineRule="auto"/>
        <w:ind w:left="210" w:leftChars="100" w:firstLine="63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1.1.1.5  投标函附录：指附在投标函后构成合同文件的投标函附录。</w:t>
      </w:r>
    </w:p>
    <w:p w14:paraId="3CD9BBE0">
      <w:pPr>
        <w:widowControl/>
        <w:snapToGrid w:val="0"/>
        <w:spacing w:line="360" w:lineRule="auto"/>
        <w:ind w:left="210" w:leftChars="100" w:firstLine="63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1.1.1.6  合同条款：指构成合同文件组成部分的合同条款通用部分和（或）合同条款专用部分。</w:t>
      </w:r>
    </w:p>
    <w:p w14:paraId="46CBBE4E">
      <w:pPr>
        <w:widowControl/>
        <w:snapToGrid w:val="0"/>
        <w:spacing w:line="360" w:lineRule="auto"/>
        <w:ind w:left="210" w:leftChars="100" w:firstLine="63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1.1.1.7  技术标准和要求：指构成合同文件组成部分的名为技术标准和要求的文件，包括合同双方当事人约定对其所作的修改或补充。</w:t>
      </w:r>
    </w:p>
    <w:p w14:paraId="289F2D18">
      <w:pPr>
        <w:widowControl/>
        <w:snapToGrid w:val="0"/>
        <w:spacing w:line="360" w:lineRule="auto"/>
        <w:ind w:left="210" w:leftChars="100" w:firstLine="63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1.1.1.8  图纸：指包含在合同中的工程图纸，以及由发包人按合同约定提供的任何补充和修改的图纸，包括配套的说明。</w:t>
      </w:r>
    </w:p>
    <w:p w14:paraId="0D6022EF">
      <w:pPr>
        <w:widowControl/>
        <w:snapToGrid w:val="0"/>
        <w:spacing w:line="360" w:lineRule="auto"/>
        <w:ind w:left="210" w:leftChars="100" w:firstLine="63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1.1.1.9  已标价工程量清单：指构成合同文件组成部分的由承包人按照规定的格式和要求填写并标明价格的工程量清单。</w:t>
      </w:r>
    </w:p>
    <w:p w14:paraId="4A3F2DEC">
      <w:pPr>
        <w:widowControl/>
        <w:snapToGrid w:val="0"/>
        <w:spacing w:line="360" w:lineRule="auto"/>
        <w:ind w:left="210" w:leftChars="100" w:firstLine="63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1.1.1.10  其他合同文件：指经合同双方当事人确认构成合同文件的其他文件。</w:t>
      </w:r>
    </w:p>
    <w:p w14:paraId="31727369">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1.1.2  合同当事人和人员</w:t>
      </w:r>
    </w:p>
    <w:p w14:paraId="4D819A09">
      <w:pPr>
        <w:widowControl/>
        <w:snapToGrid w:val="0"/>
        <w:spacing w:line="360" w:lineRule="auto"/>
        <w:ind w:left="210" w:leftChars="100" w:firstLine="63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1.1.2.1  合同当事人：指发包人和（或）承包人。</w:t>
      </w:r>
    </w:p>
    <w:p w14:paraId="5DA0E991">
      <w:pPr>
        <w:widowControl/>
        <w:snapToGrid w:val="0"/>
        <w:spacing w:line="360" w:lineRule="auto"/>
        <w:ind w:left="210" w:leftChars="100" w:firstLine="63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1.1.2.2  发包人：指合同协议书中约定，具有工程发包主体资格和承诺按照合同约定的条件、期限和方式向承包人支付工程价款的当事人，以及取得该当事人资格的合法继承人。发包人名称</w:t>
      </w:r>
      <w:r>
        <w:rPr>
          <w:rFonts w:ascii="宋体" w:hAnsi="宋体" w:cs="宋体"/>
          <w:color w:val="auto"/>
          <w:kern w:val="0"/>
          <w:szCs w:val="21"/>
          <w:highlight w:val="none"/>
          <w:shd w:val="clear" w:color="auto" w:fill="FFFFFF"/>
        </w:rPr>
        <w:t>见合同条款专用部分。</w:t>
      </w:r>
    </w:p>
    <w:p w14:paraId="013D3C82">
      <w:pPr>
        <w:widowControl/>
        <w:snapToGrid w:val="0"/>
        <w:spacing w:line="360" w:lineRule="auto"/>
        <w:ind w:left="210" w:leftChars="100" w:firstLine="63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1.1.2.3  承包人：指合同协议书中约定，具有合同工程承包主体资格，并承诺按照合同约定进行施工、竣工、交付并承担质量缺陷保修责任的当事人，以及取得该当事人资格的合法继承人。承包人名称见合同条款专用部分。</w:t>
      </w:r>
    </w:p>
    <w:p w14:paraId="73CDF79C">
      <w:pPr>
        <w:widowControl/>
        <w:snapToGrid w:val="0"/>
        <w:spacing w:line="360" w:lineRule="auto"/>
        <w:ind w:left="210" w:leftChars="100" w:firstLine="63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1.1.2.4  承包人项目经理：指承包人派驻施工场地的全权负责人。</w:t>
      </w:r>
    </w:p>
    <w:p w14:paraId="1558480B">
      <w:pPr>
        <w:widowControl/>
        <w:snapToGrid w:val="0"/>
        <w:spacing w:line="360" w:lineRule="auto"/>
        <w:ind w:left="210" w:leftChars="100" w:firstLine="63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1.1.2.5  分包人：指从承包人处分包合同中某一部分工程，并与其签订分包合同的分包人。</w:t>
      </w:r>
    </w:p>
    <w:p w14:paraId="4BA69634">
      <w:pPr>
        <w:widowControl/>
        <w:snapToGrid w:val="0"/>
        <w:spacing w:line="360" w:lineRule="auto"/>
        <w:ind w:left="210" w:leftChars="100" w:firstLine="63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1.1.2.6  监理人：指发包人委托的对合同履行实施管理的法人或其他组织。监理人名称见合同条款专用部分。</w:t>
      </w:r>
    </w:p>
    <w:p w14:paraId="3E5F443A">
      <w:pPr>
        <w:widowControl/>
        <w:snapToGrid w:val="0"/>
        <w:spacing w:line="360" w:lineRule="auto"/>
        <w:ind w:left="210" w:leftChars="100" w:firstLine="63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1.1.2.7  总监理工程师（总监）：指由监理人委派常驻施工场地对合同履行实施管理的全权负责人。</w:t>
      </w:r>
    </w:p>
    <w:p w14:paraId="6682334D">
      <w:pPr>
        <w:widowControl/>
        <w:snapToGrid w:val="0"/>
        <w:spacing w:line="360" w:lineRule="auto"/>
        <w:ind w:left="210" w:leftChars="100" w:firstLine="63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1.1.2.8  发包人代表：指由发包人指定的派驻施工场地（现场）的全权代表。发包人代表相关信息见合同条款专用部分。</w:t>
      </w:r>
    </w:p>
    <w:p w14:paraId="4EB8A3C3">
      <w:pPr>
        <w:widowControl/>
        <w:snapToGrid w:val="0"/>
        <w:spacing w:line="360" w:lineRule="auto"/>
        <w:ind w:left="210" w:leftChars="100" w:firstLine="63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1.1.2.9  专业分包人：指根据合同条款第15.8.1项的约定，由发包人和承包人以招标方式选择的分包人。</w:t>
      </w:r>
    </w:p>
    <w:p w14:paraId="05DB5199">
      <w:pPr>
        <w:widowControl/>
        <w:snapToGrid w:val="0"/>
        <w:spacing w:line="360" w:lineRule="auto"/>
        <w:ind w:left="210" w:leftChars="100" w:firstLine="63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1.1.2.10  专项供应商：指根据合同条款第15.8.1项的约定，由发包人和承包人以招标方式选择的供应商。</w:t>
      </w:r>
    </w:p>
    <w:p w14:paraId="600BE8B5">
      <w:pPr>
        <w:widowControl/>
        <w:snapToGrid w:val="0"/>
        <w:spacing w:line="360" w:lineRule="auto"/>
        <w:ind w:left="210" w:leftChars="100" w:firstLine="63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1.1.2.11  独立承包人：指与发包人直接订立工程承包合同，负责实施与工程有关的其他工作的当事人。</w:t>
      </w:r>
    </w:p>
    <w:p w14:paraId="6D7E192C">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1.1.3  工程和设备</w:t>
      </w:r>
    </w:p>
    <w:p w14:paraId="46EAAA21">
      <w:pPr>
        <w:widowControl/>
        <w:snapToGrid w:val="0"/>
        <w:spacing w:line="360" w:lineRule="auto"/>
        <w:ind w:left="210" w:leftChars="100" w:firstLine="63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1.1.3.1  工程：指永久工程和（或）临时工程。</w:t>
      </w:r>
    </w:p>
    <w:p w14:paraId="64CF0404">
      <w:pPr>
        <w:widowControl/>
        <w:snapToGrid w:val="0"/>
        <w:spacing w:line="360" w:lineRule="auto"/>
        <w:ind w:left="210" w:leftChars="100" w:firstLine="63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1.1.3.2  永久工程：指按照合同约定所需建造、完成并移交给发包人的工程</w:t>
      </w:r>
      <w:r>
        <w:rPr>
          <w:rFonts w:hint="eastAsia" w:ascii="宋体" w:hAnsi="宋体" w:cs="宋体"/>
          <w:color w:val="auto"/>
          <w:kern w:val="0"/>
          <w:szCs w:val="21"/>
          <w:highlight w:val="none"/>
          <w:shd w:val="clear" w:color="auto" w:fill="FFFFFF"/>
          <w:lang w:eastAsia="zh-CN"/>
        </w:rPr>
        <w:t>，</w:t>
      </w:r>
      <w:r>
        <w:rPr>
          <w:rFonts w:hint="eastAsia" w:ascii="宋体" w:hAnsi="宋体" w:eastAsia="宋体" w:cs="宋体"/>
          <w:color w:val="auto"/>
          <w:spacing w:val="0"/>
          <w:kern w:val="0"/>
          <w:sz w:val="21"/>
          <w:szCs w:val="21"/>
          <w:highlight w:val="none"/>
          <w:shd w:val="clear" w:color="auto" w:fill="FFFFFF"/>
        </w:rPr>
        <w:t>包括工程设备</w:t>
      </w:r>
      <w:r>
        <w:rPr>
          <w:rFonts w:hint="eastAsia" w:ascii="宋体" w:hAnsi="宋体" w:cs="宋体"/>
          <w:color w:val="auto"/>
          <w:kern w:val="0"/>
          <w:szCs w:val="21"/>
          <w:highlight w:val="none"/>
          <w:shd w:val="clear" w:color="auto" w:fill="FFFFFF"/>
        </w:rPr>
        <w:t>。永久工程的约定见合同条款专用部分。</w:t>
      </w:r>
    </w:p>
    <w:p w14:paraId="46244289">
      <w:pPr>
        <w:widowControl/>
        <w:snapToGrid w:val="0"/>
        <w:spacing w:line="360" w:lineRule="auto"/>
        <w:ind w:left="210" w:leftChars="100" w:firstLine="63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1.1.3.3  临时工程：指为完成合同约定的永久工程所修建的各类临时性工程，不包括施工设备。临时工程的约定见合同条款专用部分。</w:t>
      </w:r>
    </w:p>
    <w:p w14:paraId="37B748F1">
      <w:pPr>
        <w:widowControl/>
        <w:snapToGrid w:val="0"/>
        <w:spacing w:line="360" w:lineRule="auto"/>
        <w:ind w:left="210" w:leftChars="100" w:firstLine="63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1.1.3.4  单位工程：指具有相对独立的设计文件，能够独立组织施工并能形成独立使用功能的永久工程的组成部分。</w:t>
      </w:r>
    </w:p>
    <w:p w14:paraId="01DD7D20">
      <w:pPr>
        <w:widowControl/>
        <w:snapToGrid w:val="0"/>
        <w:spacing w:line="360" w:lineRule="auto"/>
        <w:ind w:left="210" w:leftChars="100" w:firstLine="63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1.1.3.5  工程设备：指构成或计划构成永久工程一部分的机电设备、金属结构设备、仪器装置及其他类似的设备和装置。</w:t>
      </w:r>
    </w:p>
    <w:p w14:paraId="2227FB3F">
      <w:pPr>
        <w:widowControl/>
        <w:snapToGrid w:val="0"/>
        <w:spacing w:line="360" w:lineRule="auto"/>
        <w:ind w:left="210" w:leftChars="100" w:firstLine="63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1.1.3.6  施工设备：指为完成合同约定的各项工作所需的设备、器具和其他物品，不包括临时工程和材料。</w:t>
      </w:r>
    </w:p>
    <w:p w14:paraId="7D589676">
      <w:pPr>
        <w:widowControl/>
        <w:snapToGrid w:val="0"/>
        <w:spacing w:line="360" w:lineRule="auto"/>
        <w:ind w:left="210" w:leftChars="100" w:firstLine="63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1.1.3.7  临时设施：指为完成合同约定的各项工作所服务的临时性生产和生活设施。</w:t>
      </w:r>
    </w:p>
    <w:p w14:paraId="1B315486">
      <w:pPr>
        <w:widowControl/>
        <w:snapToGrid w:val="0"/>
        <w:spacing w:line="360" w:lineRule="auto"/>
        <w:ind w:left="210" w:leftChars="100" w:firstLine="63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1.1.3.8  承包人设备：指承包人自带的施工设备。</w:t>
      </w:r>
    </w:p>
    <w:p w14:paraId="204B5749">
      <w:pPr>
        <w:widowControl/>
        <w:snapToGrid w:val="0"/>
        <w:spacing w:line="360" w:lineRule="auto"/>
        <w:ind w:left="210" w:leftChars="100" w:firstLine="63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1.1.3.9  施工场地（或称工地、现场）：指用于合同工程施工的场所，以及在合同中指定作为施工场地组成部分的其他场所，包括永久占地和临时占地。</w:t>
      </w:r>
    </w:p>
    <w:p w14:paraId="2A0B4F33">
      <w:pPr>
        <w:widowControl/>
        <w:snapToGrid w:val="0"/>
        <w:spacing w:line="360" w:lineRule="auto"/>
        <w:ind w:left="210" w:leftChars="100" w:firstLine="63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1.1.3.10  永久占地：指为实施合同工程需永久占用的土地。永久占地的约定见合同条款专用部分。</w:t>
      </w:r>
    </w:p>
    <w:p w14:paraId="1DDC60A1">
      <w:pPr>
        <w:widowControl/>
        <w:snapToGrid w:val="0"/>
        <w:spacing w:line="360" w:lineRule="auto"/>
        <w:ind w:left="210" w:leftChars="100" w:firstLine="63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1.1.3.11  临时占地：指为实施合同工程需临时占用的土地。临时占地的约定见合同条款专用部分。</w:t>
      </w:r>
    </w:p>
    <w:p w14:paraId="4C03E54A">
      <w:pPr>
        <w:widowControl/>
        <w:snapToGrid w:val="0"/>
        <w:spacing w:line="360" w:lineRule="auto"/>
        <w:ind w:left="210" w:leftChars="100" w:firstLine="63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1.1.3.12  材料：指构成或将构成永久工程组成部分的各类物品(工程设备除外)，包括合同中可能约定的承包人仅负责供应的材料。</w:t>
      </w:r>
    </w:p>
    <w:p w14:paraId="47A75376">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1.1.4  日期</w:t>
      </w:r>
    </w:p>
    <w:p w14:paraId="2F566C88">
      <w:pPr>
        <w:widowControl/>
        <w:snapToGrid w:val="0"/>
        <w:spacing w:line="360" w:lineRule="auto"/>
        <w:ind w:left="210" w:leftChars="100" w:firstLine="63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1.1.4.1  开工通知：指监理人按第11.1款通知承包人开工的函件。</w:t>
      </w:r>
    </w:p>
    <w:p w14:paraId="3BAEEFF0">
      <w:pPr>
        <w:widowControl/>
        <w:snapToGrid w:val="0"/>
        <w:spacing w:line="360" w:lineRule="auto"/>
        <w:ind w:left="210" w:leftChars="100" w:firstLine="63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1.1.4.2  开工日期：指监理人按第11.1款发出的开工通知中写明的开工日期。</w:t>
      </w:r>
    </w:p>
    <w:p w14:paraId="15033114">
      <w:pPr>
        <w:widowControl/>
        <w:snapToGrid w:val="0"/>
        <w:spacing w:line="360" w:lineRule="auto"/>
        <w:ind w:left="210" w:leftChars="100" w:firstLine="63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1.1.4.3  工期：指承包人在投标函中承诺的完成合同工程所需的期限，包括按第11.3款、第11.4款和第11.6款约定所作的变更。</w:t>
      </w:r>
    </w:p>
    <w:p w14:paraId="2FB06946">
      <w:pPr>
        <w:widowControl/>
        <w:snapToGrid w:val="0"/>
        <w:spacing w:line="360" w:lineRule="auto"/>
        <w:ind w:left="210" w:leftChars="100" w:firstLine="63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1.1.4.4  竣工日期：指第1.1.4.3目约定工期届满时的日期。实际竣工日期以工程接收证书中写明的日期为准。</w:t>
      </w:r>
    </w:p>
    <w:p w14:paraId="19B7B567">
      <w:pPr>
        <w:widowControl/>
        <w:snapToGrid w:val="0"/>
        <w:spacing w:line="360" w:lineRule="auto"/>
        <w:ind w:left="210" w:leftChars="100" w:firstLine="63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1.1.4.5  缺陷责任期：指履行第19.2款约定的缺陷责任的期限，包括根据第19.3款约定所作的延长。缺陷责任期的具体期限见合同条款专用部分。</w:t>
      </w:r>
    </w:p>
    <w:p w14:paraId="5921FFDA">
      <w:pPr>
        <w:widowControl/>
        <w:snapToGrid w:val="0"/>
        <w:spacing w:line="360" w:lineRule="auto"/>
        <w:ind w:left="210" w:leftChars="100" w:firstLine="63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1.1.4.6  基准日期：指投标截止时间前28天的日期。</w:t>
      </w:r>
    </w:p>
    <w:p w14:paraId="69F0F852">
      <w:pPr>
        <w:widowControl/>
        <w:snapToGrid w:val="0"/>
        <w:spacing w:line="360" w:lineRule="auto"/>
        <w:ind w:left="210" w:leftChars="100" w:firstLine="63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1.1.4.7  天：除特别指明外，指日历天。合同中按天计算时间的，开始当天不计入，从次日开始计算。期限最后一天的截止时间为当天24:00。</w:t>
      </w:r>
    </w:p>
    <w:p w14:paraId="763015F8">
      <w:pPr>
        <w:widowControl/>
        <w:snapToGrid w:val="0"/>
        <w:spacing w:line="360" w:lineRule="auto"/>
        <w:ind w:left="210" w:leftChars="100" w:firstLine="63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1.1.4.8  保修期：是根据现行有关法律规定，在合同条款第19.7款中约定的由承包人负责对合同约定的保修范围内发生的质量问题履行保修义务并对造成的损失承担赔偿责任的期限。</w:t>
      </w:r>
    </w:p>
    <w:p w14:paraId="0B325D77">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1.1.5  合同价格和费用</w:t>
      </w:r>
    </w:p>
    <w:p w14:paraId="6BE5A794">
      <w:pPr>
        <w:widowControl/>
        <w:snapToGrid w:val="0"/>
        <w:spacing w:line="360" w:lineRule="auto"/>
        <w:ind w:left="210" w:leftChars="100" w:firstLine="63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1.1.5.1  签约合同价：指合同协议书中写明的，包括了暂列金额、暂估价的合同总金额。</w:t>
      </w:r>
    </w:p>
    <w:p w14:paraId="58CCC063">
      <w:pPr>
        <w:widowControl/>
        <w:snapToGrid w:val="0"/>
        <w:spacing w:line="360" w:lineRule="auto"/>
        <w:ind w:left="210" w:leftChars="100" w:firstLine="63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1.1.5.2  合同价格：指承包人按合同约定完成了包括缺陷责任期内的全部承包工作后，发包人应付给承包人的金额，包括在履行合同过程中按合同约定进行的变更和调整。</w:t>
      </w:r>
    </w:p>
    <w:p w14:paraId="5D55E1A9">
      <w:pPr>
        <w:widowControl/>
        <w:snapToGrid w:val="0"/>
        <w:spacing w:line="360" w:lineRule="auto"/>
        <w:ind w:left="210" w:leftChars="100" w:firstLine="63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1.1.5.3  费用：指为履行合同所发生的或将要发生的所有合理开支，包括管理费和应分摊的其他费用，但不包括利润。</w:t>
      </w:r>
    </w:p>
    <w:p w14:paraId="342FE2AF">
      <w:pPr>
        <w:widowControl/>
        <w:snapToGrid w:val="0"/>
        <w:spacing w:line="360" w:lineRule="auto"/>
        <w:ind w:left="210" w:leftChars="100" w:firstLine="63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1.1.5.4  暂列金额：指已标价工程量清单中所列的暂列金额，用于在签订协议书时尚未确定或不可预见变更的施工及其所需材料、服务等的金额，包括以计日工方式支付的金额。</w:t>
      </w:r>
    </w:p>
    <w:p w14:paraId="4CE128BC">
      <w:pPr>
        <w:widowControl/>
        <w:snapToGrid w:val="0"/>
        <w:spacing w:line="360" w:lineRule="auto"/>
        <w:ind w:left="210" w:leftChars="100" w:firstLine="63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1.1.5.5  暂估价：指发包人在工程量清单中给定的用于支付必然发生但暂时不能确定价格的材料、设备以及专业工程的金额。</w:t>
      </w:r>
    </w:p>
    <w:p w14:paraId="6950708A">
      <w:pPr>
        <w:widowControl/>
        <w:snapToGrid w:val="0"/>
        <w:spacing w:line="360" w:lineRule="auto"/>
        <w:ind w:left="210" w:leftChars="100" w:firstLine="63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1.1.5.6  计日工：指对零星工作采取的一种计价方式，按合同中的计日工子目及其单价计价付款。</w:t>
      </w:r>
    </w:p>
    <w:p w14:paraId="09E2129F">
      <w:pPr>
        <w:widowControl/>
        <w:snapToGrid w:val="0"/>
        <w:spacing w:line="360" w:lineRule="auto"/>
        <w:ind w:left="210" w:leftChars="100" w:firstLine="63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1.1.5.7  质量保证金（或称保留金）：指按第17.4.1项约定用于保证在缺陷责任期内履行缺陷修复义务的金额。</w:t>
      </w:r>
    </w:p>
    <w:p w14:paraId="53D6EC8B">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1.1.6  书面形式</w:t>
      </w:r>
    </w:p>
    <w:p w14:paraId="53C684E8">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书面形式：指合同文件、信函、电报、传真等可以有形地表现所载内容的形式。</w:t>
      </w:r>
    </w:p>
    <w:p w14:paraId="25025382">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1.1.7  争议评审组</w:t>
      </w:r>
    </w:p>
    <w:p w14:paraId="7315890B">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争议评审组：是由发包人和承包人共同聘请的人员组成的独立、公正的第三方临时性组织，一般由一名或者三名合同管理和（或）工程管理专家组成。争议评审组负责对发包人和（或）承包人提请进行评审的本合同项下的争议进行评审并在规定的期限内给出评审意见，合同双方在规定的期限内均未对评审意见提出异议时，评审意见对合同双方有最终约束力。发包人和承包人应当分别与接受聘请的争议评审专家签订聘用协议，就评审的争议范围、评审意见效力等必要事项</w:t>
      </w:r>
      <w:r>
        <w:rPr>
          <w:rFonts w:hint="eastAsia" w:ascii="宋体" w:hAnsi="宋体" w:cs="宋体"/>
          <w:color w:val="auto"/>
          <w:kern w:val="0"/>
          <w:szCs w:val="21"/>
          <w:highlight w:val="none"/>
          <w:shd w:val="clear" w:color="auto" w:fill="FFFFFF"/>
          <w:lang w:eastAsia="zh-CN"/>
        </w:rPr>
        <w:t>作出</w:t>
      </w:r>
      <w:r>
        <w:rPr>
          <w:rFonts w:hint="eastAsia" w:ascii="宋体" w:hAnsi="宋体" w:cs="宋体"/>
          <w:color w:val="auto"/>
          <w:kern w:val="0"/>
          <w:szCs w:val="21"/>
          <w:highlight w:val="none"/>
          <w:shd w:val="clear" w:color="auto" w:fill="FFFFFF"/>
        </w:rPr>
        <w:t>约定。</w:t>
      </w:r>
    </w:p>
    <w:p w14:paraId="5ECF1BEC">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1.1.8  其他需要补充的内容</w:t>
      </w:r>
    </w:p>
    <w:p w14:paraId="526E8405">
      <w:pPr>
        <w:widowControl/>
        <w:snapToGrid w:val="0"/>
        <w:spacing w:before="0" w:line="360" w:lineRule="auto"/>
        <w:ind w:left="210" w:leftChars="100" w:right="0" w:firstLine="420"/>
        <w:jc w:val="left"/>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spacing w:val="0"/>
          <w:kern w:val="0"/>
          <w:sz w:val="21"/>
          <w:szCs w:val="21"/>
          <w:highlight w:val="none"/>
          <w:shd w:val="clear" w:color="auto" w:fill="FFFFFF"/>
        </w:rPr>
        <w:t>1.1.8.1  签约图纸：指招标文件提供的设计文件和招标人在招标过程中发出的有关设 计文件的补充、澄清或修改文件。</w:t>
      </w:r>
    </w:p>
    <w:p w14:paraId="1BF3537E">
      <w:pPr>
        <w:widowControl/>
        <w:snapToGrid w:val="0"/>
        <w:spacing w:before="0" w:line="360" w:lineRule="auto"/>
        <w:ind w:left="210" w:leftChars="100" w:right="0" w:firstLine="420"/>
        <w:jc w:val="left"/>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spacing w:val="0"/>
          <w:kern w:val="0"/>
          <w:sz w:val="21"/>
          <w:szCs w:val="21"/>
          <w:highlight w:val="none"/>
          <w:shd w:val="clear" w:color="auto" w:fill="FFFFFF"/>
        </w:rPr>
        <w:t>1.1.8.2  签约规范：指招标文件提供的说明合同工程的材料标准或要求、工程技术标 准、施工验收标准等的技术要求文件，和招标人在招标过程中发出的有关技术要求文件的补</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充、澄清或修改文件。</w:t>
      </w:r>
    </w:p>
    <w:p w14:paraId="3E4D0E77">
      <w:pPr>
        <w:widowControl/>
        <w:snapToGrid w:val="0"/>
        <w:spacing w:before="0" w:line="360" w:lineRule="auto"/>
        <w:ind w:left="210" w:leftChars="100" w:right="0" w:firstLine="420"/>
        <w:jc w:val="left"/>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spacing w:val="0"/>
          <w:kern w:val="0"/>
          <w:sz w:val="21"/>
          <w:szCs w:val="21"/>
          <w:highlight w:val="none"/>
          <w:shd w:val="clear" w:color="auto" w:fill="FFFFFF"/>
        </w:rPr>
        <w:t>1.1.8.3  已标价工程量清单：指构成合同文件组成部分的由承包人在投标时按照规定 的格式和要求填写并标明价格的工程量清单。</w:t>
      </w:r>
    </w:p>
    <w:p w14:paraId="1C0F3FF9">
      <w:pPr>
        <w:widowControl/>
        <w:snapToGrid w:val="0"/>
        <w:spacing w:before="0" w:line="360" w:lineRule="auto"/>
        <w:ind w:left="210" w:leftChars="100" w:right="0" w:firstLine="420"/>
        <w:jc w:val="left"/>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spacing w:val="0"/>
          <w:kern w:val="0"/>
          <w:sz w:val="21"/>
          <w:szCs w:val="21"/>
          <w:highlight w:val="none"/>
          <w:shd w:val="clear" w:color="auto" w:fill="FFFFFF"/>
        </w:rPr>
        <w:t>1.1.8.4  合同单价：承包人在已标价工程量清单内所报的综合单价,以及承包人投标报 价澄清或说明中获得发包人接纳的修正综合单价。</w:t>
      </w:r>
    </w:p>
    <w:p w14:paraId="016D7DF4">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eastAsia="宋体" w:cs="宋体"/>
          <w:color w:val="auto"/>
          <w:spacing w:val="0"/>
          <w:kern w:val="0"/>
          <w:sz w:val="21"/>
          <w:szCs w:val="21"/>
          <w:highlight w:val="none"/>
          <w:shd w:val="clear" w:color="auto" w:fill="FFFFFF"/>
        </w:rPr>
        <w:t>1.1.8.5  其他需要补充的内容见合同条款专用部分。</w:t>
      </w:r>
    </w:p>
    <w:p w14:paraId="43AA1F4F">
      <w:pPr>
        <w:pStyle w:val="4"/>
        <w:keepNext w:val="0"/>
        <w:keepLines w:val="0"/>
        <w:widowControl/>
        <w:snapToGrid w:val="0"/>
        <w:spacing w:before="0" w:after="0" w:line="360" w:lineRule="auto"/>
        <w:ind w:left="210" w:leftChars="100"/>
        <w:jc w:val="left"/>
        <w:rPr>
          <w:rFonts w:ascii="宋体" w:hAnsi="宋体"/>
          <w:color w:val="auto"/>
          <w:sz w:val="21"/>
          <w:szCs w:val="21"/>
          <w:highlight w:val="none"/>
        </w:rPr>
      </w:pPr>
      <w:bookmarkStart w:id="690" w:name="_Toc19321"/>
      <w:bookmarkStart w:id="691" w:name="_Toc31320"/>
      <w:bookmarkStart w:id="692" w:name="_Toc1662"/>
      <w:r>
        <w:rPr>
          <w:rFonts w:hint="eastAsia" w:ascii="宋体" w:hAnsi="宋体" w:cs="宋体"/>
          <w:b w:val="0"/>
          <w:color w:val="auto"/>
          <w:sz w:val="21"/>
          <w:szCs w:val="21"/>
          <w:highlight w:val="none"/>
          <w:shd w:val="clear" w:color="auto" w:fill="FFFFFF"/>
        </w:rPr>
        <w:t>1.2  语言文字</w:t>
      </w:r>
      <w:bookmarkEnd w:id="690"/>
      <w:bookmarkEnd w:id="691"/>
      <w:bookmarkEnd w:id="692"/>
    </w:p>
    <w:p w14:paraId="2C5353E2">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除专用术语外，合同使用的语言文字为中文。必要时专用术语应附有中文注释。</w:t>
      </w:r>
    </w:p>
    <w:p w14:paraId="13FD123F">
      <w:pPr>
        <w:pStyle w:val="4"/>
        <w:keepNext w:val="0"/>
        <w:keepLines w:val="0"/>
        <w:widowControl/>
        <w:snapToGrid w:val="0"/>
        <w:spacing w:before="0" w:after="0" w:line="360" w:lineRule="auto"/>
        <w:ind w:left="210" w:leftChars="100"/>
        <w:jc w:val="left"/>
        <w:rPr>
          <w:rFonts w:ascii="宋体" w:hAnsi="宋体"/>
          <w:color w:val="auto"/>
          <w:sz w:val="21"/>
          <w:szCs w:val="21"/>
          <w:highlight w:val="none"/>
        </w:rPr>
      </w:pPr>
      <w:bookmarkStart w:id="693" w:name="_Toc11513"/>
      <w:bookmarkStart w:id="694" w:name="_Toc29739"/>
      <w:bookmarkStart w:id="695" w:name="_Toc1220"/>
      <w:r>
        <w:rPr>
          <w:rFonts w:hint="eastAsia" w:ascii="宋体" w:hAnsi="宋体" w:cs="宋体"/>
          <w:b w:val="0"/>
          <w:color w:val="auto"/>
          <w:sz w:val="21"/>
          <w:szCs w:val="21"/>
          <w:highlight w:val="none"/>
          <w:shd w:val="clear" w:color="auto" w:fill="FFFFFF"/>
        </w:rPr>
        <w:t>1.3  法律</w:t>
      </w:r>
      <w:bookmarkEnd w:id="693"/>
      <w:bookmarkEnd w:id="694"/>
      <w:bookmarkEnd w:id="695"/>
    </w:p>
    <w:p w14:paraId="3D0A4802">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适用于合同的法律包括中华人民共和国法律、行政法规、部门规章，以及工程所在地的地方法规、自治条例、单行条例和地方政府规章。</w:t>
      </w:r>
    </w:p>
    <w:p w14:paraId="4B694D3F">
      <w:pPr>
        <w:pStyle w:val="4"/>
        <w:keepNext w:val="0"/>
        <w:keepLines w:val="0"/>
        <w:widowControl/>
        <w:snapToGrid w:val="0"/>
        <w:spacing w:before="0" w:after="0" w:line="360" w:lineRule="auto"/>
        <w:ind w:left="210" w:leftChars="100"/>
        <w:jc w:val="left"/>
        <w:rPr>
          <w:rFonts w:ascii="宋体" w:hAnsi="宋体"/>
          <w:color w:val="auto"/>
          <w:sz w:val="21"/>
          <w:szCs w:val="21"/>
          <w:highlight w:val="none"/>
        </w:rPr>
      </w:pPr>
      <w:bookmarkStart w:id="696" w:name="_Toc21786"/>
      <w:bookmarkStart w:id="697" w:name="_Toc22831"/>
      <w:bookmarkStart w:id="698" w:name="_Toc3170"/>
      <w:r>
        <w:rPr>
          <w:rFonts w:hint="eastAsia" w:ascii="宋体" w:hAnsi="宋体" w:cs="宋体"/>
          <w:b w:val="0"/>
          <w:color w:val="auto"/>
          <w:sz w:val="21"/>
          <w:szCs w:val="21"/>
          <w:highlight w:val="none"/>
          <w:shd w:val="clear" w:color="auto" w:fill="FFFFFF"/>
        </w:rPr>
        <w:t>1.4  合同文件的优先顺序</w:t>
      </w:r>
      <w:bookmarkEnd w:id="696"/>
      <w:bookmarkEnd w:id="697"/>
      <w:bookmarkEnd w:id="698"/>
    </w:p>
    <w:p w14:paraId="30FD7196">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组成合同的各项文件应互相解释，互为说明。除合同条款专用部分另有约定外，解释合同文件的优先顺序如下：</w:t>
      </w:r>
    </w:p>
    <w:p w14:paraId="270E76C7">
      <w:pPr>
        <w:widowControl/>
        <w:snapToGrid w:val="0"/>
        <w:spacing w:line="360" w:lineRule="auto"/>
        <w:ind w:left="210" w:leftChars="100" w:firstLine="315"/>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（1）合同协议书；</w:t>
      </w:r>
    </w:p>
    <w:p w14:paraId="0AE32294">
      <w:pPr>
        <w:widowControl/>
        <w:snapToGrid w:val="0"/>
        <w:spacing w:line="360" w:lineRule="auto"/>
        <w:ind w:left="210" w:leftChars="100" w:firstLine="315"/>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（2）中标通知书；</w:t>
      </w:r>
    </w:p>
    <w:p w14:paraId="001922B6">
      <w:pPr>
        <w:widowControl/>
        <w:snapToGrid w:val="0"/>
        <w:spacing w:line="360" w:lineRule="auto"/>
        <w:ind w:left="210" w:leftChars="100" w:firstLine="315"/>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（3）投标函及投标函附录；</w:t>
      </w:r>
    </w:p>
    <w:p w14:paraId="5FB5C1FF">
      <w:pPr>
        <w:widowControl/>
        <w:snapToGrid w:val="0"/>
        <w:spacing w:line="360" w:lineRule="auto"/>
        <w:ind w:left="210" w:leftChars="100" w:firstLine="315"/>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（4）合同条款专用部分；</w:t>
      </w:r>
    </w:p>
    <w:p w14:paraId="74CB80D8">
      <w:pPr>
        <w:widowControl/>
        <w:snapToGrid w:val="0"/>
        <w:spacing w:line="360" w:lineRule="auto"/>
        <w:ind w:left="210" w:leftChars="100" w:firstLine="315"/>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（5）合同条款通用部分；</w:t>
      </w:r>
    </w:p>
    <w:p w14:paraId="46B62256">
      <w:pPr>
        <w:widowControl/>
        <w:snapToGrid w:val="0"/>
        <w:spacing w:line="360" w:lineRule="auto"/>
        <w:ind w:left="210" w:leftChars="100" w:firstLine="315"/>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（6）技术标准和要求；</w:t>
      </w:r>
    </w:p>
    <w:p w14:paraId="39A1B037">
      <w:pPr>
        <w:widowControl/>
        <w:snapToGrid w:val="0"/>
        <w:spacing w:line="360" w:lineRule="auto"/>
        <w:ind w:left="210" w:leftChars="100" w:firstLine="315"/>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（7）图纸；</w:t>
      </w:r>
    </w:p>
    <w:p w14:paraId="1B39C80B">
      <w:pPr>
        <w:widowControl/>
        <w:snapToGrid w:val="0"/>
        <w:spacing w:line="360" w:lineRule="auto"/>
        <w:ind w:left="210" w:leftChars="100" w:firstLine="315"/>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（8）已标价工程量清单；</w:t>
      </w:r>
    </w:p>
    <w:p w14:paraId="65D1E3E2">
      <w:pPr>
        <w:widowControl/>
        <w:snapToGrid w:val="0"/>
        <w:spacing w:line="360" w:lineRule="auto"/>
        <w:ind w:left="210" w:leftChars="100" w:firstLine="315"/>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（9）其他合同文件。</w:t>
      </w:r>
    </w:p>
    <w:p w14:paraId="3B1256FB">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附注：构成合同文件的图纸与技术标准和要求之间有矛盾或者不一致的，应以其中要求较严格的标准为准。</w:t>
      </w:r>
    </w:p>
    <w:p w14:paraId="1CEECCC9">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合同双方在合同履行过程中签署的不背离合同实质性内容的补充协议，应当视为合同文件的有效组成部分，其解释顺序视其内容与其他合同文件的相互关系而定。</w:t>
      </w:r>
    </w:p>
    <w:p w14:paraId="0CC68772">
      <w:pPr>
        <w:pStyle w:val="4"/>
        <w:keepNext w:val="0"/>
        <w:keepLines w:val="0"/>
        <w:widowControl/>
        <w:snapToGrid w:val="0"/>
        <w:spacing w:before="0" w:after="0" w:line="360" w:lineRule="auto"/>
        <w:ind w:left="210" w:leftChars="100"/>
        <w:jc w:val="left"/>
        <w:rPr>
          <w:rFonts w:ascii="宋体" w:hAnsi="宋体"/>
          <w:color w:val="auto"/>
          <w:sz w:val="21"/>
          <w:szCs w:val="21"/>
          <w:highlight w:val="none"/>
        </w:rPr>
      </w:pPr>
      <w:bookmarkStart w:id="699" w:name="_Toc18167"/>
      <w:bookmarkStart w:id="700" w:name="_Toc4975"/>
      <w:bookmarkStart w:id="701" w:name="_Toc29767"/>
      <w:r>
        <w:rPr>
          <w:rFonts w:hint="eastAsia" w:ascii="宋体" w:hAnsi="宋体" w:cs="宋体"/>
          <w:b w:val="0"/>
          <w:color w:val="auto"/>
          <w:sz w:val="21"/>
          <w:szCs w:val="21"/>
          <w:highlight w:val="none"/>
          <w:shd w:val="clear" w:color="auto" w:fill="FFFFFF"/>
        </w:rPr>
        <w:t>1.5  合同协议书</w:t>
      </w:r>
      <w:bookmarkEnd w:id="699"/>
      <w:bookmarkEnd w:id="700"/>
      <w:bookmarkEnd w:id="701"/>
    </w:p>
    <w:p w14:paraId="6F405374">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指由发包人与承包人共同签署的用于明确当事人合同关系的文件。承包人按照中标通知书规定的时间与发包人签订的合同协议书，除法律另有规定或合同条款专用部分另有约定外，发包人和承包人的法定代表人或其委托代理人在合同协议书上签字并盖单位章后，合同生效。合同生效的条件见合同条款专用部分。</w:t>
      </w:r>
    </w:p>
    <w:p w14:paraId="445A0076">
      <w:pPr>
        <w:pStyle w:val="4"/>
        <w:keepNext w:val="0"/>
        <w:keepLines w:val="0"/>
        <w:widowControl/>
        <w:snapToGrid w:val="0"/>
        <w:spacing w:before="0" w:after="0" w:line="360" w:lineRule="auto"/>
        <w:ind w:left="210" w:leftChars="100"/>
        <w:jc w:val="left"/>
        <w:rPr>
          <w:rFonts w:ascii="宋体" w:hAnsi="宋体"/>
          <w:color w:val="auto"/>
          <w:sz w:val="21"/>
          <w:szCs w:val="21"/>
          <w:highlight w:val="none"/>
        </w:rPr>
      </w:pPr>
      <w:bookmarkStart w:id="702" w:name="_Toc24549"/>
      <w:bookmarkStart w:id="703" w:name="_Toc22716"/>
      <w:bookmarkStart w:id="704" w:name="_Toc6085"/>
      <w:r>
        <w:rPr>
          <w:rFonts w:hint="eastAsia" w:ascii="宋体" w:hAnsi="宋体" w:cs="宋体"/>
          <w:b w:val="0"/>
          <w:color w:val="auto"/>
          <w:sz w:val="21"/>
          <w:szCs w:val="21"/>
          <w:highlight w:val="none"/>
          <w:shd w:val="clear" w:color="auto" w:fill="FFFFFF"/>
        </w:rPr>
        <w:t>1.6  图纸和承包人文件</w:t>
      </w:r>
      <w:bookmarkEnd w:id="702"/>
      <w:bookmarkEnd w:id="703"/>
      <w:bookmarkEnd w:id="704"/>
    </w:p>
    <w:p w14:paraId="2BDC903B">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1.6.1  图纸的提供</w:t>
      </w:r>
    </w:p>
    <w:p w14:paraId="6CBC86DA">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（1）发包人按照合同约定向承包人提供图纸。发包人未按时提供图纸造成工期延误的，按第11.3款的约定办理。承包人需要增加图纸套数的，发包人应代为复制，复制费用由承包人承担。</w:t>
      </w:r>
    </w:p>
    <w:p w14:paraId="061B7608">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2）依据合同条款专用部分第10.1款约定制定的合同进度计划，或依据合同条款专用部分第10.2款约定修订的合同进度计划，经监理人批准后7日内，承包人应当根据合同进度计划或合同进度计划修订和本项约定的图纸提供期限和数量，编制或者修改图纸供应计划并报送监理人，其中应当载明承包人对各最新版本图纸(包括第1.6.3项约定的图纸修改图)的最迟需求时间，监理人应当在收到图纸供应计划后7天内批复或提出修改意见，否则该图纸供应计划视为得到批准。</w:t>
      </w:r>
    </w:p>
    <w:p w14:paraId="4EFC933E">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3）经监理人批准最新的图纸供应计划对合同双方有合同约束力，应当作为发包人或者监理人向承包人提供图纸的主要依据。发包人或者监理人不按照图纸供应计划提供图纸而导致承包人费用增加和（或）工期延误的，由发包人承担赔偿责任。</w:t>
      </w:r>
    </w:p>
    <w:p w14:paraId="0EBD5602">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（4）承包人未按照约定的时间向监理人提交图纸供应计划,致使发包人或者监理人未能在约定的时间内提供相应图纸或者承包人未按照图纸供应计划组织施工所造成的费用增加和（或）工期延误由承包人承担。</w:t>
      </w:r>
    </w:p>
    <w:p w14:paraId="51AA9A33">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（5）发包人提供图纸的期限、数量和其他约定见合同条款专用部分。</w:t>
      </w:r>
    </w:p>
    <w:p w14:paraId="77D025B9">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1.6.2  承包人提供的文件</w:t>
      </w:r>
    </w:p>
    <w:p w14:paraId="3331AC23">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由承包人提供的文件包括部分工程的大样图、加工图等，承包人应当按照约定的范围、数量和期限报送监理人，监理人应当在约定的期限内批复。承包人提供文件的范围、数量、期限和监理人批复期限以及其他约定见合同条款专用部分。</w:t>
      </w:r>
    </w:p>
    <w:p w14:paraId="2206E2B7">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（2）除合同条款第4.1.10项约定的由承包人提供的设计文件外，本项约定的其他应由承包人提供的文件，包括必要的加工图和大样图，均不能作为合同计量与支付的依据文件。</w:t>
      </w:r>
    </w:p>
    <w:p w14:paraId="69A9C5E4">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1.6.3  图纸的修改</w:t>
      </w:r>
    </w:p>
    <w:p w14:paraId="36CD8CDE">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图纸需要修改和补充的，监理人应当按照合同条款第1.6.1（2）目约定的有合同约束力的图纸供应计划，签发图纸修改图给承包人。承包人应按修改后的图纸施工。</w:t>
      </w:r>
    </w:p>
    <w:p w14:paraId="026C9CA5">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1.6.4  图纸的错误</w:t>
      </w:r>
    </w:p>
    <w:p w14:paraId="612A88D5">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承包人发现发包人提供的图纸存在明显错误或疏忽，应及时通知监理人。</w:t>
      </w:r>
    </w:p>
    <w:p w14:paraId="5EA678EA">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1.6.5  图纸和承包人文件的保管</w:t>
      </w:r>
    </w:p>
    <w:p w14:paraId="70A15741">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监理人和承包人均应在施工场地各保存一套完整的包含第1.6.1项、第1.6.2项、第1.6.3项约定内容的图纸和承包人文件。</w:t>
      </w:r>
    </w:p>
    <w:p w14:paraId="35FC374C">
      <w:pPr>
        <w:pStyle w:val="4"/>
        <w:keepNext w:val="0"/>
        <w:keepLines w:val="0"/>
        <w:widowControl/>
        <w:snapToGrid w:val="0"/>
        <w:spacing w:before="0" w:after="0" w:line="360" w:lineRule="auto"/>
        <w:ind w:left="210" w:leftChars="100"/>
        <w:jc w:val="left"/>
        <w:rPr>
          <w:rFonts w:ascii="宋体" w:hAnsi="宋体"/>
          <w:color w:val="auto"/>
          <w:sz w:val="21"/>
          <w:szCs w:val="21"/>
          <w:highlight w:val="none"/>
        </w:rPr>
      </w:pPr>
      <w:bookmarkStart w:id="705" w:name="_Toc4907"/>
      <w:bookmarkStart w:id="706" w:name="_Toc4751"/>
      <w:bookmarkStart w:id="707" w:name="_Toc15696"/>
      <w:r>
        <w:rPr>
          <w:rFonts w:hint="eastAsia" w:ascii="宋体" w:hAnsi="宋体" w:cs="宋体"/>
          <w:b w:val="0"/>
          <w:color w:val="auto"/>
          <w:sz w:val="21"/>
          <w:szCs w:val="21"/>
          <w:highlight w:val="none"/>
          <w:shd w:val="clear" w:color="auto" w:fill="FFFFFF"/>
        </w:rPr>
        <w:t>1.7  联络</w:t>
      </w:r>
      <w:bookmarkEnd w:id="705"/>
      <w:bookmarkEnd w:id="706"/>
      <w:bookmarkEnd w:id="707"/>
    </w:p>
    <w:p w14:paraId="019D18EB">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1.7.1  与合同有关的通知、批准、证明、证书、指示、要求、请求、同意、意见、确定和决定等，均应采用书面形式。</w:t>
      </w:r>
    </w:p>
    <w:p w14:paraId="0D0D8E1A">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1.7.2  第1.7.1项中的通知、批准、证明、证书、指示、要求、请求、同意、意见、确定和决定等来往函件，均应在合同约定的期限内送达指定地点和接收人，并办理签收手续。</w:t>
      </w:r>
    </w:p>
    <w:p w14:paraId="576A77B8">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（1）联络来往信函的送达期限：合同约定了发出期限的，送达期限为合同约定的发出期限后的24小时内；合同约定了通知、提供或者报送期限的，通知、提供或者报送期限即为送达期限。</w:t>
      </w:r>
    </w:p>
    <w:p w14:paraId="320FECAD">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（2）发包人指定的接收人和接收地点见合同条款专用部分。</w:t>
      </w:r>
    </w:p>
    <w:p w14:paraId="42355095">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（3）监理人指定的接收人和接收地点见合同条款专用部分。</w:t>
      </w:r>
    </w:p>
    <w:p w14:paraId="417BFD79">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4）承包人指定的接收人为合同协议书中载明的承包人项目经理本人或者项目经理的授权代表。承包人应在收到开工通知后7天内，按照合同条款第4.5.4项的约定，将授权代表其接收来往信函的项目经理的授权代表姓名和授权范围通知监理人。除合同另有约定外，承包人施工场地管理机构的办公地点即为承包人指定的接收地点。</w:t>
      </w:r>
    </w:p>
    <w:p w14:paraId="48191386">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5）发包人（包括监理人）和承包人中任何一方指定的接收人或者接收地点发生变动，应当在实际变动前提前至少一个工作日以书面形式通知另一方。发包人（包括监理人）和承包人应当确保其各自指定的接收人在法定的和（或）符合合同约定的工作时间内始终工作在指定的接收地点，指定接收人离开工作岗位而无法及时签收来往信函视为拒不签收。</w:t>
      </w:r>
    </w:p>
    <w:p w14:paraId="6AC61EF1">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6）发包人（包括监理人）和承包人中任何一方均应当及时签收另一方送达其指定接收地点的来往信函，拒不签收的，送达信函的一方可以采用挂号或者公证方式送达，由此所造成的直接的和间接的费用增加（包括被迫采用特殊送达方式所发生的费用）和（或）延误的工期由拒绝签收一方承担。</w:t>
      </w:r>
    </w:p>
    <w:p w14:paraId="16DCA747">
      <w:pPr>
        <w:pStyle w:val="4"/>
        <w:keepNext w:val="0"/>
        <w:keepLines w:val="0"/>
        <w:widowControl/>
        <w:snapToGrid w:val="0"/>
        <w:spacing w:before="0" w:after="0" w:line="360" w:lineRule="auto"/>
        <w:ind w:left="210" w:leftChars="100"/>
        <w:jc w:val="left"/>
        <w:rPr>
          <w:rFonts w:ascii="宋体" w:hAnsi="宋体"/>
          <w:color w:val="auto"/>
          <w:sz w:val="21"/>
          <w:szCs w:val="21"/>
          <w:highlight w:val="none"/>
        </w:rPr>
      </w:pPr>
      <w:bookmarkStart w:id="708" w:name="_Toc21855"/>
      <w:bookmarkStart w:id="709" w:name="_Toc29835"/>
      <w:bookmarkStart w:id="710" w:name="_Toc26270"/>
      <w:r>
        <w:rPr>
          <w:rFonts w:hint="eastAsia" w:ascii="宋体" w:hAnsi="宋体" w:cs="宋体"/>
          <w:b w:val="0"/>
          <w:color w:val="auto"/>
          <w:sz w:val="21"/>
          <w:szCs w:val="21"/>
          <w:highlight w:val="none"/>
          <w:shd w:val="clear" w:color="auto" w:fill="FFFFFF"/>
        </w:rPr>
        <w:t>1.8  转让</w:t>
      </w:r>
      <w:bookmarkEnd w:id="708"/>
      <w:bookmarkEnd w:id="709"/>
      <w:bookmarkEnd w:id="710"/>
    </w:p>
    <w:p w14:paraId="618464DE">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除合同另有约定外，未经对方当事人同意，一方当事人不得将合同权利全部或部分转让给第三人，也不得全部或部分转移合同义务。</w:t>
      </w:r>
    </w:p>
    <w:p w14:paraId="23A7C160">
      <w:pPr>
        <w:pStyle w:val="4"/>
        <w:keepNext w:val="0"/>
        <w:keepLines w:val="0"/>
        <w:widowControl/>
        <w:snapToGrid w:val="0"/>
        <w:spacing w:before="0" w:after="0" w:line="360" w:lineRule="auto"/>
        <w:ind w:left="210" w:leftChars="100"/>
        <w:jc w:val="left"/>
        <w:rPr>
          <w:rFonts w:ascii="宋体" w:hAnsi="宋体"/>
          <w:color w:val="auto"/>
          <w:sz w:val="21"/>
          <w:szCs w:val="21"/>
          <w:highlight w:val="none"/>
        </w:rPr>
      </w:pPr>
      <w:bookmarkStart w:id="711" w:name="_Toc1573"/>
      <w:bookmarkStart w:id="712" w:name="_Toc21434"/>
      <w:bookmarkStart w:id="713" w:name="_Toc14208"/>
      <w:r>
        <w:rPr>
          <w:rFonts w:hint="eastAsia" w:ascii="宋体" w:hAnsi="宋体" w:cs="宋体"/>
          <w:b w:val="0"/>
          <w:color w:val="auto"/>
          <w:sz w:val="21"/>
          <w:szCs w:val="21"/>
          <w:highlight w:val="none"/>
          <w:shd w:val="clear" w:color="auto" w:fill="FFFFFF"/>
        </w:rPr>
        <w:t>1.9  严禁贿赂</w:t>
      </w:r>
      <w:bookmarkEnd w:id="711"/>
      <w:bookmarkEnd w:id="712"/>
      <w:bookmarkEnd w:id="713"/>
    </w:p>
    <w:p w14:paraId="0F1461BE">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合同双方当事人不得以贿赂或变相贿赂的方式，谋取不当利益或损害对方权益。因贿赂造成对方损失的，行为人应赔偿损失，并承担相应的法律责任。</w:t>
      </w:r>
    </w:p>
    <w:p w14:paraId="31E6F9F6">
      <w:pPr>
        <w:pStyle w:val="4"/>
        <w:keepNext w:val="0"/>
        <w:keepLines w:val="0"/>
        <w:widowControl/>
        <w:snapToGrid w:val="0"/>
        <w:spacing w:before="0" w:after="0" w:line="360" w:lineRule="auto"/>
        <w:ind w:left="210" w:leftChars="100"/>
        <w:jc w:val="left"/>
        <w:rPr>
          <w:rFonts w:ascii="宋体" w:hAnsi="宋体"/>
          <w:color w:val="auto"/>
          <w:sz w:val="21"/>
          <w:szCs w:val="21"/>
          <w:highlight w:val="none"/>
        </w:rPr>
      </w:pPr>
      <w:bookmarkStart w:id="714" w:name="_Toc10404"/>
      <w:bookmarkStart w:id="715" w:name="_Toc16053"/>
      <w:bookmarkStart w:id="716" w:name="_Toc24275"/>
      <w:r>
        <w:rPr>
          <w:rFonts w:hint="eastAsia" w:ascii="宋体" w:hAnsi="宋体" w:cs="宋体"/>
          <w:b w:val="0"/>
          <w:color w:val="auto"/>
          <w:sz w:val="21"/>
          <w:szCs w:val="21"/>
          <w:highlight w:val="none"/>
          <w:shd w:val="clear" w:color="auto" w:fill="FFFFFF"/>
        </w:rPr>
        <w:t>1.10  化石、文物</w:t>
      </w:r>
      <w:bookmarkEnd w:id="714"/>
      <w:bookmarkEnd w:id="715"/>
      <w:bookmarkEnd w:id="716"/>
    </w:p>
    <w:p w14:paraId="599F231E">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4C699E9E">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1.10.2  承包人发现文物后不及时报告或隐瞒不报，致使文物丢失或损坏的，应赔偿损失，并承担相应的法律责任。</w:t>
      </w:r>
    </w:p>
    <w:p w14:paraId="491AFD10">
      <w:pPr>
        <w:pStyle w:val="4"/>
        <w:keepNext w:val="0"/>
        <w:keepLines w:val="0"/>
        <w:widowControl/>
        <w:snapToGrid w:val="0"/>
        <w:spacing w:before="0" w:after="0" w:line="360" w:lineRule="auto"/>
        <w:ind w:left="210" w:leftChars="100"/>
        <w:jc w:val="left"/>
        <w:rPr>
          <w:rFonts w:ascii="宋体" w:hAnsi="宋体"/>
          <w:color w:val="auto"/>
          <w:sz w:val="21"/>
          <w:szCs w:val="21"/>
          <w:highlight w:val="none"/>
        </w:rPr>
      </w:pPr>
      <w:bookmarkStart w:id="717" w:name="_Toc2891"/>
      <w:bookmarkStart w:id="718" w:name="_Toc24646"/>
      <w:bookmarkStart w:id="719" w:name="_Toc23632"/>
      <w:r>
        <w:rPr>
          <w:rFonts w:hint="eastAsia" w:ascii="宋体" w:hAnsi="宋体" w:cs="宋体"/>
          <w:b w:val="0"/>
          <w:color w:val="auto"/>
          <w:sz w:val="21"/>
          <w:szCs w:val="21"/>
          <w:highlight w:val="none"/>
          <w:shd w:val="clear" w:color="auto" w:fill="FFFFFF"/>
        </w:rPr>
        <w:t>1.11  专利技术</w:t>
      </w:r>
      <w:bookmarkEnd w:id="717"/>
      <w:bookmarkEnd w:id="718"/>
      <w:bookmarkEnd w:id="719"/>
    </w:p>
    <w:p w14:paraId="645ECAFB">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1.11.1  承包人在使用任何材料、承包人设备或采用施工工艺时，因侵犯专利权或其他知识产权所引起的责任，由承包人承担，但由于遵照发包人提供的设计或技术标准和要求引起的除外。</w:t>
      </w:r>
    </w:p>
    <w:p w14:paraId="45A07C4C">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1.11.2  承包人在投标文件中采用专利技术的，专利技术的使用费包含在投标报价内。</w:t>
      </w:r>
    </w:p>
    <w:p w14:paraId="214A24C0">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1.11.3  承包人的技术秘密和声明需要保密的资料和信息，发包人和监理人不得为合同以外的目的泄露给他人。</w:t>
      </w:r>
    </w:p>
    <w:p w14:paraId="3B3AA937">
      <w:pPr>
        <w:pStyle w:val="4"/>
        <w:keepNext w:val="0"/>
        <w:keepLines w:val="0"/>
        <w:widowControl/>
        <w:snapToGrid w:val="0"/>
        <w:spacing w:before="0" w:after="0" w:line="360" w:lineRule="auto"/>
        <w:ind w:left="210" w:leftChars="100"/>
        <w:jc w:val="left"/>
        <w:rPr>
          <w:rFonts w:ascii="宋体" w:hAnsi="宋体"/>
          <w:color w:val="auto"/>
          <w:sz w:val="21"/>
          <w:szCs w:val="21"/>
          <w:highlight w:val="none"/>
        </w:rPr>
      </w:pPr>
      <w:bookmarkStart w:id="720" w:name="_Toc23758"/>
      <w:bookmarkStart w:id="721" w:name="_Toc23977"/>
      <w:bookmarkStart w:id="722" w:name="_Toc30157"/>
      <w:r>
        <w:rPr>
          <w:rFonts w:hint="eastAsia" w:ascii="宋体" w:hAnsi="宋体" w:cs="宋体"/>
          <w:b w:val="0"/>
          <w:color w:val="auto"/>
          <w:sz w:val="21"/>
          <w:szCs w:val="21"/>
          <w:highlight w:val="none"/>
          <w:shd w:val="clear" w:color="auto" w:fill="FFFFFF"/>
        </w:rPr>
        <w:t>1.12  图纸和文件的保密</w:t>
      </w:r>
      <w:bookmarkEnd w:id="720"/>
      <w:bookmarkEnd w:id="721"/>
      <w:bookmarkEnd w:id="722"/>
    </w:p>
    <w:p w14:paraId="5EC86494">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1.12.1  发包人提供的图纸和文件，未经发包人同意，承包人不得为合同以外的目的泄露给他人或公开发表与引用。</w:t>
      </w:r>
    </w:p>
    <w:p w14:paraId="758A2DD8">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1.12.2  承包人提供的文件，未经承包人同意，发包人和监理人不得为合同以外的目的泄露给他人或公开发表与引用。</w:t>
      </w:r>
    </w:p>
    <w:p w14:paraId="55AB9CB3">
      <w:pPr>
        <w:pStyle w:val="3"/>
        <w:keepNext w:val="0"/>
        <w:keepLines w:val="0"/>
        <w:widowControl/>
        <w:snapToGrid w:val="0"/>
        <w:spacing w:before="0" w:after="0" w:line="360" w:lineRule="auto"/>
        <w:ind w:left="210" w:leftChars="100"/>
        <w:jc w:val="left"/>
        <w:rPr>
          <w:rFonts w:ascii="宋体" w:hAnsi="宋体"/>
          <w:color w:val="auto"/>
          <w:sz w:val="21"/>
          <w:szCs w:val="21"/>
          <w:highlight w:val="none"/>
        </w:rPr>
      </w:pPr>
      <w:bookmarkStart w:id="723" w:name="_Toc26776"/>
      <w:bookmarkStart w:id="724" w:name="_Toc13238"/>
      <w:bookmarkStart w:id="725" w:name="_Toc26834"/>
      <w:r>
        <w:rPr>
          <w:rFonts w:hint="eastAsia" w:ascii="宋体" w:hAnsi="宋体"/>
          <w:b w:val="0"/>
          <w:color w:val="auto"/>
          <w:sz w:val="21"/>
          <w:szCs w:val="21"/>
          <w:highlight w:val="none"/>
          <w:shd w:val="clear" w:color="auto" w:fill="FFFFFF"/>
        </w:rPr>
        <w:t>2.发包人义务</w:t>
      </w:r>
      <w:bookmarkEnd w:id="723"/>
      <w:bookmarkEnd w:id="724"/>
      <w:bookmarkEnd w:id="725"/>
    </w:p>
    <w:p w14:paraId="5E3292C8">
      <w:pPr>
        <w:pStyle w:val="4"/>
        <w:keepNext w:val="0"/>
        <w:keepLines w:val="0"/>
        <w:widowControl/>
        <w:snapToGrid w:val="0"/>
        <w:spacing w:before="0" w:after="0" w:line="360" w:lineRule="auto"/>
        <w:ind w:left="210" w:leftChars="100"/>
        <w:jc w:val="left"/>
        <w:rPr>
          <w:rFonts w:ascii="宋体" w:hAnsi="宋体"/>
          <w:color w:val="auto"/>
          <w:sz w:val="21"/>
          <w:szCs w:val="21"/>
          <w:highlight w:val="none"/>
        </w:rPr>
      </w:pPr>
      <w:bookmarkStart w:id="726" w:name="_Toc3230"/>
      <w:bookmarkStart w:id="727" w:name="_Toc15440"/>
      <w:bookmarkStart w:id="728" w:name="_Toc20451"/>
      <w:r>
        <w:rPr>
          <w:rFonts w:hint="eastAsia" w:ascii="宋体" w:hAnsi="宋体" w:cs="宋体"/>
          <w:b w:val="0"/>
          <w:color w:val="auto"/>
          <w:sz w:val="21"/>
          <w:szCs w:val="21"/>
          <w:highlight w:val="none"/>
          <w:shd w:val="clear" w:color="auto" w:fill="FFFFFF"/>
        </w:rPr>
        <w:t>2.1  遵守法律</w:t>
      </w:r>
      <w:bookmarkEnd w:id="726"/>
      <w:bookmarkEnd w:id="727"/>
      <w:bookmarkEnd w:id="728"/>
    </w:p>
    <w:p w14:paraId="3CC5427B">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发包人在履行合同过程中应遵守法律，并保证承包人免于承担因发包人违反法律而引起的任何责任。</w:t>
      </w:r>
    </w:p>
    <w:p w14:paraId="2B7103C0">
      <w:pPr>
        <w:pStyle w:val="4"/>
        <w:keepNext w:val="0"/>
        <w:keepLines w:val="0"/>
        <w:widowControl/>
        <w:snapToGrid w:val="0"/>
        <w:spacing w:before="0" w:after="0" w:line="360" w:lineRule="auto"/>
        <w:ind w:left="210" w:leftChars="100"/>
        <w:jc w:val="left"/>
        <w:rPr>
          <w:rFonts w:ascii="宋体" w:hAnsi="宋体"/>
          <w:color w:val="auto"/>
          <w:sz w:val="21"/>
          <w:szCs w:val="21"/>
          <w:highlight w:val="none"/>
        </w:rPr>
      </w:pPr>
      <w:bookmarkStart w:id="729" w:name="_Toc24490"/>
      <w:bookmarkStart w:id="730" w:name="_Toc12200"/>
      <w:bookmarkStart w:id="731" w:name="_Toc8873"/>
      <w:r>
        <w:rPr>
          <w:rFonts w:hint="eastAsia" w:ascii="宋体" w:hAnsi="宋体" w:cs="宋体"/>
          <w:b w:val="0"/>
          <w:color w:val="auto"/>
          <w:sz w:val="21"/>
          <w:szCs w:val="21"/>
          <w:highlight w:val="none"/>
          <w:shd w:val="clear" w:color="auto" w:fill="FFFFFF"/>
        </w:rPr>
        <w:t>2.2  发出开工通知</w:t>
      </w:r>
      <w:bookmarkEnd w:id="729"/>
      <w:bookmarkEnd w:id="730"/>
      <w:bookmarkEnd w:id="731"/>
    </w:p>
    <w:p w14:paraId="76C4CE31">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发包人应委托监理人按第11.1款的约定向承包人发出开工通知。</w:t>
      </w:r>
    </w:p>
    <w:p w14:paraId="160DFB08">
      <w:pPr>
        <w:pStyle w:val="4"/>
        <w:keepNext w:val="0"/>
        <w:keepLines w:val="0"/>
        <w:widowControl/>
        <w:snapToGrid w:val="0"/>
        <w:spacing w:before="0" w:after="0" w:line="360" w:lineRule="auto"/>
        <w:ind w:left="210" w:leftChars="100"/>
        <w:jc w:val="left"/>
        <w:rPr>
          <w:rFonts w:ascii="宋体" w:hAnsi="宋体"/>
          <w:color w:val="auto"/>
          <w:sz w:val="21"/>
          <w:szCs w:val="21"/>
          <w:highlight w:val="none"/>
        </w:rPr>
      </w:pPr>
      <w:bookmarkStart w:id="732" w:name="_Toc31063"/>
      <w:bookmarkStart w:id="733" w:name="_Toc16492"/>
      <w:r>
        <w:rPr>
          <w:rFonts w:hint="eastAsia" w:ascii="宋体" w:hAnsi="宋体" w:cs="宋体"/>
          <w:b w:val="0"/>
          <w:color w:val="auto"/>
          <w:sz w:val="21"/>
          <w:szCs w:val="21"/>
          <w:highlight w:val="none"/>
          <w:shd w:val="clear" w:color="auto" w:fill="FFFFFF"/>
        </w:rPr>
        <w:t>2.3  提供施工场地</w:t>
      </w:r>
      <w:bookmarkEnd w:id="732"/>
      <w:bookmarkEnd w:id="733"/>
    </w:p>
    <w:p w14:paraId="6B7AEB4A">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发包人应在约定期限前确保施工场地具备施工条件并移交给承包人，具体施工条件在 “技术标准和要求”第一节“一般要求”中约定。发包人最迟应当在移交施工场地的同时向承包人提供施工场地内地下管线和地下设施等有关资料，并保证资料的真实、准确和完整。发包人移交施工场地的期限见合同条款专用部分。</w:t>
      </w:r>
    </w:p>
    <w:p w14:paraId="3809744B">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734" w:name="_Toc32120"/>
      <w:bookmarkStart w:id="735" w:name="_Toc3454"/>
      <w:bookmarkStart w:id="736" w:name="_Toc30433"/>
      <w:r>
        <w:rPr>
          <w:rFonts w:hint="eastAsia" w:ascii="宋体" w:hAnsi="宋体" w:cs="宋体"/>
          <w:b w:val="0"/>
          <w:bCs w:val="0"/>
          <w:color w:val="auto"/>
          <w:sz w:val="21"/>
          <w:szCs w:val="21"/>
          <w:highlight w:val="none"/>
          <w:shd w:val="clear" w:color="auto" w:fill="FFFFFF"/>
        </w:rPr>
        <w:t>2.4  协助承包人办理证件和批件</w:t>
      </w:r>
      <w:bookmarkEnd w:id="734"/>
      <w:bookmarkEnd w:id="735"/>
      <w:bookmarkEnd w:id="736"/>
    </w:p>
    <w:p w14:paraId="73FDED4F">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发包人应协助承包人办理法律规定的有关施工证件和批件。</w:t>
      </w:r>
    </w:p>
    <w:p w14:paraId="36A53A02">
      <w:pPr>
        <w:pStyle w:val="4"/>
        <w:keepNext w:val="0"/>
        <w:keepLines w:val="0"/>
        <w:widowControl/>
        <w:snapToGrid w:val="0"/>
        <w:spacing w:before="0" w:after="0" w:line="360" w:lineRule="auto"/>
        <w:ind w:left="210" w:leftChars="100"/>
        <w:jc w:val="left"/>
        <w:rPr>
          <w:rFonts w:ascii="宋体" w:hAnsi="宋体"/>
          <w:color w:val="auto"/>
          <w:sz w:val="21"/>
          <w:szCs w:val="21"/>
          <w:highlight w:val="none"/>
        </w:rPr>
      </w:pPr>
      <w:bookmarkStart w:id="737" w:name="_Toc22017"/>
      <w:bookmarkStart w:id="738" w:name="_Toc9516"/>
      <w:bookmarkStart w:id="739" w:name="_Toc14566"/>
      <w:r>
        <w:rPr>
          <w:rFonts w:hint="eastAsia" w:ascii="宋体" w:hAnsi="宋体" w:cs="宋体"/>
          <w:b w:val="0"/>
          <w:color w:val="auto"/>
          <w:sz w:val="21"/>
          <w:szCs w:val="21"/>
          <w:highlight w:val="none"/>
          <w:shd w:val="clear" w:color="auto" w:fill="FFFFFF"/>
        </w:rPr>
        <w:t>2.5  组织设计交底</w:t>
      </w:r>
      <w:bookmarkEnd w:id="737"/>
      <w:bookmarkEnd w:id="738"/>
      <w:bookmarkEnd w:id="739"/>
    </w:p>
    <w:p w14:paraId="686FF15D">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发包人应根据批准的合同进度计划，组织设计单位向承包人进行设计交底。</w:t>
      </w:r>
    </w:p>
    <w:p w14:paraId="4B3F5632">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发包人应在第11.1.1项约定的开工日期前，组织设计人向承包人进行合同工程总体设计交底（包括图纸会审）。发包人还应按照合同进度计划中载明的阶段性设计交底时间，组织和安排阶段工程设计交底（包括图纸会审）。承包人应当以书面方式通过监理人向发包人申请增加设计交底，发包人在认为确有必要且条件许可时，应当尽快组织这类设计交底。</w:t>
      </w:r>
    </w:p>
    <w:p w14:paraId="552963C0">
      <w:pPr>
        <w:pStyle w:val="4"/>
        <w:keepNext w:val="0"/>
        <w:keepLines w:val="0"/>
        <w:widowControl/>
        <w:snapToGrid w:val="0"/>
        <w:spacing w:before="0" w:after="0" w:line="360" w:lineRule="auto"/>
        <w:ind w:left="210" w:leftChars="100"/>
        <w:jc w:val="left"/>
        <w:rPr>
          <w:rFonts w:ascii="宋体" w:hAnsi="宋体"/>
          <w:color w:val="auto"/>
          <w:sz w:val="21"/>
          <w:szCs w:val="21"/>
          <w:highlight w:val="none"/>
        </w:rPr>
      </w:pPr>
      <w:bookmarkStart w:id="740" w:name="_Toc11721"/>
      <w:bookmarkStart w:id="741" w:name="_Toc19178"/>
      <w:bookmarkStart w:id="742" w:name="_Toc19224"/>
      <w:r>
        <w:rPr>
          <w:rFonts w:hint="eastAsia" w:ascii="宋体" w:hAnsi="宋体" w:cs="宋体"/>
          <w:b w:val="0"/>
          <w:color w:val="auto"/>
          <w:sz w:val="21"/>
          <w:szCs w:val="21"/>
          <w:highlight w:val="none"/>
          <w:shd w:val="clear" w:color="auto" w:fill="FFFFFF"/>
        </w:rPr>
        <w:t>2.6  支付合同价款</w:t>
      </w:r>
      <w:bookmarkEnd w:id="740"/>
      <w:bookmarkEnd w:id="741"/>
      <w:bookmarkEnd w:id="742"/>
    </w:p>
    <w:p w14:paraId="1913D862">
      <w:pPr>
        <w:widowControl/>
        <w:snapToGrid w:val="0"/>
        <w:spacing w:line="360" w:lineRule="auto"/>
        <w:ind w:left="210" w:leftChars="100" w:firstLine="42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发包人应按合同约定向承包人及时支付合同价款。</w:t>
      </w:r>
    </w:p>
    <w:p w14:paraId="7AFB4F97">
      <w:pPr>
        <w:widowControl/>
        <w:snapToGrid w:val="0"/>
        <w:spacing w:line="360" w:lineRule="auto"/>
        <w:ind w:left="210" w:leftChars="100" w:firstLine="420"/>
        <w:jc w:val="left"/>
        <w:rPr>
          <w:rFonts w:hint="eastAsia" w:ascii="宋体" w:hAnsi="宋体" w:cs="宋体"/>
          <w:color w:val="auto"/>
          <w:kern w:val="0"/>
          <w:szCs w:val="21"/>
          <w:highlight w:val="none"/>
          <w:shd w:val="clear" w:color="auto" w:fill="FFFFFF"/>
        </w:rPr>
      </w:pPr>
      <w:r>
        <w:rPr>
          <w:rFonts w:hint="eastAsia" w:ascii="宋体" w:hAnsi="宋体" w:eastAsia="宋体" w:cs="宋体"/>
          <w:color w:val="auto"/>
          <w:spacing w:val="0"/>
          <w:kern w:val="0"/>
          <w:sz w:val="21"/>
          <w:szCs w:val="21"/>
          <w:highlight w:val="none"/>
          <w:shd w:val="clear" w:color="auto" w:fill="FFFFFF"/>
        </w:rPr>
        <w:t>发包人应当严格落实人工费用与其他工程款分账管理制度，分解工程价款中的人工费</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用，及时足额将人工费用拨付到承包人的工资专用账户。</w:t>
      </w:r>
    </w:p>
    <w:p w14:paraId="1757CB86">
      <w:pPr>
        <w:pStyle w:val="4"/>
        <w:keepNext w:val="0"/>
        <w:keepLines w:val="0"/>
        <w:widowControl/>
        <w:snapToGrid w:val="0"/>
        <w:spacing w:before="0" w:after="0" w:line="360" w:lineRule="auto"/>
        <w:ind w:left="210" w:leftChars="100"/>
        <w:jc w:val="left"/>
        <w:rPr>
          <w:rFonts w:ascii="宋体" w:hAnsi="宋体"/>
          <w:color w:val="auto"/>
          <w:sz w:val="21"/>
          <w:szCs w:val="21"/>
          <w:highlight w:val="none"/>
        </w:rPr>
      </w:pPr>
      <w:bookmarkStart w:id="743" w:name="_Toc7376"/>
      <w:bookmarkStart w:id="744" w:name="_Toc7610"/>
      <w:bookmarkStart w:id="745" w:name="_Toc19740"/>
      <w:r>
        <w:rPr>
          <w:rFonts w:hint="eastAsia" w:ascii="宋体" w:hAnsi="宋体" w:cs="宋体"/>
          <w:b w:val="0"/>
          <w:color w:val="auto"/>
          <w:sz w:val="21"/>
          <w:szCs w:val="21"/>
          <w:highlight w:val="none"/>
          <w:shd w:val="clear" w:color="auto" w:fill="FFFFFF"/>
        </w:rPr>
        <w:t>2.7  组织竣工验收</w:t>
      </w:r>
      <w:bookmarkEnd w:id="743"/>
      <w:bookmarkEnd w:id="744"/>
      <w:bookmarkEnd w:id="745"/>
    </w:p>
    <w:p w14:paraId="053D6AEA">
      <w:pPr>
        <w:widowControl/>
        <w:snapToGrid w:val="0"/>
        <w:spacing w:line="360" w:lineRule="auto"/>
        <w:ind w:left="210" w:leftChars="100" w:firstLine="420"/>
        <w:jc w:val="left"/>
        <w:rPr>
          <w:rFonts w:hint="eastAsia" w:ascii="宋体" w:hAnsi="宋体" w:cs="宋体"/>
          <w:color w:val="auto"/>
          <w:kern w:val="0"/>
          <w:szCs w:val="21"/>
          <w:highlight w:val="none"/>
          <w:shd w:val="clear" w:color="auto" w:fill="FFFFFF"/>
        </w:rPr>
      </w:pPr>
      <w:r>
        <w:rPr>
          <w:rFonts w:ascii="宋体" w:hAnsi="宋体" w:eastAsia="宋体" w:cs="宋体"/>
          <w:spacing w:val="7"/>
          <w:sz w:val="20"/>
          <w:szCs w:val="20"/>
        </w:rPr>
        <w:t>发包人应按合同约定及时组织竣工验收。发包人在组织竣工验收时，应对工程是否符合</w:t>
      </w:r>
      <w:r>
        <w:rPr>
          <w:rFonts w:ascii="宋体" w:hAnsi="宋体" w:eastAsia="宋体" w:cs="宋体"/>
          <w:spacing w:val="10"/>
          <w:sz w:val="20"/>
          <w:szCs w:val="20"/>
        </w:rPr>
        <w:t xml:space="preserve"> </w:t>
      </w:r>
      <w:r>
        <w:rPr>
          <w:rFonts w:ascii="宋体" w:hAnsi="宋体" w:eastAsia="宋体" w:cs="宋体"/>
          <w:spacing w:val="9"/>
          <w:sz w:val="20"/>
          <w:szCs w:val="20"/>
        </w:rPr>
        <w:t>消防要求进行查验。经查验不符合规定的，发包人不得编制工程竣工验收报告。</w:t>
      </w:r>
    </w:p>
    <w:p w14:paraId="08E2CC27">
      <w:pPr>
        <w:pStyle w:val="4"/>
        <w:keepNext w:val="0"/>
        <w:keepLines w:val="0"/>
        <w:widowControl/>
        <w:snapToGrid w:val="0"/>
        <w:spacing w:before="0" w:after="0" w:line="360" w:lineRule="auto"/>
        <w:ind w:left="210" w:leftChars="100"/>
        <w:jc w:val="left"/>
        <w:rPr>
          <w:rFonts w:ascii="宋体" w:hAnsi="宋体"/>
          <w:color w:val="auto"/>
          <w:sz w:val="21"/>
          <w:szCs w:val="21"/>
          <w:highlight w:val="none"/>
        </w:rPr>
      </w:pPr>
      <w:bookmarkStart w:id="746" w:name="_Toc12839"/>
      <w:bookmarkStart w:id="747" w:name="_Toc1606"/>
      <w:bookmarkStart w:id="748" w:name="_Toc20654"/>
      <w:r>
        <w:rPr>
          <w:rFonts w:hint="eastAsia" w:ascii="宋体" w:hAnsi="宋体" w:cs="宋体"/>
          <w:b w:val="0"/>
          <w:color w:val="auto"/>
          <w:sz w:val="21"/>
          <w:szCs w:val="21"/>
          <w:highlight w:val="none"/>
          <w:shd w:val="clear" w:color="auto" w:fill="FFFFFF"/>
        </w:rPr>
        <w:t>2.8  向承包人提交支付担保</w:t>
      </w:r>
      <w:bookmarkEnd w:id="746"/>
      <w:bookmarkEnd w:id="747"/>
      <w:bookmarkEnd w:id="748"/>
    </w:p>
    <w:p w14:paraId="44224239">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1）发包人要求承包人提交履约担保的，除合同条款专用部分另有约定的，在承包人按合同条款第4.2款向发包人递交符合合同约定的履约担保的同时，发包人应当按照金额和条件对等的原则和合同文件中规定的格式或者其他经过承包人事先认可的格式向承包人递交一份支付担保。发包人提供支付担保格式见合同条款专用部分附件六。</w:t>
      </w:r>
    </w:p>
    <w:p w14:paraId="5B33C474">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（2）支付担保的有效期应当自本合同生效之日起至发包人实际支付竣工付款之日止。</w:t>
      </w:r>
    </w:p>
    <w:p w14:paraId="483C8352">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（3）发包人无法获得一份不带具体截止日期的履约担保，支付担保中应当约定有“变更工程竣工付款支付日期的，保证期间按照变更后的竣工付款支付日期做相应调整”或类似约定的条款。</w:t>
      </w:r>
    </w:p>
    <w:p w14:paraId="0CADCBDB">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（4）支付担保应当在发包人付清竣工付款之日后28天内退还给发包人；承包人不承担发包人与支付担保有关的任何利息或其它类似的费用或者收益。</w:t>
      </w:r>
    </w:p>
    <w:p w14:paraId="177816D2">
      <w:pPr>
        <w:pStyle w:val="4"/>
        <w:keepNext w:val="0"/>
        <w:keepLines w:val="0"/>
        <w:widowControl/>
        <w:snapToGrid w:val="0"/>
        <w:spacing w:before="0" w:after="0" w:line="360" w:lineRule="auto"/>
        <w:ind w:left="210" w:leftChars="100"/>
        <w:jc w:val="left"/>
        <w:rPr>
          <w:rFonts w:ascii="宋体" w:hAnsi="宋体"/>
          <w:color w:val="auto"/>
          <w:sz w:val="21"/>
          <w:szCs w:val="21"/>
          <w:highlight w:val="none"/>
        </w:rPr>
      </w:pPr>
      <w:bookmarkStart w:id="749" w:name="_Toc8085"/>
      <w:bookmarkStart w:id="750" w:name="_Toc11869"/>
      <w:bookmarkStart w:id="751" w:name="_Toc30457"/>
      <w:r>
        <w:rPr>
          <w:rFonts w:hint="eastAsia" w:ascii="宋体" w:hAnsi="宋体" w:cs="宋体"/>
          <w:b w:val="0"/>
          <w:color w:val="auto"/>
          <w:sz w:val="21"/>
          <w:szCs w:val="21"/>
          <w:highlight w:val="none"/>
          <w:shd w:val="clear" w:color="auto" w:fill="FFFFFF"/>
        </w:rPr>
        <w:t>2.9  办理工程质量监督手续</w:t>
      </w:r>
      <w:bookmarkEnd w:id="749"/>
      <w:bookmarkEnd w:id="750"/>
      <w:bookmarkEnd w:id="751"/>
    </w:p>
    <w:p w14:paraId="5AC5B9A6">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发包人应按有关规定及时办理工程质量监督手续。</w:t>
      </w:r>
    </w:p>
    <w:p w14:paraId="33D4DB70">
      <w:pPr>
        <w:pStyle w:val="4"/>
        <w:keepNext w:val="0"/>
        <w:keepLines w:val="0"/>
        <w:widowControl/>
        <w:snapToGrid w:val="0"/>
        <w:spacing w:before="0" w:after="0" w:line="360" w:lineRule="auto"/>
        <w:ind w:left="210" w:leftChars="100"/>
        <w:jc w:val="left"/>
        <w:rPr>
          <w:rFonts w:ascii="宋体" w:hAnsi="宋体"/>
          <w:color w:val="auto"/>
          <w:sz w:val="21"/>
          <w:szCs w:val="21"/>
          <w:highlight w:val="none"/>
        </w:rPr>
      </w:pPr>
      <w:bookmarkStart w:id="752" w:name="_Toc22760"/>
      <w:bookmarkStart w:id="753" w:name="_Toc27534"/>
      <w:bookmarkStart w:id="754" w:name="_Toc32207"/>
      <w:r>
        <w:rPr>
          <w:rFonts w:hint="eastAsia" w:ascii="宋体" w:hAnsi="宋体" w:cs="宋体"/>
          <w:b w:val="0"/>
          <w:color w:val="auto"/>
          <w:sz w:val="21"/>
          <w:szCs w:val="21"/>
          <w:highlight w:val="none"/>
          <w:shd w:val="clear" w:color="auto" w:fill="FFFFFF"/>
        </w:rPr>
        <w:t>2.10  环境保护责任</w:t>
      </w:r>
      <w:bookmarkEnd w:id="752"/>
      <w:bookmarkEnd w:id="753"/>
      <w:bookmarkEnd w:id="754"/>
    </w:p>
    <w:p w14:paraId="5BCA67C0">
      <w:pPr>
        <w:widowControl/>
        <w:snapToGrid w:val="0"/>
        <w:spacing w:line="360" w:lineRule="auto"/>
        <w:ind w:left="210" w:leftChars="100" w:firstLine="315"/>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 xml:space="preserve"> 发包人对建筑垃圾处理、施工扬尘治理负总责。</w:t>
      </w:r>
    </w:p>
    <w:p w14:paraId="706976E8">
      <w:pPr>
        <w:pStyle w:val="4"/>
        <w:keepNext w:val="0"/>
        <w:keepLines w:val="0"/>
        <w:widowControl/>
        <w:snapToGrid w:val="0"/>
        <w:spacing w:before="0" w:after="0" w:line="360" w:lineRule="auto"/>
        <w:ind w:left="210" w:leftChars="100"/>
        <w:jc w:val="left"/>
        <w:rPr>
          <w:rFonts w:ascii="宋体" w:hAnsi="宋体"/>
          <w:color w:val="auto"/>
          <w:sz w:val="21"/>
          <w:szCs w:val="21"/>
          <w:highlight w:val="none"/>
        </w:rPr>
      </w:pPr>
      <w:bookmarkStart w:id="755" w:name="_Toc8958"/>
      <w:bookmarkStart w:id="756" w:name="_Toc10419"/>
      <w:bookmarkStart w:id="757" w:name="_Toc22578"/>
      <w:r>
        <w:rPr>
          <w:rFonts w:hint="eastAsia" w:ascii="宋体" w:hAnsi="宋体" w:cs="宋体"/>
          <w:b w:val="0"/>
          <w:color w:val="auto"/>
          <w:sz w:val="21"/>
          <w:szCs w:val="21"/>
          <w:highlight w:val="none"/>
          <w:shd w:val="clear" w:color="auto" w:fill="FFFFFF"/>
        </w:rPr>
        <w:t>2.11  移交工程档案</w:t>
      </w:r>
      <w:bookmarkEnd w:id="755"/>
      <w:bookmarkEnd w:id="756"/>
      <w:bookmarkEnd w:id="757"/>
    </w:p>
    <w:p w14:paraId="07D08A95">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发包人应根据建设行政主管部门和（或）城市建设档案管理机构的规定，收集、整理、立卷、归档工程资料，并按规定时间向建设行政主管部门或者城市建设档案管理机构移交规定的工程档案。</w:t>
      </w:r>
    </w:p>
    <w:p w14:paraId="5A8401B0">
      <w:pPr>
        <w:pStyle w:val="4"/>
        <w:keepNext w:val="0"/>
        <w:keepLines w:val="0"/>
        <w:widowControl/>
        <w:snapToGrid w:val="0"/>
        <w:spacing w:before="0" w:after="0" w:line="360" w:lineRule="auto"/>
        <w:ind w:left="210" w:leftChars="100"/>
        <w:jc w:val="left"/>
        <w:rPr>
          <w:rFonts w:ascii="宋体" w:hAnsi="宋体"/>
          <w:color w:val="auto"/>
          <w:sz w:val="21"/>
          <w:szCs w:val="21"/>
          <w:highlight w:val="none"/>
        </w:rPr>
      </w:pPr>
      <w:bookmarkStart w:id="758" w:name="_Toc20933"/>
      <w:bookmarkStart w:id="759" w:name="_Toc5065"/>
      <w:bookmarkStart w:id="760" w:name="_Toc11825"/>
      <w:r>
        <w:rPr>
          <w:rFonts w:hint="eastAsia" w:ascii="宋体" w:hAnsi="宋体" w:cs="宋体"/>
          <w:b w:val="0"/>
          <w:color w:val="auto"/>
          <w:sz w:val="21"/>
          <w:szCs w:val="21"/>
          <w:highlight w:val="none"/>
          <w:shd w:val="clear" w:color="auto" w:fill="FFFFFF"/>
        </w:rPr>
        <w:t>2.12  批准和确认</w:t>
      </w:r>
      <w:bookmarkEnd w:id="758"/>
      <w:bookmarkEnd w:id="759"/>
      <w:bookmarkEnd w:id="760"/>
    </w:p>
    <w:p w14:paraId="01867C26">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按照合同约定应当由监理人或者发包人回复、批复、批准和确认，或承包人提出修改意见的要求、请求、申请和报批等，自监理人或者发包人指定的接收人收到承包人发出的相应要求、请求、申请和报批之日起，如果监理人或者发包人在合同约定的期限内未予回复、批复、批准、确认或提出修改意见的，视为监理人和发包人已经同意、确认或者批准。</w:t>
      </w:r>
    </w:p>
    <w:p w14:paraId="3E0ECDB8">
      <w:pPr>
        <w:pStyle w:val="4"/>
        <w:keepNext w:val="0"/>
        <w:keepLines w:val="0"/>
        <w:widowControl/>
        <w:snapToGrid w:val="0"/>
        <w:spacing w:before="0" w:after="0" w:line="360" w:lineRule="auto"/>
        <w:ind w:left="210" w:leftChars="100"/>
        <w:jc w:val="left"/>
        <w:rPr>
          <w:rFonts w:ascii="宋体" w:hAnsi="宋体"/>
          <w:color w:val="auto"/>
          <w:sz w:val="21"/>
          <w:szCs w:val="21"/>
          <w:highlight w:val="none"/>
        </w:rPr>
      </w:pPr>
      <w:bookmarkStart w:id="761" w:name="_Toc6706"/>
      <w:bookmarkStart w:id="762" w:name="_Toc4262"/>
      <w:bookmarkStart w:id="763" w:name="_Toc20836"/>
      <w:r>
        <w:rPr>
          <w:rFonts w:hint="eastAsia" w:ascii="宋体" w:hAnsi="宋体" w:cs="宋体"/>
          <w:b w:val="0"/>
          <w:color w:val="auto"/>
          <w:sz w:val="21"/>
          <w:szCs w:val="21"/>
          <w:highlight w:val="none"/>
          <w:shd w:val="clear" w:color="auto" w:fill="FFFFFF"/>
        </w:rPr>
        <w:t>2.13  其他义务</w:t>
      </w:r>
      <w:bookmarkEnd w:id="761"/>
      <w:bookmarkEnd w:id="762"/>
      <w:bookmarkEnd w:id="763"/>
    </w:p>
    <w:p w14:paraId="3BAF477B">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发包人应履行的其他义务见合同条款专用部分</w:t>
      </w:r>
      <w:r>
        <w:rPr>
          <w:rFonts w:hint="eastAsia" w:ascii="宋体" w:hAnsi="宋体" w:cs="黑体"/>
          <w:color w:val="auto"/>
          <w:kern w:val="0"/>
          <w:szCs w:val="21"/>
          <w:highlight w:val="none"/>
          <w:shd w:val="clear" w:color="auto" w:fill="FFFFFF"/>
        </w:rPr>
        <w:t>。</w:t>
      </w:r>
    </w:p>
    <w:p w14:paraId="5C02125E">
      <w:pPr>
        <w:pStyle w:val="3"/>
        <w:keepNext w:val="0"/>
        <w:keepLines w:val="0"/>
        <w:widowControl/>
        <w:snapToGrid w:val="0"/>
        <w:spacing w:before="0" w:after="0" w:line="360" w:lineRule="auto"/>
        <w:ind w:left="210" w:leftChars="100"/>
        <w:jc w:val="left"/>
        <w:rPr>
          <w:rFonts w:ascii="宋体" w:hAnsi="宋体"/>
          <w:color w:val="auto"/>
          <w:sz w:val="21"/>
          <w:szCs w:val="21"/>
          <w:highlight w:val="none"/>
        </w:rPr>
      </w:pPr>
      <w:bookmarkStart w:id="764" w:name="_Toc31811"/>
      <w:bookmarkStart w:id="765" w:name="_Toc10415"/>
      <w:bookmarkStart w:id="766" w:name="_Toc16342"/>
      <w:r>
        <w:rPr>
          <w:rFonts w:hint="eastAsia" w:ascii="宋体" w:hAnsi="宋体"/>
          <w:b w:val="0"/>
          <w:color w:val="auto"/>
          <w:sz w:val="21"/>
          <w:szCs w:val="21"/>
          <w:highlight w:val="none"/>
          <w:shd w:val="clear" w:color="auto" w:fill="FFFFFF"/>
        </w:rPr>
        <w:t>3.监理人</w:t>
      </w:r>
      <w:bookmarkEnd w:id="764"/>
      <w:bookmarkEnd w:id="765"/>
      <w:bookmarkEnd w:id="766"/>
    </w:p>
    <w:p w14:paraId="793BB692">
      <w:pPr>
        <w:pStyle w:val="4"/>
        <w:keepNext w:val="0"/>
        <w:keepLines w:val="0"/>
        <w:widowControl/>
        <w:snapToGrid w:val="0"/>
        <w:spacing w:before="0" w:after="0" w:line="360" w:lineRule="auto"/>
        <w:ind w:left="210" w:leftChars="100"/>
        <w:jc w:val="left"/>
        <w:rPr>
          <w:rFonts w:ascii="宋体" w:hAnsi="宋体"/>
          <w:color w:val="auto"/>
          <w:sz w:val="21"/>
          <w:szCs w:val="21"/>
          <w:highlight w:val="none"/>
        </w:rPr>
      </w:pPr>
      <w:bookmarkStart w:id="767" w:name="_Toc3173"/>
      <w:bookmarkStart w:id="768" w:name="_Toc18046"/>
      <w:bookmarkStart w:id="769" w:name="_Toc25986"/>
      <w:r>
        <w:rPr>
          <w:rFonts w:hint="eastAsia" w:ascii="宋体" w:hAnsi="宋体" w:cs="宋体"/>
          <w:b w:val="0"/>
          <w:color w:val="auto"/>
          <w:sz w:val="21"/>
          <w:szCs w:val="21"/>
          <w:highlight w:val="none"/>
          <w:shd w:val="clear" w:color="auto" w:fill="FFFFFF"/>
        </w:rPr>
        <w:t>3.1  监理人的职责和权力</w:t>
      </w:r>
      <w:bookmarkEnd w:id="767"/>
      <w:bookmarkEnd w:id="768"/>
      <w:bookmarkEnd w:id="769"/>
    </w:p>
    <w:p w14:paraId="2832E99F">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3.1.1  监理人受发包人委托，享有合同约定的权力。监理人在行使某项权力前需要经发包人事先批准，合同条款通用部分没有指明的，应在合同中指明。监理人履行须经发包人批准行使的权力时，应当向承包人出示其行使该权力已经取得发包人批准的文件或者其他合法有效的证明。发包人需批准明确行使的权力见合同条款专用部分</w:t>
      </w:r>
      <w:r>
        <w:rPr>
          <w:rFonts w:hint="eastAsia" w:ascii="宋体" w:hAnsi="宋体" w:cs="黑体"/>
          <w:color w:val="auto"/>
          <w:kern w:val="0"/>
          <w:szCs w:val="21"/>
          <w:highlight w:val="none"/>
          <w:shd w:val="clear" w:color="auto" w:fill="FFFFFF"/>
        </w:rPr>
        <w:t>。</w:t>
      </w:r>
    </w:p>
    <w:p w14:paraId="74E30389">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3.1.2  监理人发出的任何指示应视为已得到发包人的批准，但监理人无权免除或变更合同约定的发包人和承包人的权利、义务和责任。</w:t>
      </w:r>
    </w:p>
    <w:p w14:paraId="4085C70D">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3.1.3  合同约定应由承包人承担的义务和责任，不因监理人对承包人提交文件的审查或批准，对工程、材料和设备的检查和检验，以及为实施监理作出的指示等职务行为而减轻或解除。</w:t>
      </w:r>
    </w:p>
    <w:p w14:paraId="0A302E0F">
      <w:pPr>
        <w:pStyle w:val="4"/>
        <w:keepNext w:val="0"/>
        <w:keepLines w:val="0"/>
        <w:widowControl/>
        <w:snapToGrid w:val="0"/>
        <w:spacing w:before="0" w:after="0" w:line="360" w:lineRule="auto"/>
        <w:ind w:left="210" w:leftChars="100"/>
        <w:jc w:val="left"/>
        <w:rPr>
          <w:rFonts w:ascii="宋体" w:hAnsi="宋体"/>
          <w:color w:val="auto"/>
          <w:sz w:val="21"/>
          <w:szCs w:val="21"/>
          <w:highlight w:val="none"/>
        </w:rPr>
      </w:pPr>
      <w:bookmarkStart w:id="770" w:name="_Toc11565"/>
      <w:bookmarkStart w:id="771" w:name="_Toc5807"/>
      <w:bookmarkStart w:id="772" w:name="_Toc11977"/>
      <w:r>
        <w:rPr>
          <w:rFonts w:hint="eastAsia" w:ascii="宋体" w:hAnsi="宋体" w:cs="宋体"/>
          <w:b w:val="0"/>
          <w:color w:val="auto"/>
          <w:sz w:val="21"/>
          <w:szCs w:val="21"/>
          <w:highlight w:val="none"/>
          <w:shd w:val="clear" w:color="auto" w:fill="FFFFFF"/>
        </w:rPr>
        <w:t>3.2  总监理工程师</w:t>
      </w:r>
      <w:bookmarkEnd w:id="770"/>
      <w:bookmarkEnd w:id="771"/>
      <w:bookmarkEnd w:id="772"/>
    </w:p>
    <w:p w14:paraId="76417E65">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发包人应在发出开工通知前将总监理工程师的任命通知承包人。总监理工程师更换时，应在调离14天前通知承包人。总监理工程师短期离开施工场地的，应委派代表代行其职责，并通知承包人。</w:t>
      </w:r>
    </w:p>
    <w:p w14:paraId="1589885C">
      <w:pPr>
        <w:pStyle w:val="4"/>
        <w:keepNext w:val="0"/>
        <w:keepLines w:val="0"/>
        <w:widowControl/>
        <w:snapToGrid w:val="0"/>
        <w:spacing w:before="0" w:after="0" w:line="360" w:lineRule="auto"/>
        <w:ind w:left="210" w:leftChars="100"/>
        <w:jc w:val="left"/>
        <w:rPr>
          <w:rFonts w:ascii="宋体" w:hAnsi="宋体"/>
          <w:color w:val="auto"/>
          <w:sz w:val="21"/>
          <w:szCs w:val="21"/>
          <w:highlight w:val="none"/>
        </w:rPr>
      </w:pPr>
      <w:bookmarkStart w:id="773" w:name="_Toc5710"/>
      <w:bookmarkStart w:id="774" w:name="_Toc16638"/>
      <w:bookmarkStart w:id="775" w:name="_Toc7948"/>
      <w:r>
        <w:rPr>
          <w:rFonts w:hint="eastAsia" w:ascii="宋体" w:hAnsi="宋体" w:cs="宋体"/>
          <w:b w:val="0"/>
          <w:color w:val="auto"/>
          <w:sz w:val="21"/>
          <w:szCs w:val="21"/>
          <w:highlight w:val="none"/>
          <w:shd w:val="clear" w:color="auto" w:fill="FFFFFF"/>
        </w:rPr>
        <w:t>3.3  监理人员</w:t>
      </w:r>
      <w:bookmarkEnd w:id="773"/>
      <w:bookmarkEnd w:id="774"/>
      <w:bookmarkEnd w:id="775"/>
    </w:p>
    <w:p w14:paraId="6CE04CF8">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14B0BCEE">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3.3.2  监理人员对承包人的任何工作、工程或其采用的材料未在约定的或合理的期限内提出否定意见的，视为已获批准，但不影响监理人在以后拒绝该项工作、工程、材料的权利。</w:t>
      </w:r>
    </w:p>
    <w:p w14:paraId="4FE903D0">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3.3.3  承包人对总监理工程师授权的监理人员发出的指示有疑问的，可向总监理工程师提出书面异议，总监理工程师应在48小时内对该指示予以确认、更改或撤销。</w:t>
      </w:r>
    </w:p>
    <w:p w14:paraId="229E9D5A">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3.3.4  总监理工程师不应将合同条款通用部分第3.5款约定应由总监理工程师作出确定的权力授权或者委托给其他监理人员。</w:t>
      </w:r>
    </w:p>
    <w:p w14:paraId="48E11F22">
      <w:pPr>
        <w:pStyle w:val="4"/>
        <w:keepNext w:val="0"/>
        <w:keepLines w:val="0"/>
        <w:widowControl/>
        <w:snapToGrid w:val="0"/>
        <w:spacing w:before="0" w:after="0" w:line="360" w:lineRule="auto"/>
        <w:ind w:left="210" w:leftChars="100"/>
        <w:jc w:val="left"/>
        <w:rPr>
          <w:rFonts w:ascii="宋体" w:hAnsi="宋体"/>
          <w:color w:val="auto"/>
          <w:sz w:val="21"/>
          <w:szCs w:val="21"/>
          <w:highlight w:val="none"/>
        </w:rPr>
      </w:pPr>
      <w:bookmarkStart w:id="776" w:name="_Toc27195"/>
      <w:bookmarkStart w:id="777" w:name="_Toc20287"/>
      <w:bookmarkStart w:id="778" w:name="_Toc32511"/>
      <w:r>
        <w:rPr>
          <w:rFonts w:hint="eastAsia" w:ascii="宋体" w:hAnsi="宋体" w:cs="宋体"/>
          <w:b w:val="0"/>
          <w:color w:val="auto"/>
          <w:sz w:val="21"/>
          <w:szCs w:val="21"/>
          <w:highlight w:val="none"/>
          <w:shd w:val="clear" w:color="auto" w:fill="FFFFFF"/>
        </w:rPr>
        <w:t>3.4  监理人的指示</w:t>
      </w:r>
      <w:bookmarkEnd w:id="776"/>
      <w:bookmarkEnd w:id="777"/>
      <w:bookmarkEnd w:id="778"/>
    </w:p>
    <w:p w14:paraId="2B15529E">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3.4.1  监理人应按第3.1款的约定向承包人发出指示，监理人的指示应加盖监理人授权的施工场地机构章，并由总监理工程师或总监理工程师按第3.3.1项约定授权的监理人员签字。</w:t>
      </w:r>
    </w:p>
    <w:p w14:paraId="3225BC12">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3.4.2  承包人收到监理人按第3.4.1项作出的指示后，应遵照执行。指示构成变更的，应按第15条处理。</w:t>
      </w:r>
    </w:p>
    <w:p w14:paraId="70737852">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14:paraId="70E7E956">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3.4.4  除合同另有约定外，承包人只从总监理工程师或按第3.3.1项被授权的监理人员处取得指示。</w:t>
      </w:r>
    </w:p>
    <w:p w14:paraId="49791371">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 xml:space="preserve">3.4.5  由于监理人未能按合同约定发出指示、指示延误或指示错误而导致承包人费用增加和（或）工期延误的，由发包人承担赔偿责任。 </w:t>
      </w:r>
    </w:p>
    <w:p w14:paraId="37D778CA">
      <w:pPr>
        <w:pStyle w:val="4"/>
        <w:keepNext w:val="0"/>
        <w:keepLines w:val="0"/>
        <w:widowControl/>
        <w:snapToGrid w:val="0"/>
        <w:spacing w:before="0" w:after="0" w:line="360" w:lineRule="auto"/>
        <w:ind w:left="210" w:leftChars="100"/>
        <w:jc w:val="left"/>
        <w:rPr>
          <w:rFonts w:ascii="宋体" w:hAnsi="宋体"/>
          <w:color w:val="auto"/>
          <w:sz w:val="21"/>
          <w:szCs w:val="21"/>
          <w:highlight w:val="none"/>
        </w:rPr>
      </w:pPr>
      <w:bookmarkStart w:id="779" w:name="_Toc11003"/>
      <w:bookmarkStart w:id="780" w:name="_Toc22569"/>
      <w:bookmarkStart w:id="781" w:name="_Toc9693"/>
      <w:r>
        <w:rPr>
          <w:rFonts w:hint="eastAsia" w:ascii="宋体" w:hAnsi="宋体" w:cs="宋体"/>
          <w:b w:val="0"/>
          <w:color w:val="auto"/>
          <w:sz w:val="21"/>
          <w:szCs w:val="21"/>
          <w:highlight w:val="none"/>
          <w:shd w:val="clear" w:color="auto" w:fill="FFFFFF"/>
        </w:rPr>
        <w:t>3.5  商定或确定</w:t>
      </w:r>
      <w:bookmarkEnd w:id="779"/>
      <w:bookmarkEnd w:id="780"/>
      <w:bookmarkEnd w:id="781"/>
    </w:p>
    <w:p w14:paraId="0F23820B">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3.5.1  总监理工程师应按照本款对任何事项进行商定或确定时，总监理工程师应与合同当事人协商，尽量达成一致。不能达成一致的，总监理工程师应认真研究后审慎确定。</w:t>
      </w:r>
    </w:p>
    <w:p w14:paraId="65A401E7">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需要作出修改的，按修改后的结果执行。</w:t>
      </w:r>
    </w:p>
    <w:p w14:paraId="664FCCEC">
      <w:pPr>
        <w:pStyle w:val="4"/>
        <w:keepNext w:val="0"/>
        <w:keepLines w:val="0"/>
        <w:widowControl/>
        <w:snapToGrid w:val="0"/>
        <w:spacing w:before="0" w:after="0" w:line="360" w:lineRule="auto"/>
        <w:ind w:left="210" w:leftChars="100"/>
        <w:jc w:val="left"/>
        <w:rPr>
          <w:rFonts w:ascii="宋体" w:hAnsi="宋体"/>
          <w:color w:val="auto"/>
          <w:sz w:val="21"/>
          <w:szCs w:val="21"/>
          <w:highlight w:val="none"/>
        </w:rPr>
      </w:pPr>
      <w:bookmarkStart w:id="782" w:name="_Toc1397"/>
      <w:bookmarkStart w:id="783" w:name="_Toc4706"/>
      <w:bookmarkStart w:id="784" w:name="_Toc21638"/>
      <w:r>
        <w:rPr>
          <w:rFonts w:hint="eastAsia" w:ascii="宋体" w:hAnsi="宋体" w:cs="宋体"/>
          <w:b w:val="0"/>
          <w:color w:val="auto"/>
          <w:sz w:val="21"/>
          <w:szCs w:val="21"/>
          <w:highlight w:val="none"/>
          <w:shd w:val="clear" w:color="auto" w:fill="FFFFFF"/>
        </w:rPr>
        <w:t>3.6  监理人的宽恕</w:t>
      </w:r>
      <w:bookmarkEnd w:id="782"/>
      <w:bookmarkEnd w:id="783"/>
      <w:bookmarkEnd w:id="784"/>
    </w:p>
    <w:p w14:paraId="67AB5C12">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监理人或者发包人就承包人对合同约定的任何责任和义务的某种违约行为的宽恕，不影响监理人和发包人在此后的任何时间严格按合同约定处理承包人的其它违约行为，也不意味发包人放弃合同约定的发包人与上述违约有关的任何权利和赔偿要求。</w:t>
      </w:r>
    </w:p>
    <w:p w14:paraId="1B143F25">
      <w:pPr>
        <w:pStyle w:val="3"/>
        <w:keepNext w:val="0"/>
        <w:keepLines w:val="0"/>
        <w:widowControl/>
        <w:snapToGrid w:val="0"/>
        <w:spacing w:before="0" w:after="0" w:line="360" w:lineRule="auto"/>
        <w:ind w:left="210" w:leftChars="100"/>
        <w:jc w:val="left"/>
        <w:rPr>
          <w:rFonts w:ascii="宋体" w:hAnsi="宋体"/>
          <w:color w:val="auto"/>
          <w:sz w:val="21"/>
          <w:szCs w:val="21"/>
          <w:highlight w:val="none"/>
        </w:rPr>
      </w:pPr>
      <w:bookmarkStart w:id="785" w:name="_Toc14813"/>
      <w:bookmarkStart w:id="786" w:name="_Toc28912"/>
      <w:bookmarkStart w:id="787" w:name="_Toc23974"/>
      <w:r>
        <w:rPr>
          <w:rFonts w:hint="eastAsia" w:ascii="宋体" w:hAnsi="宋体"/>
          <w:b w:val="0"/>
          <w:color w:val="auto"/>
          <w:sz w:val="21"/>
          <w:szCs w:val="21"/>
          <w:highlight w:val="none"/>
          <w:shd w:val="clear" w:color="auto" w:fill="FFFFFF"/>
        </w:rPr>
        <w:t>4.承包人</w:t>
      </w:r>
      <w:bookmarkEnd w:id="785"/>
      <w:bookmarkEnd w:id="786"/>
      <w:bookmarkEnd w:id="787"/>
    </w:p>
    <w:p w14:paraId="561B4033">
      <w:pPr>
        <w:pStyle w:val="4"/>
        <w:keepNext w:val="0"/>
        <w:keepLines w:val="0"/>
        <w:widowControl/>
        <w:snapToGrid w:val="0"/>
        <w:spacing w:before="0" w:after="0" w:line="360" w:lineRule="auto"/>
        <w:ind w:left="210" w:leftChars="100"/>
        <w:jc w:val="left"/>
        <w:rPr>
          <w:rFonts w:ascii="宋体" w:hAnsi="宋体"/>
          <w:color w:val="auto"/>
          <w:sz w:val="21"/>
          <w:szCs w:val="21"/>
          <w:highlight w:val="none"/>
        </w:rPr>
      </w:pPr>
      <w:bookmarkStart w:id="788" w:name="_Toc27858"/>
      <w:bookmarkStart w:id="789" w:name="_Toc31554"/>
      <w:bookmarkStart w:id="790" w:name="_Toc23341"/>
      <w:r>
        <w:rPr>
          <w:rFonts w:hint="eastAsia" w:ascii="宋体" w:hAnsi="宋体" w:cs="宋体"/>
          <w:b w:val="0"/>
          <w:color w:val="auto"/>
          <w:sz w:val="21"/>
          <w:szCs w:val="21"/>
          <w:highlight w:val="none"/>
          <w:shd w:val="clear" w:color="auto" w:fill="FFFFFF"/>
        </w:rPr>
        <w:t>4.1  承包人的一般义务</w:t>
      </w:r>
      <w:bookmarkEnd w:id="788"/>
      <w:bookmarkEnd w:id="789"/>
      <w:bookmarkEnd w:id="790"/>
    </w:p>
    <w:p w14:paraId="2A788FA1">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4.1.1  遵守法律</w:t>
      </w:r>
    </w:p>
    <w:p w14:paraId="5031ACC4">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承包人在履行合同过程中应遵守法律，并保证发包人免于承担因承包人违反法律而引起的任何责任。</w:t>
      </w:r>
    </w:p>
    <w:p w14:paraId="6CD243D1">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4.1.2  依法纳税</w:t>
      </w:r>
    </w:p>
    <w:p w14:paraId="2815EB54">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承包人应按有关法律规定纳税，应缴纳的税金包括在合同价格内。</w:t>
      </w:r>
    </w:p>
    <w:p w14:paraId="5508541D">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4.1.3  完成各项承包工作</w:t>
      </w:r>
    </w:p>
    <w:p w14:paraId="006C701E">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1）承包人应按合同约定以及监理人根据第3.4款作出的指示，实施、完成全部工程，并修补工程中的任何缺陷。除第5.2款约定由发包人提供的材料和第6.2款约定由发包人提供的施工设备和临时设施外，承包人应负责提供为完成合同工作所需的劳务、材料、施工设备和其他物品，并按照合同约定负责临时设施的设计、建造、运行、维护、管理和拆除工作。</w:t>
      </w:r>
    </w:p>
    <w:p w14:paraId="21D5A1FB">
      <w:pPr>
        <w:widowControl/>
        <w:snapToGrid w:val="0"/>
        <w:spacing w:before="0" w:line="360" w:lineRule="auto"/>
        <w:ind w:left="210" w:leftChars="100" w:firstLine="420"/>
        <w:jc w:val="left"/>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spacing w:val="0"/>
          <w:kern w:val="0"/>
          <w:sz w:val="21"/>
          <w:szCs w:val="21"/>
          <w:highlight w:val="none"/>
          <w:shd w:val="clear" w:color="auto" w:fill="FFFFFF"/>
        </w:rPr>
        <w:t>（2）承包人应当依法合规建立施工扬尘综合治理、建筑垃圾、土方和砂石清运与消纳、 保证使用已在本市进行信息编码登记符合排放标准的非道路移动机械和严禁使用高排放非</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道路移动机械以及行业挥发性有机物治理（如建筑外墙涂装、钢结构等鼓励使用水性漆替代</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油性漆；建筑施工、室外构筑物防护和道路交通标识等其他涂装作业，推广使用水性、高固</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 xml:space="preserve">体分、无溶剂、粉末等涂料和水基、本体型等低 </w:t>
      </w:r>
      <w:r>
        <w:rPr>
          <w:rFonts w:hint="eastAsia" w:ascii="宋体" w:hAnsi="宋体" w:eastAsia="宋体" w:cs="宋体"/>
          <w:color w:val="auto"/>
          <w:kern w:val="0"/>
          <w:sz w:val="21"/>
          <w:szCs w:val="21"/>
          <w:highlight w:val="none"/>
          <w:shd w:val="clear" w:color="auto" w:fill="FFFFFF"/>
        </w:rPr>
        <w:t>VOCs</w:t>
      </w:r>
      <w:r>
        <w:rPr>
          <w:rFonts w:hint="eastAsia" w:ascii="宋体" w:hAnsi="宋体" w:eastAsia="宋体" w:cs="宋体"/>
          <w:color w:val="auto"/>
          <w:spacing w:val="0"/>
          <w:kern w:val="0"/>
          <w:sz w:val="21"/>
          <w:szCs w:val="21"/>
          <w:highlight w:val="none"/>
          <w:shd w:val="clear" w:color="auto" w:fill="FFFFFF"/>
        </w:rPr>
        <w:t xml:space="preserve"> 含量胶粘剂）等责任制，制定具体的</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管控机制和实施方案，严格落实。</w:t>
      </w:r>
    </w:p>
    <w:p w14:paraId="081E3066">
      <w:pPr>
        <w:widowControl/>
        <w:snapToGrid w:val="0"/>
        <w:spacing w:line="360" w:lineRule="auto"/>
        <w:ind w:left="210" w:leftChars="100" w:firstLine="420"/>
        <w:jc w:val="left"/>
        <w:rPr>
          <w:rFonts w:hint="eastAsia" w:ascii="宋体" w:hAnsi="宋体" w:cs="宋体"/>
          <w:color w:val="auto"/>
          <w:kern w:val="0"/>
          <w:szCs w:val="21"/>
          <w:highlight w:val="none"/>
          <w:shd w:val="clear" w:color="auto" w:fill="FFFFFF"/>
        </w:rPr>
      </w:pPr>
      <w:r>
        <w:rPr>
          <w:rFonts w:hint="eastAsia" w:ascii="宋体" w:hAnsi="宋体" w:eastAsia="宋体" w:cs="宋体"/>
          <w:color w:val="auto"/>
          <w:spacing w:val="0"/>
          <w:kern w:val="0"/>
          <w:sz w:val="21"/>
          <w:szCs w:val="21"/>
          <w:highlight w:val="none"/>
          <w:shd w:val="clear" w:color="auto" w:fill="FFFFFF"/>
        </w:rPr>
        <w:t>（3）承包人应按法律法规、经消防设计审查合格或者满足工程需要的消防设计文件等</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规定组织施工，编制消防专项施工方案；按消防设计要求、施工技术标准和合同约定检验消 防产品和具有防火性能要求的建筑材料、建筑构配件和设备的质量，保证消防施工质量；配</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合发包人组织的竣工验收消防查验，对建设工程消防施工质量签章确认。</w:t>
      </w:r>
    </w:p>
    <w:p w14:paraId="7C81FF62">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4.1.4  对施工作业和施工方法的完备性负责</w:t>
      </w:r>
    </w:p>
    <w:p w14:paraId="31EAC21C">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承包人应按合同约定的工作内容和施工进度要求，编制施工组织设计和施工措施计划，并对所有施工作业和施工方法的完备性和安全可靠性负责。</w:t>
      </w:r>
    </w:p>
    <w:p w14:paraId="1BA70E5B">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4.1.5  保证工程施工和人员的安全</w:t>
      </w:r>
    </w:p>
    <w:p w14:paraId="69DDA363">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承包人应按照第9.2款约定采取施工安全措施，确保工程及其人员、材料、设备和设施的安全，防止因工程施工造成的人身伤害和财产损失。</w:t>
      </w:r>
    </w:p>
    <w:p w14:paraId="3C88BBF5">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4.1.6  负责施工场地及其周边环境与生态的保护工作</w:t>
      </w:r>
    </w:p>
    <w:p w14:paraId="40D3F9EC">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承包人应按照第9.4款约定负责施工场地及其周边环境与生态的保护工作。</w:t>
      </w:r>
    </w:p>
    <w:p w14:paraId="5694162F">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4.1.7  避免施工对公众与他人的利益造成损害</w:t>
      </w:r>
    </w:p>
    <w:p w14:paraId="360222A9">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153B2746">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4.1.8  为他人提供方便</w:t>
      </w:r>
    </w:p>
    <w:p w14:paraId="2926926A">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1）承包人应当对在施工场地或者附近实施与合同工程有关的其他工作的独立承包人履行管理、协调、配合、照管和服务义务，由此发生的费用被认为已经包括在承包人的签约合同价（投标总报价）中，具体工作内容和要求</w:t>
      </w:r>
      <w:r>
        <w:rPr>
          <w:rFonts w:hint="eastAsia" w:ascii="宋体" w:hAnsi="宋体" w:cs="黑体"/>
          <w:color w:val="auto"/>
          <w:kern w:val="0"/>
          <w:szCs w:val="21"/>
          <w:highlight w:val="none"/>
          <w:shd w:val="clear" w:color="auto" w:fill="FFFFFF"/>
        </w:rPr>
        <w:t>见合同条款专用部分。</w:t>
      </w:r>
    </w:p>
    <w:p w14:paraId="1DBFA9FD">
      <w:pPr>
        <w:widowControl/>
        <w:snapToGrid w:val="0"/>
        <w:spacing w:line="360" w:lineRule="auto"/>
        <w:ind w:left="210" w:leftChars="100" w:firstLine="321"/>
        <w:jc w:val="left"/>
        <w:rPr>
          <w:rFonts w:ascii="宋体" w:hAnsi="宋体" w:cs="Arial"/>
          <w:color w:val="auto"/>
          <w:szCs w:val="21"/>
          <w:highlight w:val="none"/>
        </w:rPr>
      </w:pPr>
      <w:r>
        <w:rPr>
          <w:rFonts w:hint="eastAsia" w:ascii="宋体" w:hAnsi="宋体" w:cs="宋体"/>
          <w:color w:val="auto"/>
          <w:spacing w:val="2"/>
          <w:kern w:val="0"/>
          <w:szCs w:val="21"/>
          <w:highlight w:val="none"/>
          <w:shd w:val="clear" w:color="auto" w:fill="FFFFFF"/>
        </w:rPr>
        <w:t>（2）承包人还应按照监理人指示为独立承包人以外的他人在施工场地或者附近实施与合同工程有关的其他工作提供可能的条件，可能发生费用由监理人按合同条款通用部分第3.5款商定或者确定。</w:t>
      </w:r>
    </w:p>
    <w:p w14:paraId="58450F70">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4.1.9  工程的维护和照管</w:t>
      </w:r>
    </w:p>
    <w:p w14:paraId="0B99B5FD">
      <w:pPr>
        <w:widowControl/>
        <w:snapToGrid w:val="0"/>
        <w:spacing w:line="360" w:lineRule="auto"/>
        <w:ind w:left="210" w:leftChars="100" w:firstLine="428"/>
        <w:jc w:val="left"/>
        <w:rPr>
          <w:rFonts w:ascii="宋体" w:hAnsi="宋体" w:cs="Arial"/>
          <w:color w:val="auto"/>
          <w:szCs w:val="21"/>
          <w:highlight w:val="none"/>
        </w:rPr>
      </w:pPr>
      <w:r>
        <w:rPr>
          <w:rFonts w:hint="eastAsia" w:ascii="宋体" w:hAnsi="宋体" w:cs="宋体"/>
          <w:color w:val="auto"/>
          <w:spacing w:val="2"/>
          <w:kern w:val="0"/>
          <w:szCs w:val="21"/>
          <w:highlight w:val="none"/>
          <w:shd w:val="clear" w:color="auto" w:fill="FFFFFF"/>
        </w:rPr>
        <w:t>工程接收证书颁发前，承包人应负责照管和维护工程。工程接收证书颁发时尚有部分未竣工工程的，承包人还应负责该未竣工工程的照管和维护工作，直至竣工后移交给发包人为</w:t>
      </w:r>
      <w:r>
        <w:rPr>
          <w:rFonts w:hint="eastAsia" w:ascii="宋体" w:hAnsi="宋体" w:cs="宋体"/>
          <w:color w:val="auto"/>
          <w:kern w:val="0"/>
          <w:szCs w:val="21"/>
          <w:highlight w:val="none"/>
          <w:shd w:val="clear" w:color="auto" w:fill="FFFFFF"/>
        </w:rPr>
        <w:t>止。</w:t>
      </w:r>
    </w:p>
    <w:p w14:paraId="5468E8EC">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 xml:space="preserve">4.1.10  承包人的设计工作 </w:t>
      </w:r>
    </w:p>
    <w:p w14:paraId="0CA7DE73">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根据发包人委托，在其设计资质等级和业务允许的范围内，完成约定的施工图设计或与工程配套的设计工作，经监理人确认后使用，发包人承担由此发生的费用和合理利润。由承包人负责完成的设计文件属于合同条款第1.6.2项约定的承包人提供的文件，承包人应按照合同条款专用部分第1.6.2项约定的期限和数量提交，由此发生的费用被认为已经包括在承包人的签约合同价（投标总报价）中。承包人承担的施工图设计或与工程配套的设计工作内容见合同条款专用部分。</w:t>
      </w:r>
    </w:p>
    <w:p w14:paraId="74002039">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4.1.11  农民工工资保证金</w:t>
      </w:r>
    </w:p>
    <w:p w14:paraId="0BAA09EF">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承包人应在银行设立工资保证金专用账户，专项用于发生欠薪时支付农民工工资的应急保障。账户内资金启用应当经建设主管部门和劳动保障行政部门批准。</w:t>
      </w:r>
    </w:p>
    <w:p w14:paraId="0410FC07">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4.1.12  其他义务</w:t>
      </w:r>
    </w:p>
    <w:p w14:paraId="4C691C3A">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承包人应履行的其他义务见合同条款专用部分。</w:t>
      </w:r>
    </w:p>
    <w:p w14:paraId="1ECF7F1E">
      <w:pPr>
        <w:pStyle w:val="4"/>
        <w:keepNext w:val="0"/>
        <w:keepLines w:val="0"/>
        <w:widowControl/>
        <w:snapToGrid w:val="0"/>
        <w:spacing w:before="0" w:after="0" w:line="360" w:lineRule="auto"/>
        <w:ind w:left="210" w:leftChars="100"/>
        <w:jc w:val="left"/>
        <w:rPr>
          <w:rFonts w:ascii="宋体" w:hAnsi="宋体"/>
          <w:color w:val="auto"/>
          <w:sz w:val="21"/>
          <w:szCs w:val="21"/>
          <w:highlight w:val="none"/>
        </w:rPr>
      </w:pPr>
      <w:bookmarkStart w:id="791" w:name="_Toc17431"/>
      <w:bookmarkStart w:id="792" w:name="_Toc32142"/>
      <w:bookmarkStart w:id="793" w:name="_Toc16914"/>
      <w:r>
        <w:rPr>
          <w:rFonts w:hint="eastAsia" w:ascii="宋体" w:hAnsi="宋体" w:cs="宋体"/>
          <w:b w:val="0"/>
          <w:color w:val="auto"/>
          <w:sz w:val="21"/>
          <w:szCs w:val="21"/>
          <w:highlight w:val="none"/>
          <w:shd w:val="clear" w:color="auto" w:fill="FFFFFF"/>
        </w:rPr>
        <w:t>4.2  履约担保</w:t>
      </w:r>
      <w:bookmarkEnd w:id="791"/>
      <w:bookmarkEnd w:id="792"/>
      <w:bookmarkEnd w:id="793"/>
    </w:p>
    <w:p w14:paraId="64166B63">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4.2.1  履约担保的格式和金额</w:t>
      </w:r>
    </w:p>
    <w:p w14:paraId="5B6D7209">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合同约定承包人提交履约担保的，承包人应在签订合同前，按照发包人约定的格式或者其他经过发包人认可的格式向发包人递交一份履约担保。经过发包人事先书面认可的其他格式的履约担保，其担保条款的实质性内容应当与发包人合同文件约定的格式内容保持一致。承包人是否提交履约担保及需要提交履约担保的金额见合同条款专用部分。承包人履约担保格式见合同条款专用部分附件五。</w:t>
      </w:r>
    </w:p>
    <w:p w14:paraId="03EAC471">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4.2.2  履约担保的有效期</w:t>
      </w:r>
    </w:p>
    <w:p w14:paraId="5567C052">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履约担保的有效期应当自本合同生效之日起至发包人签认并由监理人向承包人出具工程接收证书之日止。如果承包人无法获得一份不带具体截止日期的担保，履约担保中就应当约定有“变更工程竣工日期的，保证期间按照变更后的竣工日期做相应调整”或类似约定的条款。</w:t>
      </w:r>
    </w:p>
    <w:p w14:paraId="3127AC4E">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4.2.3  履约担保的退还</w:t>
      </w:r>
    </w:p>
    <w:p w14:paraId="409F3595">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履约担保应在监理人向承包人颁发（出具）工程接收证书之日后28天内退还给承包人。发包人不承担承包人与履约担保有关的任何利息或其它类似的费用或者收益。</w:t>
      </w:r>
    </w:p>
    <w:p w14:paraId="359CB3EA">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4.2.4  通知义务</w:t>
      </w:r>
    </w:p>
    <w:p w14:paraId="637DFCCD">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不管履约担保条款中如何约定，发包人根据担保条款提出索赔或兑现要求28天前，应通知承包人并说明导致此类索赔或兑现的违约性质或原因。相应地，不管第2.8款约定的支付担保条款中如何约定，承包人根据担保条款提出索赔或兑现要求28天前，也应通知发包人并说明导致此类索赔或兑现的违约性质或原因。但是，本项约定的通知不应理解为是在任何意义上寻求承包人或者发包人的同意。</w:t>
      </w:r>
    </w:p>
    <w:p w14:paraId="08EA5FE0">
      <w:pPr>
        <w:pStyle w:val="4"/>
        <w:keepNext w:val="0"/>
        <w:keepLines w:val="0"/>
        <w:widowControl/>
        <w:snapToGrid w:val="0"/>
        <w:spacing w:before="0" w:after="0" w:line="360" w:lineRule="auto"/>
        <w:ind w:left="210" w:leftChars="100"/>
        <w:jc w:val="left"/>
        <w:rPr>
          <w:rFonts w:ascii="宋体" w:hAnsi="宋体"/>
          <w:color w:val="auto"/>
          <w:sz w:val="21"/>
          <w:szCs w:val="21"/>
          <w:highlight w:val="none"/>
        </w:rPr>
      </w:pPr>
      <w:bookmarkStart w:id="794" w:name="_Toc15547"/>
      <w:bookmarkStart w:id="795" w:name="_Toc18809"/>
      <w:bookmarkStart w:id="796" w:name="_Toc30968"/>
      <w:r>
        <w:rPr>
          <w:rFonts w:hint="eastAsia" w:ascii="宋体" w:hAnsi="宋体" w:cs="宋体"/>
          <w:b w:val="0"/>
          <w:color w:val="auto"/>
          <w:sz w:val="21"/>
          <w:szCs w:val="21"/>
          <w:highlight w:val="none"/>
          <w:shd w:val="clear" w:color="auto" w:fill="FFFFFF"/>
        </w:rPr>
        <w:t>4.3  分包</w:t>
      </w:r>
      <w:bookmarkEnd w:id="794"/>
      <w:bookmarkEnd w:id="795"/>
      <w:bookmarkEnd w:id="796"/>
    </w:p>
    <w:p w14:paraId="23287402">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4.3.1  承包人不得将其承包的全部工程转包给第三人，或将其承包的全部工程肢解后以分包的名义转包给第三人。</w:t>
      </w:r>
    </w:p>
    <w:p w14:paraId="2B63372A">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4.3.2  承包人不得将工程主体、关键性工作分包给第三人。</w:t>
      </w:r>
    </w:p>
    <w:p w14:paraId="00082197">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4.3.3  未经发包人同意，承包人不得将其自行施工范围工程的其他部分或工作分包给第三人。发包人同意承包人分包的非主体、非关键性工作包括：</w:t>
      </w:r>
    </w:p>
    <w:p w14:paraId="430A385E">
      <w:pPr>
        <w:widowControl/>
        <w:snapToGrid w:val="0"/>
        <w:spacing w:line="360" w:lineRule="auto"/>
        <w:ind w:left="210" w:leftChars="100" w:firstLine="315"/>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（1）投标函附录约定的分包工程；</w:t>
      </w:r>
    </w:p>
    <w:p w14:paraId="3028D119">
      <w:pPr>
        <w:widowControl/>
        <w:snapToGrid w:val="0"/>
        <w:spacing w:line="360" w:lineRule="auto"/>
        <w:ind w:left="210" w:leftChars="100" w:firstLine="315"/>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（2）除投标函附录中约定的分包内容外，经过发包人和监理人同意的其他非主体、非关键性工作，但分包人应当经过发包人和监理人审批。发包人和监理人有权拒绝承包人的分包请求和承包人选择的分包人。</w:t>
      </w:r>
    </w:p>
    <w:p w14:paraId="48754076">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4.3.4  发包人在工程量清单中给定暂估价的专业工程，包括从暂列金额开支的专业工程，达到依法应当招标的规模标准的，以及虽未达到规定的规模标准但合同中约定采用招标方式实施的，应当按第15.8.1项的约定，由发包人和承包人以招标方式确定专业分包人。除项目审批部门有特别核准外，暂估价的专业工程的招标应当采用与施工总承包同样的招标方式。</w:t>
      </w:r>
    </w:p>
    <w:p w14:paraId="4D7547CE">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4.3.5  在相关分包合同签订并报送有关建设行政主管部门备案后7天内，承包人应当将一份副本提交给监理人，承包人应保障分包工作不得再次分包。</w:t>
      </w:r>
    </w:p>
    <w:p w14:paraId="0F5F10FC">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4.3.6  分包工程价款由承包人与分包人（包括专业分包人）结算。未经承包人同意，发包人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37C33435">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4.3.7  未经发包人和监理人审批同意的分包工程和分包人，发包人有权拒绝验收分包工程和支付相应款项，由此引起的承包人费用增加和（或）延误的工期由承包人承担。</w:t>
      </w:r>
    </w:p>
    <w:p w14:paraId="1F07D663">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4.3.8  分包人的资格能力应与其分包工程的标准和规模相适应。</w:t>
      </w:r>
    </w:p>
    <w:p w14:paraId="6CB7A5B0">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4.3.9  发包人同意的分包工程，承包人应向发包人和监理人提供合同副本。</w:t>
      </w:r>
    </w:p>
    <w:p w14:paraId="63A9DCA7">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4.3.10  承包人应与分包人就分包工程向发包人承担连带责任。</w:t>
      </w:r>
    </w:p>
    <w:p w14:paraId="1D5DCE7A">
      <w:pPr>
        <w:pStyle w:val="4"/>
        <w:keepNext w:val="0"/>
        <w:keepLines w:val="0"/>
        <w:widowControl/>
        <w:snapToGrid w:val="0"/>
        <w:spacing w:before="0" w:after="0" w:line="360" w:lineRule="auto"/>
        <w:ind w:left="210" w:leftChars="100"/>
        <w:jc w:val="left"/>
        <w:rPr>
          <w:rFonts w:ascii="宋体" w:hAnsi="宋体"/>
          <w:color w:val="auto"/>
          <w:sz w:val="21"/>
          <w:szCs w:val="21"/>
          <w:highlight w:val="none"/>
        </w:rPr>
      </w:pPr>
      <w:bookmarkStart w:id="797" w:name="_Toc13186"/>
      <w:bookmarkStart w:id="798" w:name="_Toc17629"/>
      <w:bookmarkStart w:id="799" w:name="_Toc721"/>
      <w:r>
        <w:rPr>
          <w:rFonts w:hint="eastAsia" w:ascii="宋体" w:hAnsi="宋体" w:cs="宋体"/>
          <w:b w:val="0"/>
          <w:color w:val="auto"/>
          <w:sz w:val="21"/>
          <w:szCs w:val="21"/>
          <w:highlight w:val="none"/>
          <w:shd w:val="clear" w:color="auto" w:fill="FFFFFF"/>
        </w:rPr>
        <w:t>4.4  联合体</w:t>
      </w:r>
      <w:bookmarkEnd w:id="797"/>
      <w:bookmarkEnd w:id="798"/>
      <w:bookmarkEnd w:id="799"/>
    </w:p>
    <w:p w14:paraId="1C54D377">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4.4.1  联合体各方应共同与发包人签订合同协议书。联合体各方应为履行合同承担连带责任。</w:t>
      </w:r>
    </w:p>
    <w:p w14:paraId="0918D389">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4.4.2  联合体协议经发包人确认后作为合同附件。在履行合同过程中，未经发包人同意，不得修改联合体协议。</w:t>
      </w:r>
    </w:p>
    <w:p w14:paraId="30AE2DDF">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4.4.3  联合体牵头人负责与发包人和监理人联系，并接受指示，负责组织联合体各成员全面履行合同。</w:t>
      </w:r>
    </w:p>
    <w:p w14:paraId="5A584223">
      <w:pPr>
        <w:pStyle w:val="4"/>
        <w:keepNext w:val="0"/>
        <w:keepLines w:val="0"/>
        <w:widowControl/>
        <w:snapToGrid w:val="0"/>
        <w:spacing w:before="0" w:after="0" w:line="360" w:lineRule="auto"/>
        <w:ind w:left="210" w:leftChars="100"/>
        <w:jc w:val="left"/>
        <w:rPr>
          <w:rFonts w:ascii="宋体" w:hAnsi="宋体"/>
          <w:color w:val="auto"/>
          <w:sz w:val="21"/>
          <w:szCs w:val="21"/>
          <w:highlight w:val="none"/>
        </w:rPr>
      </w:pPr>
      <w:bookmarkStart w:id="800" w:name="_Toc7330"/>
      <w:bookmarkStart w:id="801" w:name="_Toc3142"/>
      <w:bookmarkStart w:id="802" w:name="_Toc8777"/>
      <w:r>
        <w:rPr>
          <w:rFonts w:hint="eastAsia" w:ascii="宋体" w:hAnsi="宋体" w:cs="宋体"/>
          <w:b w:val="0"/>
          <w:color w:val="auto"/>
          <w:sz w:val="21"/>
          <w:szCs w:val="21"/>
          <w:highlight w:val="none"/>
          <w:shd w:val="clear" w:color="auto" w:fill="FFFFFF"/>
        </w:rPr>
        <w:t>4.5  承包人项目经理</w:t>
      </w:r>
      <w:bookmarkEnd w:id="800"/>
      <w:bookmarkEnd w:id="801"/>
      <w:bookmarkEnd w:id="802"/>
    </w:p>
    <w:p w14:paraId="19FD3392">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4.5.1  承包人项目经理必须与承包人投标时所承诺的人员一致，并在根据第11.1.1项确定的开工日期前到任。在监理人向承包人颁发（出具）工程接收证书前，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承包人更换项目经理应事先征得发包人同意，并应在更换14天前通知发包人和监理人。承包人项目经理短期离开施工场地，应事先征得监理人同意，并委派代表代行其职责。</w:t>
      </w:r>
    </w:p>
    <w:p w14:paraId="0C1BC324">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14:paraId="432FA084">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4.5.3  承包人为履行合同发出的一切函件均应盖有承包人授权的施工场地管理机构章，并由承包人项目经理或其授权代表签字。</w:t>
      </w:r>
    </w:p>
    <w:p w14:paraId="312D537E">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4.5.4  承包人项目经理可以授权其下属人员履行其某项职责，但事先应将这些人员的姓名和授权范围通知监理人。</w:t>
      </w:r>
    </w:p>
    <w:p w14:paraId="6D46DEC1">
      <w:pPr>
        <w:pStyle w:val="4"/>
        <w:keepNext w:val="0"/>
        <w:keepLines w:val="0"/>
        <w:widowControl/>
        <w:snapToGrid w:val="0"/>
        <w:spacing w:before="0" w:after="0" w:line="360" w:lineRule="auto"/>
        <w:ind w:left="210" w:leftChars="100"/>
        <w:jc w:val="left"/>
        <w:rPr>
          <w:rFonts w:ascii="宋体" w:hAnsi="宋体"/>
          <w:color w:val="auto"/>
          <w:sz w:val="21"/>
          <w:szCs w:val="21"/>
          <w:highlight w:val="none"/>
        </w:rPr>
      </w:pPr>
      <w:bookmarkStart w:id="803" w:name="_Toc32228"/>
      <w:bookmarkStart w:id="804" w:name="_Toc13236"/>
      <w:bookmarkStart w:id="805" w:name="_Toc13503"/>
      <w:r>
        <w:rPr>
          <w:rFonts w:hint="eastAsia" w:ascii="宋体" w:hAnsi="宋体" w:cs="宋体"/>
          <w:b w:val="0"/>
          <w:color w:val="auto"/>
          <w:sz w:val="21"/>
          <w:szCs w:val="21"/>
          <w:highlight w:val="none"/>
          <w:shd w:val="clear" w:color="auto" w:fill="FFFFFF"/>
        </w:rPr>
        <w:t>4.6  承包人人员的管理</w:t>
      </w:r>
      <w:bookmarkEnd w:id="803"/>
      <w:bookmarkEnd w:id="804"/>
      <w:bookmarkEnd w:id="805"/>
    </w:p>
    <w:p w14:paraId="5A4DF60D">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0F4C3B25">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4.6.2  为完成合同约定的各项工作，承包人应向施工场地派遣或雇佣足够数量的下列人员：</w:t>
      </w:r>
    </w:p>
    <w:p w14:paraId="1113060C">
      <w:pPr>
        <w:widowControl/>
        <w:snapToGrid w:val="0"/>
        <w:spacing w:line="360" w:lineRule="auto"/>
        <w:ind w:left="210" w:leftChars="100" w:firstLine="315"/>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（1）具有相应资格的专业技工和合格的普工；</w:t>
      </w:r>
    </w:p>
    <w:p w14:paraId="3B3DA66B">
      <w:pPr>
        <w:widowControl/>
        <w:snapToGrid w:val="0"/>
        <w:spacing w:line="360" w:lineRule="auto"/>
        <w:ind w:left="210" w:leftChars="100" w:firstLine="315"/>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（2）具有相应施工经验的技术人员；</w:t>
      </w:r>
    </w:p>
    <w:p w14:paraId="65095EDA">
      <w:pPr>
        <w:widowControl/>
        <w:snapToGrid w:val="0"/>
        <w:spacing w:line="360" w:lineRule="auto"/>
        <w:ind w:left="210" w:leftChars="100" w:firstLine="315"/>
        <w:jc w:val="left"/>
        <w:rPr>
          <w:rFonts w:ascii="宋体" w:hAnsi="宋体" w:cs="Arial"/>
          <w:color w:val="auto"/>
          <w:szCs w:val="21"/>
          <w:highlight w:val="none"/>
        </w:rPr>
      </w:pPr>
      <w:r>
        <w:rPr>
          <w:rFonts w:hint="eastAsia" w:ascii="宋体" w:hAnsi="宋体" w:eastAsia="宋体" w:cs="宋体"/>
          <w:color w:val="auto"/>
          <w:spacing w:val="0"/>
          <w:kern w:val="0"/>
          <w:sz w:val="21"/>
          <w:szCs w:val="21"/>
          <w:highlight w:val="none"/>
          <w:shd w:val="clear" w:color="auto" w:fill="FFFFFF"/>
        </w:rPr>
        <w:t>（3）具有相应岗位资格的各级管理人员（包含符合工程项目规模和技术难度的涉及消防 各专业齐全、具备相应能力的质量管理人员）。</w:t>
      </w:r>
    </w:p>
    <w:p w14:paraId="6ABBAB5A">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4.6.3  承包人安排在施工场地的主要管理人员和技术骨干应相对稳定。承包人更换主要管理人员和技术骨干时，应取得监理人的同意。</w:t>
      </w:r>
    </w:p>
    <w:p w14:paraId="67821ECB">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4.6.4  特殊岗位的工作人员均应持有相应的资格证明，监理人有权随时检查。监理人认为有必要时，可进行现场考核。</w:t>
      </w:r>
    </w:p>
    <w:p w14:paraId="01850B2F">
      <w:pPr>
        <w:pStyle w:val="4"/>
        <w:keepNext w:val="0"/>
        <w:keepLines w:val="0"/>
        <w:widowControl/>
        <w:snapToGrid w:val="0"/>
        <w:spacing w:before="0" w:after="0" w:line="360" w:lineRule="auto"/>
        <w:ind w:left="210" w:leftChars="100"/>
        <w:jc w:val="left"/>
        <w:rPr>
          <w:rFonts w:ascii="宋体" w:hAnsi="宋体"/>
          <w:color w:val="auto"/>
          <w:sz w:val="21"/>
          <w:szCs w:val="21"/>
          <w:highlight w:val="none"/>
        </w:rPr>
      </w:pPr>
      <w:bookmarkStart w:id="806" w:name="_Toc24858"/>
      <w:bookmarkStart w:id="807" w:name="_Toc31977"/>
      <w:bookmarkStart w:id="808" w:name="_Toc20349"/>
      <w:r>
        <w:rPr>
          <w:rFonts w:hint="eastAsia" w:ascii="宋体" w:hAnsi="宋体" w:cs="宋体"/>
          <w:b w:val="0"/>
          <w:color w:val="auto"/>
          <w:sz w:val="21"/>
          <w:szCs w:val="21"/>
          <w:highlight w:val="none"/>
          <w:shd w:val="clear" w:color="auto" w:fill="FFFFFF"/>
        </w:rPr>
        <w:t>4.7  撤换承包人项目经理和其他人员</w:t>
      </w:r>
      <w:bookmarkEnd w:id="806"/>
      <w:bookmarkEnd w:id="807"/>
      <w:bookmarkEnd w:id="808"/>
    </w:p>
    <w:p w14:paraId="799AE3A5">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承包人应对其项目经理和其他人员进行有效管理。监理人要求撤换不能胜任本职工作、行为不端或玩忽职守的承包人项目经理和其他人员的，承包人应予以撤换。</w:t>
      </w:r>
    </w:p>
    <w:p w14:paraId="54E5F3E3">
      <w:pPr>
        <w:pStyle w:val="4"/>
        <w:keepNext w:val="0"/>
        <w:keepLines w:val="0"/>
        <w:widowControl/>
        <w:snapToGrid w:val="0"/>
        <w:spacing w:before="0" w:after="0" w:line="360" w:lineRule="auto"/>
        <w:ind w:left="210" w:leftChars="100"/>
        <w:jc w:val="left"/>
        <w:rPr>
          <w:rFonts w:ascii="宋体" w:hAnsi="宋体"/>
          <w:color w:val="auto"/>
          <w:sz w:val="21"/>
          <w:szCs w:val="21"/>
          <w:highlight w:val="none"/>
        </w:rPr>
      </w:pPr>
      <w:bookmarkStart w:id="809" w:name="_Toc26268"/>
      <w:bookmarkStart w:id="810" w:name="_Toc839"/>
      <w:bookmarkStart w:id="811" w:name="_Toc13860"/>
      <w:r>
        <w:rPr>
          <w:rFonts w:hint="eastAsia" w:ascii="宋体" w:hAnsi="宋体" w:cs="宋体"/>
          <w:b w:val="0"/>
          <w:color w:val="auto"/>
          <w:sz w:val="21"/>
          <w:szCs w:val="21"/>
          <w:highlight w:val="none"/>
          <w:shd w:val="clear" w:color="auto" w:fill="FFFFFF"/>
        </w:rPr>
        <w:t>4.8  保障承包人人员的合法权益</w:t>
      </w:r>
      <w:bookmarkEnd w:id="809"/>
      <w:bookmarkEnd w:id="810"/>
      <w:bookmarkEnd w:id="811"/>
    </w:p>
    <w:p w14:paraId="4FF28EB6">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4.8.1  承包人应与其雇佣的人员签订劳动合同，并按时发放工资。</w:t>
      </w:r>
    </w:p>
    <w:p w14:paraId="27D66571">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4.8.2  承包人应按劳动法的规定安排工作时间，保证其雇佣人员享有休息和休假的权利。因工程施工的特殊需要占用休假日或延长工作时间的，应不超过法律规定的限度，并按法律规定给予补休或付酬。</w:t>
      </w:r>
    </w:p>
    <w:p w14:paraId="0403CCAF">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4.8.3  承包人应为其雇佣人员提供必要的食宿条件，以及符合环境保护和卫生要求的生活环境，在远离城镇的施工场地，还应配备必要的伤病防治和急救的医务人员与医疗设施。</w:t>
      </w:r>
    </w:p>
    <w:p w14:paraId="674B160B">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58FB7222">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4.8.5  承包人应按有关法律规定和合同约定，为其雇佣人员办理保险。</w:t>
      </w:r>
    </w:p>
    <w:p w14:paraId="65F9EB2E">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4.8.6  承包人应负责处理其雇佣人员因工伤亡事故的善后事宜。</w:t>
      </w:r>
    </w:p>
    <w:p w14:paraId="10A2A8D3">
      <w:pPr>
        <w:pStyle w:val="4"/>
        <w:keepNext w:val="0"/>
        <w:keepLines w:val="0"/>
        <w:widowControl/>
        <w:snapToGrid w:val="0"/>
        <w:spacing w:before="0" w:after="0" w:line="360" w:lineRule="auto"/>
        <w:ind w:left="210" w:leftChars="100"/>
        <w:jc w:val="left"/>
        <w:rPr>
          <w:rFonts w:ascii="宋体" w:hAnsi="宋体"/>
          <w:color w:val="auto"/>
          <w:sz w:val="21"/>
          <w:szCs w:val="21"/>
          <w:highlight w:val="none"/>
        </w:rPr>
      </w:pPr>
      <w:bookmarkStart w:id="812" w:name="_Toc3615"/>
      <w:bookmarkStart w:id="813" w:name="_Toc5579"/>
      <w:bookmarkStart w:id="814" w:name="_Toc22291"/>
      <w:r>
        <w:rPr>
          <w:rFonts w:hint="eastAsia" w:ascii="宋体" w:hAnsi="宋体" w:cs="宋体"/>
          <w:b w:val="0"/>
          <w:color w:val="auto"/>
          <w:sz w:val="21"/>
          <w:szCs w:val="21"/>
          <w:highlight w:val="none"/>
          <w:shd w:val="clear" w:color="auto" w:fill="FFFFFF"/>
        </w:rPr>
        <w:t>4.9  工程价款应专款专用</w:t>
      </w:r>
      <w:bookmarkEnd w:id="812"/>
      <w:bookmarkEnd w:id="813"/>
      <w:bookmarkEnd w:id="814"/>
    </w:p>
    <w:p w14:paraId="7286883B">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发包人按合同约定支付给承包人的各项价款应专用于合同工程。</w:t>
      </w:r>
    </w:p>
    <w:p w14:paraId="6CA0541C">
      <w:pPr>
        <w:pStyle w:val="4"/>
        <w:keepNext w:val="0"/>
        <w:keepLines w:val="0"/>
        <w:widowControl/>
        <w:snapToGrid w:val="0"/>
        <w:spacing w:before="0" w:after="0" w:line="360" w:lineRule="auto"/>
        <w:ind w:left="210" w:leftChars="100"/>
        <w:jc w:val="left"/>
        <w:rPr>
          <w:rFonts w:ascii="宋体" w:hAnsi="宋体"/>
          <w:color w:val="auto"/>
          <w:sz w:val="21"/>
          <w:szCs w:val="21"/>
          <w:highlight w:val="none"/>
        </w:rPr>
      </w:pPr>
      <w:bookmarkStart w:id="815" w:name="_Toc10288"/>
      <w:bookmarkStart w:id="816" w:name="_Toc2606"/>
      <w:bookmarkStart w:id="817" w:name="_Toc16490"/>
      <w:r>
        <w:rPr>
          <w:rFonts w:hint="eastAsia" w:ascii="宋体" w:hAnsi="宋体" w:cs="宋体"/>
          <w:b w:val="0"/>
          <w:color w:val="auto"/>
          <w:sz w:val="21"/>
          <w:szCs w:val="21"/>
          <w:highlight w:val="none"/>
          <w:shd w:val="clear" w:color="auto" w:fill="FFFFFF"/>
        </w:rPr>
        <w:t>4.10  承包人现场查勘</w:t>
      </w:r>
      <w:bookmarkEnd w:id="815"/>
      <w:bookmarkEnd w:id="816"/>
      <w:bookmarkEnd w:id="817"/>
    </w:p>
    <w:p w14:paraId="360FAB95">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4.10.1  发包人应将其持有的现场地质勘探资料、水文气象资料提供给承包人，并对其准确性负责。但承包人应对其阅读上述有关资料后所作出的解释和推断负责。</w:t>
      </w:r>
    </w:p>
    <w:p w14:paraId="5D459624">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14:paraId="003E1FD8">
      <w:pPr>
        <w:pStyle w:val="4"/>
        <w:keepNext w:val="0"/>
        <w:keepLines w:val="0"/>
        <w:widowControl/>
        <w:snapToGrid w:val="0"/>
        <w:spacing w:before="0" w:after="0" w:line="360" w:lineRule="auto"/>
        <w:ind w:left="210" w:leftChars="100"/>
        <w:jc w:val="left"/>
        <w:rPr>
          <w:rFonts w:ascii="宋体" w:hAnsi="宋体"/>
          <w:color w:val="auto"/>
          <w:sz w:val="21"/>
          <w:szCs w:val="21"/>
          <w:highlight w:val="none"/>
        </w:rPr>
      </w:pPr>
      <w:bookmarkStart w:id="818" w:name="_Toc23329"/>
      <w:bookmarkStart w:id="819" w:name="_Toc18544"/>
      <w:bookmarkStart w:id="820" w:name="_Toc11487"/>
      <w:r>
        <w:rPr>
          <w:rFonts w:hint="eastAsia" w:ascii="宋体" w:hAnsi="宋体" w:cs="宋体"/>
          <w:b w:val="0"/>
          <w:color w:val="auto"/>
          <w:sz w:val="21"/>
          <w:szCs w:val="21"/>
          <w:highlight w:val="none"/>
          <w:shd w:val="clear" w:color="auto" w:fill="FFFFFF"/>
        </w:rPr>
        <w:t>4.11  不利物质条件</w:t>
      </w:r>
      <w:bookmarkEnd w:id="818"/>
      <w:bookmarkEnd w:id="819"/>
      <w:bookmarkEnd w:id="820"/>
    </w:p>
    <w:p w14:paraId="0A18F04E">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4.11.1  不利物质条件一般是指承包人在施工场地遇到的不可预见的自然物质条件、非自然的物质障碍和污染物，包括地下和水文条件，但不包括气候条件。不利物质条件的具体范围见合同条款专用部分。</w:t>
      </w:r>
    </w:p>
    <w:p w14:paraId="4DD83DA8">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4.11.2  承包人遇到不利物质条件时，应采取适应不利物质条件的合理措施继续施工，并及时通知监理人。监理人应当及时发出指示，指示构成变更的，按第15条约定办理。监理人没有发出指示的，承包人因采取合理措施增加的费用和（或）工期延误，由发包人承担。</w:t>
      </w:r>
    </w:p>
    <w:p w14:paraId="2EFCA33B">
      <w:pPr>
        <w:pStyle w:val="3"/>
        <w:keepNext w:val="0"/>
        <w:keepLines w:val="0"/>
        <w:widowControl/>
        <w:snapToGrid w:val="0"/>
        <w:spacing w:before="0" w:after="0" w:line="360" w:lineRule="auto"/>
        <w:ind w:left="210" w:leftChars="100"/>
        <w:jc w:val="left"/>
        <w:rPr>
          <w:rFonts w:ascii="宋体" w:hAnsi="宋体"/>
          <w:color w:val="auto"/>
          <w:sz w:val="21"/>
          <w:szCs w:val="21"/>
          <w:highlight w:val="none"/>
        </w:rPr>
      </w:pPr>
      <w:bookmarkStart w:id="821" w:name="_Toc14332"/>
      <w:bookmarkStart w:id="822" w:name="_Toc22551"/>
      <w:bookmarkStart w:id="823" w:name="_Toc31512"/>
      <w:r>
        <w:rPr>
          <w:rFonts w:hint="eastAsia" w:ascii="宋体" w:hAnsi="宋体"/>
          <w:b w:val="0"/>
          <w:color w:val="auto"/>
          <w:sz w:val="21"/>
          <w:szCs w:val="21"/>
          <w:highlight w:val="none"/>
          <w:shd w:val="clear" w:color="auto" w:fill="FFFFFF"/>
        </w:rPr>
        <w:t>5.材料</w:t>
      </w:r>
      <w:bookmarkEnd w:id="821"/>
      <w:bookmarkEnd w:id="822"/>
      <w:bookmarkEnd w:id="823"/>
    </w:p>
    <w:p w14:paraId="6198C091">
      <w:pPr>
        <w:pStyle w:val="4"/>
        <w:keepNext w:val="0"/>
        <w:keepLines w:val="0"/>
        <w:widowControl/>
        <w:snapToGrid w:val="0"/>
        <w:spacing w:before="0" w:after="0" w:line="360" w:lineRule="auto"/>
        <w:ind w:left="210" w:leftChars="100"/>
        <w:jc w:val="left"/>
        <w:rPr>
          <w:rFonts w:ascii="宋体" w:hAnsi="宋体"/>
          <w:color w:val="auto"/>
          <w:sz w:val="21"/>
          <w:szCs w:val="21"/>
          <w:highlight w:val="none"/>
        </w:rPr>
      </w:pPr>
      <w:bookmarkStart w:id="824" w:name="_Toc21714"/>
      <w:bookmarkStart w:id="825" w:name="_Toc7116"/>
      <w:bookmarkStart w:id="826" w:name="_Toc18138"/>
      <w:r>
        <w:rPr>
          <w:rFonts w:hint="eastAsia" w:ascii="宋体" w:hAnsi="宋体" w:cs="宋体"/>
          <w:b w:val="0"/>
          <w:color w:val="auto"/>
          <w:sz w:val="21"/>
          <w:szCs w:val="21"/>
          <w:highlight w:val="none"/>
          <w:shd w:val="clear" w:color="auto" w:fill="FFFFFF"/>
        </w:rPr>
        <w:t>5.1  承包人提供的材料</w:t>
      </w:r>
      <w:bookmarkEnd w:id="824"/>
      <w:bookmarkEnd w:id="825"/>
      <w:bookmarkEnd w:id="826"/>
    </w:p>
    <w:p w14:paraId="441575D3">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5.1.1  除第5.2款约定由发包人提供的材料外，由承包人提供的材料均由承包人负责采购、运输和保管。但是，发包人在工程量清单中给定暂估价的材料，包括从暂列金额开支的材料，其中属于依法必须招标的范围并达到规定的规模标准的，以及虽不属于依法必须招标的范围但合同中约定采用招标方式采购的，应当按第15.8.1项的约定，由发包人和承包人以招标方式确定专项供应商。承包人负责提供的主要材料清单见合同条款专用部分“附件三：承包人提供的材料一览表”</w:t>
      </w:r>
      <w:r>
        <w:rPr>
          <w:rFonts w:hint="eastAsia" w:ascii="宋体" w:hAnsi="宋体" w:cs="黑体"/>
          <w:color w:val="auto"/>
          <w:kern w:val="0"/>
          <w:szCs w:val="21"/>
          <w:highlight w:val="none"/>
          <w:shd w:val="clear" w:color="auto" w:fill="FFFFFF"/>
        </w:rPr>
        <w:t>。</w:t>
      </w:r>
    </w:p>
    <w:p w14:paraId="0AA61E71">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5.1.2  承包人应在合同约定的期限内，将各项材料的供货人和品种、规格、数量及供货时间等报送监理人审批。承包人应向监理人提交其负责提供的材料的质量证明文件，并满足合同约定的质量标准。承包人将其提供的各项材料的供货人和品种、规格、数量及供货时间等报送监理人审批的期限见合同条款专用部分。</w:t>
      </w:r>
    </w:p>
    <w:p w14:paraId="01018F06">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5.1.3  对承包人提供的材料，承包人应会同监理人进行检验和交货验收，查验材料合格证明和产品合格证书，并按照合同约定和监理人指示，进行材料的抽样检验和工程设备的检验测试，检验和测试结果应提交监理人，所需费用由承包人承担。</w:t>
      </w:r>
    </w:p>
    <w:p w14:paraId="104E2F88">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827" w:name="_Toc19670"/>
      <w:bookmarkStart w:id="828" w:name="_Toc25762"/>
      <w:bookmarkStart w:id="829" w:name="_Toc9452"/>
      <w:r>
        <w:rPr>
          <w:rFonts w:hint="eastAsia" w:ascii="宋体" w:hAnsi="宋体" w:cs="宋体"/>
          <w:b w:val="0"/>
          <w:bCs w:val="0"/>
          <w:color w:val="auto"/>
          <w:sz w:val="21"/>
          <w:szCs w:val="21"/>
          <w:highlight w:val="none"/>
          <w:shd w:val="clear" w:color="auto" w:fill="FFFFFF"/>
        </w:rPr>
        <w:t>5.2  发包人提供的材料</w:t>
      </w:r>
      <w:bookmarkEnd w:id="827"/>
      <w:bookmarkEnd w:id="828"/>
      <w:bookmarkEnd w:id="829"/>
    </w:p>
    <w:p w14:paraId="0416EC4C">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5.2.1  发包人负责提供的材料的名称、规格、数量、价格、交货方式、交货地点和计划交货日期等见合同条款专用部分“附件四：发包人提供的材料一览表”。</w:t>
      </w:r>
    </w:p>
    <w:p w14:paraId="3E831FE6">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5.2.2  承包人应根据合同进度计划的安排，向监理人报送要求发包人交货的日期计划。发包人应按照监理人与合同双方当事人商定的交货日期，向承包人提交材料。</w:t>
      </w:r>
    </w:p>
    <w:p w14:paraId="7B176CAE">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5.2.3  发包人应在材料到货7天前通知承包人，承包人应会同监理人在约定的时间内，赴交货地点共同进行验收。由发包人提供的材料验收后，由承包人负责接收、运输和保管。</w:t>
      </w:r>
    </w:p>
    <w:p w14:paraId="2452CD2F">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 xml:space="preserve">5.2.4  发包人要求向承包人提前交货的，承包人不得拒绝，但发包人应承担承包人由此增加的费用。 </w:t>
      </w:r>
    </w:p>
    <w:p w14:paraId="239CF984">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 xml:space="preserve">5.2.5  承包人要求更改交货日期或地点的，应事先报请监理人批准。由于承包人要求更改交货时间或地点所增加的费用和（或）工期延误由承包人承担。 </w:t>
      </w:r>
    </w:p>
    <w:p w14:paraId="4132846B">
      <w:pPr>
        <w:spacing w:before="164" w:line="327" w:lineRule="auto"/>
        <w:ind w:left="21" w:firstLine="422"/>
        <w:rPr>
          <w:rFonts w:ascii="宋体" w:hAnsi="宋体" w:eastAsia="宋体" w:cs="宋体"/>
          <w:sz w:val="20"/>
          <w:szCs w:val="20"/>
        </w:rPr>
      </w:pPr>
      <w:r>
        <w:rPr>
          <w:rFonts w:ascii="宋体" w:hAnsi="宋体" w:eastAsia="宋体" w:cs="宋体"/>
          <w:spacing w:val="9"/>
          <w:sz w:val="20"/>
          <w:szCs w:val="20"/>
        </w:rPr>
        <w:t>5.2.6  发包人提供的材料的规格、数量或质量不符合合同要求，或由于发包人原因发</w:t>
      </w:r>
      <w:r>
        <w:rPr>
          <w:rFonts w:ascii="宋体" w:hAnsi="宋体" w:eastAsia="宋体" w:cs="宋体"/>
          <w:spacing w:val="6"/>
          <w:sz w:val="20"/>
          <w:szCs w:val="20"/>
        </w:rPr>
        <w:t xml:space="preserve"> </w:t>
      </w:r>
      <w:r>
        <w:rPr>
          <w:rFonts w:ascii="宋体" w:hAnsi="宋体" w:eastAsia="宋体" w:cs="宋体"/>
          <w:spacing w:val="4"/>
          <w:sz w:val="20"/>
          <w:szCs w:val="20"/>
        </w:rPr>
        <w:t>生交货日期延误及交货地点变更等情况的，发包人应承担由此增加的费</w:t>
      </w:r>
      <w:r>
        <w:rPr>
          <w:rFonts w:ascii="宋体" w:hAnsi="宋体" w:eastAsia="宋体" w:cs="宋体"/>
          <w:spacing w:val="3"/>
          <w:sz w:val="20"/>
          <w:szCs w:val="20"/>
        </w:rPr>
        <w:t>用和（或）工期延误，</w:t>
      </w:r>
      <w:r>
        <w:rPr>
          <w:rFonts w:ascii="宋体" w:hAnsi="宋体" w:eastAsia="宋体" w:cs="宋体"/>
          <w:sz w:val="20"/>
          <w:szCs w:val="20"/>
        </w:rPr>
        <w:t xml:space="preserve"> </w:t>
      </w:r>
      <w:r>
        <w:rPr>
          <w:rFonts w:ascii="宋体" w:hAnsi="宋体" w:eastAsia="宋体" w:cs="宋体"/>
          <w:spacing w:val="8"/>
          <w:sz w:val="20"/>
          <w:szCs w:val="20"/>
        </w:rPr>
        <w:t>并向承包人支付合理利润。</w:t>
      </w:r>
    </w:p>
    <w:p w14:paraId="26D96599">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ascii="宋体" w:hAnsi="宋体" w:eastAsia="宋体" w:cs="宋体"/>
          <w:spacing w:val="9"/>
          <w:sz w:val="20"/>
          <w:szCs w:val="20"/>
        </w:rPr>
        <w:t>5.2.7  因承包人原因引起发包人提供的材料的实际领用数量超过合同条款专用部分约</w:t>
      </w:r>
      <w:r>
        <w:rPr>
          <w:rFonts w:ascii="宋体" w:hAnsi="宋体" w:eastAsia="宋体" w:cs="宋体"/>
          <w:spacing w:val="6"/>
          <w:sz w:val="20"/>
          <w:szCs w:val="20"/>
        </w:rPr>
        <w:t xml:space="preserve"> </w:t>
      </w:r>
      <w:r>
        <w:rPr>
          <w:rFonts w:ascii="宋体" w:hAnsi="宋体" w:eastAsia="宋体" w:cs="宋体"/>
          <w:spacing w:val="8"/>
          <w:sz w:val="20"/>
          <w:szCs w:val="20"/>
        </w:rPr>
        <w:t>定的数量时，超出部分的材料费用由承包人承</w:t>
      </w:r>
      <w:r>
        <w:rPr>
          <w:rFonts w:ascii="宋体" w:hAnsi="宋体" w:eastAsia="宋体" w:cs="宋体"/>
          <w:spacing w:val="7"/>
          <w:sz w:val="20"/>
          <w:szCs w:val="20"/>
        </w:rPr>
        <w:t>担。发包人可按相应供货合同的单价计算确定</w:t>
      </w:r>
      <w:r>
        <w:rPr>
          <w:rFonts w:ascii="宋体" w:hAnsi="宋体" w:eastAsia="宋体" w:cs="宋体"/>
          <w:sz w:val="20"/>
          <w:szCs w:val="20"/>
        </w:rPr>
        <w:t xml:space="preserve"> </w:t>
      </w:r>
      <w:r>
        <w:rPr>
          <w:rFonts w:ascii="宋体" w:hAnsi="宋体" w:eastAsia="宋体" w:cs="宋体"/>
          <w:spacing w:val="9"/>
          <w:sz w:val="20"/>
          <w:szCs w:val="20"/>
        </w:rPr>
        <w:t>超领数量的材料费用，并从承包人完成合同工程的施工过程结算或竣工结算的价</w:t>
      </w:r>
      <w:r>
        <w:rPr>
          <w:rFonts w:ascii="宋体" w:hAnsi="宋体" w:eastAsia="宋体" w:cs="宋体"/>
          <w:spacing w:val="8"/>
          <w:sz w:val="20"/>
          <w:szCs w:val="20"/>
        </w:rPr>
        <w:t>款中扣除。</w:t>
      </w:r>
      <w:r>
        <w:rPr>
          <w:rFonts w:ascii="宋体" w:hAnsi="宋体" w:eastAsia="宋体" w:cs="宋体"/>
          <w:sz w:val="20"/>
          <w:szCs w:val="20"/>
        </w:rPr>
        <w:t xml:space="preserve"> </w:t>
      </w:r>
      <w:r>
        <w:rPr>
          <w:rFonts w:ascii="宋体" w:hAnsi="宋体" w:eastAsia="宋体" w:cs="宋体"/>
          <w:spacing w:val="13"/>
          <w:sz w:val="20"/>
          <w:szCs w:val="20"/>
        </w:rPr>
        <w:t>因发包人实际提供材料的规格型号与招标文件中规定的规格型号不同而引起材</w:t>
      </w:r>
      <w:r>
        <w:rPr>
          <w:rFonts w:ascii="宋体" w:hAnsi="宋体" w:eastAsia="宋体" w:cs="宋体"/>
          <w:spacing w:val="12"/>
          <w:sz w:val="20"/>
          <w:szCs w:val="20"/>
        </w:rPr>
        <w:t>料实际损耗</w:t>
      </w:r>
      <w:r>
        <w:rPr>
          <w:rFonts w:ascii="宋体" w:hAnsi="宋体" w:eastAsia="宋体" w:cs="宋体"/>
          <w:sz w:val="20"/>
          <w:szCs w:val="20"/>
        </w:rPr>
        <w:t xml:space="preserve"> </w:t>
      </w:r>
      <w:r>
        <w:rPr>
          <w:rFonts w:ascii="宋体" w:hAnsi="宋体" w:eastAsia="宋体" w:cs="宋体"/>
          <w:spacing w:val="9"/>
          <w:sz w:val="20"/>
          <w:szCs w:val="20"/>
        </w:rPr>
        <w:t>率超出有效损耗率的，超出部分应由发包人承担。</w:t>
      </w:r>
    </w:p>
    <w:p w14:paraId="1E70D78F">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830" w:name="_Toc15376"/>
      <w:bookmarkStart w:id="831" w:name="_Toc2227"/>
      <w:bookmarkStart w:id="832" w:name="_Toc23915"/>
      <w:r>
        <w:rPr>
          <w:rFonts w:hint="eastAsia" w:ascii="宋体" w:hAnsi="宋体" w:cs="宋体"/>
          <w:b w:val="0"/>
          <w:bCs w:val="0"/>
          <w:color w:val="auto"/>
          <w:sz w:val="21"/>
          <w:szCs w:val="21"/>
          <w:highlight w:val="none"/>
          <w:shd w:val="clear" w:color="auto" w:fill="FFFFFF"/>
        </w:rPr>
        <w:t>5.3  材料专用于合同工程</w:t>
      </w:r>
      <w:bookmarkEnd w:id="830"/>
      <w:bookmarkEnd w:id="831"/>
      <w:bookmarkEnd w:id="832"/>
    </w:p>
    <w:p w14:paraId="4F61AA70">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5.3.1  运入施工场地的材料，包括备品备件、安装专用工器具与随机资料，必须专用于合同工程，未经监理人同意，承包人不得运出施工场地或挪作他用。</w:t>
      </w:r>
    </w:p>
    <w:p w14:paraId="10DEA720">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2F67B73F">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833" w:name="_Toc1651"/>
      <w:bookmarkStart w:id="834" w:name="_Toc3807"/>
      <w:bookmarkStart w:id="835" w:name="_Toc13219"/>
      <w:r>
        <w:rPr>
          <w:rFonts w:hint="eastAsia" w:ascii="宋体" w:hAnsi="宋体" w:cs="宋体"/>
          <w:b w:val="0"/>
          <w:bCs w:val="0"/>
          <w:color w:val="auto"/>
          <w:sz w:val="21"/>
          <w:szCs w:val="21"/>
          <w:highlight w:val="none"/>
          <w:shd w:val="clear" w:color="auto" w:fill="FFFFFF"/>
        </w:rPr>
        <w:t>5.4  禁止使用不合格的材料</w:t>
      </w:r>
      <w:bookmarkEnd w:id="833"/>
      <w:bookmarkEnd w:id="834"/>
      <w:bookmarkEnd w:id="835"/>
    </w:p>
    <w:p w14:paraId="1A06E2C7">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5.4.1  监理人有权拒绝承包人提供的不合格材料，并要求承包人立即进行更换。监理人应在更换后再次进行检查和检验，由此增加的费用和（或）工期延误由承包人承担。</w:t>
      </w:r>
    </w:p>
    <w:p w14:paraId="29FDE38B">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5.4.2  监理人发现承包人使用了不合格的材料，应即时发出指示要求承包人立即改正，并禁止在工程中继续使用不合格的材料。</w:t>
      </w:r>
    </w:p>
    <w:p w14:paraId="14C6812A">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5.4.3  发包人提供的材料不符合合同要求的，承包人有权拒绝，并可要求发包人更换，由此增加的费用和（或）工期延误由发包人承担。</w:t>
      </w:r>
    </w:p>
    <w:p w14:paraId="75B88727">
      <w:pPr>
        <w:pStyle w:val="3"/>
        <w:keepNext w:val="0"/>
        <w:keepLines w:val="0"/>
        <w:widowControl/>
        <w:snapToGrid w:val="0"/>
        <w:spacing w:before="0" w:after="0" w:line="360" w:lineRule="auto"/>
        <w:ind w:left="210" w:leftChars="100"/>
        <w:jc w:val="left"/>
        <w:rPr>
          <w:rFonts w:ascii="宋体" w:hAnsi="宋体"/>
          <w:b w:val="0"/>
          <w:bCs w:val="0"/>
          <w:color w:val="auto"/>
          <w:sz w:val="21"/>
          <w:szCs w:val="21"/>
          <w:highlight w:val="none"/>
          <w:shd w:val="clear" w:color="auto" w:fill="FFFFFF"/>
        </w:rPr>
      </w:pPr>
      <w:bookmarkStart w:id="836" w:name="_Toc6916"/>
      <w:bookmarkStart w:id="837" w:name="_Toc27902"/>
      <w:bookmarkStart w:id="838" w:name="_Toc25284"/>
      <w:r>
        <w:rPr>
          <w:rFonts w:hint="eastAsia" w:ascii="宋体" w:hAnsi="宋体"/>
          <w:b w:val="0"/>
          <w:bCs w:val="0"/>
          <w:color w:val="auto"/>
          <w:sz w:val="21"/>
          <w:szCs w:val="21"/>
          <w:highlight w:val="none"/>
          <w:shd w:val="clear" w:color="auto" w:fill="FFFFFF"/>
        </w:rPr>
        <w:t>6.施工设备和临时设施</w:t>
      </w:r>
      <w:bookmarkEnd w:id="836"/>
      <w:bookmarkEnd w:id="837"/>
      <w:bookmarkEnd w:id="838"/>
    </w:p>
    <w:p w14:paraId="0BD8D6F3">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839" w:name="_Toc9606"/>
      <w:bookmarkStart w:id="840" w:name="_Toc3661"/>
      <w:bookmarkStart w:id="841" w:name="_Toc10561"/>
      <w:r>
        <w:rPr>
          <w:rFonts w:hint="eastAsia" w:ascii="宋体" w:hAnsi="宋体" w:cs="宋体"/>
          <w:b w:val="0"/>
          <w:bCs w:val="0"/>
          <w:color w:val="auto"/>
          <w:sz w:val="21"/>
          <w:szCs w:val="21"/>
          <w:highlight w:val="none"/>
          <w:shd w:val="clear" w:color="auto" w:fill="FFFFFF"/>
        </w:rPr>
        <w:t>6.1  承包人提供的施工设备和临时设施</w:t>
      </w:r>
      <w:bookmarkEnd w:id="839"/>
      <w:bookmarkEnd w:id="840"/>
      <w:bookmarkEnd w:id="841"/>
    </w:p>
    <w:p w14:paraId="7D60A2F5">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6.1.1  承包人应按合同进度计划的要求，及时配置施工设备和修建临时设施。进入施工场地的承包人设备需经监理人核查后才能投入使用。承包人更换合同约定的承包人设备的，应报监理人批准。</w:t>
      </w:r>
    </w:p>
    <w:p w14:paraId="5EA70093">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6.1.2  除合同另有约定外，承包人应承担自行修建临时设施的费用，需要临时占地的，应由发包人办理申请手续并承担相应费用。承包人自行修建临时设施的范围以及所需临时占地见合同条款专用部分。</w:t>
      </w:r>
    </w:p>
    <w:p w14:paraId="4C1BAE71">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842" w:name="_Toc30655"/>
      <w:bookmarkStart w:id="843" w:name="_Toc1271"/>
      <w:bookmarkStart w:id="844" w:name="_Toc996"/>
      <w:r>
        <w:rPr>
          <w:rFonts w:hint="eastAsia" w:ascii="宋体" w:hAnsi="宋体" w:cs="宋体"/>
          <w:b w:val="0"/>
          <w:bCs w:val="0"/>
          <w:color w:val="auto"/>
          <w:sz w:val="21"/>
          <w:szCs w:val="21"/>
          <w:highlight w:val="none"/>
          <w:shd w:val="clear" w:color="auto" w:fill="FFFFFF"/>
        </w:rPr>
        <w:t>6.2  发包人提供的施工设备和临时设施</w:t>
      </w:r>
      <w:bookmarkEnd w:id="842"/>
      <w:bookmarkEnd w:id="843"/>
      <w:bookmarkEnd w:id="844"/>
    </w:p>
    <w:p w14:paraId="41EF04C9">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发包人提供的施工设备或临时设施，以及相关运行、维护、拆除、清运费用的承担人见合同条款专用部分。</w:t>
      </w:r>
    </w:p>
    <w:p w14:paraId="7F6C6841">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845" w:name="_Toc14618"/>
      <w:bookmarkStart w:id="846" w:name="_Toc20681"/>
      <w:bookmarkStart w:id="847" w:name="_Toc28744"/>
      <w:r>
        <w:rPr>
          <w:rFonts w:hint="eastAsia" w:ascii="宋体" w:hAnsi="宋体" w:cs="宋体"/>
          <w:b w:val="0"/>
          <w:bCs w:val="0"/>
          <w:color w:val="auto"/>
          <w:sz w:val="21"/>
          <w:szCs w:val="21"/>
          <w:highlight w:val="none"/>
          <w:shd w:val="clear" w:color="auto" w:fill="FFFFFF"/>
        </w:rPr>
        <w:t>6.3  要求承包人增加或更换施工设备</w:t>
      </w:r>
      <w:bookmarkEnd w:id="845"/>
      <w:bookmarkEnd w:id="846"/>
      <w:bookmarkEnd w:id="847"/>
    </w:p>
    <w:p w14:paraId="6B059AD0">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承包人使用的施工设备不能满足合同进度计划和（或）质量要求时，监理人有权要求承包人增加或更换施工设备，承包人应及时增加或更换，由此增加的费用和（或）工期延误由承包人承担。</w:t>
      </w:r>
    </w:p>
    <w:p w14:paraId="080EF356">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848" w:name="_Toc24971"/>
      <w:bookmarkStart w:id="849" w:name="_Toc14586"/>
      <w:bookmarkStart w:id="850" w:name="_Toc27538"/>
      <w:r>
        <w:rPr>
          <w:rFonts w:hint="eastAsia" w:ascii="宋体" w:hAnsi="宋体" w:cs="宋体"/>
          <w:b w:val="0"/>
          <w:bCs w:val="0"/>
          <w:color w:val="auto"/>
          <w:sz w:val="21"/>
          <w:szCs w:val="21"/>
          <w:highlight w:val="none"/>
          <w:shd w:val="clear" w:color="auto" w:fill="FFFFFF"/>
        </w:rPr>
        <w:t>6.4  施工设备和临时设施专用于合同工程</w:t>
      </w:r>
      <w:bookmarkEnd w:id="848"/>
      <w:bookmarkEnd w:id="849"/>
      <w:bookmarkEnd w:id="850"/>
    </w:p>
    <w:p w14:paraId="6BEB475E">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6.4.1  除为第4.1.8项约定的其他独立承包人和监理人指示的他人提供条件外,承包人运入施工场地的所有施工设备以及在施工场地建设的临时设施仅限于用于合同工程。未经监理人同意，不得将上述施工设备和临时设施中的任何部分运出施工场地或挪作他用。</w:t>
      </w:r>
    </w:p>
    <w:p w14:paraId="74B6D82E">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6.4.2  经监理人同意，承包人可根据合同进度计划撤走闲置的施工设备。</w:t>
      </w:r>
    </w:p>
    <w:p w14:paraId="772D75EC">
      <w:pPr>
        <w:pStyle w:val="3"/>
        <w:keepNext w:val="0"/>
        <w:keepLines w:val="0"/>
        <w:widowControl/>
        <w:snapToGrid w:val="0"/>
        <w:spacing w:before="0" w:after="0" w:line="360" w:lineRule="auto"/>
        <w:ind w:left="210" w:leftChars="100"/>
        <w:jc w:val="left"/>
        <w:rPr>
          <w:rFonts w:ascii="宋体" w:hAnsi="宋体"/>
          <w:b w:val="0"/>
          <w:bCs w:val="0"/>
          <w:color w:val="auto"/>
          <w:sz w:val="21"/>
          <w:szCs w:val="21"/>
          <w:highlight w:val="none"/>
          <w:shd w:val="clear" w:color="auto" w:fill="FFFFFF"/>
        </w:rPr>
      </w:pPr>
      <w:bookmarkStart w:id="851" w:name="_Toc111"/>
      <w:bookmarkStart w:id="852" w:name="_Toc32717"/>
      <w:bookmarkStart w:id="853" w:name="_Toc16171"/>
      <w:r>
        <w:rPr>
          <w:rFonts w:hint="eastAsia" w:ascii="宋体" w:hAnsi="宋体"/>
          <w:b w:val="0"/>
          <w:bCs w:val="0"/>
          <w:color w:val="auto"/>
          <w:sz w:val="21"/>
          <w:szCs w:val="21"/>
          <w:highlight w:val="none"/>
          <w:shd w:val="clear" w:color="auto" w:fill="FFFFFF"/>
        </w:rPr>
        <w:t>7.交通运输</w:t>
      </w:r>
      <w:bookmarkEnd w:id="851"/>
      <w:bookmarkEnd w:id="852"/>
      <w:bookmarkEnd w:id="853"/>
    </w:p>
    <w:p w14:paraId="70097FD9">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854" w:name="_Toc26169"/>
      <w:bookmarkStart w:id="855" w:name="_Toc12893"/>
      <w:bookmarkStart w:id="856" w:name="_Toc6408"/>
      <w:r>
        <w:rPr>
          <w:rFonts w:hint="eastAsia" w:ascii="宋体" w:hAnsi="宋体" w:cs="宋体"/>
          <w:b w:val="0"/>
          <w:bCs w:val="0"/>
          <w:color w:val="auto"/>
          <w:sz w:val="21"/>
          <w:szCs w:val="21"/>
          <w:highlight w:val="none"/>
          <w:shd w:val="clear" w:color="auto" w:fill="FFFFFF"/>
        </w:rPr>
        <w:t>7.1  道路通行权和场外设施</w:t>
      </w:r>
      <w:bookmarkEnd w:id="854"/>
      <w:bookmarkEnd w:id="855"/>
      <w:bookmarkEnd w:id="856"/>
    </w:p>
    <w:p w14:paraId="10FAC965">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除合同条款专用部分另有约定外，发包人应根据合同工程的施工需要，负责办理取得出入施工场地的专用和临时道路的通行权，以及取得为工程建设所需修建场外设施的权利，并承担有关费用。承包人应协助发包人办理上述手续。</w:t>
      </w:r>
    </w:p>
    <w:p w14:paraId="6212772A">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857" w:name="_Toc31991"/>
      <w:bookmarkStart w:id="858" w:name="_Toc17663"/>
      <w:bookmarkStart w:id="859" w:name="_Toc8796"/>
      <w:r>
        <w:rPr>
          <w:rFonts w:hint="eastAsia" w:ascii="宋体" w:hAnsi="宋体" w:cs="宋体"/>
          <w:b w:val="0"/>
          <w:bCs w:val="0"/>
          <w:color w:val="auto"/>
          <w:sz w:val="21"/>
          <w:szCs w:val="21"/>
          <w:highlight w:val="none"/>
          <w:shd w:val="clear" w:color="auto" w:fill="FFFFFF"/>
        </w:rPr>
        <w:t>7.2  场内施工道路</w:t>
      </w:r>
      <w:bookmarkEnd w:id="857"/>
      <w:bookmarkEnd w:id="858"/>
      <w:bookmarkEnd w:id="859"/>
    </w:p>
    <w:p w14:paraId="187159D6">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7.2.1  除合同条款专用部分另有约定外，承包人应负责修建、维修、养护和管理施工所需的临时道路和交通设施，包括维修、养护和管理发包人提供的道路和交通设施，并承担相应费用。</w:t>
      </w:r>
    </w:p>
    <w:p w14:paraId="74F2769E">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7.2.2  发包人和监理人有权无偿使用承包人修建的临时道路和交通设施，不需要交纳任何费用。</w:t>
      </w:r>
    </w:p>
    <w:p w14:paraId="50968C8E">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860" w:name="_Toc23249"/>
      <w:bookmarkStart w:id="861" w:name="_Toc9771"/>
      <w:bookmarkStart w:id="862" w:name="_Toc32643"/>
      <w:r>
        <w:rPr>
          <w:rFonts w:hint="eastAsia" w:ascii="宋体" w:hAnsi="宋体" w:cs="宋体"/>
          <w:b w:val="0"/>
          <w:bCs w:val="0"/>
          <w:color w:val="auto"/>
          <w:sz w:val="21"/>
          <w:szCs w:val="21"/>
          <w:highlight w:val="none"/>
          <w:shd w:val="clear" w:color="auto" w:fill="FFFFFF"/>
        </w:rPr>
        <w:t>7.3  场外交通</w:t>
      </w:r>
      <w:bookmarkEnd w:id="860"/>
      <w:bookmarkEnd w:id="861"/>
      <w:bookmarkEnd w:id="862"/>
    </w:p>
    <w:p w14:paraId="384CD9B8">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7.3.1  承包人车辆外出行驶所需的场外公共道路的通行费、养路费和税款等由承包人承担。</w:t>
      </w:r>
    </w:p>
    <w:p w14:paraId="5B74A06D">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7.3.2  承包人应遵守有关交通法规，严格按照道路和桥梁的限制荷重安全行驶，并服从交通管理部门的检查和监督。</w:t>
      </w:r>
    </w:p>
    <w:p w14:paraId="466393CB">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863" w:name="_Toc20729"/>
      <w:bookmarkStart w:id="864" w:name="_Toc780"/>
      <w:bookmarkStart w:id="865" w:name="_Toc2601"/>
      <w:r>
        <w:rPr>
          <w:rFonts w:hint="eastAsia" w:ascii="宋体" w:hAnsi="宋体" w:cs="宋体"/>
          <w:b w:val="0"/>
          <w:bCs w:val="0"/>
          <w:color w:val="auto"/>
          <w:sz w:val="21"/>
          <w:szCs w:val="21"/>
          <w:highlight w:val="none"/>
          <w:shd w:val="clear" w:color="auto" w:fill="FFFFFF"/>
        </w:rPr>
        <w:t>7.4  超大件和超重件的运输</w:t>
      </w:r>
      <w:bookmarkEnd w:id="863"/>
      <w:bookmarkEnd w:id="864"/>
      <w:bookmarkEnd w:id="865"/>
    </w:p>
    <w:p w14:paraId="6AE0BA71">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由承包人负责运输的超大件或超重件，应由承包人负责向交通管理部门办理申请手续，发包人给予协助。运输超大件或超重件所需的道路和桥梁临时加固改造费用和其他有关费用，由承包人承担，但合同条款专用部分另有约定除外。</w:t>
      </w:r>
    </w:p>
    <w:p w14:paraId="0B6AA567">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866" w:name="_Toc22782"/>
      <w:bookmarkStart w:id="867" w:name="_Toc30818"/>
      <w:bookmarkStart w:id="868" w:name="_Toc12269"/>
      <w:r>
        <w:rPr>
          <w:rFonts w:hint="eastAsia" w:ascii="宋体" w:hAnsi="宋体" w:cs="宋体"/>
          <w:b w:val="0"/>
          <w:bCs w:val="0"/>
          <w:color w:val="auto"/>
          <w:sz w:val="21"/>
          <w:szCs w:val="21"/>
          <w:highlight w:val="none"/>
          <w:shd w:val="clear" w:color="auto" w:fill="FFFFFF"/>
        </w:rPr>
        <w:t>7.5  道路和桥梁的损坏责任</w:t>
      </w:r>
      <w:bookmarkEnd w:id="866"/>
      <w:bookmarkEnd w:id="867"/>
      <w:bookmarkEnd w:id="868"/>
    </w:p>
    <w:p w14:paraId="740788D8">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因承包人运输造成施工场地内外公共道路和桥梁损坏的，由承包人承担修复损坏的全部费用和可能引起的赔偿。</w:t>
      </w:r>
    </w:p>
    <w:p w14:paraId="7EF65C6F">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869" w:name="_Toc20649"/>
      <w:bookmarkStart w:id="870" w:name="_Toc29844"/>
      <w:bookmarkStart w:id="871" w:name="_Toc26045"/>
      <w:r>
        <w:rPr>
          <w:rFonts w:hint="eastAsia" w:ascii="宋体" w:hAnsi="宋体" w:cs="宋体"/>
          <w:b w:val="0"/>
          <w:bCs w:val="0"/>
          <w:color w:val="auto"/>
          <w:sz w:val="21"/>
          <w:szCs w:val="21"/>
          <w:highlight w:val="none"/>
          <w:shd w:val="clear" w:color="auto" w:fill="FFFFFF"/>
        </w:rPr>
        <w:t>7.6  水路和航空运输</w:t>
      </w:r>
      <w:bookmarkEnd w:id="869"/>
      <w:bookmarkEnd w:id="870"/>
      <w:bookmarkEnd w:id="871"/>
    </w:p>
    <w:p w14:paraId="0FD3160A">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本条上述各款的内容适用于水路运输和航空运输，其中“道路”一词的涵义包括河道、航线、船闸、机场、码头、堤防以及水路或航空运输中其他相似结构物；“车辆”一词的涵义包括船舶和飞机等。</w:t>
      </w:r>
    </w:p>
    <w:p w14:paraId="764A1B66">
      <w:pPr>
        <w:pStyle w:val="3"/>
        <w:keepNext w:val="0"/>
        <w:keepLines w:val="0"/>
        <w:widowControl/>
        <w:snapToGrid w:val="0"/>
        <w:spacing w:before="0" w:after="0" w:line="360" w:lineRule="auto"/>
        <w:ind w:left="210" w:leftChars="100"/>
        <w:jc w:val="left"/>
        <w:rPr>
          <w:rFonts w:ascii="宋体" w:hAnsi="宋体"/>
          <w:b w:val="0"/>
          <w:bCs w:val="0"/>
          <w:color w:val="auto"/>
          <w:sz w:val="21"/>
          <w:szCs w:val="21"/>
          <w:highlight w:val="none"/>
          <w:shd w:val="clear" w:color="auto" w:fill="FFFFFF"/>
        </w:rPr>
      </w:pPr>
      <w:bookmarkStart w:id="872" w:name="_Toc24595"/>
      <w:bookmarkStart w:id="873" w:name="_Toc28679"/>
      <w:r>
        <w:rPr>
          <w:rFonts w:hint="eastAsia" w:ascii="宋体" w:hAnsi="宋体"/>
          <w:b w:val="0"/>
          <w:bCs w:val="0"/>
          <w:color w:val="auto"/>
          <w:sz w:val="21"/>
          <w:szCs w:val="21"/>
          <w:highlight w:val="none"/>
          <w:shd w:val="clear" w:color="auto" w:fill="FFFFFF"/>
        </w:rPr>
        <w:t>8.测量放线</w:t>
      </w:r>
      <w:bookmarkEnd w:id="872"/>
      <w:bookmarkEnd w:id="873"/>
    </w:p>
    <w:p w14:paraId="63336293">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874" w:name="_Toc8157"/>
      <w:bookmarkStart w:id="875" w:name="_Toc9769"/>
      <w:bookmarkStart w:id="876" w:name="_Toc5952"/>
      <w:r>
        <w:rPr>
          <w:rFonts w:hint="eastAsia" w:ascii="宋体" w:hAnsi="宋体" w:cs="宋体"/>
          <w:b w:val="0"/>
          <w:bCs w:val="0"/>
          <w:color w:val="auto"/>
          <w:sz w:val="21"/>
          <w:szCs w:val="21"/>
          <w:highlight w:val="none"/>
          <w:shd w:val="clear" w:color="auto" w:fill="FFFFFF"/>
        </w:rPr>
        <w:t>8.1  施工控制网</w:t>
      </w:r>
      <w:bookmarkEnd w:id="874"/>
      <w:bookmarkEnd w:id="875"/>
      <w:bookmarkEnd w:id="876"/>
    </w:p>
    <w:p w14:paraId="7AE42A53">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8.1.1  发包人应在合同约定的期限内，通过监理人向承包人提供测量基准点、基准线和水准点及其书面资料。向承包人提供测量基准点、基准线和水准点及其书面资料的期限见合同条款专用部分。</w:t>
      </w:r>
    </w:p>
    <w:p w14:paraId="4693F791">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8.1.2承包人应根据国家测绘基准、测绘系统和工程测量技术规范，按上述基准点（线）以及合同工程精度要求，测设施工控制网，承包人测设施工控制网的其他要求见合同条款专用部分。并将施工控制网资料在约定期限内报送监理人审批，其报送监理人审批的期限见合同条款专用部分。</w:t>
      </w:r>
    </w:p>
    <w:p w14:paraId="32B64CB7">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8.1.3  承包人应负责管理施工控制网点。施工控制网点丢失或损坏的，承包人应及时修复，并承担施工控制网点的管理与修复费用。工程竣工后将施工控制网点移交发包人。</w:t>
      </w:r>
    </w:p>
    <w:p w14:paraId="19D2D1D3">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877" w:name="_Toc15425"/>
      <w:bookmarkStart w:id="878" w:name="_Toc23318"/>
      <w:bookmarkStart w:id="879" w:name="_Toc10094"/>
      <w:r>
        <w:rPr>
          <w:rFonts w:hint="eastAsia" w:ascii="宋体" w:hAnsi="宋体" w:cs="宋体"/>
          <w:b w:val="0"/>
          <w:bCs w:val="0"/>
          <w:color w:val="auto"/>
          <w:sz w:val="21"/>
          <w:szCs w:val="21"/>
          <w:highlight w:val="none"/>
          <w:shd w:val="clear" w:color="auto" w:fill="FFFFFF"/>
        </w:rPr>
        <w:t>8.2  施工测量</w:t>
      </w:r>
      <w:bookmarkEnd w:id="877"/>
      <w:bookmarkEnd w:id="878"/>
      <w:bookmarkEnd w:id="879"/>
    </w:p>
    <w:p w14:paraId="42591230">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8.2.1  承包人应负责施工过程中的全部施工测量放线工作，并配置合格的人员、仪器、设备和其他物品。</w:t>
      </w:r>
    </w:p>
    <w:p w14:paraId="4A36ABE8">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8.2.2  监理人可以指示承包人进行抽样复测，当复测中发现错误或出现超过合同约定的误差时，承包人应按监理人指示进行修正或补测，并承担相应的复测费用。</w:t>
      </w:r>
    </w:p>
    <w:p w14:paraId="43857285">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880" w:name="_Toc11700"/>
      <w:bookmarkStart w:id="881" w:name="_Toc12530"/>
      <w:bookmarkStart w:id="882" w:name="_Toc9442"/>
      <w:r>
        <w:rPr>
          <w:rFonts w:hint="eastAsia" w:ascii="宋体" w:hAnsi="宋体" w:cs="宋体"/>
          <w:b w:val="0"/>
          <w:bCs w:val="0"/>
          <w:color w:val="auto"/>
          <w:sz w:val="21"/>
          <w:szCs w:val="21"/>
          <w:highlight w:val="none"/>
          <w:shd w:val="clear" w:color="auto" w:fill="FFFFFF"/>
        </w:rPr>
        <w:t>8.3  基准资料错误的责任</w:t>
      </w:r>
      <w:bookmarkEnd w:id="880"/>
      <w:bookmarkEnd w:id="881"/>
      <w:bookmarkEnd w:id="882"/>
    </w:p>
    <w:p w14:paraId="79DB2ADB">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2E8A579E">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883" w:name="_Toc8903"/>
      <w:bookmarkStart w:id="884" w:name="_Toc11936"/>
      <w:bookmarkStart w:id="885" w:name="_Toc19623"/>
      <w:r>
        <w:rPr>
          <w:rFonts w:hint="eastAsia" w:ascii="宋体" w:hAnsi="宋体" w:cs="宋体"/>
          <w:b w:val="0"/>
          <w:bCs w:val="0"/>
          <w:color w:val="auto"/>
          <w:sz w:val="21"/>
          <w:szCs w:val="21"/>
          <w:highlight w:val="none"/>
          <w:shd w:val="clear" w:color="auto" w:fill="FFFFFF"/>
        </w:rPr>
        <w:t>8.4  监理人使用施工控制网</w:t>
      </w:r>
      <w:bookmarkEnd w:id="883"/>
      <w:bookmarkEnd w:id="884"/>
      <w:bookmarkEnd w:id="885"/>
    </w:p>
    <w:p w14:paraId="09D21E24">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监理人需要使用施工控制网的，承包人应提供必要的协助，发包人不再为此支付费用。</w:t>
      </w:r>
    </w:p>
    <w:p w14:paraId="796DACCC">
      <w:pPr>
        <w:pStyle w:val="3"/>
        <w:keepNext w:val="0"/>
        <w:keepLines w:val="0"/>
        <w:widowControl/>
        <w:snapToGrid w:val="0"/>
        <w:spacing w:before="0" w:after="0" w:line="360" w:lineRule="auto"/>
        <w:ind w:left="210" w:leftChars="100"/>
        <w:jc w:val="left"/>
        <w:rPr>
          <w:rFonts w:ascii="宋体" w:hAnsi="宋体"/>
          <w:b w:val="0"/>
          <w:bCs w:val="0"/>
          <w:color w:val="auto"/>
          <w:sz w:val="21"/>
          <w:szCs w:val="21"/>
          <w:highlight w:val="none"/>
          <w:shd w:val="clear" w:color="auto" w:fill="FFFFFF"/>
        </w:rPr>
      </w:pPr>
      <w:bookmarkStart w:id="886" w:name="_Toc28702"/>
      <w:bookmarkStart w:id="887" w:name="_Toc28204"/>
      <w:bookmarkStart w:id="888" w:name="_Toc2062"/>
      <w:r>
        <w:rPr>
          <w:rFonts w:hint="eastAsia" w:ascii="宋体" w:hAnsi="宋体"/>
          <w:b w:val="0"/>
          <w:bCs w:val="0"/>
          <w:color w:val="auto"/>
          <w:sz w:val="21"/>
          <w:szCs w:val="21"/>
          <w:highlight w:val="none"/>
          <w:shd w:val="clear" w:color="auto" w:fill="FFFFFF"/>
        </w:rPr>
        <w:t>9.施工安全、治安保卫和环境保护</w:t>
      </w:r>
      <w:bookmarkEnd w:id="886"/>
      <w:bookmarkEnd w:id="887"/>
      <w:bookmarkEnd w:id="888"/>
    </w:p>
    <w:p w14:paraId="7115C668">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889" w:name="_Toc24796"/>
      <w:bookmarkStart w:id="890" w:name="_Toc30702"/>
      <w:bookmarkStart w:id="891" w:name="_Toc22089"/>
      <w:r>
        <w:rPr>
          <w:rFonts w:hint="eastAsia" w:ascii="宋体" w:hAnsi="宋体" w:cs="宋体"/>
          <w:b w:val="0"/>
          <w:bCs w:val="0"/>
          <w:color w:val="auto"/>
          <w:sz w:val="21"/>
          <w:szCs w:val="21"/>
          <w:highlight w:val="none"/>
          <w:shd w:val="clear" w:color="auto" w:fill="FFFFFF"/>
        </w:rPr>
        <w:t>9.1  发包人的施工安全责任</w:t>
      </w:r>
      <w:bookmarkEnd w:id="889"/>
      <w:bookmarkEnd w:id="890"/>
      <w:bookmarkEnd w:id="891"/>
    </w:p>
    <w:p w14:paraId="0EBFE282">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9.1.1  发包人应按合同约定履行安全职责，授权监理人按合同约定的安全工作内容监督、检查承包人安全工作的实施，组织承包人和有关单位进行安全检查。</w:t>
      </w:r>
    </w:p>
    <w:p w14:paraId="5A9277CD">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9.1.2  发包人应对其现场机构雇佣的全部人员的工伤事故承担责任，但由于承包人原因造成发包人人员工伤的，应由承包人承担责任。</w:t>
      </w:r>
    </w:p>
    <w:p w14:paraId="6D893AD2">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9.1.3  发包人应负责赔偿以下各种情况造成的第三者人身伤亡和财产损失：</w:t>
      </w:r>
    </w:p>
    <w:p w14:paraId="37FC9E91">
      <w:pPr>
        <w:widowControl/>
        <w:snapToGrid w:val="0"/>
        <w:spacing w:line="360" w:lineRule="auto"/>
        <w:ind w:left="210" w:leftChars="100" w:firstLine="315"/>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（1）工程或工程的任何部分对土地的占用所造成的第三者财产损失；</w:t>
      </w:r>
    </w:p>
    <w:p w14:paraId="26DE52C2">
      <w:pPr>
        <w:widowControl/>
        <w:snapToGrid w:val="0"/>
        <w:spacing w:line="360" w:lineRule="auto"/>
        <w:ind w:left="210" w:leftChars="100" w:firstLine="315"/>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（2）由于发包人原因在施工场地及其毗邻地带造成的第三者人身伤亡和财产损失。</w:t>
      </w:r>
    </w:p>
    <w:p w14:paraId="6AB5F15B">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892" w:name="_Toc9543"/>
      <w:bookmarkStart w:id="893" w:name="_Toc21744"/>
      <w:bookmarkStart w:id="894" w:name="_Toc31259"/>
      <w:r>
        <w:rPr>
          <w:rFonts w:hint="eastAsia" w:ascii="宋体" w:hAnsi="宋体" w:cs="宋体"/>
          <w:b w:val="0"/>
          <w:bCs w:val="0"/>
          <w:color w:val="auto"/>
          <w:sz w:val="21"/>
          <w:szCs w:val="21"/>
          <w:highlight w:val="none"/>
          <w:shd w:val="clear" w:color="auto" w:fill="FFFFFF"/>
        </w:rPr>
        <w:t>9.2  承包人的施工安全责任</w:t>
      </w:r>
      <w:bookmarkEnd w:id="892"/>
      <w:bookmarkEnd w:id="893"/>
      <w:bookmarkEnd w:id="894"/>
    </w:p>
    <w:p w14:paraId="31C72D84">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9.2.1  承包人应按合同约定履行安全职责,执行监理人有关安全工作的指示,并在合同条款专用部分约定的期限内，按合同约定的安全工作内容，编制施工安全措施计划报送监理人审批。监理人应在合同条款专用部分约定的期限内完成批复。</w:t>
      </w:r>
    </w:p>
    <w:p w14:paraId="67F69537">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9.2.2  承包人应加强施工作业安全管理，特别应加强易燃、易爆材料、火工器材、有毒与腐蚀性材料、挥发性有机物和其他危险品的管理，以及对爆破作业和地下工程施工等危险作业的管理。</w:t>
      </w:r>
    </w:p>
    <w:p w14:paraId="6992470F">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9.2.3  承包人应严格按照国家安全标准制定施工安全操作规程，配备必要的安全生产和劳动保护设施，加强对承包人人员的安全教育，并发放安全工作手册和劳动保护用具。</w:t>
      </w:r>
    </w:p>
    <w:p w14:paraId="1B9DC13D">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9.2.4  承包人应按监理人的指示制定应对灾害的紧急预案，报送监理人审批。承包人还应按预案做好安全检查，配置必要的救助物资和器材，切实保护好有关人员的人身和财产安全。</w:t>
      </w:r>
    </w:p>
    <w:p w14:paraId="721A2817">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9.2.5  合同约定的安全作业环境及安全施工措施所需费用应遵守有关规定，并包括在相关工作的合同价格中。因采取合同未约定的安全作业环境及安全施工措施增加的费用，由监理人按第3.5款商定或确定。</w:t>
      </w:r>
    </w:p>
    <w:p w14:paraId="59B0D1A3">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9.2.6  承包人应对其履行合同所雇佣的全部人员，包括分包人人员的工伤事故承担责任，但由于发包人原因造成承包人人员工伤事故的，应由发包人承担责任。</w:t>
      </w:r>
    </w:p>
    <w:p w14:paraId="7C00703B">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9.2.7  由于承包人原因在施工场地内及其毗邻地带造成的第三者人员伤亡和财产损失，由承包人负责赔偿。</w:t>
      </w:r>
    </w:p>
    <w:p w14:paraId="13EC4824">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895" w:name="_Toc2711"/>
      <w:bookmarkStart w:id="896" w:name="_Toc21010"/>
      <w:bookmarkStart w:id="897" w:name="_Toc23194"/>
      <w:r>
        <w:rPr>
          <w:rFonts w:hint="eastAsia" w:ascii="宋体" w:hAnsi="宋体" w:cs="宋体"/>
          <w:b w:val="0"/>
          <w:bCs w:val="0"/>
          <w:color w:val="auto"/>
          <w:sz w:val="21"/>
          <w:szCs w:val="21"/>
          <w:highlight w:val="none"/>
          <w:shd w:val="clear" w:color="auto" w:fill="FFFFFF"/>
        </w:rPr>
        <w:t>9.3  治安保卫</w:t>
      </w:r>
      <w:bookmarkEnd w:id="895"/>
      <w:bookmarkEnd w:id="896"/>
      <w:bookmarkEnd w:id="897"/>
    </w:p>
    <w:p w14:paraId="12E9A9BE">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9.3.1  发包人应与当地公安部门协商，在现场建立治安管理机构或联防组织，负责统一管理施工场地的治安保卫事项，履行合同工程的治安保卫职责。</w:t>
      </w:r>
    </w:p>
    <w:p w14:paraId="4DEB1BD0">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9.3.2  发包人和承包人除应协助现场治安管理机构或联防组织维护施工场地的社会治安外，还应做好包括生活区在内的各自管辖区的治安保卫工作。</w:t>
      </w:r>
    </w:p>
    <w:p w14:paraId="47D372D3">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9.3.3  在工程开工前应当明确责任人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制定施工场地治安管理计划和突发治安事件紧急预案的责任人见合同条款专用部分。</w:t>
      </w:r>
    </w:p>
    <w:p w14:paraId="1D7ACE7A">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898" w:name="_Toc12011"/>
      <w:bookmarkStart w:id="899" w:name="_Toc10222"/>
      <w:bookmarkStart w:id="900" w:name="_Toc12057"/>
      <w:r>
        <w:rPr>
          <w:rFonts w:hint="eastAsia" w:ascii="宋体" w:hAnsi="宋体" w:cs="宋体"/>
          <w:b w:val="0"/>
          <w:bCs w:val="0"/>
          <w:color w:val="auto"/>
          <w:sz w:val="21"/>
          <w:szCs w:val="21"/>
          <w:highlight w:val="none"/>
          <w:shd w:val="clear" w:color="auto" w:fill="FFFFFF"/>
        </w:rPr>
        <w:t>9.4  环境保护</w:t>
      </w:r>
      <w:bookmarkEnd w:id="898"/>
      <w:bookmarkEnd w:id="899"/>
      <w:bookmarkEnd w:id="900"/>
    </w:p>
    <w:p w14:paraId="7E9A00DC">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9.4.1  承包人在施工过程中，应遵守有关环境保护的法律，履行合同约定的环境保护义务，并对违反法律和合同约定义务所造成的环境破坏、人身伤害和财产损失负责。</w:t>
      </w:r>
    </w:p>
    <w:p w14:paraId="198C749A">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9.4.2  承包人应建立施工扬尘治理、建筑垃圾、土方和砂石清运与消纳、严禁使用高排放非道路移动机械和行业挥发性有机物治理（如建筑外墙涂装、钢结构等鼓励使用水性漆替代油性漆）等责任制，针对工程项目特点制定具体的实施方案，并严格实施。如扬尘治理，承包人应在建筑工地公示施工扬尘治理措施、责任人、主管部门等信息，并及时向当地主管部门报送施工扬尘治理措施落实情况。</w:t>
      </w:r>
    </w:p>
    <w:p w14:paraId="1562F23D">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9.4.3  承包人应在合同条款专用部分约定的时限内，按合同约定的环保工作内容，编制施工环保措施计划（包含第9.4.2项约定的实施方案内容），报送监理人审批。监理人在合同条款专用部分约定的期限内给予批复。</w:t>
      </w:r>
    </w:p>
    <w:p w14:paraId="1115A4D2">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9.4.4  承包人应按照批准的施工环保措施计划有序地堆放和处理施工废弃物，避免对环境造成破坏。因承包人任意堆放或弃置施工废弃物造成妨碍公共交通、影响城镇居民生活、降低河流行洪能力、危及居民安全、破坏和污染环境，或者影响其他承包人施工等后果的，承包人应承担责任。</w:t>
      </w:r>
    </w:p>
    <w:p w14:paraId="3ACA297F">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9.4.5  承包人应按合同约定采取有效措施，对施工开挖的边坡及时进行支护,维护排水设施，并进行</w:t>
      </w:r>
      <w:r>
        <w:rPr>
          <w:rFonts w:hint="eastAsia" w:ascii="宋体" w:hAnsi="宋体" w:cs="宋体"/>
          <w:color w:val="auto"/>
          <w:kern w:val="0"/>
          <w:szCs w:val="21"/>
          <w:highlight w:val="none"/>
          <w:shd w:val="clear" w:color="auto" w:fill="FFFFFF"/>
          <w:lang w:eastAsia="zh-CN"/>
        </w:rPr>
        <w:t>水土保持</w:t>
      </w:r>
      <w:r>
        <w:rPr>
          <w:rFonts w:hint="eastAsia" w:ascii="宋体" w:hAnsi="宋体" w:cs="宋体"/>
          <w:color w:val="auto"/>
          <w:kern w:val="0"/>
          <w:szCs w:val="21"/>
          <w:highlight w:val="none"/>
          <w:shd w:val="clear" w:color="auto" w:fill="FFFFFF"/>
        </w:rPr>
        <w:t>，避免因施工造成的地质灾害。</w:t>
      </w:r>
    </w:p>
    <w:p w14:paraId="458F2517">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9.4.6  承包人应按国家饮用水管理标准定期对饮用水源进行监测，防止施工活动污染饮用水源。</w:t>
      </w:r>
    </w:p>
    <w:p w14:paraId="1FF75DE4">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9.4.7  承包人应按合同约定，加强对噪声、粉尘、废气、废水和废油的控制，努力降低噪声，控制粉尘和废气浓度，做好废水和废油的治理和排放。</w:t>
      </w:r>
    </w:p>
    <w:p w14:paraId="331BB10C">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901" w:name="_Toc7911"/>
      <w:bookmarkStart w:id="902" w:name="_Toc15210"/>
      <w:bookmarkStart w:id="903" w:name="_Toc16710"/>
      <w:r>
        <w:rPr>
          <w:rFonts w:hint="eastAsia" w:ascii="宋体" w:hAnsi="宋体" w:cs="宋体"/>
          <w:b w:val="0"/>
          <w:bCs w:val="0"/>
          <w:color w:val="auto"/>
          <w:sz w:val="21"/>
          <w:szCs w:val="21"/>
          <w:highlight w:val="none"/>
          <w:shd w:val="clear" w:color="auto" w:fill="FFFFFF"/>
        </w:rPr>
        <w:t>9.5  事故处理</w:t>
      </w:r>
      <w:bookmarkEnd w:id="901"/>
      <w:bookmarkEnd w:id="902"/>
      <w:bookmarkEnd w:id="903"/>
    </w:p>
    <w:p w14:paraId="7E0EF9BC">
      <w:pPr>
        <w:widowControl/>
        <w:snapToGrid w:val="0"/>
        <w:spacing w:line="360" w:lineRule="auto"/>
        <w:ind w:left="210" w:leftChars="100" w:firstLine="420"/>
        <w:jc w:val="left"/>
      </w:pPr>
      <w:r>
        <w:rPr>
          <w:rFonts w:hint="eastAsia" w:ascii="宋体" w:hAnsi="宋体" w:cs="宋体"/>
          <w:color w:val="auto"/>
          <w:kern w:val="0"/>
          <w:szCs w:val="21"/>
          <w:highlight w:val="none"/>
          <w:shd w:val="clear" w:color="auto" w:fill="FFFFFF"/>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619A294A">
      <w:pPr>
        <w:spacing w:before="121" w:line="220" w:lineRule="auto"/>
        <w:ind w:left="22"/>
        <w:outlineLvl w:val="1"/>
        <w:rPr>
          <w:rFonts w:hint="eastAsia" w:ascii="宋体" w:hAnsi="宋体" w:eastAsia="宋体" w:cs="宋体"/>
          <w:color w:val="auto"/>
          <w:kern w:val="0"/>
          <w:sz w:val="21"/>
          <w:szCs w:val="21"/>
          <w:highlight w:val="none"/>
          <w:u w:val="single"/>
          <w:shd w:val="clear" w:color="auto" w:fill="FFFFFF"/>
        </w:rPr>
      </w:pPr>
      <w:r>
        <w:rPr>
          <w:rFonts w:hint="eastAsia" w:ascii="宋体" w:hAnsi="宋体" w:eastAsia="宋体" w:cs="宋体"/>
          <w:color w:val="auto"/>
          <w:spacing w:val="0"/>
          <w:kern w:val="0"/>
          <w:sz w:val="21"/>
          <w:szCs w:val="21"/>
          <w:highlight w:val="none"/>
          <w:u w:val="single"/>
          <w:shd w:val="clear" w:color="auto" w:fill="FFFFFF"/>
        </w:rPr>
        <w:t>9.6  施工现场安全生产标准化管理目标</w:t>
      </w:r>
    </w:p>
    <w:p w14:paraId="5FD1859B">
      <w:pPr>
        <w:widowControl/>
        <w:snapToGrid w:val="0"/>
        <w:spacing w:before="0" w:line="360" w:lineRule="auto"/>
        <w:ind w:left="210" w:leftChars="100" w:right="0" w:firstLine="420"/>
        <w:jc w:val="left"/>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spacing w:val="0"/>
          <w:kern w:val="0"/>
          <w:sz w:val="21"/>
          <w:szCs w:val="21"/>
          <w:highlight w:val="none"/>
          <w:shd w:val="clear" w:color="auto" w:fill="FFFFFF"/>
        </w:rPr>
        <w:t>9.6.1 由于承包人原因，施工现场安全生产标准化评定、认定等级未达到合同协议书中</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约定的管理目标等级但“达标（合格）”的，承包人应当向发包人支付未达到合同协议书中</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约定的安全生产标准化管理目标等级的违约金或损失赔偿金。未达到合同协议书中约定的安</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全生产标准化管理目标等级的违约金或损失赔偿金的金额或者计算方法见合同条款专用部</w:t>
      </w:r>
      <w:r>
        <w:rPr>
          <w:rFonts w:hint="eastAsia" w:ascii="宋体" w:hAnsi="宋体" w:eastAsia="宋体" w:cs="宋体"/>
          <w:color w:val="auto"/>
          <w:kern w:val="0"/>
          <w:sz w:val="21"/>
          <w:szCs w:val="21"/>
          <w:highlight w:val="none"/>
          <w:shd w:val="clear" w:color="auto" w:fill="FFFFFF"/>
        </w:rPr>
        <w:t xml:space="preserve"> 分。</w:t>
      </w:r>
    </w:p>
    <w:p w14:paraId="1583E8EC">
      <w:pPr>
        <w:widowControl/>
        <w:snapToGrid w:val="0"/>
        <w:spacing w:before="0" w:line="360" w:lineRule="auto"/>
        <w:ind w:left="210" w:leftChars="100" w:firstLine="420"/>
        <w:jc w:val="left"/>
        <w:rPr>
          <w:rFonts w:ascii="黑体" w:hAnsi="黑体" w:eastAsia="黑体" w:cs="黑体"/>
          <w:sz w:val="20"/>
          <w:szCs w:val="20"/>
        </w:rPr>
      </w:pPr>
      <w:r>
        <w:rPr>
          <w:rFonts w:hint="eastAsia" w:ascii="宋体" w:hAnsi="宋体" w:eastAsia="宋体" w:cs="宋体"/>
          <w:color w:val="auto"/>
          <w:spacing w:val="0"/>
          <w:kern w:val="0"/>
          <w:sz w:val="21"/>
          <w:szCs w:val="21"/>
          <w:highlight w:val="none"/>
          <w:shd w:val="clear" w:color="auto" w:fill="FFFFFF"/>
        </w:rPr>
        <w:t>9.6.2 发包人鼓励承包人提高施工现场安全生产标准化管理。施工现场安全生产标准化</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评定、认定等级高于合同协议书中约定的管理目标等级的，发包人可给予承包人创优奖励。</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发包人是否给予承包人创优奖励及创优奖励金额或者计算方法见合同条款专用部分。</w:t>
      </w:r>
    </w:p>
    <w:p w14:paraId="08E3CE6F">
      <w:pPr>
        <w:spacing w:before="284" w:line="220" w:lineRule="auto"/>
        <w:ind w:left="22"/>
        <w:outlineLvl w:val="1"/>
        <w:rPr>
          <w:rFonts w:hint="eastAsia" w:ascii="宋体" w:hAnsi="宋体" w:eastAsia="宋体" w:cs="宋体"/>
          <w:color w:val="auto"/>
          <w:kern w:val="0"/>
          <w:sz w:val="21"/>
          <w:szCs w:val="21"/>
          <w:highlight w:val="none"/>
          <w:u w:val="single"/>
          <w:shd w:val="clear" w:color="auto" w:fill="FFFFFF"/>
        </w:rPr>
      </w:pPr>
      <w:bookmarkStart w:id="904" w:name="bookmark171"/>
      <w:bookmarkEnd w:id="904"/>
      <w:r>
        <w:rPr>
          <w:rFonts w:hint="eastAsia" w:ascii="宋体" w:hAnsi="宋体" w:eastAsia="宋体" w:cs="宋体"/>
          <w:color w:val="auto"/>
          <w:spacing w:val="0"/>
          <w:kern w:val="0"/>
          <w:sz w:val="21"/>
          <w:szCs w:val="21"/>
          <w:highlight w:val="none"/>
          <w:u w:val="single"/>
          <w:shd w:val="clear" w:color="auto" w:fill="FFFFFF"/>
        </w:rPr>
        <w:t>9.7  特殊安全生产标准化</w:t>
      </w:r>
    </w:p>
    <w:p w14:paraId="791AF35A">
      <w:pPr>
        <w:widowControl/>
        <w:snapToGrid w:val="0"/>
        <w:spacing w:before="0" w:line="360" w:lineRule="auto"/>
        <w:ind w:left="210" w:leftChars="100" w:right="0" w:firstLine="420"/>
        <w:jc w:val="left"/>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spacing w:val="0"/>
          <w:kern w:val="0"/>
          <w:sz w:val="21"/>
          <w:szCs w:val="21"/>
          <w:highlight w:val="none"/>
          <w:shd w:val="clear" w:color="auto" w:fill="FFFFFF"/>
        </w:rPr>
        <w:t>9.7.1 由于承包人原因，特殊安全生产标准化要求未达到合同约定的要求，承包人应当</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向发包人支付未达到合同约定的特殊安全生产标准化要求的违约金或损失赔偿金。未达到合 同约定的特殊安全生产标准化要求的违约金或损失赔偿金的金额或者计算方法见合同条款</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专用部分。</w:t>
      </w:r>
    </w:p>
    <w:p w14:paraId="766A913E">
      <w:pPr>
        <w:widowControl/>
        <w:snapToGrid w:val="0"/>
        <w:spacing w:line="360" w:lineRule="auto"/>
        <w:ind w:left="210" w:leftChars="100" w:firstLine="420"/>
        <w:jc w:val="left"/>
      </w:pPr>
      <w:r>
        <w:rPr>
          <w:rFonts w:hint="eastAsia" w:ascii="宋体" w:hAnsi="宋体" w:eastAsia="宋体" w:cs="宋体"/>
          <w:color w:val="auto"/>
          <w:spacing w:val="0"/>
          <w:kern w:val="0"/>
          <w:sz w:val="21"/>
          <w:szCs w:val="21"/>
          <w:highlight w:val="none"/>
          <w:shd w:val="clear" w:color="auto" w:fill="FFFFFF"/>
        </w:rPr>
        <w:t>9.7.2 发包人鼓励承包人提高特殊安全生产标准化要求。特殊安全生产标准化要求高于</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合同约定的要求，发包人可给予承包人创优奖励。发包人是否给予承包人创优奖励及创优奖</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励金额或者计算方法见合同条款专用部分。</w:t>
      </w:r>
    </w:p>
    <w:p w14:paraId="31296E79">
      <w:pPr>
        <w:pStyle w:val="3"/>
        <w:keepNext w:val="0"/>
        <w:keepLines w:val="0"/>
        <w:widowControl/>
        <w:snapToGrid w:val="0"/>
        <w:spacing w:before="0" w:after="0" w:line="360" w:lineRule="auto"/>
        <w:ind w:left="210" w:leftChars="100"/>
        <w:jc w:val="left"/>
        <w:rPr>
          <w:rFonts w:ascii="宋体" w:hAnsi="宋体"/>
          <w:b w:val="0"/>
          <w:bCs w:val="0"/>
          <w:color w:val="auto"/>
          <w:sz w:val="21"/>
          <w:szCs w:val="21"/>
          <w:highlight w:val="none"/>
          <w:shd w:val="clear" w:color="auto" w:fill="FFFFFF"/>
        </w:rPr>
      </w:pPr>
      <w:bookmarkStart w:id="905" w:name="_Toc18978"/>
      <w:bookmarkStart w:id="906" w:name="_Toc2879"/>
      <w:bookmarkStart w:id="907" w:name="_Toc8484"/>
      <w:r>
        <w:rPr>
          <w:rFonts w:hint="eastAsia" w:ascii="宋体" w:hAnsi="宋体"/>
          <w:b w:val="0"/>
          <w:bCs w:val="0"/>
          <w:color w:val="auto"/>
          <w:sz w:val="21"/>
          <w:szCs w:val="21"/>
          <w:highlight w:val="none"/>
          <w:shd w:val="clear" w:color="auto" w:fill="FFFFFF"/>
        </w:rPr>
        <w:t>10.进度计划</w:t>
      </w:r>
      <w:bookmarkEnd w:id="905"/>
      <w:bookmarkEnd w:id="906"/>
      <w:bookmarkEnd w:id="907"/>
    </w:p>
    <w:p w14:paraId="13F362DD">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908" w:name="_Toc19611"/>
      <w:bookmarkStart w:id="909" w:name="_Toc597"/>
      <w:bookmarkStart w:id="910" w:name="_Toc18130"/>
      <w:r>
        <w:rPr>
          <w:rFonts w:hint="eastAsia" w:ascii="宋体" w:hAnsi="宋体" w:cs="宋体"/>
          <w:b w:val="0"/>
          <w:bCs w:val="0"/>
          <w:color w:val="auto"/>
          <w:sz w:val="21"/>
          <w:szCs w:val="21"/>
          <w:highlight w:val="none"/>
          <w:shd w:val="clear" w:color="auto" w:fill="FFFFFF"/>
        </w:rPr>
        <w:t>10.1  合同进度计划</w:t>
      </w:r>
      <w:bookmarkEnd w:id="908"/>
      <w:bookmarkEnd w:id="909"/>
      <w:bookmarkEnd w:id="910"/>
    </w:p>
    <w:p w14:paraId="7FE270FD">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10.1.1  承包人应当在收到监理人按照第11.1.1项发出的开工通知后7天内，编制详细的施工进度计划和施工方案说明报送监理人，施工进度计划中应载明要求发包人组织设计人进行阶段性工程设计交底的时间。监理人应在收到承包人报送的相关进度计划和施工方案说明后14天内批复或提出修改意见，否则该进度计划视为已得到批准。经监理人批准的施工进度计划称合同进度计划，是控制合同工程进度的依据。承包人编制施工进度计划和施工方案说明的内容见合同条款专用部分。</w:t>
      </w:r>
    </w:p>
    <w:p w14:paraId="70141EEC">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10.1.2  承包人还应根据合同进度计划，按照第10.1.1项相关约定编制更为详细的分阶段或分项进度计划，报监理人审批。承包人编制分阶段或分项施工进度计划和施工方案说明的内容及时限要求见合同条款专用部分。</w:t>
      </w:r>
    </w:p>
    <w:p w14:paraId="40A57A73">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10.1.3  群体工程中单位工程分期进行施工的，承包人应当按照发包人提供图纸及有关资料的时间要求，编制单位工程进度计划和施工方案说明。群体工程中有关编制进度计划和施工方案说明的要求见合同条款专用部分。</w:t>
      </w:r>
    </w:p>
    <w:p w14:paraId="4D1B162F">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911" w:name="_Toc29968"/>
      <w:bookmarkStart w:id="912" w:name="_Toc4150"/>
      <w:bookmarkStart w:id="913" w:name="_Toc29161"/>
      <w:r>
        <w:rPr>
          <w:rFonts w:hint="eastAsia" w:ascii="宋体" w:hAnsi="宋体" w:cs="宋体"/>
          <w:b w:val="0"/>
          <w:bCs w:val="0"/>
          <w:color w:val="auto"/>
          <w:sz w:val="21"/>
          <w:szCs w:val="21"/>
          <w:highlight w:val="none"/>
          <w:shd w:val="clear" w:color="auto" w:fill="FFFFFF"/>
        </w:rPr>
        <w:t>10.2  合同进度计划的修订</w:t>
      </w:r>
      <w:bookmarkEnd w:id="911"/>
      <w:bookmarkEnd w:id="912"/>
      <w:bookmarkEnd w:id="913"/>
    </w:p>
    <w:p w14:paraId="4DB7FD83">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10.2.1  不论何种原因造成工程的实际进度与第10.1款的合同进度计划不符时，承包人可以在合同条款专用部分约定的期限内向监理人提交修订合同进度计划的申请报告，并附有关措施和相关资料，报监理人审批；</w:t>
      </w:r>
    </w:p>
    <w:p w14:paraId="0936FB84">
      <w:pPr>
        <w:widowControl/>
        <w:snapToGrid w:val="0"/>
        <w:spacing w:line="360" w:lineRule="auto"/>
        <w:ind w:left="210" w:leftChars="100" w:firstLine="420"/>
        <w:jc w:val="left"/>
      </w:pPr>
      <w:r>
        <w:rPr>
          <w:rFonts w:hint="eastAsia" w:ascii="宋体" w:hAnsi="宋体" w:cs="宋体"/>
          <w:color w:val="auto"/>
          <w:kern w:val="0"/>
          <w:szCs w:val="21"/>
          <w:highlight w:val="none"/>
          <w:shd w:val="clear" w:color="auto" w:fill="FFFFFF"/>
        </w:rPr>
        <w:t>10.2.2  监理人也可以直接向承包人作出修订合同进度计划的指示，承包人应按该指示修订合同进度计划，报监理人审批。监理人应在合同条款专用部分约定的期限内完成批复。监理人在批复前应获得发包人同意。</w:t>
      </w:r>
    </w:p>
    <w:p w14:paraId="2BD1D2EE">
      <w:pPr>
        <w:spacing w:before="161" w:line="303" w:lineRule="auto"/>
        <w:ind w:left="19" w:right="73" w:firstLine="435"/>
        <w:rPr>
          <w:rFonts w:ascii="宋体" w:hAnsi="宋体" w:eastAsia="宋体" w:cs="宋体"/>
          <w:sz w:val="20"/>
          <w:szCs w:val="20"/>
        </w:rPr>
      </w:pPr>
      <w:r>
        <w:rPr>
          <w:rFonts w:hint="eastAsia" w:ascii="宋体" w:hAnsi="宋体" w:eastAsia="宋体" w:cs="宋体"/>
          <w:color w:val="auto"/>
          <w:spacing w:val="0"/>
          <w:kern w:val="0"/>
          <w:sz w:val="21"/>
          <w:szCs w:val="21"/>
          <w:highlight w:val="none"/>
          <w:shd w:val="clear" w:color="auto" w:fill="FFFFFF"/>
        </w:rPr>
        <w:t>10.2.3 发包人对修订合同进度计划的批准，不影响发包人主张逾期损失赔偿和（或）</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承包人主张工期顺延的权利。</w:t>
      </w:r>
    </w:p>
    <w:p w14:paraId="3517C1F0">
      <w:pPr>
        <w:widowControl/>
        <w:snapToGrid w:val="0"/>
        <w:spacing w:line="360" w:lineRule="auto"/>
        <w:ind w:left="210" w:leftChars="100" w:firstLine="420"/>
        <w:jc w:val="left"/>
      </w:pPr>
    </w:p>
    <w:p w14:paraId="4A9F941A">
      <w:pPr>
        <w:pStyle w:val="3"/>
        <w:keepNext w:val="0"/>
        <w:keepLines w:val="0"/>
        <w:widowControl/>
        <w:snapToGrid w:val="0"/>
        <w:spacing w:before="0" w:after="0" w:line="360" w:lineRule="auto"/>
        <w:ind w:left="210" w:leftChars="100"/>
        <w:jc w:val="left"/>
        <w:rPr>
          <w:rFonts w:ascii="宋体" w:hAnsi="宋体"/>
          <w:b w:val="0"/>
          <w:bCs w:val="0"/>
          <w:color w:val="auto"/>
          <w:sz w:val="21"/>
          <w:szCs w:val="21"/>
          <w:highlight w:val="none"/>
          <w:shd w:val="clear" w:color="auto" w:fill="FFFFFF"/>
        </w:rPr>
      </w:pPr>
      <w:bookmarkStart w:id="914" w:name="_Toc8028"/>
      <w:bookmarkStart w:id="915" w:name="_Toc24800"/>
      <w:bookmarkStart w:id="916" w:name="_Toc22177"/>
      <w:r>
        <w:rPr>
          <w:rFonts w:hint="eastAsia" w:ascii="宋体" w:hAnsi="宋体"/>
          <w:b w:val="0"/>
          <w:bCs w:val="0"/>
          <w:color w:val="auto"/>
          <w:sz w:val="21"/>
          <w:szCs w:val="21"/>
          <w:highlight w:val="none"/>
          <w:shd w:val="clear" w:color="auto" w:fill="FFFFFF"/>
        </w:rPr>
        <w:t>11.开工和竣工</w:t>
      </w:r>
      <w:bookmarkEnd w:id="914"/>
      <w:bookmarkEnd w:id="915"/>
      <w:bookmarkEnd w:id="916"/>
    </w:p>
    <w:p w14:paraId="2F6AF8BB">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917" w:name="_Toc13345"/>
      <w:bookmarkStart w:id="918" w:name="_Toc11653"/>
      <w:bookmarkStart w:id="919" w:name="_Toc26091"/>
      <w:r>
        <w:rPr>
          <w:rFonts w:hint="eastAsia" w:ascii="宋体" w:hAnsi="宋体" w:cs="宋体"/>
          <w:b w:val="0"/>
          <w:bCs w:val="0"/>
          <w:color w:val="auto"/>
          <w:sz w:val="21"/>
          <w:szCs w:val="21"/>
          <w:highlight w:val="none"/>
          <w:shd w:val="clear" w:color="auto" w:fill="FFFFFF"/>
        </w:rPr>
        <w:t>11.1  开工</w:t>
      </w:r>
      <w:bookmarkEnd w:id="917"/>
      <w:bookmarkEnd w:id="918"/>
      <w:bookmarkEnd w:id="919"/>
    </w:p>
    <w:p w14:paraId="6E00A017">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11.1.1  监理人应在开工日期7天前向承包人发出开工通知。监理人在发出开工通知前应获得发包人同意。工期自监理人发出的开工通知中载明的开工日期起计算。承包人应在开工日期后尽快施工。</w:t>
      </w:r>
    </w:p>
    <w:p w14:paraId="60B94CC3">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6207A77F">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920" w:name="_Toc14432"/>
      <w:bookmarkStart w:id="921" w:name="_Toc32488"/>
      <w:bookmarkStart w:id="922" w:name="_Toc31815"/>
      <w:r>
        <w:rPr>
          <w:rFonts w:hint="eastAsia" w:ascii="宋体" w:hAnsi="宋体" w:cs="宋体"/>
          <w:b w:val="0"/>
          <w:bCs w:val="0"/>
          <w:color w:val="auto"/>
          <w:sz w:val="21"/>
          <w:szCs w:val="21"/>
          <w:highlight w:val="none"/>
          <w:shd w:val="clear" w:color="auto" w:fill="FFFFFF"/>
        </w:rPr>
        <w:t>11.2  竣工</w:t>
      </w:r>
      <w:bookmarkEnd w:id="920"/>
      <w:bookmarkEnd w:id="921"/>
      <w:bookmarkEnd w:id="922"/>
    </w:p>
    <w:p w14:paraId="76B86739">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承包人应在第1.1.4.3目约定的期限内完成合同工程。实际竣工日期在接收证书中写明。</w:t>
      </w:r>
    </w:p>
    <w:p w14:paraId="04385601">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923" w:name="_Toc8700"/>
      <w:bookmarkStart w:id="924" w:name="_Toc2101"/>
      <w:bookmarkStart w:id="925" w:name="_Toc794"/>
      <w:r>
        <w:rPr>
          <w:rFonts w:hint="eastAsia" w:ascii="宋体" w:hAnsi="宋体" w:cs="宋体"/>
          <w:b w:val="0"/>
          <w:bCs w:val="0"/>
          <w:color w:val="auto"/>
          <w:sz w:val="21"/>
          <w:szCs w:val="21"/>
          <w:highlight w:val="none"/>
          <w:shd w:val="clear" w:color="auto" w:fill="FFFFFF"/>
        </w:rPr>
        <w:t>11.3  发包人的工期延误</w:t>
      </w:r>
      <w:bookmarkEnd w:id="923"/>
      <w:bookmarkEnd w:id="924"/>
      <w:bookmarkEnd w:id="925"/>
    </w:p>
    <w:p w14:paraId="3FE3E196">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在履行合同过程中，由于发包人的下列原因造成承包人关键线路工期延误的，承包人有权要求发包人延长工期和（或）增加费用，并支付合理利润。需要修订合同进度计划的，按照第10.2款的约定办理。</w:t>
      </w:r>
    </w:p>
    <w:p w14:paraId="031672F0">
      <w:pPr>
        <w:widowControl/>
        <w:snapToGrid w:val="0"/>
        <w:spacing w:line="360" w:lineRule="auto"/>
        <w:ind w:left="210" w:leftChars="100" w:firstLine="315"/>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（1）增加合同工作内容；</w:t>
      </w:r>
    </w:p>
    <w:p w14:paraId="39DE977A">
      <w:pPr>
        <w:widowControl/>
        <w:snapToGrid w:val="0"/>
        <w:spacing w:line="360" w:lineRule="auto"/>
        <w:ind w:left="210" w:leftChars="100" w:firstLine="315"/>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（2）改变合同中任何一项工作的质量要求或其他特性；</w:t>
      </w:r>
    </w:p>
    <w:p w14:paraId="5F2A1BBB">
      <w:pPr>
        <w:widowControl/>
        <w:snapToGrid w:val="0"/>
        <w:spacing w:line="360" w:lineRule="auto"/>
        <w:ind w:left="210" w:leftChars="100" w:firstLine="315"/>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（3）发包人迟延提供材料或变更交货地点的；</w:t>
      </w:r>
    </w:p>
    <w:p w14:paraId="09F4026E">
      <w:pPr>
        <w:widowControl/>
        <w:snapToGrid w:val="0"/>
        <w:spacing w:line="360" w:lineRule="auto"/>
        <w:ind w:left="210" w:leftChars="100" w:firstLine="315"/>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（4）因发包人原因导致的暂停施工；</w:t>
      </w:r>
    </w:p>
    <w:p w14:paraId="0F39490E">
      <w:pPr>
        <w:widowControl/>
        <w:snapToGrid w:val="0"/>
        <w:spacing w:line="360" w:lineRule="auto"/>
        <w:ind w:left="210" w:leftChars="100" w:firstLine="315"/>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（5）提供图纸延误；</w:t>
      </w:r>
    </w:p>
    <w:p w14:paraId="179F312D">
      <w:pPr>
        <w:widowControl/>
        <w:snapToGrid w:val="0"/>
        <w:spacing w:line="360" w:lineRule="auto"/>
        <w:ind w:left="210" w:leftChars="100" w:firstLine="315"/>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（6）未按合同约定及时支付预付款、进度款；</w:t>
      </w:r>
    </w:p>
    <w:p w14:paraId="279F4D5E">
      <w:pPr>
        <w:widowControl/>
        <w:snapToGrid w:val="0"/>
        <w:spacing w:line="360" w:lineRule="auto"/>
        <w:ind w:left="210" w:leftChars="100" w:firstLine="315"/>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 xml:space="preserve">（7）因发包人原因不能按照监理人发出的开工通知中载明的开工日期开工； </w:t>
      </w:r>
    </w:p>
    <w:p w14:paraId="697530F5">
      <w:pPr>
        <w:widowControl/>
        <w:snapToGrid w:val="0"/>
        <w:spacing w:line="360" w:lineRule="auto"/>
        <w:ind w:left="210" w:leftChars="100" w:firstLine="315"/>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（8）发包人造成工期延误的其他原因见合同条款专用部分。</w:t>
      </w:r>
    </w:p>
    <w:p w14:paraId="3E2CF26F">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926" w:name="_Toc4728"/>
      <w:bookmarkStart w:id="927" w:name="_Toc10892"/>
      <w:bookmarkStart w:id="928" w:name="_Toc8648"/>
      <w:r>
        <w:rPr>
          <w:rFonts w:hint="eastAsia" w:ascii="宋体" w:hAnsi="宋体" w:cs="宋体"/>
          <w:b w:val="0"/>
          <w:bCs w:val="0"/>
          <w:color w:val="auto"/>
          <w:sz w:val="21"/>
          <w:szCs w:val="21"/>
          <w:highlight w:val="none"/>
          <w:shd w:val="clear" w:color="auto" w:fill="FFFFFF"/>
        </w:rPr>
        <w:t>11.4  异常恶劣的气候条件</w:t>
      </w:r>
      <w:bookmarkEnd w:id="926"/>
      <w:bookmarkEnd w:id="927"/>
      <w:bookmarkEnd w:id="928"/>
    </w:p>
    <w:p w14:paraId="55D6E872">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由于出现异常恶劣气候的条件导致工期延误的，承包人有权要求发包人延长工期。异常恶劣的气候条件的范围和标准见合同条款专用部分。</w:t>
      </w:r>
    </w:p>
    <w:p w14:paraId="2D624354">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929" w:name="_Toc6067"/>
      <w:bookmarkStart w:id="930" w:name="_Toc18444"/>
      <w:bookmarkStart w:id="931" w:name="_Toc18169"/>
      <w:r>
        <w:rPr>
          <w:rFonts w:hint="eastAsia" w:ascii="宋体" w:hAnsi="宋体" w:cs="宋体"/>
          <w:b w:val="0"/>
          <w:bCs w:val="0"/>
          <w:color w:val="auto"/>
          <w:sz w:val="21"/>
          <w:szCs w:val="21"/>
          <w:highlight w:val="none"/>
          <w:shd w:val="clear" w:color="auto" w:fill="FFFFFF"/>
        </w:rPr>
        <w:t>11.5  承包人的工期延误</w:t>
      </w:r>
      <w:bookmarkEnd w:id="929"/>
      <w:bookmarkEnd w:id="930"/>
      <w:bookmarkEnd w:id="931"/>
    </w:p>
    <w:p w14:paraId="6CCCB8D8">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11.5.1  由于承包人原因，未能按合同进度计划完成工作，或监理人认为承包人施工进度不能满足合同工期要求的，承包人应采取措施加快进度，并承担加快进度所增加的费用。</w:t>
      </w:r>
    </w:p>
    <w:p w14:paraId="52B17887">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11.5.2  由于承包人原因造成不能按期竣工的，按照合同约定的竣工日期（包括按合同工期延长）后7天内，监理人应当按第23.4.1项的约定书面通知承包人,说明发包人有权得到逾期竣工违约金，逾期竣工违约金计算标准和计算方法见合同条款专用部分。但最终逾期竣工违约金的金额不应超过合同约定的逾期竣工违约金最高限额。逾期竣工违约金最高限额见合同条款专用部分。</w:t>
      </w:r>
    </w:p>
    <w:p w14:paraId="4A472EEA">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监理人未在规定的期限内发出本款约定的书面通知的，发包人丧失主张逾期竣工违约金的权利。</w:t>
      </w:r>
    </w:p>
    <w:p w14:paraId="47E020A4">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11.5.3  承包人支付逾期竣工违约金，不免除承包人完成工程及修补缺陷的义务。</w:t>
      </w:r>
    </w:p>
    <w:p w14:paraId="12455135">
      <w:pPr>
        <w:spacing w:before="118" w:line="221" w:lineRule="auto"/>
        <w:ind w:left="38"/>
        <w:outlineLvl w:val="1"/>
        <w:rPr>
          <w:rFonts w:hint="eastAsia" w:ascii="宋体" w:hAnsi="宋体" w:eastAsia="宋体" w:cs="宋体"/>
          <w:color w:val="auto"/>
          <w:kern w:val="0"/>
          <w:sz w:val="21"/>
          <w:szCs w:val="21"/>
          <w:highlight w:val="none"/>
          <w:u w:val="single"/>
          <w:shd w:val="clear" w:color="auto" w:fill="FFFFFF"/>
        </w:rPr>
      </w:pPr>
      <w:bookmarkStart w:id="932" w:name="_Toc30376"/>
      <w:bookmarkStart w:id="933" w:name="_Toc5538"/>
      <w:bookmarkStart w:id="934" w:name="_Toc17318"/>
      <w:r>
        <w:rPr>
          <w:rFonts w:hint="eastAsia" w:ascii="宋体" w:hAnsi="宋体" w:eastAsia="宋体" w:cs="宋体"/>
          <w:color w:val="auto"/>
          <w:spacing w:val="0"/>
          <w:kern w:val="0"/>
          <w:sz w:val="21"/>
          <w:szCs w:val="21"/>
          <w:highlight w:val="none"/>
          <w:u w:val="single"/>
          <w:shd w:val="clear" w:color="auto" w:fill="FFFFFF"/>
        </w:rPr>
        <w:t>11.6  合同双方原因导致的工期延误</w:t>
      </w:r>
    </w:p>
    <w:p w14:paraId="6A958B5B">
      <w:pPr>
        <w:spacing w:before="294" w:line="378" w:lineRule="auto"/>
        <w:ind w:left="19" w:firstLine="419"/>
        <w:jc w:val="both"/>
        <w:rPr>
          <w:rFonts w:ascii="黑体" w:hAnsi="黑体" w:eastAsia="黑体" w:cs="黑体"/>
          <w:sz w:val="20"/>
          <w:szCs w:val="20"/>
        </w:rPr>
      </w:pPr>
      <w:r>
        <w:rPr>
          <w:rFonts w:hint="eastAsia" w:ascii="宋体" w:hAnsi="宋体" w:eastAsia="宋体" w:cs="宋体"/>
          <w:color w:val="auto"/>
          <w:spacing w:val="0"/>
          <w:kern w:val="0"/>
          <w:sz w:val="21"/>
          <w:szCs w:val="21"/>
          <w:highlight w:val="none"/>
          <w:shd w:val="clear" w:color="auto" w:fill="FFFFFF"/>
        </w:rPr>
        <w:t>在履行合同过程中，由于合同双方的原因造成承包人关键线路工期延误或窝工降效的， 承包人可根据实际影响情况并按照合同约定期限提出工期顺延和（或）费用损失申请，发包</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人应当在合同约定的期限内及时处理，并按过错责任分担工期和（或）费用损失；责任划分</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不清的，以主导原因为主承担工期和（或）费用损失。需要修订合同进度计划的，按照第</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10.2 款的约定办理。合同双方导致工期延误的原因见合同条款专用部分。</w:t>
      </w:r>
    </w:p>
    <w:p w14:paraId="6E8AD0A4">
      <w:pPr>
        <w:spacing w:before="118" w:line="221" w:lineRule="auto"/>
        <w:ind w:left="38"/>
        <w:outlineLvl w:val="1"/>
        <w:rPr>
          <w:rFonts w:hint="eastAsia" w:ascii="宋体" w:hAnsi="宋体" w:eastAsia="宋体" w:cs="宋体"/>
          <w:color w:val="auto"/>
          <w:kern w:val="0"/>
          <w:sz w:val="21"/>
          <w:szCs w:val="21"/>
          <w:highlight w:val="none"/>
          <w:u w:val="single"/>
          <w:shd w:val="clear" w:color="auto" w:fill="FFFFFF"/>
        </w:rPr>
      </w:pPr>
      <w:bookmarkStart w:id="935" w:name="bookmark183"/>
      <w:bookmarkEnd w:id="935"/>
      <w:r>
        <w:rPr>
          <w:rFonts w:hint="eastAsia" w:ascii="宋体" w:hAnsi="宋体" w:eastAsia="宋体" w:cs="宋体"/>
          <w:color w:val="auto"/>
          <w:spacing w:val="0"/>
          <w:kern w:val="0"/>
          <w:sz w:val="21"/>
          <w:szCs w:val="21"/>
          <w:highlight w:val="none"/>
          <w:u w:val="single"/>
          <w:shd w:val="clear" w:color="auto" w:fill="FFFFFF"/>
        </w:rPr>
        <w:t>11.7  非合同双方原因导致的工期延误</w:t>
      </w:r>
    </w:p>
    <w:p w14:paraId="7C3CCF12">
      <w:pPr>
        <w:spacing w:before="294" w:line="378" w:lineRule="auto"/>
        <w:ind w:left="19" w:firstLine="419"/>
        <w:jc w:val="both"/>
        <w:rPr>
          <w:rFonts w:ascii="黑体" w:hAnsi="黑体" w:eastAsia="黑体" w:cs="黑体"/>
          <w:sz w:val="20"/>
          <w:szCs w:val="20"/>
        </w:rPr>
      </w:pPr>
      <w:r>
        <w:rPr>
          <w:rFonts w:hint="eastAsia" w:ascii="宋体" w:hAnsi="宋体" w:eastAsia="宋体" w:cs="宋体"/>
          <w:color w:val="auto"/>
          <w:spacing w:val="0"/>
          <w:kern w:val="0"/>
          <w:sz w:val="21"/>
          <w:szCs w:val="21"/>
          <w:highlight w:val="none"/>
          <w:shd w:val="clear" w:color="auto" w:fill="FFFFFF"/>
        </w:rPr>
        <w:t>在履行合同过程中， 由于非合同双方的原因造成承包人关键线路工期延误或窝工降效</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的，承包人可根据实际影响情况并按照合同约定期限提出工期顺延和（或）费用损失申请， 发包人应当在合同约定的期限内及时处理，给予顺延工期，合同双方应根据公平原则分担费 用损失。需要修订合同进度计划的，按照第 10.2 款的约定办理。非合同双方导致工期延误</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的原因见合同条款专用部分。</w:t>
      </w:r>
    </w:p>
    <w:p w14:paraId="78D3527B">
      <w:pPr>
        <w:spacing w:before="118" w:line="221" w:lineRule="auto"/>
        <w:ind w:left="38"/>
        <w:outlineLvl w:val="1"/>
        <w:rPr>
          <w:rFonts w:hint="eastAsia" w:ascii="宋体" w:hAnsi="宋体" w:eastAsia="宋体" w:cs="宋体"/>
          <w:color w:val="auto"/>
          <w:kern w:val="0"/>
          <w:sz w:val="21"/>
          <w:szCs w:val="21"/>
          <w:highlight w:val="none"/>
          <w:u w:val="single"/>
          <w:shd w:val="clear" w:color="auto" w:fill="FFFFFF"/>
        </w:rPr>
      </w:pPr>
      <w:bookmarkStart w:id="936" w:name="bookmark184"/>
      <w:bookmarkEnd w:id="936"/>
      <w:r>
        <w:rPr>
          <w:rFonts w:hint="eastAsia" w:ascii="宋体" w:hAnsi="宋体" w:eastAsia="宋体" w:cs="宋体"/>
          <w:color w:val="auto"/>
          <w:spacing w:val="0"/>
          <w:kern w:val="0"/>
          <w:sz w:val="21"/>
          <w:szCs w:val="21"/>
          <w:highlight w:val="none"/>
          <w:u w:val="single"/>
          <w:shd w:val="clear" w:color="auto" w:fill="FFFFFF"/>
        </w:rPr>
        <w:t>11.8  工期提前</w:t>
      </w:r>
    </w:p>
    <w:p w14:paraId="3529A7D8">
      <w:pPr>
        <w:widowControl/>
        <w:snapToGrid/>
        <w:spacing w:before="294" w:line="378" w:lineRule="auto"/>
        <w:ind w:left="19" w:leftChars="0" w:firstLine="419"/>
        <w:jc w:val="both"/>
        <w:rPr>
          <w:rFonts w:ascii="宋体" w:hAnsi="宋体" w:cs="宋体"/>
          <w:color w:val="auto"/>
          <w:kern w:val="0"/>
          <w:szCs w:val="21"/>
          <w:highlight w:val="none"/>
          <w:shd w:val="clear" w:color="auto" w:fill="FFFFFF"/>
        </w:rPr>
      </w:pPr>
      <w:r>
        <w:rPr>
          <w:rFonts w:hint="eastAsia" w:ascii="宋体" w:hAnsi="宋体" w:eastAsia="宋体" w:cs="宋体"/>
          <w:color w:val="auto"/>
          <w:spacing w:val="0"/>
          <w:kern w:val="0"/>
          <w:sz w:val="21"/>
          <w:szCs w:val="21"/>
          <w:highlight w:val="none"/>
          <w:shd w:val="clear" w:color="auto" w:fill="FFFFFF"/>
        </w:rPr>
        <w:t>发包人要求承包人提前竣工，或承包人提出提前竣工的建议能够给发包人带来效益的， 应由监理人与承包人共同协商采取加快工程进度的措施和修订合同进度计划。发包人应承担</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承包人由此增加的费用，并向承包人支付相应的奖金。提前竣工的奖励办法见合同条款专用</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部分。</w:t>
      </w:r>
      <w:bookmarkEnd w:id="932"/>
      <w:bookmarkEnd w:id="933"/>
      <w:bookmarkEnd w:id="934"/>
    </w:p>
    <w:p w14:paraId="3306F5CC">
      <w:pPr>
        <w:pStyle w:val="3"/>
        <w:keepNext w:val="0"/>
        <w:keepLines w:val="0"/>
        <w:widowControl/>
        <w:snapToGrid w:val="0"/>
        <w:spacing w:before="0" w:after="0" w:line="360" w:lineRule="auto"/>
        <w:ind w:left="210" w:leftChars="100"/>
        <w:jc w:val="left"/>
        <w:rPr>
          <w:rFonts w:ascii="宋体" w:hAnsi="宋体"/>
          <w:b w:val="0"/>
          <w:bCs w:val="0"/>
          <w:color w:val="auto"/>
          <w:sz w:val="21"/>
          <w:szCs w:val="21"/>
          <w:highlight w:val="none"/>
          <w:shd w:val="clear" w:color="auto" w:fill="FFFFFF"/>
        </w:rPr>
      </w:pPr>
      <w:bookmarkStart w:id="937" w:name="_Toc30997"/>
      <w:bookmarkStart w:id="938" w:name="_Toc6045"/>
      <w:bookmarkStart w:id="939" w:name="_Toc15797"/>
      <w:r>
        <w:rPr>
          <w:rFonts w:hint="eastAsia" w:ascii="宋体" w:hAnsi="宋体"/>
          <w:b w:val="0"/>
          <w:bCs w:val="0"/>
          <w:color w:val="auto"/>
          <w:sz w:val="21"/>
          <w:szCs w:val="21"/>
          <w:highlight w:val="none"/>
          <w:shd w:val="clear" w:color="auto" w:fill="FFFFFF"/>
        </w:rPr>
        <w:t>12.暂停施工</w:t>
      </w:r>
      <w:bookmarkEnd w:id="937"/>
      <w:bookmarkEnd w:id="938"/>
      <w:bookmarkEnd w:id="939"/>
    </w:p>
    <w:p w14:paraId="135F95F4">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940" w:name="_Toc28777"/>
      <w:bookmarkStart w:id="941" w:name="_Toc30523"/>
      <w:bookmarkStart w:id="942" w:name="_Toc17881"/>
      <w:r>
        <w:rPr>
          <w:rFonts w:hint="eastAsia" w:ascii="宋体" w:hAnsi="宋体" w:cs="宋体"/>
          <w:b w:val="0"/>
          <w:bCs w:val="0"/>
          <w:color w:val="auto"/>
          <w:sz w:val="21"/>
          <w:szCs w:val="21"/>
          <w:highlight w:val="none"/>
          <w:shd w:val="clear" w:color="auto" w:fill="FFFFFF"/>
        </w:rPr>
        <w:t>12.1  承包人暂停施工的责任</w:t>
      </w:r>
      <w:bookmarkEnd w:id="940"/>
      <w:bookmarkEnd w:id="941"/>
      <w:bookmarkEnd w:id="942"/>
    </w:p>
    <w:p w14:paraId="0047E668">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因下列情形暂停施工增加的费用和（或）工期延误由承包人承担：</w:t>
      </w:r>
    </w:p>
    <w:p w14:paraId="5571C372">
      <w:pPr>
        <w:widowControl/>
        <w:snapToGrid w:val="0"/>
        <w:spacing w:line="360" w:lineRule="auto"/>
        <w:ind w:left="210" w:leftChars="100" w:firstLine="315"/>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（1）承包人违约引起的暂停施工；</w:t>
      </w:r>
    </w:p>
    <w:p w14:paraId="434E438F">
      <w:pPr>
        <w:widowControl/>
        <w:snapToGrid w:val="0"/>
        <w:spacing w:line="360" w:lineRule="auto"/>
        <w:ind w:left="210" w:leftChars="100" w:firstLine="315"/>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（2）由于承包人原因为工程合理施工和安全保障所必需的暂停施工；</w:t>
      </w:r>
    </w:p>
    <w:p w14:paraId="01A3D17C">
      <w:pPr>
        <w:widowControl/>
        <w:snapToGrid w:val="0"/>
        <w:spacing w:line="360" w:lineRule="auto"/>
        <w:ind w:left="210" w:leftChars="100" w:firstLine="315"/>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（3）承包人擅自暂停施工；</w:t>
      </w:r>
    </w:p>
    <w:p w14:paraId="7BC4BA5D">
      <w:pPr>
        <w:widowControl/>
        <w:snapToGrid w:val="0"/>
        <w:spacing w:line="360" w:lineRule="auto"/>
        <w:ind w:left="210" w:leftChars="100" w:firstLine="315"/>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（4）承包人承担暂停施工责任的其他情形见合同条款专用部分。</w:t>
      </w:r>
    </w:p>
    <w:p w14:paraId="39A6D3C5">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943" w:name="_Toc11512"/>
      <w:bookmarkStart w:id="944" w:name="_Toc2570"/>
      <w:bookmarkStart w:id="945" w:name="_Toc12118"/>
      <w:r>
        <w:rPr>
          <w:rFonts w:hint="eastAsia" w:ascii="宋体" w:hAnsi="宋体" w:cs="宋体"/>
          <w:b w:val="0"/>
          <w:bCs w:val="0"/>
          <w:color w:val="auto"/>
          <w:sz w:val="21"/>
          <w:szCs w:val="21"/>
          <w:highlight w:val="none"/>
          <w:shd w:val="clear" w:color="auto" w:fill="FFFFFF"/>
        </w:rPr>
        <w:t>12.2  发包人暂停施工的责任</w:t>
      </w:r>
      <w:bookmarkEnd w:id="943"/>
      <w:bookmarkEnd w:id="944"/>
      <w:bookmarkEnd w:id="945"/>
    </w:p>
    <w:p w14:paraId="286893C6">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由于发包人原因引起的暂停施工造成工期延误的，承包人有权要求发包人延长工期和（或）增加费用，并支付合理利润。</w:t>
      </w:r>
    </w:p>
    <w:p w14:paraId="522ACA65">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946" w:name="_Toc14563"/>
      <w:bookmarkStart w:id="947" w:name="_Toc26357"/>
      <w:bookmarkStart w:id="948" w:name="_Toc2324"/>
      <w:r>
        <w:rPr>
          <w:rFonts w:hint="eastAsia" w:ascii="宋体" w:hAnsi="宋体" w:cs="宋体"/>
          <w:b w:val="0"/>
          <w:bCs w:val="0"/>
          <w:color w:val="auto"/>
          <w:sz w:val="21"/>
          <w:szCs w:val="21"/>
          <w:highlight w:val="none"/>
          <w:shd w:val="clear" w:color="auto" w:fill="FFFFFF"/>
        </w:rPr>
        <w:t>12.3  监理人暂停施工指示</w:t>
      </w:r>
      <w:bookmarkEnd w:id="946"/>
      <w:bookmarkEnd w:id="947"/>
      <w:bookmarkEnd w:id="948"/>
    </w:p>
    <w:p w14:paraId="37632A83">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12.3.1  监理人认为有必要时，可向承包人作出暂停施工的指示，承包人应按监理人指示暂停施工。不论由于何种原因引起的暂停施工，暂停施工期间承包人应负责妥善保护工程并提供安全保障。</w:t>
      </w:r>
    </w:p>
    <w:p w14:paraId="70955C70">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69E5D5D4">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949" w:name="_Toc29857"/>
      <w:bookmarkStart w:id="950" w:name="_Toc19724"/>
      <w:bookmarkStart w:id="951" w:name="_Toc13943"/>
      <w:r>
        <w:rPr>
          <w:rFonts w:hint="eastAsia" w:ascii="宋体" w:hAnsi="宋体" w:cs="宋体"/>
          <w:b w:val="0"/>
          <w:bCs w:val="0"/>
          <w:color w:val="auto"/>
          <w:sz w:val="21"/>
          <w:szCs w:val="21"/>
          <w:highlight w:val="none"/>
          <w:shd w:val="clear" w:color="auto" w:fill="FFFFFF"/>
        </w:rPr>
        <w:t>12.4  暂停施工后的复工</w:t>
      </w:r>
      <w:bookmarkEnd w:id="949"/>
      <w:bookmarkEnd w:id="950"/>
      <w:bookmarkEnd w:id="951"/>
    </w:p>
    <w:p w14:paraId="5C703BD2">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14:paraId="0816B956">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12.4.2  承包人无故拖延和拒绝复工的，由此增加的费用和工期延误由承包人承担；因发包人原因无法按时复工的，承包人有权要求发包人延长工期和（或）增加费用，并支付合理利润。</w:t>
      </w:r>
    </w:p>
    <w:p w14:paraId="07298478">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12.4.3  根据第12.4.1款的约定，监理人发出复工通知后，监理人应和承包人一起对受到暂停施工影响的工程、材料进行检查。承包人负责修复在暂停施工期间发生在工程、材料上的任何损蚀、缺陷或损失，修复费用由承担暂停施工责任的责任人承担。</w:t>
      </w:r>
    </w:p>
    <w:p w14:paraId="51714F16">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12.4.4  暂停施工持续56天以上，按合同约定由承包人提供的材料，由于暂停施工原因导致承包人在暂停施工前已经订购但被暂停运至施工现场的，发包人应按照承包人订购合同的约定支付相应的订购款项。</w:t>
      </w:r>
    </w:p>
    <w:p w14:paraId="55F30367">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952" w:name="_Toc12997"/>
      <w:bookmarkStart w:id="953" w:name="_Toc22444"/>
      <w:bookmarkStart w:id="954" w:name="_Toc1688"/>
      <w:r>
        <w:rPr>
          <w:rFonts w:hint="eastAsia" w:ascii="宋体" w:hAnsi="宋体" w:cs="宋体"/>
          <w:b w:val="0"/>
          <w:bCs w:val="0"/>
          <w:color w:val="auto"/>
          <w:sz w:val="21"/>
          <w:szCs w:val="21"/>
          <w:highlight w:val="none"/>
          <w:shd w:val="clear" w:color="auto" w:fill="FFFFFF"/>
        </w:rPr>
        <w:t>12.5  暂停施工持续56天以上</w:t>
      </w:r>
      <w:bookmarkEnd w:id="952"/>
      <w:bookmarkEnd w:id="953"/>
      <w:bookmarkEnd w:id="954"/>
    </w:p>
    <w:p w14:paraId="2549D0CD">
      <w:pPr>
        <w:widowControl/>
        <w:snapToGrid w:val="0"/>
        <w:spacing w:line="360" w:lineRule="auto"/>
        <w:ind w:left="210" w:leftChars="100" w:firstLine="412"/>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规定办理。</w:t>
      </w:r>
    </w:p>
    <w:p w14:paraId="073D1637">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12.5.2  由于承包人责任引起的暂停施工，如承包人在收到监理人暂停施工指示后56天内不认真采取有效的复工措施，造成工期延误，可视为承包人违约，应按第22.1款的规定办理。</w:t>
      </w:r>
    </w:p>
    <w:p w14:paraId="03B6E843">
      <w:pPr>
        <w:pStyle w:val="3"/>
        <w:keepNext w:val="0"/>
        <w:keepLines w:val="0"/>
        <w:widowControl/>
        <w:snapToGrid w:val="0"/>
        <w:spacing w:before="0" w:after="0" w:line="360" w:lineRule="auto"/>
        <w:ind w:left="210" w:leftChars="100"/>
        <w:jc w:val="left"/>
        <w:rPr>
          <w:rFonts w:ascii="宋体" w:hAnsi="宋体"/>
          <w:b w:val="0"/>
          <w:bCs w:val="0"/>
          <w:color w:val="auto"/>
          <w:sz w:val="21"/>
          <w:szCs w:val="21"/>
          <w:highlight w:val="none"/>
          <w:shd w:val="clear" w:color="auto" w:fill="FFFFFF"/>
        </w:rPr>
      </w:pPr>
      <w:bookmarkStart w:id="955" w:name="_Toc10445"/>
      <w:bookmarkStart w:id="956" w:name="_Toc30212"/>
      <w:bookmarkStart w:id="957" w:name="_Toc32048"/>
      <w:r>
        <w:rPr>
          <w:rFonts w:hint="eastAsia" w:ascii="宋体" w:hAnsi="宋体"/>
          <w:b w:val="0"/>
          <w:bCs w:val="0"/>
          <w:color w:val="auto"/>
          <w:sz w:val="21"/>
          <w:szCs w:val="21"/>
          <w:highlight w:val="none"/>
          <w:shd w:val="clear" w:color="auto" w:fill="FFFFFF"/>
        </w:rPr>
        <w:t>13.工程质量</w:t>
      </w:r>
      <w:bookmarkEnd w:id="955"/>
      <w:bookmarkEnd w:id="956"/>
      <w:bookmarkEnd w:id="957"/>
    </w:p>
    <w:p w14:paraId="5A65A4C6">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958" w:name="_Toc9294"/>
      <w:bookmarkStart w:id="959" w:name="_Toc30736"/>
      <w:bookmarkStart w:id="960" w:name="_Toc17559"/>
      <w:r>
        <w:rPr>
          <w:rFonts w:hint="eastAsia" w:ascii="宋体" w:hAnsi="宋体" w:cs="宋体"/>
          <w:b w:val="0"/>
          <w:bCs w:val="0"/>
          <w:color w:val="auto"/>
          <w:sz w:val="21"/>
          <w:szCs w:val="21"/>
          <w:highlight w:val="none"/>
          <w:shd w:val="clear" w:color="auto" w:fill="FFFFFF"/>
        </w:rPr>
        <w:t>13.1  工程质量要求</w:t>
      </w:r>
      <w:bookmarkEnd w:id="958"/>
      <w:bookmarkEnd w:id="959"/>
      <w:bookmarkEnd w:id="960"/>
    </w:p>
    <w:p w14:paraId="1A9FE9B4">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13.1.1  工程质量验收按合同约定验收标准执行。</w:t>
      </w:r>
    </w:p>
    <w:p w14:paraId="0D212FA0">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13.1.2  因承包人原因造成工程质量达不到合同约定验收标准的，监理人有权要求承包人返工直至符合合同要求为止，由此造成的费用增加和（或）工期延误由承包人承担。</w:t>
      </w:r>
    </w:p>
    <w:p w14:paraId="76DA6EB5">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13.1.3  因发包人原因造成工程质量达不到合同约定验收标准的，发包人应承担由于承包人返工造成的费用增加和（或）工期延误，并支付承包人合理利润。</w:t>
      </w:r>
    </w:p>
    <w:p w14:paraId="50535257">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961" w:name="_Toc28177"/>
      <w:bookmarkStart w:id="962" w:name="_Toc11758"/>
      <w:bookmarkStart w:id="963" w:name="_Toc28183"/>
      <w:r>
        <w:rPr>
          <w:rFonts w:hint="eastAsia" w:ascii="宋体" w:hAnsi="宋体" w:cs="宋体"/>
          <w:b w:val="0"/>
          <w:bCs w:val="0"/>
          <w:color w:val="auto"/>
          <w:sz w:val="21"/>
          <w:szCs w:val="21"/>
          <w:highlight w:val="none"/>
          <w:shd w:val="clear" w:color="auto" w:fill="FFFFFF"/>
        </w:rPr>
        <w:t>13.2  承包人的质量管理</w:t>
      </w:r>
      <w:bookmarkEnd w:id="961"/>
      <w:bookmarkEnd w:id="962"/>
      <w:bookmarkEnd w:id="963"/>
    </w:p>
    <w:p w14:paraId="51325207">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13.2.1  承包人应在施工场地设置专门的质量检查机构，配备专职质量检查人员，建立完善的质量检查制度。承包人应在合同条款专用部分约定的期限内，提交工程质量保证措施文件，包括质量检查机构的组织和岗位责任、质检人员的组成、质量检查程序和实施细则等，报送监理人审批。监理人应在合同条款专用部分约定的期限内完成审批。</w:t>
      </w:r>
    </w:p>
    <w:p w14:paraId="11E24D2A">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13.2.2  承包人应加强对施工人员的质量教育和技术培训，定期考核施工人员的劳动技能，严格执行规范和操作规程。</w:t>
      </w:r>
    </w:p>
    <w:p w14:paraId="0CBA770F">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964" w:name="_Toc31526"/>
      <w:bookmarkStart w:id="965" w:name="_Toc25970"/>
      <w:bookmarkStart w:id="966" w:name="_Toc19799"/>
      <w:r>
        <w:rPr>
          <w:rFonts w:hint="eastAsia" w:ascii="宋体" w:hAnsi="宋体" w:cs="宋体"/>
          <w:b w:val="0"/>
          <w:bCs w:val="0"/>
          <w:color w:val="auto"/>
          <w:sz w:val="21"/>
          <w:szCs w:val="21"/>
          <w:highlight w:val="none"/>
          <w:shd w:val="clear" w:color="auto" w:fill="FFFFFF"/>
        </w:rPr>
        <w:t>13.3  承包人的质量检查</w:t>
      </w:r>
      <w:bookmarkEnd w:id="964"/>
      <w:bookmarkEnd w:id="965"/>
      <w:bookmarkEnd w:id="966"/>
    </w:p>
    <w:p w14:paraId="39BB7752">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承包人应按合同条款专用部分的约定对材料以及工程的所有部位及其施工工艺进行全过程的质量检查和检验，并作详细记录，编制工程质量报表，报送监理人审查。监理人应在合同条款专用部分约定的期限内完成审查。</w:t>
      </w:r>
    </w:p>
    <w:p w14:paraId="4C47A5AE">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967" w:name="_Toc22511"/>
      <w:bookmarkStart w:id="968" w:name="_Toc32060"/>
      <w:bookmarkStart w:id="969" w:name="_Toc16245"/>
      <w:r>
        <w:rPr>
          <w:rFonts w:hint="eastAsia" w:ascii="宋体" w:hAnsi="宋体" w:cs="宋体"/>
          <w:b w:val="0"/>
          <w:bCs w:val="0"/>
          <w:color w:val="auto"/>
          <w:sz w:val="21"/>
          <w:szCs w:val="21"/>
          <w:highlight w:val="none"/>
          <w:shd w:val="clear" w:color="auto" w:fill="FFFFFF"/>
        </w:rPr>
        <w:t>13.4  监理人的质量检查</w:t>
      </w:r>
      <w:bookmarkEnd w:id="967"/>
      <w:bookmarkEnd w:id="968"/>
      <w:bookmarkEnd w:id="969"/>
    </w:p>
    <w:p w14:paraId="53EE7E7A">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监理人有权对工程的所有部位及其施工工艺、材料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监理人可以进行察看和查阅施工原始记录的其他地方见合同条款专用部分。</w:t>
      </w:r>
    </w:p>
    <w:p w14:paraId="0E9328C2">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970" w:name="_Toc18901"/>
      <w:bookmarkStart w:id="971" w:name="_Toc11324"/>
      <w:bookmarkStart w:id="972" w:name="_Toc31331"/>
      <w:r>
        <w:rPr>
          <w:rFonts w:hint="eastAsia" w:ascii="宋体" w:hAnsi="宋体" w:cs="宋体"/>
          <w:b w:val="0"/>
          <w:bCs w:val="0"/>
          <w:color w:val="auto"/>
          <w:sz w:val="21"/>
          <w:szCs w:val="21"/>
          <w:highlight w:val="none"/>
          <w:shd w:val="clear" w:color="auto" w:fill="FFFFFF"/>
        </w:rPr>
        <w:t>13.5  工程隐蔽部位覆盖前的检查</w:t>
      </w:r>
      <w:bookmarkEnd w:id="970"/>
      <w:bookmarkEnd w:id="971"/>
      <w:bookmarkEnd w:id="972"/>
    </w:p>
    <w:p w14:paraId="41AAE76D">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13.5.1  通知监理人检查</w:t>
      </w:r>
    </w:p>
    <w:p w14:paraId="2360639A">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经承包人自检确认的工程隐蔽部位具备覆盖条件后，承包人应通知监理人在合同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监理人对工程隐蔽部位进行检查的期限见合同条款专用部分。</w:t>
      </w:r>
    </w:p>
    <w:p w14:paraId="0FF1855C">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13.5.2  监理人未到场检查</w:t>
      </w:r>
    </w:p>
    <w:p w14:paraId="212C7F85">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监理人未按第13.5.1项约定的时间进行检查的，除监理人另有指示外，承包人可自行完成覆盖工作，并作相应记录报送监理人，监理人应签字确认。监理人事后对检查记录有疑问的，可按第13.5.3项的约定重新检查。</w:t>
      </w:r>
    </w:p>
    <w:p w14:paraId="4F475AC3">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13.5.3  监理人重新检查</w:t>
      </w:r>
    </w:p>
    <w:p w14:paraId="79D8034F">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2DCF4B58">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13.5.4  承包人私自覆盖</w:t>
      </w:r>
    </w:p>
    <w:p w14:paraId="58349F14">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承包人未通知监理人到场检查，私自将工程隐蔽部位覆盖的，监理人有权指示承包人钻孔探测或揭开检查，由此增加的费用和（或）工期延误由承包人承担。</w:t>
      </w:r>
    </w:p>
    <w:p w14:paraId="3FED84BE">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973" w:name="_Toc13416"/>
      <w:bookmarkStart w:id="974" w:name="_Toc27076"/>
      <w:bookmarkStart w:id="975" w:name="_Toc23401"/>
      <w:r>
        <w:rPr>
          <w:rFonts w:hint="eastAsia" w:ascii="宋体" w:hAnsi="宋体" w:cs="宋体"/>
          <w:b w:val="0"/>
          <w:bCs w:val="0"/>
          <w:color w:val="auto"/>
          <w:sz w:val="21"/>
          <w:szCs w:val="21"/>
          <w:highlight w:val="none"/>
          <w:shd w:val="clear" w:color="auto" w:fill="FFFFFF"/>
        </w:rPr>
        <w:t>13.6  清除不合格工程</w:t>
      </w:r>
      <w:bookmarkEnd w:id="973"/>
      <w:bookmarkEnd w:id="974"/>
      <w:bookmarkEnd w:id="975"/>
    </w:p>
    <w:p w14:paraId="1254E327">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13.6.1  承包人使用不合格材料，或采用不适当的施工工艺，或施工不当，造成工程不合格的，监理人可以随时发出指示，要求承包人立即采取措施进行补救，直至达到合同要求的质量标准，由此增加的费用和（或）工期延误由承包人承担。</w:t>
      </w:r>
    </w:p>
    <w:p w14:paraId="306A2AC1">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13.6.2  由于发包人提供的材料不合格造成的工程不合格，需要承包人采取措施补救的，发包人应承担由此增加的费用和（或）工期延误，并支付承包人合理利润。</w:t>
      </w:r>
    </w:p>
    <w:p w14:paraId="59F93FEF">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976" w:name="_Toc32211"/>
      <w:bookmarkStart w:id="977" w:name="_Toc13533"/>
      <w:bookmarkStart w:id="978" w:name="_Toc12482"/>
      <w:r>
        <w:rPr>
          <w:rFonts w:hint="eastAsia" w:ascii="宋体" w:hAnsi="宋体" w:cs="宋体"/>
          <w:b w:val="0"/>
          <w:bCs w:val="0"/>
          <w:color w:val="auto"/>
          <w:sz w:val="21"/>
          <w:szCs w:val="21"/>
          <w:highlight w:val="none"/>
          <w:shd w:val="clear" w:color="auto" w:fill="FFFFFF"/>
        </w:rPr>
        <w:t>13.7  质量争议</w:t>
      </w:r>
      <w:bookmarkEnd w:id="976"/>
      <w:bookmarkEnd w:id="977"/>
      <w:bookmarkEnd w:id="978"/>
    </w:p>
    <w:p w14:paraId="0C9DECEE">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发包人和承包人对工程质量有争议的，除可按第24条办理外，监理人可提请合同双方委托有相应资质的工程质量检测机构进行鉴定，所需费用及因此造成的损失，由责任人承担，双方均有责任，由双方根据其责任分别承担。经检测，质量确有缺陷的，已竣工验收或已竣工未验收但实际投入使用的工程，其处理按工程保修书的约定执行；已竣工未验收且未实际投入使用的工程以及停工、停建的工程，根据检测结果确定解决方案，或按工程质量监督机构的处理决定执行。</w:t>
      </w:r>
    </w:p>
    <w:p w14:paraId="7955C077">
      <w:pPr>
        <w:pStyle w:val="3"/>
        <w:keepNext w:val="0"/>
        <w:keepLines w:val="0"/>
        <w:widowControl/>
        <w:snapToGrid w:val="0"/>
        <w:spacing w:before="0" w:after="0" w:line="360" w:lineRule="auto"/>
        <w:ind w:left="210" w:leftChars="100"/>
        <w:jc w:val="left"/>
        <w:rPr>
          <w:rFonts w:ascii="宋体" w:hAnsi="宋体"/>
          <w:b w:val="0"/>
          <w:bCs w:val="0"/>
          <w:color w:val="auto"/>
          <w:sz w:val="21"/>
          <w:szCs w:val="21"/>
          <w:highlight w:val="none"/>
          <w:shd w:val="clear" w:color="auto" w:fill="FFFFFF"/>
        </w:rPr>
      </w:pPr>
      <w:bookmarkStart w:id="979" w:name="_Toc6949"/>
      <w:bookmarkStart w:id="980" w:name="_Toc10214"/>
      <w:bookmarkStart w:id="981" w:name="_Toc487"/>
      <w:r>
        <w:rPr>
          <w:rFonts w:hint="eastAsia" w:ascii="宋体" w:hAnsi="宋体"/>
          <w:b w:val="0"/>
          <w:bCs w:val="0"/>
          <w:color w:val="auto"/>
          <w:sz w:val="21"/>
          <w:szCs w:val="21"/>
          <w:highlight w:val="none"/>
          <w:shd w:val="clear" w:color="auto" w:fill="FFFFFF"/>
        </w:rPr>
        <w:t>14.试验和检验</w:t>
      </w:r>
      <w:bookmarkEnd w:id="979"/>
      <w:bookmarkEnd w:id="980"/>
      <w:bookmarkEnd w:id="981"/>
    </w:p>
    <w:p w14:paraId="3BAE6DE4">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982" w:name="_Toc3223"/>
      <w:bookmarkStart w:id="983" w:name="_Toc21084"/>
      <w:bookmarkStart w:id="984" w:name="_Toc6086"/>
      <w:r>
        <w:rPr>
          <w:rFonts w:hint="eastAsia" w:ascii="宋体" w:hAnsi="宋体" w:cs="宋体"/>
          <w:b w:val="0"/>
          <w:bCs w:val="0"/>
          <w:color w:val="auto"/>
          <w:sz w:val="21"/>
          <w:szCs w:val="21"/>
          <w:highlight w:val="none"/>
          <w:shd w:val="clear" w:color="auto" w:fill="FFFFFF"/>
        </w:rPr>
        <w:t>14.1  材料和工程的试验和检验</w:t>
      </w:r>
      <w:bookmarkEnd w:id="982"/>
      <w:bookmarkEnd w:id="983"/>
      <w:bookmarkEnd w:id="984"/>
    </w:p>
    <w:p w14:paraId="132C72B2">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14.1.1  承包人应按合同约定进行材料和工程的试验和检验，并为监理人对上述材料和工程的质量检查提供必要的试验资料和原始记录。按合同约定应由监理人与承包人共同进行试验和检验的，由承包人负责提供必要的试验资料和原始记录。</w:t>
      </w:r>
    </w:p>
    <w:p w14:paraId="648CF56D">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14.1.2  监理人未按合同约定派员参加试验和检验的，除监理人另有指示外，承包人可自行试验和检验，并应立即将试验和检验结果报送监理人，监理人应签字确认。</w:t>
      </w:r>
    </w:p>
    <w:p w14:paraId="1476A642">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14.1.3  监理人对承包人的试验和检验结果有疑问的，或为查清承包人试验和检验成果的可靠性要求承包人重新试验和检验的，可按合同约定由监理人与承包人共同进行。重新试验和检验的结果证明该项材料或工程的质量不符合合同要求的，由此增加的费用和（或）工期延误由承包人承担；重新试验和检验结果证明该项材料和工程符合合同要求，由发包人承担由此增加的费用和（或）工期延误，并支付承包人合理利润。</w:t>
      </w:r>
    </w:p>
    <w:p w14:paraId="0FC034E4">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985" w:name="_Toc23837"/>
      <w:bookmarkStart w:id="986" w:name="_Toc8226"/>
      <w:bookmarkStart w:id="987" w:name="_Toc1691"/>
      <w:r>
        <w:rPr>
          <w:rFonts w:hint="eastAsia" w:ascii="宋体" w:hAnsi="宋体" w:cs="宋体"/>
          <w:b w:val="0"/>
          <w:bCs w:val="0"/>
          <w:color w:val="auto"/>
          <w:sz w:val="21"/>
          <w:szCs w:val="21"/>
          <w:highlight w:val="none"/>
          <w:shd w:val="clear" w:color="auto" w:fill="FFFFFF"/>
        </w:rPr>
        <w:t>14.2  现场材料试验</w:t>
      </w:r>
      <w:bookmarkEnd w:id="985"/>
      <w:bookmarkEnd w:id="986"/>
      <w:bookmarkEnd w:id="987"/>
    </w:p>
    <w:p w14:paraId="5A3A9543">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14.2.1  承包人根据合同约定或监理人指示进行的现场材料试验，应由承包人提供试验场所、试验人员、试验设备器材以及其他必要的试验条件。</w:t>
      </w:r>
    </w:p>
    <w:p w14:paraId="5377D1F1">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14.2.2  监理人在必要时可以使用承包人的试验场所、试验设备器材以及其他试验条件，进行以工程质量检查为目的的复核性材料试验，承包人应予以协助。</w:t>
      </w:r>
    </w:p>
    <w:p w14:paraId="3BE90504">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988" w:name="_Toc6394"/>
      <w:bookmarkStart w:id="989" w:name="_Toc9797"/>
      <w:bookmarkStart w:id="990" w:name="_Toc1516"/>
      <w:r>
        <w:rPr>
          <w:rFonts w:hint="eastAsia" w:ascii="宋体" w:hAnsi="宋体" w:cs="宋体"/>
          <w:b w:val="0"/>
          <w:bCs w:val="0"/>
          <w:color w:val="auto"/>
          <w:sz w:val="21"/>
          <w:szCs w:val="21"/>
          <w:highlight w:val="none"/>
          <w:shd w:val="clear" w:color="auto" w:fill="FFFFFF"/>
        </w:rPr>
        <w:t>14.3  现场工艺试验</w:t>
      </w:r>
      <w:bookmarkEnd w:id="988"/>
      <w:bookmarkEnd w:id="989"/>
      <w:bookmarkEnd w:id="990"/>
    </w:p>
    <w:p w14:paraId="27280E54">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承包人应按合同约定或监理人指示进行现场工艺试验。对大型的现场工艺试验，监理人认为必要时，应由承包人根据监理人提出的工艺试验要求，编制工艺试验措施计划，报送监理人审批。</w:t>
      </w:r>
    </w:p>
    <w:p w14:paraId="41BBBBB8">
      <w:pPr>
        <w:pStyle w:val="3"/>
        <w:keepNext w:val="0"/>
        <w:keepLines w:val="0"/>
        <w:widowControl/>
        <w:snapToGrid w:val="0"/>
        <w:spacing w:before="0" w:after="0" w:line="360" w:lineRule="auto"/>
        <w:ind w:left="210" w:leftChars="100"/>
        <w:jc w:val="left"/>
        <w:rPr>
          <w:rFonts w:ascii="宋体" w:hAnsi="宋体"/>
          <w:b w:val="0"/>
          <w:bCs w:val="0"/>
          <w:color w:val="auto"/>
          <w:sz w:val="21"/>
          <w:szCs w:val="21"/>
          <w:highlight w:val="none"/>
          <w:shd w:val="clear" w:color="auto" w:fill="FFFFFF"/>
        </w:rPr>
      </w:pPr>
      <w:bookmarkStart w:id="991" w:name="_Toc8072"/>
      <w:bookmarkStart w:id="992" w:name="_Toc10343"/>
      <w:bookmarkStart w:id="993" w:name="_Toc3350"/>
      <w:r>
        <w:rPr>
          <w:rFonts w:hint="eastAsia" w:ascii="宋体" w:hAnsi="宋体"/>
          <w:b w:val="0"/>
          <w:bCs w:val="0"/>
          <w:color w:val="auto"/>
          <w:sz w:val="21"/>
          <w:szCs w:val="21"/>
          <w:highlight w:val="none"/>
          <w:shd w:val="clear" w:color="auto" w:fill="FFFFFF"/>
        </w:rPr>
        <w:t>15.变更</w:t>
      </w:r>
      <w:bookmarkEnd w:id="991"/>
      <w:bookmarkEnd w:id="992"/>
      <w:bookmarkEnd w:id="993"/>
    </w:p>
    <w:p w14:paraId="6318BE66">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994" w:name="_Toc19918"/>
      <w:bookmarkStart w:id="995" w:name="_Toc22044"/>
      <w:bookmarkStart w:id="996" w:name="_Toc31624"/>
      <w:r>
        <w:rPr>
          <w:rFonts w:hint="eastAsia" w:ascii="宋体" w:hAnsi="宋体" w:cs="宋体"/>
          <w:b w:val="0"/>
          <w:bCs w:val="0"/>
          <w:color w:val="auto"/>
          <w:sz w:val="21"/>
          <w:szCs w:val="21"/>
          <w:highlight w:val="none"/>
          <w:shd w:val="clear" w:color="auto" w:fill="FFFFFF"/>
        </w:rPr>
        <w:t>15.1  变更的范围和内容</w:t>
      </w:r>
      <w:bookmarkEnd w:id="994"/>
      <w:bookmarkEnd w:id="995"/>
      <w:bookmarkEnd w:id="996"/>
    </w:p>
    <w:p w14:paraId="1756F56E">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15.1.1  在履行合同中发生以下情形之一，应按照本条规定进行变更。</w:t>
      </w:r>
    </w:p>
    <w:p w14:paraId="36B7226C">
      <w:pPr>
        <w:widowControl/>
        <w:snapToGrid w:val="0"/>
        <w:spacing w:line="360" w:lineRule="auto"/>
        <w:ind w:left="210" w:leftChars="100" w:firstLine="315"/>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（1）取消合同中任何一项工作，但被取消的工作不能转由发包人或其他人实施；</w:t>
      </w:r>
    </w:p>
    <w:p w14:paraId="2A0A6239">
      <w:pPr>
        <w:widowControl/>
        <w:snapToGrid w:val="0"/>
        <w:spacing w:line="360" w:lineRule="auto"/>
        <w:ind w:left="210" w:leftChars="100" w:firstLine="315"/>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（2）改变合同中任何一项工作的质量或其他特性；</w:t>
      </w:r>
    </w:p>
    <w:p w14:paraId="4B9C3264">
      <w:pPr>
        <w:widowControl/>
        <w:snapToGrid w:val="0"/>
        <w:spacing w:line="360" w:lineRule="auto"/>
        <w:ind w:left="210" w:leftChars="100" w:firstLine="315"/>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（3）改变合同工程的基线、标高、位置或尺寸；</w:t>
      </w:r>
    </w:p>
    <w:p w14:paraId="03EFF8A8">
      <w:pPr>
        <w:widowControl/>
        <w:snapToGrid w:val="0"/>
        <w:spacing w:line="360" w:lineRule="auto"/>
        <w:ind w:left="210" w:leftChars="100" w:firstLine="315"/>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（4）改变合同中任何一项工作的施工时间或改变已批准的施工工艺或顺序；</w:t>
      </w:r>
    </w:p>
    <w:p w14:paraId="3F4420C1">
      <w:pPr>
        <w:widowControl/>
        <w:snapToGrid w:val="0"/>
        <w:spacing w:line="360" w:lineRule="auto"/>
        <w:ind w:left="210" w:leftChars="100" w:firstLine="315"/>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（5）为完成工程需要追加的额外工作；</w:t>
      </w:r>
    </w:p>
    <w:p w14:paraId="02548DFF">
      <w:pPr>
        <w:widowControl/>
        <w:snapToGrid w:val="0"/>
        <w:spacing w:line="360" w:lineRule="auto"/>
        <w:ind w:left="210" w:leftChars="100" w:firstLine="315"/>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（6）变更的其他情形见合同条款专用部分。</w:t>
      </w:r>
    </w:p>
    <w:p w14:paraId="27852550">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15.1.2  发包人违背第15.1（1）目的约定，将被取消的合同中的工作转由发包人或其他人实施的，承包人可向监理人发出通知，要求发包人采取有效措施纠正违约行为，发包人在监理人收到承包人通知后28天内仍不纠正违约行为的，应当赔偿承包人损失（包括合理的利润）并承担由此引起的其他责任。承包人应当按第23.1（1）项的约定，在上述28天期限到期后的28天内，向监理人递交索赔意向通知书,并按第23.1（2）项的约定，及时向监理人递交正式索赔通知书，说明有权得到的损失赔偿金额并附必要的记录和证明材料。发包人支付给承包人的损失赔偿金额应当包括被取消工作的合同价值中所包含的承包人管理费、利润</w:t>
      </w:r>
      <w:r>
        <w:rPr>
          <w:rFonts w:hint="eastAsia" w:ascii="宋体" w:hAnsi="宋体" w:eastAsia="宋体" w:cs="宋体"/>
          <w:color w:val="auto"/>
          <w:spacing w:val="0"/>
          <w:kern w:val="0"/>
          <w:sz w:val="21"/>
          <w:szCs w:val="21"/>
          <w:highlight w:val="none"/>
          <w:shd w:val="clear" w:color="auto" w:fill="FFFFFF"/>
        </w:rPr>
        <w:t>以及相应的增值税</w:t>
      </w:r>
      <w:r>
        <w:rPr>
          <w:rFonts w:hint="eastAsia" w:ascii="宋体" w:hAnsi="宋体" w:cs="宋体"/>
          <w:color w:val="auto"/>
          <w:kern w:val="0"/>
          <w:szCs w:val="21"/>
          <w:highlight w:val="none"/>
          <w:shd w:val="clear" w:color="auto" w:fill="FFFFFF"/>
        </w:rPr>
        <w:t>。</w:t>
      </w:r>
    </w:p>
    <w:p w14:paraId="6904886C">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997" w:name="_Toc10650"/>
      <w:bookmarkStart w:id="998" w:name="_Toc6163"/>
      <w:bookmarkStart w:id="999" w:name="_Toc24036"/>
      <w:r>
        <w:rPr>
          <w:rFonts w:hint="eastAsia" w:ascii="宋体" w:hAnsi="宋体" w:cs="宋体"/>
          <w:b w:val="0"/>
          <w:bCs w:val="0"/>
          <w:color w:val="auto"/>
          <w:sz w:val="21"/>
          <w:szCs w:val="21"/>
          <w:highlight w:val="none"/>
          <w:shd w:val="clear" w:color="auto" w:fill="FFFFFF"/>
        </w:rPr>
        <w:t>15.2  变更权</w:t>
      </w:r>
      <w:bookmarkEnd w:id="997"/>
      <w:bookmarkEnd w:id="998"/>
      <w:bookmarkEnd w:id="999"/>
    </w:p>
    <w:p w14:paraId="253F8925">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在履行合同过程中，经发包人同意，监理人可按第15.3款约定的变更程序向承包人作出变更指示，承包人应遵照执行。没有监理人的变更指示，承包人不得擅自变更。</w:t>
      </w:r>
    </w:p>
    <w:p w14:paraId="04D51E67">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1000" w:name="_Toc1955"/>
      <w:bookmarkStart w:id="1001" w:name="_Toc9472"/>
      <w:bookmarkStart w:id="1002" w:name="_Toc25016"/>
      <w:r>
        <w:rPr>
          <w:rFonts w:hint="eastAsia" w:ascii="宋体" w:hAnsi="宋体" w:cs="宋体"/>
          <w:b w:val="0"/>
          <w:bCs w:val="0"/>
          <w:color w:val="auto"/>
          <w:sz w:val="21"/>
          <w:szCs w:val="21"/>
          <w:highlight w:val="none"/>
          <w:shd w:val="clear" w:color="auto" w:fill="FFFFFF"/>
        </w:rPr>
        <w:t>15.3  变更程序</w:t>
      </w:r>
      <w:bookmarkEnd w:id="1000"/>
      <w:bookmarkEnd w:id="1001"/>
      <w:bookmarkEnd w:id="1002"/>
    </w:p>
    <w:p w14:paraId="797B8406">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15.3.1  变更的提出</w:t>
      </w:r>
    </w:p>
    <w:p w14:paraId="214B7BCE">
      <w:pPr>
        <w:widowControl/>
        <w:snapToGrid w:val="0"/>
        <w:spacing w:line="360" w:lineRule="auto"/>
        <w:ind w:left="210" w:leftChars="100" w:firstLine="315"/>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 xml:space="preserve">（1）在合同履行过程中，可能发生第15.1.1项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 </w:t>
      </w:r>
    </w:p>
    <w:p w14:paraId="09D34B59">
      <w:pPr>
        <w:widowControl/>
        <w:snapToGrid w:val="0"/>
        <w:spacing w:line="360" w:lineRule="auto"/>
        <w:ind w:left="210" w:leftChars="100" w:firstLine="315"/>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（2）在合同履行过程中，发生第15.1.1项约定情形的，监理人应按照第15.3.3项约定向承包人发出变更指示。</w:t>
      </w:r>
    </w:p>
    <w:p w14:paraId="6407D852">
      <w:pPr>
        <w:widowControl/>
        <w:snapToGrid w:val="0"/>
        <w:spacing w:line="360" w:lineRule="auto"/>
        <w:ind w:left="210" w:leftChars="100" w:firstLine="315"/>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3）承包人收到监理人按合同约定发出的图纸和文件，经检查认为其中存在第15.1.1项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14:paraId="4B7F0948">
      <w:pPr>
        <w:widowControl/>
        <w:snapToGrid w:val="0"/>
        <w:spacing w:line="360" w:lineRule="auto"/>
        <w:ind w:left="210" w:leftChars="100" w:firstLine="315"/>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（4）若承包人收到监理人的变更意向书后认为难以实施此项变更，应立即通知监理人，说明原因并附详细依据。监理人与承包人和发包人协商后确定撤销、改变或不改变原变更意向书。</w:t>
      </w:r>
    </w:p>
    <w:p w14:paraId="553C0F42">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15.3.2  变更估价</w:t>
      </w:r>
    </w:p>
    <w:p w14:paraId="1CEA2A8B">
      <w:pPr>
        <w:widowControl/>
        <w:snapToGrid w:val="0"/>
        <w:spacing w:line="360" w:lineRule="auto"/>
        <w:ind w:left="210" w:leftChars="100" w:firstLine="315"/>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除合同条款专用部分对期限另有约定外，承包人应在收到变更指示或变更意向书后的14天内，向监理人提交变更报价书，报价内容应根据第15.4款约定的估价原则，详细开列变更工作的价格组成及其依据，并附必要的施工方法说明和有关图纸。承包人提交变更报价书的期限见合同条款专用部分。</w:t>
      </w:r>
    </w:p>
    <w:p w14:paraId="44FCACE9">
      <w:pPr>
        <w:widowControl/>
        <w:snapToGrid w:val="0"/>
        <w:spacing w:line="360" w:lineRule="auto"/>
        <w:ind w:left="210" w:leftChars="100" w:firstLine="315"/>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（2）变更工作影响工期的，承包人应提出调整工期的具体细节。监理人认为有必要时，可要求承包人提交要求提前或延长工期的施工进度计划，及相应施工措施等详细资料。</w:t>
      </w:r>
    </w:p>
    <w:p w14:paraId="548FBBA9">
      <w:pPr>
        <w:widowControl/>
        <w:snapToGrid w:val="0"/>
        <w:spacing w:line="360" w:lineRule="auto"/>
        <w:ind w:left="210" w:leftChars="100" w:firstLine="315"/>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（3）除合同条款专用部分对期限另有约定外，监理人收到承包人变更报价书后的14天内，根据第15.4款约定的估价原则，按照第3.5款商定或确定变更价格。监理人商定或确定变更价格的期限见合同条款专用部分。</w:t>
      </w:r>
    </w:p>
    <w:p w14:paraId="63834F04">
      <w:pPr>
        <w:widowControl/>
        <w:snapToGrid w:val="0"/>
        <w:spacing w:line="360" w:lineRule="auto"/>
        <w:ind w:left="210" w:leftChars="100" w:firstLine="315"/>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（4）收到变更指示后，如承包人未在规定的期限内提交变更报价书的，监理人可自行决定是否调整合同价款以及如果监理人决定调整合同价款时，相应调整的具体金额。</w:t>
      </w:r>
    </w:p>
    <w:p w14:paraId="74E81087">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15.3.3  变更指示</w:t>
      </w:r>
    </w:p>
    <w:p w14:paraId="268AD780">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（1）变更指示只能由监理人发出。</w:t>
      </w:r>
    </w:p>
    <w:p w14:paraId="4C189CA8">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（2）变更指示应说明变更的目的、范围、变更内容以及变更的工程量及其进度和技术要求，并附有关图纸和文件。承包人收到变更指示后，应按变更指示进行变更工作。</w:t>
      </w:r>
    </w:p>
    <w:p w14:paraId="431E3B72">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1003" w:name="_Toc23336"/>
      <w:bookmarkStart w:id="1004" w:name="_Toc18431"/>
      <w:bookmarkStart w:id="1005" w:name="_Toc26990"/>
      <w:r>
        <w:rPr>
          <w:rFonts w:hint="eastAsia" w:ascii="宋体" w:hAnsi="宋体" w:cs="宋体"/>
          <w:b w:val="0"/>
          <w:bCs w:val="0"/>
          <w:color w:val="auto"/>
          <w:sz w:val="21"/>
          <w:szCs w:val="21"/>
          <w:highlight w:val="none"/>
          <w:shd w:val="clear" w:color="auto" w:fill="FFFFFF"/>
        </w:rPr>
        <w:t>15.4  变更的估价原则</w:t>
      </w:r>
      <w:bookmarkEnd w:id="1003"/>
      <w:bookmarkEnd w:id="1004"/>
      <w:bookmarkEnd w:id="1005"/>
    </w:p>
    <w:p w14:paraId="68CD3EA2">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因工程量清单漏项（仅适用于合同协议书约定采用单价合同形式时）或变更引起的价格调整按照本款约定处理。</w:t>
      </w:r>
    </w:p>
    <w:p w14:paraId="11E0017D">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15.4.1  已标价工程量清单中有适用于变更工作的子目的，采用该子目的单价。</w:t>
      </w:r>
    </w:p>
    <w:p w14:paraId="4B6BD2D6">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15.4.2  已标价工程量清单中无适用于变更工作的子目，但有类似子目的，可在合理范围内参照类似子目的单价，由监理人按第3.5款商定或确定变更工作的单价。</w:t>
      </w:r>
    </w:p>
    <w:p w14:paraId="07CAE484">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15.4.3  已标价工程量清单中无适用或类似子目的单价，可按照成本加利润的原则，由监理人按第3.5款商定或确定变更工作的单价。</w:t>
      </w:r>
    </w:p>
    <w:p w14:paraId="5903956C">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15.4.4  因工程量清单漏项（仅适用于合同协议书约定采用单价合同形式时）或变更引起措施项目发生变化，原措施项目费中已有的措施项目，采用原措施项目费的组价方法变更；原措施项目费中没有的措施项目，由承包人根据措施项目变更情况，提出适当的措施项目费变更，由监理人按第3.5款商定或确定变更措施项目的费用。</w:t>
      </w:r>
    </w:p>
    <w:p w14:paraId="6AF2AD51">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15.4.5  合同协议书约定采用单价合同形式时，因非承包人原因引起已标价工程量清单中列明的工程量发生增减，超过合同约定范围且导致分部分项工程费总额变化超过一定幅度时，可以调整单价，否则不因已标价工程量清单中列明工程量的增减而调整单价。其调整的原则见合同条款专用部分。</w:t>
      </w:r>
    </w:p>
    <w:p w14:paraId="6462FD7F">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15.4.6  因变更引起价格调整的其他处理方式见合同条款专用部分。</w:t>
      </w:r>
    </w:p>
    <w:p w14:paraId="3F7D9B92">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1006" w:name="_Toc27998"/>
      <w:bookmarkStart w:id="1007" w:name="_Toc15491"/>
      <w:bookmarkStart w:id="1008" w:name="_Toc4"/>
      <w:r>
        <w:rPr>
          <w:rFonts w:hint="eastAsia" w:ascii="宋体" w:hAnsi="宋体" w:cs="宋体"/>
          <w:b w:val="0"/>
          <w:bCs w:val="0"/>
          <w:color w:val="auto"/>
          <w:sz w:val="21"/>
          <w:szCs w:val="21"/>
          <w:highlight w:val="none"/>
          <w:shd w:val="clear" w:color="auto" w:fill="FFFFFF"/>
        </w:rPr>
        <w:t>15.5  承包人的合理化建议</w:t>
      </w:r>
      <w:bookmarkEnd w:id="1006"/>
      <w:bookmarkEnd w:id="1007"/>
      <w:bookmarkEnd w:id="1008"/>
    </w:p>
    <w:p w14:paraId="69B6BA77">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14:paraId="67F79C95">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15.5.2  承包人提出的合理化建议降低了合同价格、缩短了工期或者提高了工程经济效益的，发包人可按国家有关规定给予奖励。对承包人提出合理化建议的奖励方法见合同条款专用部分。</w:t>
      </w:r>
    </w:p>
    <w:p w14:paraId="0D3D315A">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1009" w:name="_Toc20257"/>
      <w:bookmarkStart w:id="1010" w:name="_Toc23071"/>
      <w:bookmarkStart w:id="1011" w:name="_Toc14668"/>
      <w:r>
        <w:rPr>
          <w:rFonts w:hint="eastAsia" w:ascii="宋体" w:hAnsi="宋体" w:cs="宋体"/>
          <w:b w:val="0"/>
          <w:bCs w:val="0"/>
          <w:color w:val="auto"/>
          <w:sz w:val="21"/>
          <w:szCs w:val="21"/>
          <w:highlight w:val="none"/>
          <w:shd w:val="clear" w:color="auto" w:fill="FFFFFF"/>
        </w:rPr>
        <w:t>15.6  暂列金额</w:t>
      </w:r>
      <w:bookmarkEnd w:id="1009"/>
      <w:bookmarkEnd w:id="1010"/>
      <w:bookmarkEnd w:id="1011"/>
    </w:p>
    <w:p w14:paraId="540B7E7B">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暂列金额只能按照监理人的指示使用，并对合同价格进行相应调整。</w:t>
      </w:r>
    </w:p>
    <w:p w14:paraId="61C0A7D9">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1012" w:name="_Toc17287"/>
      <w:bookmarkStart w:id="1013" w:name="_Toc31790"/>
      <w:bookmarkStart w:id="1014" w:name="_Toc32101"/>
      <w:r>
        <w:rPr>
          <w:rFonts w:hint="eastAsia" w:ascii="宋体" w:hAnsi="宋体" w:cs="宋体"/>
          <w:b w:val="0"/>
          <w:bCs w:val="0"/>
          <w:color w:val="auto"/>
          <w:sz w:val="21"/>
          <w:szCs w:val="21"/>
          <w:highlight w:val="none"/>
          <w:shd w:val="clear" w:color="auto" w:fill="FFFFFF"/>
        </w:rPr>
        <w:t>15.7  计日工</w:t>
      </w:r>
      <w:bookmarkEnd w:id="1012"/>
      <w:bookmarkEnd w:id="1013"/>
      <w:bookmarkEnd w:id="1014"/>
    </w:p>
    <w:p w14:paraId="27B38D03">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15.7.1  发包人认为有必要时，由监理人通知承包人以计日工方式实施变更的零星工作。其价款按列入已标价工程量清单中的计日工计价子目及其单价进行计算。</w:t>
      </w:r>
    </w:p>
    <w:p w14:paraId="1DF0B537">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15.7.2  采用计日工计价的任何一项变更工作，应从暂列金额中支付，承包人应在该项变更的实施过程中，每天提交以下报表和有关凭证报送监理人审批：</w:t>
      </w:r>
    </w:p>
    <w:p w14:paraId="15C7100F">
      <w:pPr>
        <w:widowControl/>
        <w:snapToGrid w:val="0"/>
        <w:spacing w:line="360" w:lineRule="auto"/>
        <w:ind w:left="210" w:leftChars="100" w:firstLine="315"/>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（1）工作名称、内容和数量；</w:t>
      </w:r>
    </w:p>
    <w:p w14:paraId="79FBA291">
      <w:pPr>
        <w:widowControl/>
        <w:snapToGrid w:val="0"/>
        <w:spacing w:line="360" w:lineRule="auto"/>
        <w:ind w:left="210" w:leftChars="100" w:firstLine="315"/>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（2）投入该工作所有人员的姓名、工种、级别和耗用工时；</w:t>
      </w:r>
    </w:p>
    <w:p w14:paraId="7E9DCF61">
      <w:pPr>
        <w:widowControl/>
        <w:snapToGrid w:val="0"/>
        <w:spacing w:line="360" w:lineRule="auto"/>
        <w:ind w:left="210" w:leftChars="100" w:firstLine="315"/>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（3）投入该工作的材料类别和数量；</w:t>
      </w:r>
    </w:p>
    <w:p w14:paraId="46995453">
      <w:pPr>
        <w:widowControl/>
        <w:snapToGrid w:val="0"/>
        <w:spacing w:line="360" w:lineRule="auto"/>
        <w:ind w:left="210" w:leftChars="100" w:firstLine="315"/>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（4）投入该工作的施工设备型号、台数和耗用台时；</w:t>
      </w:r>
    </w:p>
    <w:p w14:paraId="2BCE8D2A">
      <w:pPr>
        <w:widowControl/>
        <w:snapToGrid w:val="0"/>
        <w:spacing w:line="360" w:lineRule="auto"/>
        <w:ind w:left="210" w:leftChars="100" w:firstLine="315"/>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（5）监理人要求提交的其他资料和凭证。</w:t>
      </w:r>
    </w:p>
    <w:p w14:paraId="77DE6757">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15.7.3  计日工由承包人汇总后，按第17.3.2项的约定列入进度付款申请单，由监理人复核并经发包人同意后列入进度付款。</w:t>
      </w:r>
    </w:p>
    <w:p w14:paraId="00FB2BB0">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1015" w:name="_Toc23646"/>
      <w:bookmarkStart w:id="1016" w:name="_Toc9611"/>
      <w:bookmarkStart w:id="1017" w:name="_Toc15118"/>
      <w:r>
        <w:rPr>
          <w:rFonts w:hint="eastAsia" w:ascii="宋体" w:hAnsi="宋体" w:cs="宋体"/>
          <w:b w:val="0"/>
          <w:bCs w:val="0"/>
          <w:color w:val="auto"/>
          <w:sz w:val="21"/>
          <w:szCs w:val="21"/>
          <w:highlight w:val="none"/>
          <w:shd w:val="clear" w:color="auto" w:fill="FFFFFF"/>
        </w:rPr>
        <w:t>15.8  暂估价</w:t>
      </w:r>
      <w:bookmarkEnd w:id="1015"/>
      <w:bookmarkEnd w:id="1016"/>
      <w:bookmarkEnd w:id="1017"/>
    </w:p>
    <w:p w14:paraId="63FC4BEE">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 xml:space="preserve">15.8.1  发包人在工程量清单中给定暂估价的材料及专业工程属于依法必须招标的范围并达到规定的规模标准的，由发包人和承包人采用招标方式选择专项供应商或专业分包人。发包人和承包人的权利义务关系约定如下： </w:t>
      </w:r>
    </w:p>
    <w:p w14:paraId="1A130E79">
      <w:pPr>
        <w:widowControl/>
        <w:snapToGrid w:val="0"/>
        <w:spacing w:line="360" w:lineRule="auto"/>
        <w:ind w:left="210" w:leftChars="100" w:firstLine="315"/>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（1）由承包人作为招标人，依法组织招标工作并接受有管辖权的建设工程招标投标行政监督部门的监督。</w:t>
      </w:r>
    </w:p>
    <w:p w14:paraId="7070009F">
      <w:pPr>
        <w:widowControl/>
        <w:snapToGrid w:val="0"/>
        <w:spacing w:line="360" w:lineRule="auto"/>
        <w:ind w:left="210" w:leftChars="100" w:firstLine="315"/>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（2）与组织招标工作有关的费用应当被认为已经包括在承包人的签约合同价（投标总报价）中。</w:t>
      </w:r>
    </w:p>
    <w:p w14:paraId="3C2844DE">
      <w:pPr>
        <w:widowControl/>
        <w:snapToGrid w:val="0"/>
        <w:spacing w:line="360" w:lineRule="auto"/>
        <w:ind w:left="210" w:leftChars="100" w:firstLine="315"/>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（3）中标金额与工程量清单中所列的暂估价的金额差以及相应的税金等其他费用列入合同价格。</w:t>
      </w:r>
    </w:p>
    <w:p w14:paraId="678AB344">
      <w:pPr>
        <w:widowControl/>
        <w:snapToGrid w:val="0"/>
        <w:spacing w:line="360" w:lineRule="auto"/>
        <w:ind w:left="210" w:leftChars="100" w:firstLine="315"/>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4）在任何招标工作启动前，承包人应当按照合同条款专用部分约定期限编制招标工作计划并通过监理人报请发包人审批，招标工作计划应当包括招标工作的时间安排、拟采用的招标方式、拟采用的资格审查方法、主要招标过程文件的编制内容、对投标人的资格条件要求、评标标准和方法、评标委员会组成、是否编制招标</w:t>
      </w:r>
      <w:r>
        <w:rPr>
          <w:rFonts w:hint="eastAsia" w:ascii="宋体" w:hAnsi="宋体" w:cs="宋体"/>
          <w:color w:val="auto"/>
          <w:kern w:val="0"/>
          <w:szCs w:val="21"/>
          <w:highlight w:val="none"/>
          <w:shd w:val="clear" w:color="auto" w:fill="FFFFFF"/>
          <w:lang w:eastAsia="zh-CN"/>
        </w:rPr>
        <w:t>最高投标限价</w:t>
      </w:r>
      <w:r>
        <w:rPr>
          <w:rFonts w:hint="eastAsia" w:ascii="宋体" w:hAnsi="宋体" w:cs="宋体"/>
          <w:color w:val="auto"/>
          <w:kern w:val="0"/>
          <w:szCs w:val="21"/>
          <w:highlight w:val="none"/>
          <w:shd w:val="clear" w:color="auto" w:fill="FFFFFF"/>
        </w:rPr>
        <w:t>和（或）标底以及招标</w:t>
      </w:r>
      <w:r>
        <w:rPr>
          <w:rFonts w:hint="eastAsia" w:ascii="宋体" w:hAnsi="宋体" w:cs="宋体"/>
          <w:color w:val="auto"/>
          <w:kern w:val="0"/>
          <w:szCs w:val="21"/>
          <w:highlight w:val="none"/>
          <w:shd w:val="clear" w:color="auto" w:fill="FFFFFF"/>
          <w:lang w:eastAsia="zh-CN"/>
        </w:rPr>
        <w:t>最高投标限价</w:t>
      </w:r>
      <w:r>
        <w:rPr>
          <w:rFonts w:hint="eastAsia" w:ascii="宋体" w:hAnsi="宋体" w:cs="宋体"/>
          <w:color w:val="auto"/>
          <w:kern w:val="0"/>
          <w:szCs w:val="21"/>
          <w:highlight w:val="none"/>
          <w:shd w:val="clear" w:color="auto" w:fill="FFFFFF"/>
        </w:rPr>
        <w:t>和（或）标底编制原则。发包人应当在监理人收到承包人报送的招标工作计划后应当在合同条款专用部分约定期限内给予批准或者提出修改意见。承包人应当严格按照经过发包人批准的招标工作计划开展招标工作。</w:t>
      </w:r>
    </w:p>
    <w:p w14:paraId="30C46D66">
      <w:pPr>
        <w:widowControl/>
        <w:snapToGrid w:val="0"/>
        <w:spacing w:line="360" w:lineRule="auto"/>
        <w:ind w:left="210" w:leftChars="100" w:firstLine="315"/>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5）承包人应当在发出招标公告（或者资格预审公告或者投标邀请书）、资格预审文件和招标文件前按照合同条款专用部分约定期限，分别将相关文件通过监理人报请发包人审批，发包人应当在监理人收到承包人报送的相关文件后应当在合同条款专用部分约定期限内给予批准或者提出修改意见，经发包人批准的相关文件，由承包人负责誊清整理并准备出开展实际招标工作所需要的份数，通过监理人报发包人核查并加盖发包人印章，发包人在相关文件上加盖印章只表明相关文件经过发包人审核批准。最终发出的文件应当分别报送一份给发包人和监理人备查。</w:t>
      </w:r>
    </w:p>
    <w:p w14:paraId="05F76ADD">
      <w:pPr>
        <w:widowControl/>
        <w:snapToGrid w:val="0"/>
        <w:spacing w:line="360" w:lineRule="auto"/>
        <w:ind w:left="210" w:leftChars="100" w:firstLine="315"/>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（6）如果发、承包任何一方委派评标代表，评标委员会应当由七人以上单数构成。除发包人或者承包人自愿放弃委派评标代表的权利外，招标人评标代表应当分别由发包人和承包人等额委派。</w:t>
      </w:r>
    </w:p>
    <w:p w14:paraId="1C89345C">
      <w:pPr>
        <w:widowControl/>
        <w:snapToGrid w:val="0"/>
        <w:spacing w:line="360" w:lineRule="auto"/>
        <w:ind w:left="210" w:leftChars="100" w:firstLine="315"/>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7）设有标底的，承包人应当在开标前提前48小时将标底报发包人审核认可，发包人应当在收到承包人报送的标底后24小时内给予批准或者提出修改意见。承包人和发包人应当共同制定标底保密措施，不得提前泄露标底。标底的最终审核和决定权属于发包人。</w:t>
      </w:r>
    </w:p>
    <w:p w14:paraId="7C53AFBF">
      <w:pPr>
        <w:widowControl/>
        <w:snapToGrid w:val="0"/>
        <w:spacing w:line="360" w:lineRule="auto"/>
        <w:ind w:left="210" w:leftChars="100" w:firstLine="315"/>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（8）设有招标</w:t>
      </w:r>
      <w:r>
        <w:rPr>
          <w:rFonts w:hint="eastAsia" w:ascii="宋体" w:hAnsi="宋体" w:cs="宋体"/>
          <w:color w:val="auto"/>
          <w:kern w:val="0"/>
          <w:szCs w:val="21"/>
          <w:highlight w:val="none"/>
          <w:shd w:val="clear" w:color="auto" w:fill="FFFFFF"/>
          <w:lang w:eastAsia="zh-CN"/>
        </w:rPr>
        <w:t>最高投标限价</w:t>
      </w:r>
      <w:r>
        <w:rPr>
          <w:rFonts w:hint="eastAsia" w:ascii="宋体" w:hAnsi="宋体" w:cs="宋体"/>
          <w:color w:val="auto"/>
          <w:kern w:val="0"/>
          <w:szCs w:val="21"/>
          <w:highlight w:val="none"/>
          <w:shd w:val="clear" w:color="auto" w:fill="FFFFFF"/>
        </w:rPr>
        <w:t>的，承包人应当在招标文件发出前提前7天将招标</w:t>
      </w:r>
      <w:r>
        <w:rPr>
          <w:rFonts w:hint="eastAsia" w:ascii="宋体" w:hAnsi="宋体" w:cs="宋体"/>
          <w:color w:val="auto"/>
          <w:kern w:val="0"/>
          <w:szCs w:val="21"/>
          <w:highlight w:val="none"/>
          <w:shd w:val="clear" w:color="auto" w:fill="FFFFFF"/>
          <w:lang w:eastAsia="zh-CN"/>
        </w:rPr>
        <w:t>最高投标限价</w:t>
      </w:r>
      <w:r>
        <w:rPr>
          <w:rFonts w:hint="eastAsia" w:ascii="宋体" w:hAnsi="宋体" w:cs="宋体"/>
          <w:color w:val="auto"/>
          <w:kern w:val="0"/>
          <w:szCs w:val="21"/>
          <w:highlight w:val="none"/>
          <w:shd w:val="clear" w:color="auto" w:fill="FFFFFF"/>
        </w:rPr>
        <w:t>报发包人审核认可，发包人应当在收到承包人报送的招标</w:t>
      </w:r>
      <w:r>
        <w:rPr>
          <w:rFonts w:hint="eastAsia" w:ascii="宋体" w:hAnsi="宋体" w:cs="宋体"/>
          <w:color w:val="auto"/>
          <w:kern w:val="0"/>
          <w:szCs w:val="21"/>
          <w:highlight w:val="none"/>
          <w:shd w:val="clear" w:color="auto" w:fill="FFFFFF"/>
          <w:lang w:eastAsia="zh-CN"/>
        </w:rPr>
        <w:t>最高投标限价</w:t>
      </w:r>
      <w:r>
        <w:rPr>
          <w:rFonts w:hint="eastAsia" w:ascii="宋体" w:hAnsi="宋体" w:cs="宋体"/>
          <w:color w:val="auto"/>
          <w:kern w:val="0"/>
          <w:szCs w:val="21"/>
          <w:highlight w:val="none"/>
          <w:shd w:val="clear" w:color="auto" w:fill="FFFFFF"/>
        </w:rPr>
        <w:t>后72小时内给予认可或者提出修改意见。招标</w:t>
      </w:r>
      <w:r>
        <w:rPr>
          <w:rFonts w:hint="eastAsia" w:ascii="宋体" w:hAnsi="宋体" w:cs="宋体"/>
          <w:color w:val="auto"/>
          <w:kern w:val="0"/>
          <w:szCs w:val="21"/>
          <w:highlight w:val="none"/>
          <w:shd w:val="clear" w:color="auto" w:fill="FFFFFF"/>
          <w:lang w:eastAsia="zh-CN"/>
        </w:rPr>
        <w:t>最高投标限价</w:t>
      </w:r>
      <w:r>
        <w:rPr>
          <w:rFonts w:hint="eastAsia" w:ascii="宋体" w:hAnsi="宋体" w:cs="宋体"/>
          <w:color w:val="auto"/>
          <w:kern w:val="0"/>
          <w:szCs w:val="21"/>
          <w:highlight w:val="none"/>
          <w:shd w:val="clear" w:color="auto" w:fill="FFFFFF"/>
        </w:rPr>
        <w:t>的最终审核和决定权属于发包人，未经发包人认可，承包人不得发出招标文件。</w:t>
      </w:r>
    </w:p>
    <w:p w14:paraId="16634FCC">
      <w:pPr>
        <w:widowControl/>
        <w:snapToGrid w:val="0"/>
        <w:spacing w:line="360" w:lineRule="auto"/>
        <w:ind w:left="210" w:leftChars="100" w:firstLine="315"/>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9）承包人在收到相关招标项目评标委员会提交的评标报告后，应当在24小时内通过监理人转报发包人核查，发包人应当在监理人收到承包人报送的评标报告后48小时内核查完毕，评标报告经过发包人核查认可后，承包人才可以开始后续程序，依法确定中标人并发出中标通知书。</w:t>
      </w:r>
    </w:p>
    <w:p w14:paraId="470CF0EC">
      <w:pPr>
        <w:widowControl/>
        <w:snapToGrid w:val="0"/>
        <w:spacing w:line="360" w:lineRule="auto"/>
        <w:ind w:left="210" w:leftChars="100" w:firstLine="315"/>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10）承包人与专业分包人或者专项供应商订立合同前应当按照合同条款专用部分约定期限，将准备用于正式签订的合同文件通过监理人报发包人审核，发包人应当在监理人收到相关文件后在合同条款专用部分约定期限内给予批准或者提出修改意见，承包人应当按照发包人批准的合同文件签订相关合同，合同订立后，在合同条款专用部分约定期限内，承包人应当将其中的两份副本报送监理人，其中一份由监理人报发包人留存。</w:t>
      </w:r>
    </w:p>
    <w:p w14:paraId="4792789E">
      <w:pPr>
        <w:widowControl/>
        <w:snapToGrid w:val="0"/>
        <w:spacing w:line="360" w:lineRule="auto"/>
        <w:ind w:left="210" w:leftChars="100" w:firstLine="315"/>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（11）发包人对承包人报送文件进行审批或提出的修改意见应当合理，并符合现行有关法律法规的规定。</w:t>
      </w:r>
    </w:p>
    <w:p w14:paraId="3B3750E4">
      <w:pPr>
        <w:widowControl/>
        <w:snapToGrid w:val="0"/>
        <w:spacing w:line="360" w:lineRule="auto"/>
        <w:ind w:left="210" w:leftChars="100" w:firstLine="315"/>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12）承包人违背本项上述约定的程序或者未履行本项上述约定的报批手续的，发包人有权拒绝对相关专业工程或者涉及相关专项供应的材料的工程进行验收和拨付相应工程款项，所造成的费用增加和（或）工期延误由承包人承担。发包人未按本项上述约定履行审批手续的，所造成的费用增加和（或）工期延误由发包人承担。</w:t>
      </w:r>
    </w:p>
    <w:p w14:paraId="5E423439">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15.8.2  发包人在工程量清单中给定暂估价的材料不属于依法必须招标的范围或未达到规定的规模标准的，应由承包人按第5.1款的约定提供。经监理人确认的材料的价格与工程量清单中所列的暂估价的金额差以及相应的税金等其他费用列入合同价格。</w:t>
      </w:r>
    </w:p>
    <w:p w14:paraId="3ABBB556">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15.8.3  发包人在工程量清单中给定暂估价的专业工程不属于依法必须招标的范围或未达到规定的规模标准的，由监理人按照第15.4款进行估价，但合同条款专用部分另有约定的除外。</w:t>
      </w:r>
      <w:r>
        <w:rPr>
          <w:rFonts w:hint="eastAsia" w:ascii="宋体" w:hAnsi="宋体" w:eastAsia="宋体" w:cs="宋体"/>
          <w:color w:val="auto"/>
          <w:spacing w:val="0"/>
          <w:kern w:val="0"/>
          <w:sz w:val="21"/>
          <w:szCs w:val="21"/>
          <w:highlight w:val="none"/>
          <w:shd w:val="clear" w:color="auto" w:fill="FFFFFF"/>
        </w:rPr>
        <w:t>经估价的专业工程与工程量清单中所列的暂估价的金额差</w:t>
      </w:r>
      <w:r>
        <w:rPr>
          <w:rFonts w:hint="eastAsia" w:ascii="宋体" w:hAnsi="宋体" w:cs="宋体"/>
          <w:color w:val="auto"/>
          <w:kern w:val="0"/>
          <w:szCs w:val="21"/>
          <w:highlight w:val="none"/>
          <w:shd w:val="clear" w:color="auto" w:fill="FFFFFF"/>
        </w:rPr>
        <w:t>列入合同价格。</w:t>
      </w:r>
    </w:p>
    <w:p w14:paraId="082663AD">
      <w:pPr>
        <w:pStyle w:val="3"/>
        <w:keepNext w:val="0"/>
        <w:keepLines w:val="0"/>
        <w:widowControl/>
        <w:snapToGrid w:val="0"/>
        <w:spacing w:before="0" w:after="0" w:line="360" w:lineRule="auto"/>
        <w:ind w:left="210" w:leftChars="100"/>
        <w:jc w:val="left"/>
        <w:rPr>
          <w:rFonts w:ascii="宋体" w:hAnsi="宋体"/>
          <w:b w:val="0"/>
          <w:bCs w:val="0"/>
          <w:color w:val="auto"/>
          <w:sz w:val="21"/>
          <w:szCs w:val="21"/>
          <w:highlight w:val="none"/>
          <w:shd w:val="clear" w:color="auto" w:fill="FFFFFF"/>
        </w:rPr>
      </w:pPr>
      <w:bookmarkStart w:id="1018" w:name="_Toc14921"/>
      <w:bookmarkStart w:id="1019" w:name="_Toc10375"/>
      <w:bookmarkStart w:id="1020" w:name="_Toc5332"/>
      <w:r>
        <w:rPr>
          <w:rFonts w:hint="eastAsia" w:ascii="宋体" w:hAnsi="宋体"/>
          <w:b w:val="0"/>
          <w:bCs w:val="0"/>
          <w:color w:val="auto"/>
          <w:sz w:val="21"/>
          <w:szCs w:val="21"/>
          <w:highlight w:val="none"/>
          <w:shd w:val="clear" w:color="auto" w:fill="FFFFFF"/>
        </w:rPr>
        <w:t>16.价格调整</w:t>
      </w:r>
      <w:bookmarkEnd w:id="1018"/>
      <w:bookmarkEnd w:id="1019"/>
      <w:bookmarkEnd w:id="1020"/>
    </w:p>
    <w:p w14:paraId="6D57F62E">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1021" w:name="_Toc24544"/>
      <w:bookmarkStart w:id="1022" w:name="_Toc19265"/>
      <w:bookmarkStart w:id="1023" w:name="_Toc29502"/>
      <w:r>
        <w:rPr>
          <w:rFonts w:hint="eastAsia" w:ascii="宋体" w:hAnsi="宋体" w:cs="宋体"/>
          <w:b w:val="0"/>
          <w:bCs w:val="0"/>
          <w:color w:val="auto"/>
          <w:sz w:val="21"/>
          <w:szCs w:val="21"/>
          <w:highlight w:val="none"/>
          <w:shd w:val="clear" w:color="auto" w:fill="FFFFFF"/>
        </w:rPr>
        <w:t>16.1  物价波动引起的价格调整</w:t>
      </w:r>
      <w:bookmarkEnd w:id="1021"/>
      <w:bookmarkEnd w:id="1022"/>
      <w:bookmarkEnd w:id="1023"/>
    </w:p>
    <w:p w14:paraId="58D76C4F">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除合同条款专用部分另有约定外，因物价波动引起的价格调整按照本款约定处理。</w:t>
      </w:r>
    </w:p>
    <w:p w14:paraId="0370222B">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16.1.1  采用价格指数调整价格差额</w:t>
      </w:r>
    </w:p>
    <w:p w14:paraId="04AB0AAC">
      <w:pPr>
        <w:widowControl/>
        <w:snapToGrid w:val="0"/>
        <w:spacing w:line="360" w:lineRule="auto"/>
        <w:ind w:left="210" w:leftChars="100" w:firstLine="63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16.1.1.1  价格调整公式</w:t>
      </w:r>
    </w:p>
    <w:p w14:paraId="5F3F98C5">
      <w:pPr>
        <w:widowControl/>
        <w:snapToGrid w:val="0"/>
        <w:spacing w:line="360" w:lineRule="auto"/>
        <w:ind w:left="210" w:leftChars="100" w:firstLine="63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因人工、材料和设备等价格波动影响合同价格时，根据投标函附录中的价格指数和权重表约定的数据，按以下公式计算差额并调整合同价格。</w:t>
      </w:r>
    </w:p>
    <w:p w14:paraId="67E8A924">
      <w:pPr>
        <w:widowControl/>
        <w:snapToGrid w:val="0"/>
        <w:spacing w:line="360" w:lineRule="auto"/>
        <w:ind w:left="210" w:leftChars="100" w:right="248" w:firstLine="836"/>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drawing>
          <wp:inline distT="0" distB="0" distL="114300" distR="114300">
            <wp:extent cx="3912235" cy="516890"/>
            <wp:effectExtent l="0" t="0" r="12065" b="1651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24"/>
                    <a:stretch>
                      <a:fillRect/>
                    </a:stretch>
                  </pic:blipFill>
                  <pic:spPr>
                    <a:xfrm>
                      <a:off x="0" y="0"/>
                      <a:ext cx="3912235" cy="516890"/>
                    </a:xfrm>
                    <a:prstGeom prst="rect">
                      <a:avLst/>
                    </a:prstGeom>
                    <a:noFill/>
                    <a:ln>
                      <a:noFill/>
                    </a:ln>
                  </pic:spPr>
                </pic:pic>
              </a:graphicData>
            </a:graphic>
          </wp:inline>
        </w:drawing>
      </w:r>
    </w:p>
    <w:p w14:paraId="2CE142E8">
      <w:pPr>
        <w:widowControl/>
        <w:snapToGrid w:val="0"/>
        <w:spacing w:line="360" w:lineRule="auto"/>
        <w:ind w:left="210" w:leftChars="100" w:firstLine="420"/>
        <w:jc w:val="left"/>
        <w:rPr>
          <w:rFonts w:ascii="宋体" w:hAnsi="宋体" w:cs="Arial"/>
          <w:color w:val="auto"/>
          <w:szCs w:val="21"/>
          <w:highlight w:val="none"/>
        </w:rPr>
      </w:pPr>
    </w:p>
    <w:p w14:paraId="674E9531">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式中：△P -- 需调整的价格差额；</w:t>
      </w:r>
    </w:p>
    <w:p w14:paraId="45FC5A6F">
      <w:pPr>
        <w:widowControl/>
        <w:snapToGrid w:val="0"/>
        <w:spacing w:line="360" w:lineRule="auto"/>
        <w:ind w:left="210" w:leftChars="10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 xml:space="preserve">          P</w:t>
      </w:r>
      <w:r>
        <w:rPr>
          <w:rFonts w:ascii="宋体" w:hAnsi="宋体" w:cs="Arial"/>
          <w:color w:val="auto"/>
          <w:kern w:val="0"/>
          <w:szCs w:val="21"/>
          <w:highlight w:val="none"/>
          <w:shd w:val="clear" w:color="auto" w:fill="FFFFFF"/>
        </w:rPr>
        <w:t>0</w:t>
      </w:r>
      <w:r>
        <w:rPr>
          <w:rFonts w:hint="eastAsia" w:ascii="宋体" w:hAnsi="宋体" w:cs="宋体"/>
          <w:color w:val="auto"/>
          <w:kern w:val="0"/>
          <w:szCs w:val="21"/>
          <w:highlight w:val="none"/>
          <w:shd w:val="clear" w:color="auto" w:fill="FFFFFF"/>
        </w:rPr>
        <w:t xml:space="preserve"> -- 第</w:t>
      </w:r>
      <w:r>
        <w:rPr>
          <w:rFonts w:ascii="宋体" w:hAnsi="宋体" w:cs="Arial"/>
          <w:color w:val="auto"/>
          <w:kern w:val="0"/>
          <w:szCs w:val="21"/>
          <w:highlight w:val="none"/>
          <w:shd w:val="clear" w:color="auto" w:fill="FFFFFF"/>
        </w:rPr>
        <w:t>17.3.3</w:t>
      </w:r>
      <w:r>
        <w:rPr>
          <w:rFonts w:hint="eastAsia" w:ascii="宋体" w:hAnsi="宋体" w:cs="宋体"/>
          <w:color w:val="auto"/>
          <w:kern w:val="0"/>
          <w:szCs w:val="21"/>
          <w:highlight w:val="none"/>
          <w:shd w:val="clear" w:color="auto" w:fill="FFFFFF"/>
        </w:rPr>
        <w:t>项、第</w:t>
      </w:r>
      <w:r>
        <w:rPr>
          <w:rFonts w:ascii="宋体" w:hAnsi="宋体" w:cs="Arial"/>
          <w:color w:val="auto"/>
          <w:kern w:val="0"/>
          <w:szCs w:val="21"/>
          <w:highlight w:val="none"/>
          <w:shd w:val="clear" w:color="auto" w:fill="FFFFFF"/>
        </w:rPr>
        <w:t>17.5.2</w:t>
      </w:r>
      <w:r>
        <w:rPr>
          <w:rFonts w:hint="eastAsia" w:ascii="宋体" w:hAnsi="宋体" w:cs="宋体"/>
          <w:color w:val="auto"/>
          <w:kern w:val="0"/>
          <w:szCs w:val="21"/>
          <w:highlight w:val="none"/>
          <w:shd w:val="clear" w:color="auto" w:fill="FFFFFF"/>
        </w:rPr>
        <w:t>项和第</w:t>
      </w:r>
      <w:r>
        <w:rPr>
          <w:rFonts w:ascii="宋体" w:hAnsi="宋体" w:cs="Arial"/>
          <w:color w:val="auto"/>
          <w:kern w:val="0"/>
          <w:szCs w:val="21"/>
          <w:highlight w:val="none"/>
          <w:shd w:val="clear" w:color="auto" w:fill="FFFFFF"/>
        </w:rPr>
        <w:t>17.6.2</w:t>
      </w:r>
      <w:r>
        <w:rPr>
          <w:rFonts w:hint="eastAsia" w:ascii="宋体" w:hAnsi="宋体" w:cs="宋体"/>
          <w:color w:val="auto"/>
          <w:kern w:val="0"/>
          <w:szCs w:val="21"/>
          <w:highlight w:val="none"/>
          <w:shd w:val="clear" w:color="auto" w:fill="FFFFFF"/>
        </w:rPr>
        <w:t>项约定的付款证书中承包人应得到的已完成工程量的金额。此项金额应不包括价格调整、不计质量保证金的扣留和支付、预付款的支付和扣回。第</w:t>
      </w:r>
      <w:r>
        <w:rPr>
          <w:rFonts w:ascii="宋体" w:hAnsi="宋体" w:cs="Arial"/>
          <w:color w:val="auto"/>
          <w:kern w:val="0"/>
          <w:szCs w:val="21"/>
          <w:highlight w:val="none"/>
          <w:shd w:val="clear" w:color="auto" w:fill="FFFFFF"/>
        </w:rPr>
        <w:t>15</w:t>
      </w:r>
      <w:r>
        <w:rPr>
          <w:rFonts w:hint="eastAsia" w:ascii="宋体" w:hAnsi="宋体" w:cs="宋体"/>
          <w:color w:val="auto"/>
          <w:kern w:val="0"/>
          <w:szCs w:val="21"/>
          <w:highlight w:val="none"/>
          <w:shd w:val="clear" w:color="auto" w:fill="FFFFFF"/>
        </w:rPr>
        <w:t>条约定的变更及其他金额已按现行价格计价的，也不计在内；</w:t>
      </w:r>
    </w:p>
    <w:p w14:paraId="460B8AA4">
      <w:pPr>
        <w:widowControl/>
        <w:snapToGrid w:val="0"/>
        <w:spacing w:line="360" w:lineRule="auto"/>
        <w:ind w:left="210" w:leftChars="10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 xml:space="preserve">          A -- 定值权重(即不调部分的权重)；</w:t>
      </w:r>
    </w:p>
    <w:p w14:paraId="2D66F831">
      <w:pPr>
        <w:widowControl/>
        <w:snapToGrid w:val="0"/>
        <w:spacing w:line="360" w:lineRule="auto"/>
        <w:ind w:left="210" w:leftChars="10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 xml:space="preserve">          B</w:t>
      </w:r>
      <w:r>
        <w:rPr>
          <w:rFonts w:ascii="宋体" w:hAnsi="宋体" w:cs="Arial"/>
          <w:color w:val="auto"/>
          <w:kern w:val="0"/>
          <w:szCs w:val="21"/>
          <w:highlight w:val="none"/>
          <w:shd w:val="clear" w:color="auto" w:fill="FFFFFF"/>
        </w:rPr>
        <w:t>1;</w:t>
      </w:r>
      <w:r>
        <w:rPr>
          <w:rFonts w:hint="eastAsia" w:ascii="宋体" w:hAnsi="宋体" w:cs="宋体"/>
          <w:color w:val="auto"/>
          <w:kern w:val="0"/>
          <w:szCs w:val="21"/>
          <w:highlight w:val="none"/>
          <w:shd w:val="clear" w:color="auto" w:fill="FFFFFF"/>
        </w:rPr>
        <w:t xml:space="preserve"> B</w:t>
      </w:r>
      <w:r>
        <w:rPr>
          <w:rFonts w:ascii="宋体" w:hAnsi="宋体" w:cs="Arial"/>
          <w:color w:val="auto"/>
          <w:kern w:val="0"/>
          <w:szCs w:val="21"/>
          <w:highlight w:val="none"/>
          <w:shd w:val="clear" w:color="auto" w:fill="FFFFFF"/>
        </w:rPr>
        <w:t>2</w:t>
      </w:r>
      <w:r>
        <w:rPr>
          <w:rFonts w:hint="eastAsia" w:ascii="宋体" w:hAnsi="宋体" w:cs="宋体"/>
          <w:color w:val="auto"/>
          <w:kern w:val="0"/>
          <w:szCs w:val="21"/>
          <w:highlight w:val="none"/>
          <w:shd w:val="clear" w:color="auto" w:fill="FFFFFF"/>
        </w:rPr>
        <w:t xml:space="preserve"> ;B</w:t>
      </w:r>
      <w:r>
        <w:rPr>
          <w:rFonts w:ascii="宋体" w:hAnsi="宋体" w:cs="Arial"/>
          <w:color w:val="auto"/>
          <w:kern w:val="0"/>
          <w:szCs w:val="21"/>
          <w:highlight w:val="none"/>
          <w:shd w:val="clear" w:color="auto" w:fill="FFFFFF"/>
        </w:rPr>
        <w:t>3</w:t>
      </w:r>
      <w:r>
        <w:rPr>
          <w:rFonts w:hint="eastAsia" w:ascii="宋体" w:hAnsi="宋体" w:cs="宋体"/>
          <w:color w:val="auto"/>
          <w:kern w:val="0"/>
          <w:szCs w:val="21"/>
          <w:highlight w:val="none"/>
          <w:shd w:val="clear" w:color="auto" w:fill="FFFFFF"/>
        </w:rPr>
        <w:t>·····B</w:t>
      </w:r>
      <w:r>
        <w:rPr>
          <w:rFonts w:ascii="宋体" w:hAnsi="宋体" w:cs="Arial"/>
          <w:color w:val="auto"/>
          <w:kern w:val="0"/>
          <w:szCs w:val="21"/>
          <w:highlight w:val="none"/>
          <w:shd w:val="clear" w:color="auto" w:fill="FFFFFF"/>
        </w:rPr>
        <w:t>n</w:t>
      </w:r>
      <w:r>
        <w:rPr>
          <w:rFonts w:hint="eastAsia" w:ascii="宋体" w:hAnsi="宋体" w:cs="宋体"/>
          <w:color w:val="auto"/>
          <w:kern w:val="0"/>
          <w:szCs w:val="21"/>
          <w:highlight w:val="none"/>
          <w:shd w:val="clear" w:color="auto" w:fill="FFFFFF"/>
        </w:rPr>
        <w:t xml:space="preserve"> -- 各可调因子的变值权重(即可调部分的权重)为各可调因子在投标函投标总报价中所占的比例；</w:t>
      </w:r>
    </w:p>
    <w:p w14:paraId="5BAD431C">
      <w:pPr>
        <w:widowControl/>
        <w:snapToGrid w:val="0"/>
        <w:spacing w:line="360" w:lineRule="auto"/>
        <w:ind w:left="210" w:leftChars="10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 xml:space="preserve">          F</w:t>
      </w:r>
      <w:r>
        <w:rPr>
          <w:rFonts w:ascii="宋体" w:hAnsi="宋体" w:cs="Arial"/>
          <w:color w:val="auto"/>
          <w:kern w:val="0"/>
          <w:szCs w:val="21"/>
          <w:highlight w:val="none"/>
          <w:shd w:val="clear" w:color="auto" w:fill="FFFFFF"/>
        </w:rPr>
        <w:t>t1</w:t>
      </w:r>
      <w:r>
        <w:rPr>
          <w:rFonts w:hint="eastAsia" w:ascii="宋体" w:hAnsi="宋体" w:cs="宋体"/>
          <w:color w:val="auto"/>
          <w:kern w:val="0"/>
          <w:szCs w:val="21"/>
          <w:highlight w:val="none"/>
          <w:shd w:val="clear" w:color="auto" w:fill="FFFFFF"/>
        </w:rPr>
        <w:t xml:space="preserve"> ;F</w:t>
      </w:r>
      <w:r>
        <w:rPr>
          <w:rFonts w:ascii="宋体" w:hAnsi="宋体" w:cs="Arial"/>
          <w:color w:val="auto"/>
          <w:kern w:val="0"/>
          <w:szCs w:val="21"/>
          <w:highlight w:val="none"/>
          <w:shd w:val="clear" w:color="auto" w:fill="FFFFFF"/>
        </w:rPr>
        <w:t>t2</w:t>
      </w:r>
      <w:r>
        <w:rPr>
          <w:rFonts w:hint="eastAsia" w:ascii="宋体" w:hAnsi="宋体" w:cs="宋体"/>
          <w:color w:val="auto"/>
          <w:kern w:val="0"/>
          <w:szCs w:val="21"/>
          <w:highlight w:val="none"/>
          <w:shd w:val="clear" w:color="auto" w:fill="FFFFFF"/>
        </w:rPr>
        <w:t xml:space="preserve"> ;F</w:t>
      </w:r>
      <w:r>
        <w:rPr>
          <w:rFonts w:ascii="宋体" w:hAnsi="宋体" w:cs="Arial"/>
          <w:color w:val="auto"/>
          <w:kern w:val="0"/>
          <w:szCs w:val="21"/>
          <w:highlight w:val="none"/>
          <w:shd w:val="clear" w:color="auto" w:fill="FFFFFF"/>
        </w:rPr>
        <w:t>t3</w:t>
      </w:r>
      <w:r>
        <w:rPr>
          <w:rFonts w:hint="eastAsia" w:ascii="宋体" w:hAnsi="宋体" w:cs="宋体"/>
          <w:color w:val="auto"/>
          <w:kern w:val="0"/>
          <w:szCs w:val="21"/>
          <w:highlight w:val="none"/>
          <w:shd w:val="clear" w:color="auto" w:fill="FFFFFF"/>
        </w:rPr>
        <w:t>·····F</w:t>
      </w:r>
      <w:r>
        <w:rPr>
          <w:rFonts w:ascii="宋体" w:hAnsi="宋体" w:cs="Arial"/>
          <w:color w:val="auto"/>
          <w:kern w:val="0"/>
          <w:szCs w:val="21"/>
          <w:highlight w:val="none"/>
          <w:shd w:val="clear" w:color="auto" w:fill="FFFFFF"/>
        </w:rPr>
        <w:t>tn</w:t>
      </w:r>
      <w:r>
        <w:rPr>
          <w:rFonts w:hint="eastAsia" w:ascii="宋体" w:hAnsi="宋体" w:cs="宋体"/>
          <w:color w:val="auto"/>
          <w:kern w:val="0"/>
          <w:szCs w:val="21"/>
          <w:highlight w:val="none"/>
          <w:shd w:val="clear" w:color="auto" w:fill="FFFFFF"/>
        </w:rPr>
        <w:t xml:space="preserve"> -- 各可调因子的现行价格指数，指第</w:t>
      </w:r>
      <w:r>
        <w:rPr>
          <w:rFonts w:ascii="宋体" w:hAnsi="宋体" w:cs="Arial"/>
          <w:color w:val="auto"/>
          <w:kern w:val="0"/>
          <w:szCs w:val="21"/>
          <w:highlight w:val="none"/>
          <w:shd w:val="clear" w:color="auto" w:fill="FFFFFF"/>
        </w:rPr>
        <w:t>17.3.3</w:t>
      </w:r>
      <w:r>
        <w:rPr>
          <w:rFonts w:hint="eastAsia" w:ascii="宋体" w:hAnsi="宋体" w:cs="宋体"/>
          <w:color w:val="auto"/>
          <w:kern w:val="0"/>
          <w:szCs w:val="21"/>
          <w:highlight w:val="none"/>
          <w:shd w:val="clear" w:color="auto" w:fill="FFFFFF"/>
        </w:rPr>
        <w:t>项、第</w:t>
      </w:r>
      <w:r>
        <w:rPr>
          <w:rFonts w:ascii="宋体" w:hAnsi="宋体" w:cs="Arial"/>
          <w:color w:val="auto"/>
          <w:kern w:val="0"/>
          <w:szCs w:val="21"/>
          <w:highlight w:val="none"/>
          <w:shd w:val="clear" w:color="auto" w:fill="FFFFFF"/>
        </w:rPr>
        <w:t>17.5.2</w:t>
      </w:r>
      <w:r>
        <w:rPr>
          <w:rFonts w:hint="eastAsia" w:ascii="宋体" w:hAnsi="宋体" w:cs="宋体"/>
          <w:color w:val="auto"/>
          <w:kern w:val="0"/>
          <w:szCs w:val="21"/>
          <w:highlight w:val="none"/>
          <w:shd w:val="clear" w:color="auto" w:fill="FFFFFF"/>
        </w:rPr>
        <w:t>项和第</w:t>
      </w:r>
      <w:r>
        <w:rPr>
          <w:rFonts w:ascii="宋体" w:hAnsi="宋体" w:cs="Arial"/>
          <w:color w:val="auto"/>
          <w:kern w:val="0"/>
          <w:szCs w:val="21"/>
          <w:highlight w:val="none"/>
          <w:shd w:val="clear" w:color="auto" w:fill="FFFFFF"/>
        </w:rPr>
        <w:t>17.6.2</w:t>
      </w:r>
      <w:r>
        <w:rPr>
          <w:rFonts w:hint="eastAsia" w:ascii="宋体" w:hAnsi="宋体" w:cs="宋体"/>
          <w:color w:val="auto"/>
          <w:kern w:val="0"/>
          <w:szCs w:val="21"/>
          <w:highlight w:val="none"/>
          <w:shd w:val="clear" w:color="auto" w:fill="FFFFFF"/>
        </w:rPr>
        <w:t>项约定的付款证书相关周期最后一天的前</w:t>
      </w:r>
      <w:r>
        <w:rPr>
          <w:rFonts w:ascii="宋体" w:hAnsi="宋体" w:cs="Arial"/>
          <w:color w:val="auto"/>
          <w:kern w:val="0"/>
          <w:szCs w:val="21"/>
          <w:highlight w:val="none"/>
          <w:shd w:val="clear" w:color="auto" w:fill="FFFFFF"/>
        </w:rPr>
        <w:t>42</w:t>
      </w:r>
      <w:r>
        <w:rPr>
          <w:rFonts w:hint="eastAsia" w:ascii="宋体" w:hAnsi="宋体" w:cs="宋体"/>
          <w:color w:val="auto"/>
          <w:kern w:val="0"/>
          <w:szCs w:val="21"/>
          <w:highlight w:val="none"/>
          <w:shd w:val="clear" w:color="auto" w:fill="FFFFFF"/>
        </w:rPr>
        <w:t>天的各可调因子的价格指数；</w:t>
      </w:r>
    </w:p>
    <w:p w14:paraId="6A4C4948">
      <w:pPr>
        <w:widowControl/>
        <w:snapToGrid w:val="0"/>
        <w:spacing w:line="360" w:lineRule="auto"/>
        <w:ind w:left="210" w:leftChars="10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 xml:space="preserve">          F</w:t>
      </w:r>
      <w:r>
        <w:rPr>
          <w:rFonts w:ascii="宋体" w:hAnsi="宋体" w:cs="Arial"/>
          <w:color w:val="auto"/>
          <w:kern w:val="0"/>
          <w:szCs w:val="21"/>
          <w:highlight w:val="none"/>
          <w:shd w:val="clear" w:color="auto" w:fill="FFFFFF"/>
        </w:rPr>
        <w:t>o1</w:t>
      </w:r>
      <w:r>
        <w:rPr>
          <w:rFonts w:hint="eastAsia" w:ascii="宋体" w:hAnsi="宋体" w:cs="宋体"/>
          <w:color w:val="auto"/>
          <w:kern w:val="0"/>
          <w:szCs w:val="21"/>
          <w:highlight w:val="none"/>
          <w:shd w:val="clear" w:color="auto" w:fill="FFFFFF"/>
        </w:rPr>
        <w:t>; F</w:t>
      </w:r>
      <w:r>
        <w:rPr>
          <w:rFonts w:ascii="宋体" w:hAnsi="宋体" w:cs="Arial"/>
          <w:color w:val="auto"/>
          <w:kern w:val="0"/>
          <w:szCs w:val="21"/>
          <w:highlight w:val="none"/>
          <w:shd w:val="clear" w:color="auto" w:fill="FFFFFF"/>
        </w:rPr>
        <w:t>o2;</w:t>
      </w:r>
      <w:r>
        <w:rPr>
          <w:rFonts w:hint="eastAsia" w:ascii="宋体" w:hAnsi="宋体" w:cs="宋体"/>
          <w:color w:val="auto"/>
          <w:kern w:val="0"/>
          <w:szCs w:val="21"/>
          <w:highlight w:val="none"/>
          <w:shd w:val="clear" w:color="auto" w:fill="FFFFFF"/>
        </w:rPr>
        <w:t xml:space="preserve"> F</w:t>
      </w:r>
      <w:r>
        <w:rPr>
          <w:rFonts w:ascii="宋体" w:hAnsi="宋体" w:cs="Arial"/>
          <w:color w:val="auto"/>
          <w:kern w:val="0"/>
          <w:szCs w:val="21"/>
          <w:highlight w:val="none"/>
          <w:shd w:val="clear" w:color="auto" w:fill="FFFFFF"/>
        </w:rPr>
        <w:t>o3</w:t>
      </w:r>
      <w:r>
        <w:rPr>
          <w:rFonts w:hint="eastAsia" w:ascii="宋体" w:hAnsi="宋体" w:cs="宋体"/>
          <w:color w:val="auto"/>
          <w:kern w:val="0"/>
          <w:szCs w:val="21"/>
          <w:highlight w:val="none"/>
          <w:shd w:val="clear" w:color="auto" w:fill="FFFFFF"/>
        </w:rPr>
        <w:t>·····F</w:t>
      </w:r>
      <w:r>
        <w:rPr>
          <w:rFonts w:ascii="宋体" w:hAnsi="宋体" w:cs="Arial"/>
          <w:color w:val="auto"/>
          <w:kern w:val="0"/>
          <w:szCs w:val="21"/>
          <w:highlight w:val="none"/>
          <w:shd w:val="clear" w:color="auto" w:fill="FFFFFF"/>
        </w:rPr>
        <w:t>on</w:t>
      </w:r>
      <w:r>
        <w:rPr>
          <w:rFonts w:hint="eastAsia" w:ascii="宋体" w:hAnsi="宋体" w:cs="宋体"/>
          <w:color w:val="auto"/>
          <w:kern w:val="0"/>
          <w:szCs w:val="21"/>
          <w:highlight w:val="none"/>
          <w:shd w:val="clear" w:color="auto" w:fill="FFFFFF"/>
        </w:rPr>
        <w:t xml:space="preserve"> -- 各可调因子的基本价格指数，指基准日期的各可调因子的价格指数。</w:t>
      </w:r>
    </w:p>
    <w:p w14:paraId="4B421100">
      <w:pPr>
        <w:widowControl/>
        <w:snapToGrid w:val="0"/>
        <w:spacing w:line="360" w:lineRule="auto"/>
        <w:ind w:left="210" w:leftChars="100" w:firstLine="63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600D92CC">
      <w:pPr>
        <w:widowControl/>
        <w:snapToGrid w:val="0"/>
        <w:spacing w:line="360" w:lineRule="auto"/>
        <w:ind w:left="210" w:leftChars="100" w:firstLine="63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16.1.1.2  暂时确定调整差额</w:t>
      </w:r>
    </w:p>
    <w:p w14:paraId="73A3C357">
      <w:pPr>
        <w:widowControl/>
        <w:snapToGrid w:val="0"/>
        <w:spacing w:line="360" w:lineRule="auto"/>
        <w:ind w:left="210" w:leftChars="100" w:firstLine="63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在计算调整差额时得不到现行价格指数的，可暂用上一次价格指数计算，并在以后的付款中再按实际价格指数进行调整。</w:t>
      </w:r>
    </w:p>
    <w:p w14:paraId="02505916">
      <w:pPr>
        <w:widowControl/>
        <w:snapToGrid w:val="0"/>
        <w:spacing w:line="360" w:lineRule="auto"/>
        <w:ind w:left="210" w:leftChars="100" w:firstLine="63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16.1.1.3  权重的调整</w:t>
      </w:r>
    </w:p>
    <w:p w14:paraId="59236AB9">
      <w:pPr>
        <w:widowControl/>
        <w:snapToGrid w:val="0"/>
        <w:spacing w:line="360" w:lineRule="auto"/>
        <w:ind w:left="210" w:leftChars="100" w:firstLine="63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按第15.1款约定的变更导致原定合同中的权重不合理时，由监理人与承包人和发包人协商后进行调整。</w:t>
      </w:r>
    </w:p>
    <w:p w14:paraId="1587E3E4">
      <w:pPr>
        <w:widowControl/>
        <w:snapToGrid w:val="0"/>
        <w:spacing w:line="360" w:lineRule="auto"/>
        <w:ind w:left="210" w:leftChars="100" w:firstLine="63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16.1.1.4  承包人工期延误后的价格调整</w:t>
      </w:r>
    </w:p>
    <w:p w14:paraId="2A255002">
      <w:pPr>
        <w:widowControl/>
        <w:snapToGrid w:val="0"/>
        <w:spacing w:line="360" w:lineRule="auto"/>
        <w:ind w:left="210" w:leftChars="100" w:firstLine="63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14:paraId="35B0FCFD">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16.1.2  采用造价信息调整价格差额</w:t>
      </w:r>
    </w:p>
    <w:p w14:paraId="6CB8343B">
      <w:pPr>
        <w:widowControl/>
        <w:snapToGrid w:val="0"/>
        <w:spacing w:line="360" w:lineRule="auto"/>
        <w:ind w:left="210" w:leftChars="100" w:firstLine="42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施工期内，因人工、材料、设备和机械台班价格波动影响合同价格时，需要进行价格调整的，其价格和数量应由监理人审核，监理人确认需调整的内容、范围、价格和数量作为调整工程合同价格差额的依据。</w:t>
      </w:r>
    </w:p>
    <w:p w14:paraId="0058F3B6">
      <w:pPr>
        <w:widowControl/>
        <w:snapToGrid w:val="0"/>
        <w:spacing w:line="360" w:lineRule="auto"/>
        <w:ind w:left="210" w:leftChars="100" w:firstLine="630"/>
        <w:jc w:val="left"/>
        <w:rPr>
          <w:rFonts w:ascii="宋体" w:hAnsi="宋体" w:cs="Arial"/>
          <w:color w:val="auto"/>
          <w:szCs w:val="21"/>
          <w:highlight w:val="none"/>
        </w:rPr>
      </w:pPr>
      <w:r>
        <w:rPr>
          <w:rFonts w:hint="eastAsia" w:ascii="宋体" w:hAnsi="宋体" w:cs="宋体"/>
          <w:color w:val="auto"/>
          <w:kern w:val="0"/>
          <w:szCs w:val="21"/>
          <w:highlight w:val="none"/>
          <w:shd w:val="clear" w:color="auto" w:fill="FFFFFF"/>
        </w:rPr>
        <w:t>16.1.2.1  引起价格调整的物价波动风险范围及幅度</w:t>
      </w:r>
    </w:p>
    <w:p w14:paraId="7D130DB1">
      <w:pPr>
        <w:widowControl/>
        <w:snapToGrid w:val="0"/>
        <w:spacing w:line="360" w:lineRule="auto"/>
        <w:ind w:left="210" w:leftChars="100" w:firstLine="63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施工期内，因人工、材料、设备和机械台班发生物价波动变化幅度在合同约定的风险幅度范围以内的，由承包人承担或受益，不调整合同价格；其价格波动变化幅度在合同约定的风险幅度范围以外的，由发包人承担或受益。物价波动引起价格调整的风险范围以及调整的风险幅度见合同条款专用部分。</w:t>
      </w:r>
    </w:p>
    <w:p w14:paraId="669A1F7E">
      <w:pPr>
        <w:widowControl/>
        <w:snapToGrid w:val="0"/>
        <w:spacing w:line="360" w:lineRule="auto"/>
        <w:ind w:left="210" w:leftChars="100" w:firstLine="63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16.1.2.2  物价波动变化幅度的计算方法</w:t>
      </w:r>
    </w:p>
    <w:p w14:paraId="44C731C0">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（1）投标报价基准期确定的人工、材料、设备和机械台班的市场价格即为基准价。投标报价基准期见合同条款专用部分。</w:t>
      </w:r>
    </w:p>
    <w:p w14:paraId="77376DCE">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北京工程造价信息》中市场价格信息有的，以北京市建设工程造价管理机构发布的《北京工程造价信息》中的市场价格（以下简称造价信息价格）为依据确定基准价，造价信息价格中有上、下限的，以下限为准；《北京工程造价信息》市场价格信息中没有的，确定基准价的方法见合同条款专用部分。</w:t>
      </w:r>
    </w:p>
    <w:p w14:paraId="34A9C8E6">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（3）合同施工期市场价格的确定方法见合同条款专用部分。</w:t>
      </w:r>
    </w:p>
    <w:p w14:paraId="457338C2">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（4）物价波动变化幅度的计算方法：</w:t>
      </w:r>
    </w:p>
    <w:p w14:paraId="0C1FFA72">
      <w:pPr>
        <w:widowControl/>
        <w:snapToGrid w:val="0"/>
        <w:spacing w:line="360" w:lineRule="auto"/>
        <w:ind w:left="210" w:leftChars="10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1）当承包人投标报价中的单价低于基准价时：</w:t>
      </w:r>
    </w:p>
    <w:p w14:paraId="4D1C6A17">
      <w:pPr>
        <w:widowControl/>
        <w:snapToGrid w:val="0"/>
        <w:spacing w:line="360" w:lineRule="auto"/>
        <w:ind w:left="210" w:leftChars="10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物价波动变化幅度（涨幅）=（施工期市场价-基准价）/基准价×100%</w:t>
      </w:r>
    </w:p>
    <w:p w14:paraId="5535538E">
      <w:pPr>
        <w:widowControl/>
        <w:snapToGrid w:val="0"/>
        <w:spacing w:line="360" w:lineRule="auto"/>
        <w:ind w:left="210" w:leftChars="10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物价波动变化幅度（跌幅）=（施工期市场价-投标单价）/投标单价×100%</w:t>
      </w:r>
    </w:p>
    <w:p w14:paraId="2CB291A0">
      <w:pPr>
        <w:widowControl/>
        <w:snapToGrid w:val="0"/>
        <w:spacing w:line="360" w:lineRule="auto"/>
        <w:ind w:left="210" w:leftChars="10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2）当承包人投标报价中的单价高于基准价时：</w:t>
      </w:r>
    </w:p>
    <w:p w14:paraId="34D2C522">
      <w:pPr>
        <w:widowControl/>
        <w:snapToGrid w:val="0"/>
        <w:spacing w:line="360" w:lineRule="auto"/>
        <w:ind w:left="210" w:leftChars="10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物价波动变化幅度（涨幅）=（施工期市场价-投标单价）/投标单价×100%</w:t>
      </w:r>
    </w:p>
    <w:p w14:paraId="3CE64125">
      <w:pPr>
        <w:widowControl/>
        <w:snapToGrid w:val="0"/>
        <w:spacing w:line="360" w:lineRule="auto"/>
        <w:ind w:left="210" w:leftChars="10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物价波动变化幅度（跌幅）=（施工期市场价-基准价）/基准价×100%</w:t>
      </w:r>
    </w:p>
    <w:p w14:paraId="4786C53A">
      <w:pPr>
        <w:widowControl/>
        <w:snapToGrid w:val="0"/>
        <w:spacing w:line="360" w:lineRule="auto"/>
        <w:ind w:left="210" w:leftChars="10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3）当承包人投标报价中的单价等于基准价时：</w:t>
      </w:r>
    </w:p>
    <w:p w14:paraId="51FF25D0">
      <w:pPr>
        <w:widowControl/>
        <w:snapToGrid w:val="0"/>
        <w:spacing w:line="360" w:lineRule="auto"/>
        <w:ind w:left="210" w:leftChars="10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物价波动变化幅度=（施工期市场价-基准价）/基准价×100%</w:t>
      </w:r>
    </w:p>
    <w:p w14:paraId="7AADEE55">
      <w:pPr>
        <w:widowControl/>
        <w:snapToGrid w:val="0"/>
        <w:spacing w:line="360" w:lineRule="auto"/>
        <w:ind w:left="210" w:leftChars="100" w:firstLine="63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16.1.2.3  物价波动引起价格调整的方法</w:t>
      </w:r>
    </w:p>
    <w:p w14:paraId="45476651">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（1）第16.1.2.1目中约定的人工、材料、设备和机械台班的物价波动变化幅度超过风险幅度时，价格调整方法见合同条款专用部分。</w:t>
      </w:r>
    </w:p>
    <w:p w14:paraId="1225AA01">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（2）第16.1.2.1目中约定的人工的物价波动变化幅度超过风险幅度时，应当计算全部价格差额，</w:t>
      </w:r>
      <w:r>
        <w:rPr>
          <w:rFonts w:hint="eastAsia" w:ascii="宋体" w:hAnsi="宋体" w:eastAsia="宋体" w:cs="宋体"/>
          <w:color w:val="auto"/>
          <w:spacing w:val="0"/>
          <w:kern w:val="0"/>
          <w:sz w:val="21"/>
          <w:szCs w:val="21"/>
          <w:highlight w:val="none"/>
          <w:shd w:val="clear" w:color="auto" w:fill="FFFFFF"/>
        </w:rPr>
        <w:t>其价格差额由发包人承担或受益，其价格差额只计取增值税</w:t>
      </w:r>
      <w:r>
        <w:rPr>
          <w:rFonts w:hint="eastAsia" w:ascii="宋体" w:hAnsi="宋体" w:cs="宋体"/>
          <w:color w:val="auto"/>
          <w:kern w:val="0"/>
          <w:szCs w:val="21"/>
          <w:highlight w:val="none"/>
          <w:shd w:val="clear" w:color="auto" w:fill="FFFFFF"/>
        </w:rPr>
        <w:t>。</w:t>
      </w:r>
    </w:p>
    <w:p w14:paraId="48C73199">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（3）第16.1.2.1目中约定的材料和机械台班的物价波动变化幅度超过风险幅度时，应当计算超过部分的价格差额，</w:t>
      </w:r>
      <w:r>
        <w:rPr>
          <w:rFonts w:hint="eastAsia" w:ascii="宋体" w:hAnsi="宋体" w:eastAsia="宋体" w:cs="宋体"/>
          <w:color w:val="auto"/>
          <w:spacing w:val="0"/>
          <w:kern w:val="0"/>
          <w:sz w:val="21"/>
          <w:szCs w:val="21"/>
          <w:highlight w:val="none"/>
          <w:shd w:val="clear" w:color="auto" w:fill="FFFFFF"/>
        </w:rPr>
        <w:t>其价格差额由发包人承担或受益，其价格差额只计取增值税</w:t>
      </w:r>
      <w:r>
        <w:rPr>
          <w:rFonts w:hint="eastAsia" w:ascii="宋体" w:hAnsi="宋体" w:cs="宋体"/>
          <w:color w:val="auto"/>
          <w:kern w:val="0"/>
          <w:szCs w:val="21"/>
          <w:highlight w:val="none"/>
          <w:shd w:val="clear" w:color="auto" w:fill="FFFFFF"/>
        </w:rPr>
        <w:t>。</w:t>
      </w:r>
    </w:p>
    <w:p w14:paraId="6CE84045">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16.1.2.4  物价波动引起价格调整的其他约定见合同条款专用部分。</w:t>
      </w:r>
    </w:p>
    <w:p w14:paraId="0D76081B">
      <w:pPr>
        <w:widowControl/>
        <w:snapToGrid w:val="0"/>
        <w:spacing w:line="360" w:lineRule="auto"/>
        <w:ind w:left="210" w:leftChars="100" w:firstLine="420"/>
        <w:jc w:val="left"/>
      </w:pPr>
      <w:r>
        <w:rPr>
          <w:rFonts w:hint="eastAsia" w:ascii="宋体" w:hAnsi="宋体" w:cs="宋体"/>
          <w:color w:val="auto"/>
          <w:kern w:val="0"/>
          <w:szCs w:val="21"/>
          <w:highlight w:val="none"/>
          <w:shd w:val="clear" w:color="auto" w:fill="FFFFFF"/>
        </w:rPr>
        <w:t>16.1.3  物价波动引起价格调整的其他方法见合同条款专用部分。</w:t>
      </w:r>
    </w:p>
    <w:p w14:paraId="01632B8C">
      <w:pPr>
        <w:widowControl/>
        <w:snapToGrid w:val="0"/>
        <w:spacing w:line="360" w:lineRule="auto"/>
        <w:ind w:left="210" w:leftChars="100" w:firstLine="420"/>
        <w:jc w:val="left"/>
        <w:rPr>
          <w:rFonts w:hint="eastAsia" w:ascii="宋体" w:hAnsi="宋体" w:cs="宋体"/>
          <w:color w:val="auto"/>
          <w:kern w:val="0"/>
          <w:szCs w:val="21"/>
          <w:highlight w:val="none"/>
          <w:shd w:val="clear" w:color="auto" w:fill="FFFFFF"/>
        </w:rPr>
      </w:pPr>
      <w:r>
        <w:rPr>
          <w:rFonts w:hint="eastAsia" w:ascii="宋体" w:hAnsi="宋体" w:eastAsia="宋体" w:cs="宋体"/>
          <w:color w:val="auto"/>
          <w:spacing w:val="0"/>
          <w:kern w:val="0"/>
          <w:sz w:val="21"/>
          <w:szCs w:val="21"/>
          <w:highlight w:val="none"/>
          <w:shd w:val="clear" w:color="auto" w:fill="FFFFFF"/>
        </w:rPr>
        <w:t>16.1.4  不属于本条上述条款约定的引起价格调整的物价波动风险范围内的人工、材料 和机械台班等，如市场价格出现异常变动,且是合同双方在订立合同时无法预见的重大变化， 继续履行合同对于受不利影响的合同一方明显不公平的，合同双方可按风险合理分担原则，协商合同风险幅度或费用分担比例，承担相关部分的增(减)价差或据实调整合同价格。</w:t>
      </w:r>
    </w:p>
    <w:p w14:paraId="0E72B3FD">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1024" w:name="_Toc1719"/>
      <w:bookmarkStart w:id="1025" w:name="_Toc26827"/>
      <w:bookmarkStart w:id="1026" w:name="_Toc26034"/>
      <w:r>
        <w:rPr>
          <w:rFonts w:hint="eastAsia" w:ascii="宋体" w:hAnsi="宋体" w:cs="宋体"/>
          <w:b w:val="0"/>
          <w:bCs w:val="0"/>
          <w:color w:val="auto"/>
          <w:sz w:val="21"/>
          <w:szCs w:val="21"/>
          <w:highlight w:val="none"/>
          <w:shd w:val="clear" w:color="auto" w:fill="FFFFFF"/>
        </w:rPr>
        <w:t>16.2  法律变化引起的价格调整</w:t>
      </w:r>
      <w:bookmarkEnd w:id="1024"/>
      <w:bookmarkEnd w:id="1025"/>
      <w:bookmarkEnd w:id="1026"/>
    </w:p>
    <w:p w14:paraId="5948F3C3">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在基准日后，因法律变化导致承包人在合同履行中所需要的工程费用发生除第16.1款约定以外的增减时，监理人应根据法律、国家或省、自治区、直辖市有关部门的规定，按第3.5款商定或确定需调整的合同价款。</w:t>
      </w:r>
    </w:p>
    <w:p w14:paraId="25709E1A">
      <w:pPr>
        <w:pStyle w:val="3"/>
        <w:keepNext w:val="0"/>
        <w:keepLines w:val="0"/>
        <w:widowControl/>
        <w:snapToGrid w:val="0"/>
        <w:spacing w:before="0" w:after="0" w:line="360" w:lineRule="auto"/>
        <w:ind w:left="210" w:leftChars="100"/>
        <w:jc w:val="left"/>
        <w:rPr>
          <w:rFonts w:ascii="宋体" w:hAnsi="宋体"/>
          <w:b w:val="0"/>
          <w:bCs w:val="0"/>
          <w:color w:val="auto"/>
          <w:sz w:val="21"/>
          <w:szCs w:val="21"/>
          <w:highlight w:val="none"/>
          <w:shd w:val="clear" w:color="auto" w:fill="FFFFFF"/>
        </w:rPr>
      </w:pPr>
      <w:bookmarkStart w:id="1027" w:name="_Toc1792"/>
      <w:bookmarkStart w:id="1028" w:name="_Toc7476"/>
      <w:bookmarkStart w:id="1029" w:name="_Toc15747"/>
      <w:r>
        <w:rPr>
          <w:rFonts w:hint="eastAsia" w:ascii="宋体" w:hAnsi="宋体"/>
          <w:b w:val="0"/>
          <w:bCs w:val="0"/>
          <w:color w:val="auto"/>
          <w:sz w:val="21"/>
          <w:szCs w:val="21"/>
          <w:highlight w:val="none"/>
          <w:shd w:val="clear" w:color="auto" w:fill="FFFFFF"/>
        </w:rPr>
        <w:t>17.计量与支付</w:t>
      </w:r>
      <w:bookmarkEnd w:id="1027"/>
      <w:bookmarkEnd w:id="1028"/>
      <w:bookmarkEnd w:id="1029"/>
    </w:p>
    <w:p w14:paraId="1AA20892">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1030" w:name="_Toc10878"/>
      <w:bookmarkStart w:id="1031" w:name="_Toc21274"/>
      <w:bookmarkStart w:id="1032" w:name="_Toc21863"/>
      <w:r>
        <w:rPr>
          <w:rFonts w:hint="eastAsia" w:ascii="宋体" w:hAnsi="宋体" w:cs="宋体"/>
          <w:b w:val="0"/>
          <w:bCs w:val="0"/>
          <w:color w:val="auto"/>
          <w:sz w:val="21"/>
          <w:szCs w:val="21"/>
          <w:highlight w:val="none"/>
          <w:shd w:val="clear" w:color="auto" w:fill="FFFFFF"/>
        </w:rPr>
        <w:t>17.1  计量</w:t>
      </w:r>
      <w:bookmarkEnd w:id="1030"/>
      <w:bookmarkEnd w:id="1031"/>
      <w:bookmarkEnd w:id="1032"/>
    </w:p>
    <w:p w14:paraId="0041FF62">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17.1.1  计量单位</w:t>
      </w:r>
    </w:p>
    <w:p w14:paraId="36723D3E">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计量采用国家法定的计量单位。</w:t>
      </w:r>
    </w:p>
    <w:p w14:paraId="2D390375">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17.1.2  计量方法</w:t>
      </w:r>
    </w:p>
    <w:p w14:paraId="6642B2F0">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工程量计算规则执行工程量清单中约定的计量计价规范版本。除合同另有约定外，承包人实际完成的工程量按约定的工程量计算规则和有合同约束力的图纸进行计量。</w:t>
      </w:r>
    </w:p>
    <w:p w14:paraId="2431066F">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17.1.3  计量周期</w:t>
      </w:r>
    </w:p>
    <w:p w14:paraId="47EC4A0D">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（1）本合同的计量周期为月，当月计量截止日期（不含当日）和下月计量起始日期（含当日）见合同条款专用部分。</w:t>
      </w:r>
    </w:p>
    <w:p w14:paraId="37F50137">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（2）单价子目已完成工程量是否按月计量见合同条款专用部分。</w:t>
      </w:r>
    </w:p>
    <w:p w14:paraId="5E5D74F8">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（3）总价子目计量方法见合同条款专用部分。</w:t>
      </w:r>
    </w:p>
    <w:p w14:paraId="7A38C05B">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17.1.4  单价子目的计量</w:t>
      </w:r>
    </w:p>
    <w:p w14:paraId="67DBF602">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（1）已标价工程量清单中的单价子目工程量为估算工程量。结算工程量是承包人实际完成的，并按合同约定的计量方法进行计量的工程量。</w:t>
      </w:r>
    </w:p>
    <w:p w14:paraId="5FC65B60">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（2）承包人对已完成的工程进行计量，向监理人提交进度付款申请单、已完成工程量报表和有关计量资料。</w:t>
      </w:r>
    </w:p>
    <w:p w14:paraId="6243A8A6">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14:paraId="558A7352">
      <w:pPr>
        <w:widowControl/>
        <w:snapToGrid w:val="0"/>
        <w:spacing w:line="360" w:lineRule="auto"/>
        <w:ind w:left="210" w:leftChars="100" w:firstLine="428"/>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（4）监理人认为有必要时，可通知承包人共同进行联合测量、计量，承包人应遵照执行。</w:t>
      </w:r>
    </w:p>
    <w:p w14:paraId="7311D355">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139A8933">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（6）监理人应在收到承包人提交的工程量报表后的7天内进行复核，监理人未在约定时间内复核的，承包人提交的工程量报表中的工程量视为承包人实际完成的工程量，据此计算工程价款。</w:t>
      </w:r>
    </w:p>
    <w:p w14:paraId="7D9D865B">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17.1.</w:t>
      </w:r>
      <w:r>
        <w:rPr>
          <w:rFonts w:hint="eastAsia" w:ascii="宋体" w:hAnsi="宋体" w:cs="宋体"/>
          <w:color w:val="auto"/>
          <w:kern w:val="0"/>
          <w:szCs w:val="21"/>
          <w:highlight w:val="none"/>
          <w:shd w:val="clear" w:color="auto" w:fill="FFFFFF"/>
          <w:lang w:val="en-US" w:eastAsia="zh-CN"/>
        </w:rPr>
        <w:t>5</w:t>
      </w:r>
      <w:r>
        <w:rPr>
          <w:rFonts w:hint="eastAsia" w:ascii="宋体" w:hAnsi="宋体" w:cs="宋体"/>
          <w:color w:val="auto"/>
          <w:kern w:val="0"/>
          <w:szCs w:val="21"/>
          <w:highlight w:val="none"/>
          <w:shd w:val="clear" w:color="auto" w:fill="FFFFFF"/>
        </w:rPr>
        <w:t xml:space="preserve">  总价子目的计量（适用于采用支付分解报告）</w:t>
      </w:r>
    </w:p>
    <w:p w14:paraId="7A73E25D">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总价子目按照有合同约束力的支付分解表支付。承包人应根据合同条款第10条约定的合同进度计划和总价子目的总价构成、费用性质、计划发生时间和相应工作量等因素对各个总价子目的总价按月进行分解，形成支付分解报告。承包人应当在收到经过监理人批复的合同进度计划后7天内，将支付分解报告以及形成支付分解报告的分项计量和总价分解等支持性资料报监理人审批，监理人应当在收到承包人报送的支付分解报告后7天内给予批复或提出修改意见，经监理人批准的支付分解报告为有合同约束力的支付分解表。支付分解表应根据合同条款第10.2款约定的修订合同进度计划进行修正，修正的程序和期限应当依照本项上述约定，经修正的支付分解表为有合同约束力的支付分解表。</w:t>
      </w:r>
    </w:p>
    <w:p w14:paraId="7407E73A">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（1）总价子目的价格调整方法见合同条款专用部分。</w:t>
      </w:r>
    </w:p>
    <w:p w14:paraId="626500A3">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（2）列入每月进度付款申请单中各总价子目的价值为有合同约束力的支付分解表中对应月份的总价</w:t>
      </w:r>
      <w:r>
        <w:rPr>
          <w:rFonts w:hint="eastAsia" w:ascii="宋体" w:hAnsi="宋体" w:cs="宋体"/>
          <w:color w:val="auto"/>
          <w:kern w:val="0"/>
          <w:szCs w:val="21"/>
          <w:highlight w:val="none"/>
          <w:shd w:val="clear" w:color="auto" w:fill="FFFFFF"/>
          <w:lang w:val="en-US" w:eastAsia="zh-CN"/>
        </w:rPr>
        <w:t>项目</w:t>
      </w:r>
      <w:r>
        <w:rPr>
          <w:rFonts w:hint="eastAsia" w:ascii="宋体" w:hAnsi="宋体" w:cs="宋体"/>
          <w:color w:val="auto"/>
          <w:kern w:val="0"/>
          <w:szCs w:val="21"/>
          <w:highlight w:val="none"/>
          <w:shd w:val="clear" w:color="auto" w:fill="FFFFFF"/>
        </w:rPr>
        <w:t>总价值。</w:t>
      </w:r>
    </w:p>
    <w:p w14:paraId="7DCD5BA7">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（3）监理人根据有合同约束力的支付分解表复核列入每月进度付款申请单中的总价子目的总价值。</w:t>
      </w:r>
    </w:p>
    <w:p w14:paraId="500AF3C3">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（4）除按照第15条约定的变更外，在竣工结算时总价子目的工程量不应当重新计量，签约合同价所基于的工程量即是用于竣工结算的最终工程量。</w:t>
      </w:r>
    </w:p>
    <w:p w14:paraId="29278745">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17.1.</w:t>
      </w:r>
      <w:r>
        <w:rPr>
          <w:rFonts w:hint="eastAsia" w:ascii="宋体" w:hAnsi="宋体" w:cs="宋体"/>
          <w:color w:val="auto"/>
          <w:kern w:val="0"/>
          <w:szCs w:val="21"/>
          <w:highlight w:val="none"/>
          <w:shd w:val="clear" w:color="auto" w:fill="FFFFFF"/>
          <w:lang w:val="en-US" w:eastAsia="zh-CN"/>
        </w:rPr>
        <w:t>6</w:t>
      </w:r>
      <w:r>
        <w:rPr>
          <w:rFonts w:hint="eastAsia" w:ascii="宋体" w:hAnsi="宋体" w:cs="宋体"/>
          <w:color w:val="auto"/>
          <w:kern w:val="0"/>
          <w:szCs w:val="21"/>
          <w:highlight w:val="none"/>
          <w:shd w:val="clear" w:color="auto" w:fill="FFFFFF"/>
        </w:rPr>
        <w:t xml:space="preserve">  总价子目的计量（适用于采用按实际完成工程量计量）</w:t>
      </w:r>
    </w:p>
    <w:p w14:paraId="709B83C5">
      <w:pPr>
        <w:widowControl/>
        <w:snapToGrid w:val="0"/>
        <w:spacing w:line="360" w:lineRule="auto"/>
        <w:ind w:left="210" w:leftChars="100" w:firstLine="428"/>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（1）总价子目的计量和支付应以总价为基础，对承包人实际完成的工程量进行计量，是进行工程目标管理和控制进度款支付的依据。总价</w:t>
      </w:r>
      <w:r>
        <w:rPr>
          <w:rFonts w:hint="eastAsia" w:ascii="宋体" w:hAnsi="宋体" w:cs="宋体"/>
          <w:color w:val="auto"/>
          <w:kern w:val="0"/>
          <w:szCs w:val="21"/>
          <w:highlight w:val="none"/>
          <w:shd w:val="clear" w:color="auto" w:fill="FFFFFF"/>
          <w:lang w:val="en-US" w:eastAsia="zh-CN"/>
        </w:rPr>
        <w:t>项目</w:t>
      </w:r>
      <w:r>
        <w:rPr>
          <w:rFonts w:hint="eastAsia" w:ascii="宋体" w:hAnsi="宋体" w:cs="宋体"/>
          <w:color w:val="auto"/>
          <w:kern w:val="0"/>
          <w:szCs w:val="21"/>
          <w:highlight w:val="none"/>
          <w:shd w:val="clear" w:color="auto" w:fill="FFFFFF"/>
        </w:rPr>
        <w:t>的价格调整方法见合同条款专用部分。</w:t>
      </w:r>
    </w:p>
    <w:p w14:paraId="4F4BA206">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（2）承包人在合同条款专用部分第17.1.3（1）目约定的每月计量截止日期后，对已完成的分部分项工程和单价措施项目的</w:t>
      </w:r>
      <w:r>
        <w:rPr>
          <w:rFonts w:hint="eastAsia" w:ascii="宋体" w:hAnsi="宋体" w:cs="宋体"/>
          <w:color w:val="auto"/>
          <w:kern w:val="0"/>
          <w:szCs w:val="21"/>
          <w:highlight w:val="none"/>
          <w:shd w:val="clear" w:color="auto" w:fill="FFFFFF"/>
          <w:lang w:val="en-US" w:eastAsia="zh-CN"/>
        </w:rPr>
        <w:t>项目</w:t>
      </w:r>
      <w:r>
        <w:rPr>
          <w:rFonts w:hint="eastAsia" w:ascii="宋体" w:hAnsi="宋体" w:cs="宋体"/>
          <w:color w:val="auto"/>
          <w:kern w:val="0"/>
          <w:szCs w:val="21"/>
          <w:highlight w:val="none"/>
          <w:shd w:val="clear" w:color="auto" w:fill="FFFFFF"/>
        </w:rPr>
        <w:t>，按照合同条款专用部分第17.1.2项约定的计量方法进行计量，对已完成的总价措施项目的相关</w:t>
      </w:r>
      <w:r>
        <w:rPr>
          <w:rFonts w:hint="eastAsia" w:ascii="宋体" w:hAnsi="宋体" w:cs="宋体"/>
          <w:color w:val="auto"/>
          <w:kern w:val="0"/>
          <w:szCs w:val="21"/>
          <w:highlight w:val="none"/>
          <w:shd w:val="clear" w:color="auto" w:fill="FFFFFF"/>
          <w:lang w:val="en-US" w:eastAsia="zh-CN"/>
        </w:rPr>
        <w:t>项目</w:t>
      </w:r>
      <w:r>
        <w:rPr>
          <w:rFonts w:hint="eastAsia" w:ascii="宋体" w:hAnsi="宋体" w:cs="宋体"/>
          <w:color w:val="auto"/>
          <w:kern w:val="0"/>
          <w:szCs w:val="21"/>
          <w:highlight w:val="none"/>
          <w:shd w:val="clear" w:color="auto" w:fill="FFFFFF"/>
        </w:rPr>
        <w:t>，按其总价构成、费用性质和实际发生比例进行计量，向监理人提交进度付款申请单、已完成工程量报表和有关计量资料。</w:t>
      </w:r>
    </w:p>
    <w:p w14:paraId="0B5B4C3F">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3）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w:t>
      </w:r>
    </w:p>
    <w:p w14:paraId="172BA47D">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（4）监理人应在收到承包人提交的工程量报表后的7天内进行复核，监理人未在约定时间内复核的，承包人提交的工程量报表中的工程量视为承包人实际完成的工程量，据此计算工程价款。</w:t>
      </w:r>
    </w:p>
    <w:p w14:paraId="1A07E496">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（5）除按照第15条约定的变更外，在竣工结算时总价</w:t>
      </w:r>
      <w:r>
        <w:rPr>
          <w:rFonts w:hint="eastAsia" w:ascii="宋体" w:hAnsi="宋体" w:cs="宋体"/>
          <w:color w:val="auto"/>
          <w:kern w:val="0"/>
          <w:szCs w:val="21"/>
          <w:highlight w:val="none"/>
          <w:shd w:val="clear" w:color="auto" w:fill="FFFFFF"/>
          <w:lang w:val="en-US" w:eastAsia="zh-CN"/>
        </w:rPr>
        <w:t>项目</w:t>
      </w:r>
      <w:r>
        <w:rPr>
          <w:rFonts w:hint="eastAsia" w:ascii="宋体" w:hAnsi="宋体" w:cs="宋体"/>
          <w:color w:val="auto"/>
          <w:kern w:val="0"/>
          <w:szCs w:val="21"/>
          <w:highlight w:val="none"/>
          <w:shd w:val="clear" w:color="auto" w:fill="FFFFFF"/>
        </w:rPr>
        <w:t>的工程量不应当重新计量，签约合同价所基于的工程量即是用于竣工结算的最终工程量。</w:t>
      </w:r>
    </w:p>
    <w:p w14:paraId="514708C4">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1033" w:name="_Toc13150"/>
      <w:bookmarkStart w:id="1034" w:name="_Toc1538"/>
      <w:bookmarkStart w:id="1035" w:name="_Toc17381"/>
      <w:r>
        <w:rPr>
          <w:rFonts w:hint="eastAsia" w:ascii="宋体" w:hAnsi="宋体" w:cs="宋体"/>
          <w:b w:val="0"/>
          <w:bCs w:val="0"/>
          <w:color w:val="auto"/>
          <w:sz w:val="21"/>
          <w:szCs w:val="21"/>
          <w:highlight w:val="none"/>
          <w:shd w:val="clear" w:color="auto" w:fill="FFFFFF"/>
        </w:rPr>
        <w:t>17.2  预付款</w:t>
      </w:r>
      <w:bookmarkEnd w:id="1033"/>
      <w:bookmarkEnd w:id="1034"/>
      <w:bookmarkEnd w:id="1035"/>
    </w:p>
    <w:p w14:paraId="66C6EC50">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17.2.1  预付款</w:t>
      </w:r>
    </w:p>
    <w:p w14:paraId="0B868953">
      <w:pPr>
        <w:widowControl/>
        <w:snapToGrid w:val="0"/>
        <w:spacing w:before="0" w:line="360" w:lineRule="auto"/>
        <w:ind w:left="210" w:leftChars="100" w:right="0" w:firstLine="420"/>
        <w:jc w:val="left"/>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spacing w:val="0"/>
          <w:kern w:val="0"/>
          <w:sz w:val="21"/>
          <w:szCs w:val="21"/>
          <w:highlight w:val="none"/>
          <w:shd w:val="clear" w:color="auto" w:fill="FFFFFF"/>
        </w:rPr>
        <w:t>预付款用于承包人为合同工程施工购置材料、施工设备、修建临时设施以及组织施工队 伍进场等。预付款必须专用于合同工程。预付款的额度和预付办法以及支付时间见合同条款</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专用部分。</w:t>
      </w:r>
    </w:p>
    <w:p w14:paraId="076B0793">
      <w:pPr>
        <w:widowControl/>
        <w:snapToGrid w:val="0"/>
        <w:spacing w:line="360" w:lineRule="auto"/>
        <w:ind w:left="210" w:leftChars="100" w:firstLine="420"/>
        <w:jc w:val="left"/>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spacing w:val="0"/>
          <w:kern w:val="0"/>
          <w:sz w:val="21"/>
          <w:szCs w:val="21"/>
          <w:highlight w:val="none"/>
          <w:shd w:val="clear" w:color="auto" w:fill="FFFFFF"/>
        </w:rPr>
        <w:t>安全生产标准化措施费预付款额度及方式见合同条款专用部分。</w:t>
      </w:r>
    </w:p>
    <w:p w14:paraId="1DA36D80">
      <w:pPr>
        <w:widowControl/>
        <w:snapToGrid w:val="0"/>
        <w:spacing w:before="0" w:line="360" w:lineRule="auto"/>
        <w:ind w:left="210" w:leftChars="100" w:firstLine="420"/>
        <w:jc w:val="left"/>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spacing w:val="0"/>
          <w:kern w:val="0"/>
          <w:sz w:val="21"/>
          <w:szCs w:val="21"/>
          <w:highlight w:val="none"/>
          <w:shd w:val="clear" w:color="auto" w:fill="FFFFFF"/>
        </w:rPr>
        <w:t>预付款额度及安全生产标准化措施费预付款额度均应满足相应规定。</w:t>
      </w:r>
    </w:p>
    <w:p w14:paraId="0AFBBC57">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eastAsia="宋体" w:cs="宋体"/>
          <w:color w:val="auto"/>
          <w:spacing w:val="0"/>
          <w:kern w:val="0"/>
          <w:sz w:val="21"/>
          <w:szCs w:val="21"/>
          <w:highlight w:val="none"/>
          <w:shd w:val="clear" w:color="auto" w:fill="FFFFFF"/>
        </w:rPr>
        <w:t>发包人逾期支付合同约定的预付款，除承担第 22.2 款约定的违约责任外，还应向承包</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人支付按第 17.3.3(2)目约定的标准和方法计算的逾期付款违约金。</w:t>
      </w:r>
    </w:p>
    <w:p w14:paraId="339AF6E2">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17.2.2  预付款的扣回与还清</w:t>
      </w:r>
    </w:p>
    <w:p w14:paraId="3F1E2AAB">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预付款在进度付款中按照合同约定扣回。在颁发工程接收证书前，由于不可抗力或其他原因解除合同时，预付款尚未扣清的，尚未扣清的预付款余额应作为承包人的到期应付款。预付款扣回办法见合同条款专用部分。</w:t>
      </w:r>
    </w:p>
    <w:p w14:paraId="30690937">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1036" w:name="_Toc5962"/>
      <w:bookmarkStart w:id="1037" w:name="_Toc8313"/>
      <w:bookmarkStart w:id="1038" w:name="_Toc706"/>
      <w:r>
        <w:rPr>
          <w:rFonts w:hint="eastAsia" w:ascii="宋体" w:hAnsi="宋体" w:cs="宋体"/>
          <w:b w:val="0"/>
          <w:bCs w:val="0"/>
          <w:color w:val="auto"/>
          <w:sz w:val="21"/>
          <w:szCs w:val="21"/>
          <w:highlight w:val="none"/>
          <w:shd w:val="clear" w:color="auto" w:fill="FFFFFF"/>
        </w:rPr>
        <w:t>17.3  工程进度付款</w:t>
      </w:r>
      <w:bookmarkEnd w:id="1036"/>
      <w:bookmarkEnd w:id="1037"/>
      <w:bookmarkEnd w:id="1038"/>
    </w:p>
    <w:p w14:paraId="7D1D5AA7">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17.3.1  付款周期</w:t>
      </w:r>
    </w:p>
    <w:p w14:paraId="7BFC4E30">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付款周期同计量周期。</w:t>
      </w:r>
    </w:p>
    <w:p w14:paraId="1267BD75">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17.3.2  进度付款申请单</w:t>
      </w:r>
    </w:p>
    <w:p w14:paraId="7134ED37">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承包人应在每个付款周期末，按监理人批准的格式和合同约定的份数，向监理人提交进度付款申请单，并附相应的支持性证明文件。承包人提交进度付款申请单份数见合同条款专用部分。</w:t>
      </w:r>
    </w:p>
    <w:p w14:paraId="1CA9679B">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承包人报送监理人的进度付款申请单应包括下列内容：</w:t>
      </w:r>
    </w:p>
    <w:p w14:paraId="19E55679">
      <w:pPr>
        <w:widowControl/>
        <w:snapToGrid w:val="0"/>
        <w:spacing w:line="360" w:lineRule="auto"/>
        <w:ind w:left="210" w:leftChars="100" w:firstLine="315"/>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（1）截至本次付款周期末已实施工程的价款；</w:t>
      </w:r>
    </w:p>
    <w:p w14:paraId="30BCCEE7">
      <w:pPr>
        <w:widowControl/>
        <w:snapToGrid w:val="0"/>
        <w:spacing w:line="360" w:lineRule="auto"/>
        <w:ind w:left="210" w:leftChars="100" w:firstLine="315"/>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（2）根据第15条应增加和扣减的变更金额；</w:t>
      </w:r>
    </w:p>
    <w:p w14:paraId="38ED2CC9">
      <w:pPr>
        <w:widowControl/>
        <w:snapToGrid w:val="0"/>
        <w:spacing w:line="360" w:lineRule="auto"/>
        <w:ind w:left="210" w:leftChars="100" w:firstLine="315"/>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（3）根据第23条应增加和扣减的索赔金额；</w:t>
      </w:r>
    </w:p>
    <w:p w14:paraId="265240D3">
      <w:pPr>
        <w:widowControl/>
        <w:snapToGrid w:val="0"/>
        <w:spacing w:line="360" w:lineRule="auto"/>
        <w:ind w:left="210" w:leftChars="100" w:firstLine="315"/>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（4）根据第17.2款约定应支付的预付款和扣减的返还预付款；</w:t>
      </w:r>
    </w:p>
    <w:p w14:paraId="312A1EF4">
      <w:pPr>
        <w:widowControl/>
        <w:snapToGrid w:val="0"/>
        <w:spacing w:line="360" w:lineRule="auto"/>
        <w:ind w:left="210" w:leftChars="100" w:firstLine="315"/>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（5）根据第17.4.1项约定应扣减的质量保证金；</w:t>
      </w:r>
    </w:p>
    <w:p w14:paraId="7F3FE52B">
      <w:pPr>
        <w:widowControl/>
        <w:snapToGrid w:val="0"/>
        <w:spacing w:line="360" w:lineRule="auto"/>
        <w:ind w:left="210" w:leftChars="100" w:firstLine="315"/>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（6）根据合同应增加和（或）扣减的其他内容金额见合同条款专用部分。</w:t>
      </w:r>
    </w:p>
    <w:p w14:paraId="276FED0A">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17.3.3  进度付款证书和支付时间</w:t>
      </w:r>
    </w:p>
    <w:p w14:paraId="16166C8F">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2A095F78">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发包人应在监理人收到进度付款申请单后的28天内，将进度应付款支付给承包人。发包人未按第17.2.1(2)目、第17.3.3(2)目、第17.5.2(2)目和第17.6.2(2)目约定的期限支付承包人依合同约定应当得到的款项，应当从应付之日起按照合同约定的计算标准和计算方法向承包人支付逾期付款违约金。承包人应当按第23.1（1）目的约定，在最终付款期限到期后28天内，向监理人递交索赔意向通知书,说明有权得到按本款约定的标准和方法计算的逾期付款违约金。承包人要求发包人支付逾期付款违约金不影响承包人要求发包人承担第22.2款约定的其他违约责任的权利。逾期付款违约金计算标准和计算方法见合同条款专用部分。</w:t>
      </w:r>
    </w:p>
    <w:p w14:paraId="5483DE3F">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（3）监理人出具进度付款证书，不应视为监理人已同意、批准或接受了承包人完成的该部分工作。</w:t>
      </w:r>
    </w:p>
    <w:p w14:paraId="7AC1DBC0">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（4）进度付款涉及政府投资资金的，按照国库集中支付等国家相关规定和合同约定办理。进度付款涉及政府性资金的支付方法见合同条款专用部分。</w:t>
      </w:r>
    </w:p>
    <w:p w14:paraId="6D1BC113">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17.3.4  工程进度付款的修正</w:t>
      </w:r>
    </w:p>
    <w:p w14:paraId="0B8D19A3">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在对以往历次已签发的进度付款证书进行汇总和复核中发现错、漏或重复的，监理人有权予以修正，承包人也有权提出修正申请。经双方复核同意的修正，应在本次进度付款中支付或扣除。</w:t>
      </w:r>
    </w:p>
    <w:p w14:paraId="1630BCB1">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17.3.5  临时付款证书</w:t>
      </w:r>
    </w:p>
    <w:p w14:paraId="1FF00FF6">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在合同约定的期限内，承包人和监理人无法对当期已完工程量和按合同约定应当支付的其他款项达成一致的，监理人应当在收到承包人报送的进度付款申请单等文件后14天内，就与承包人达成一致意见的金额编制临时付款证书，报送发包人审查。临时付款证书中应当说明承包人有异议部分的金额及其原因，经发包人签字确认后，由监理人向承包人出具临时付款证书。发包人应当在监理人收到进度付款申请单后28天内，将临时付款证书中确定的应付金额支付给承包人。发包人和监理人均不得以任何理由延期支付工程进度付款。</w:t>
      </w:r>
    </w:p>
    <w:p w14:paraId="55C66060">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对临时付款证书中承包人有异议部分的金额，承包人应当按照监理人要求，提交进一步的支持性文件，经监理人进一步审核并认可的应付金额，应当按第17.3.4项的约定</w:t>
      </w:r>
      <w:r>
        <w:rPr>
          <w:rFonts w:hint="eastAsia" w:ascii="宋体" w:hAnsi="宋体" w:cs="宋体"/>
          <w:color w:val="auto"/>
          <w:kern w:val="0"/>
          <w:szCs w:val="21"/>
          <w:highlight w:val="none"/>
          <w:shd w:val="clear" w:color="auto" w:fill="FFFFFF"/>
          <w:lang w:eastAsia="zh-CN"/>
        </w:rPr>
        <w:t>纳入</w:t>
      </w:r>
      <w:r>
        <w:rPr>
          <w:rFonts w:hint="eastAsia" w:ascii="宋体" w:hAnsi="宋体" w:cs="宋体"/>
          <w:color w:val="auto"/>
          <w:kern w:val="0"/>
          <w:szCs w:val="21"/>
          <w:highlight w:val="none"/>
          <w:shd w:val="clear" w:color="auto" w:fill="FFFFFF"/>
        </w:rPr>
        <w:t>下一期进度付款证书中。经过进一步努力，承包人仍有异议的，按合同条款第24条的约定办理。</w:t>
      </w:r>
    </w:p>
    <w:p w14:paraId="27D8EC46">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有异议款项中经监理人进一步审核后认可的，或者经过合同条款第24条约定的争议解决方式确定的应付金额，其应付之日为引发异议的进度付款证书的应付之日，承包人有权得到按第17.3.3（2）目约定计算的逾期付款违约金。</w:t>
      </w:r>
    </w:p>
    <w:p w14:paraId="037A5530">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1039" w:name="_Toc17187"/>
      <w:bookmarkStart w:id="1040" w:name="_Toc20220"/>
      <w:bookmarkStart w:id="1041" w:name="_Toc24736"/>
      <w:r>
        <w:rPr>
          <w:rFonts w:hint="eastAsia" w:ascii="宋体" w:hAnsi="宋体" w:cs="宋体"/>
          <w:b w:val="0"/>
          <w:bCs w:val="0"/>
          <w:color w:val="auto"/>
          <w:sz w:val="21"/>
          <w:szCs w:val="21"/>
          <w:highlight w:val="none"/>
          <w:shd w:val="clear" w:color="auto" w:fill="FFFFFF"/>
        </w:rPr>
        <w:t>17.4  质量保证金</w:t>
      </w:r>
      <w:bookmarkEnd w:id="1039"/>
      <w:bookmarkEnd w:id="1040"/>
      <w:bookmarkEnd w:id="1041"/>
    </w:p>
    <w:p w14:paraId="7CA3F780">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17.4.1  质量保证金处理</w:t>
      </w:r>
    </w:p>
    <w:p w14:paraId="2BEEC735">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eastAsia="宋体" w:cs="宋体"/>
          <w:color w:val="auto"/>
          <w:spacing w:val="0"/>
          <w:kern w:val="0"/>
          <w:sz w:val="21"/>
          <w:szCs w:val="21"/>
          <w:highlight w:val="none"/>
          <w:shd w:val="clear" w:color="auto" w:fill="FFFFFF"/>
        </w:rPr>
        <w:t>（1）合同条款专用部分第4.2.1 项约定不提交履约担保，采用扣留质量保证金的，质</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量保证金由监理人从第一个付款周期开始按进度付款证书确认的已实施工程的合同清单价</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款、已实施工程的工程量清单缺陷调整价款、根据合同条款第 15 条增加和扣减的变更金额、</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根据合同条款第 23 条增加和扣减的索赔金额以及根据合同应增加和扣减的其他金额（不包</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括预付款的支付、返还、此前已经按合同约定支付给承包人的进度款以及已经扣留的质量保</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证金）的总额的约定比例扣留，直至质量保证金累计扣留金额达到竣工结算合同总价的约定</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比例为止；</w:t>
      </w:r>
    </w:p>
    <w:p w14:paraId="6D94D632">
      <w:pPr>
        <w:widowControl/>
        <w:snapToGrid w:val="0"/>
        <w:spacing w:line="360" w:lineRule="auto"/>
        <w:ind w:left="210" w:leftChars="100" w:firstLine="420" w:firstLineChars="20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采用质量保证金保函担保形式的，工程竣工前，不得扣留质量保证金。</w:t>
      </w:r>
    </w:p>
    <w:p w14:paraId="6EA4BEEA">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（2）合同条款专用部分第4.2.1项约定提交履约担保，采用扣留质量保证金的，在第17.5款竣工结算中，应当按照竣工结算合同总价约定的比例扣留质量保证金，</w:t>
      </w:r>
      <w:r>
        <w:rPr>
          <w:rFonts w:hint="eastAsia" w:ascii="宋体" w:hAnsi="宋体" w:cs="宋体"/>
          <w:color w:val="auto"/>
          <w:kern w:val="0"/>
          <w:szCs w:val="21"/>
          <w:highlight w:val="none"/>
          <w:shd w:val="clear" w:color="auto" w:fill="FFFFFF"/>
          <w:lang w:eastAsia="zh-CN"/>
        </w:rPr>
        <w:t>应当</w:t>
      </w:r>
      <w:r>
        <w:rPr>
          <w:rFonts w:hint="eastAsia" w:ascii="宋体" w:hAnsi="宋体" w:cs="宋体"/>
          <w:color w:val="auto"/>
          <w:kern w:val="0"/>
          <w:szCs w:val="21"/>
          <w:highlight w:val="none"/>
          <w:shd w:val="clear" w:color="auto" w:fill="FFFFFF"/>
        </w:rPr>
        <w:t>支付的竣工付款金额不足应扣留的质量保证金金额时，承包人应</w:t>
      </w:r>
      <w:r>
        <w:rPr>
          <w:rFonts w:hint="eastAsia" w:ascii="宋体" w:hAnsi="宋体" w:cs="宋体"/>
          <w:color w:val="auto"/>
          <w:kern w:val="0"/>
          <w:szCs w:val="21"/>
          <w:highlight w:val="none"/>
          <w:shd w:val="clear" w:color="auto" w:fill="FFFFFF"/>
          <w:lang w:eastAsia="zh-CN"/>
        </w:rPr>
        <w:t>返还</w:t>
      </w:r>
      <w:r>
        <w:rPr>
          <w:rFonts w:hint="eastAsia" w:ascii="宋体" w:hAnsi="宋体" w:cs="宋体"/>
          <w:color w:val="auto"/>
          <w:kern w:val="0"/>
          <w:szCs w:val="21"/>
          <w:highlight w:val="none"/>
          <w:shd w:val="clear" w:color="auto" w:fill="FFFFFF"/>
        </w:rPr>
        <w:t>差额部分；采用质量保证金保函担保形式的，工程竣工前，不得扣留质量保证金；</w:t>
      </w:r>
    </w:p>
    <w:p w14:paraId="76D4E3BD">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（3）质量保证金的形式与约定比例见合同条款专用部分。</w:t>
      </w:r>
    </w:p>
    <w:p w14:paraId="4A442976">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17.4.2  在第1.1.4.5目约定的缺陷责任期满时，承包人向发包人申请到期应返还承包人剩余的质量保证金金额或退还保函担保，发包人应在14天内会同承包人按照合同约定的内容核实承包人是否完成缺陷责任。如无异议，发包人应当在核实后将剩余保证金返还承包人或将其保函退还承包人。</w:t>
      </w:r>
    </w:p>
    <w:p w14:paraId="7A441541">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17.4.3  在第1.1.4.5目约定的缺陷责任期满时，承包人没有完成缺陷责任的，发包人有权扣留与未履行责任剩余工作所需金额相应的质量保证金余额或依据其保函担保约定追究责任，并有权根据第19.3款约定要求延长缺陷责任期，直至完成剩余工作为止。</w:t>
      </w:r>
    </w:p>
    <w:p w14:paraId="2E081D25">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1042" w:name="_Toc28312"/>
      <w:bookmarkStart w:id="1043" w:name="_Toc23003"/>
      <w:bookmarkStart w:id="1044" w:name="_Toc19731"/>
      <w:r>
        <w:rPr>
          <w:rFonts w:hint="eastAsia" w:ascii="宋体" w:hAnsi="宋体" w:cs="宋体"/>
          <w:b w:val="0"/>
          <w:bCs w:val="0"/>
          <w:color w:val="auto"/>
          <w:sz w:val="21"/>
          <w:szCs w:val="21"/>
          <w:highlight w:val="none"/>
          <w:shd w:val="clear" w:color="auto" w:fill="FFFFFF"/>
        </w:rPr>
        <w:t>17.5  竣工结算</w:t>
      </w:r>
      <w:bookmarkEnd w:id="1042"/>
      <w:bookmarkEnd w:id="1043"/>
      <w:bookmarkEnd w:id="1044"/>
    </w:p>
    <w:p w14:paraId="1C19F02F">
      <w:pPr>
        <w:widowControl/>
        <w:snapToGrid w:val="0"/>
        <w:spacing w:before="0" w:line="360" w:lineRule="auto"/>
        <w:ind w:left="210" w:leftChars="100" w:firstLine="420"/>
        <w:jc w:val="left"/>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spacing w:val="0"/>
          <w:kern w:val="0"/>
          <w:sz w:val="21"/>
          <w:szCs w:val="21"/>
          <w:highlight w:val="none"/>
          <w:shd w:val="clear" w:color="auto" w:fill="FFFFFF"/>
        </w:rPr>
        <w:t>17.5.1  过程结算</w:t>
      </w:r>
    </w:p>
    <w:p w14:paraId="3E49E077">
      <w:pPr>
        <w:widowControl/>
        <w:snapToGrid w:val="0"/>
        <w:spacing w:before="0" w:line="360" w:lineRule="auto"/>
        <w:ind w:left="210" w:leftChars="100" w:firstLine="420"/>
        <w:jc w:val="left"/>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spacing w:val="0"/>
          <w:kern w:val="0"/>
          <w:sz w:val="21"/>
          <w:szCs w:val="21"/>
          <w:highlight w:val="none"/>
          <w:shd w:val="clear" w:color="auto" w:fill="FFFFFF"/>
        </w:rPr>
        <w:t>本工程是否进行过程结算及相关要求见合同条款专用部分。</w:t>
      </w:r>
    </w:p>
    <w:p w14:paraId="24657F0C">
      <w:pPr>
        <w:widowControl/>
        <w:snapToGrid w:val="0"/>
        <w:spacing w:before="0" w:line="360" w:lineRule="auto"/>
        <w:ind w:left="210" w:leftChars="100" w:firstLine="420"/>
        <w:jc w:val="left"/>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spacing w:val="0"/>
          <w:kern w:val="0"/>
          <w:sz w:val="21"/>
          <w:szCs w:val="21"/>
          <w:highlight w:val="none"/>
          <w:shd w:val="clear" w:color="auto" w:fill="FFFFFF"/>
        </w:rPr>
        <w:t>17.5.2  竣工付款申请单</w:t>
      </w:r>
    </w:p>
    <w:p w14:paraId="5C3AEBE4">
      <w:pPr>
        <w:widowControl/>
        <w:snapToGrid w:val="0"/>
        <w:spacing w:before="0" w:line="360" w:lineRule="auto"/>
        <w:ind w:left="210" w:leftChars="100" w:firstLine="420"/>
        <w:jc w:val="left"/>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spacing w:val="0"/>
          <w:kern w:val="0"/>
          <w:sz w:val="21"/>
          <w:szCs w:val="21"/>
          <w:highlight w:val="none"/>
          <w:shd w:val="clear" w:color="auto" w:fill="FFFFFF"/>
        </w:rPr>
        <w:t>（1）工程接收证书颁发后，承包人应按合同约定的份数和期限向监理人提交竣工付款</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申请单，并提供相关证明材料。承包人提交竣工付款申请单份数和期限见合同条款专用部分。</w:t>
      </w:r>
    </w:p>
    <w:p w14:paraId="4B13ED20">
      <w:pPr>
        <w:widowControl/>
        <w:snapToGrid w:val="0"/>
        <w:spacing w:line="360" w:lineRule="auto"/>
        <w:ind w:left="210" w:leftChars="100" w:firstLine="420"/>
        <w:jc w:val="left"/>
        <w:rPr>
          <w:rFonts w:hint="eastAsia" w:ascii="宋体" w:hAnsi="宋体" w:cs="宋体"/>
          <w:color w:val="auto"/>
          <w:kern w:val="0"/>
          <w:szCs w:val="21"/>
          <w:highlight w:val="none"/>
          <w:shd w:val="clear" w:color="auto" w:fill="FFFFFF"/>
        </w:rPr>
      </w:pPr>
      <w:r>
        <w:rPr>
          <w:rFonts w:hint="eastAsia" w:ascii="宋体" w:hAnsi="宋体" w:eastAsia="宋体" w:cs="宋体"/>
          <w:color w:val="auto"/>
          <w:spacing w:val="0"/>
          <w:kern w:val="0"/>
          <w:sz w:val="21"/>
          <w:szCs w:val="21"/>
          <w:highlight w:val="none"/>
          <w:shd w:val="clear" w:color="auto" w:fill="FFFFFF"/>
        </w:rPr>
        <w:t>（2）竣工付款申请单应包括下列内容：竣工结算合同总价、发包人已支付承包人的工</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程价款、应扣留的质量保证金、应支付的竣工付款金额和应支付或扣减的其他内容金额。竣</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工付款申请单的其他内容见合同条款专用部分。</w:t>
      </w:r>
    </w:p>
    <w:p w14:paraId="5C117272">
      <w:pPr>
        <w:widowControl/>
        <w:snapToGrid w:val="0"/>
        <w:spacing w:before="0" w:line="360" w:lineRule="auto"/>
        <w:ind w:left="210" w:leftChars="100" w:right="0" w:firstLine="420"/>
        <w:jc w:val="left"/>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spacing w:val="0"/>
          <w:kern w:val="0"/>
          <w:sz w:val="21"/>
          <w:szCs w:val="21"/>
          <w:highlight w:val="none"/>
          <w:shd w:val="clear" w:color="auto" w:fill="FFFFFF"/>
        </w:rPr>
        <w:t>（3）监理人对竣工付款申请单有异议的，有权要求承包人进行修正和提供补充资料。</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经监理人和承包人协商后， 由承包人向监理人提交修正后的竣工付款申请单。</w:t>
      </w:r>
    </w:p>
    <w:p w14:paraId="33681349">
      <w:pPr>
        <w:widowControl/>
        <w:snapToGrid w:val="0"/>
        <w:spacing w:before="0" w:line="360" w:lineRule="auto"/>
        <w:ind w:left="210" w:leftChars="100" w:right="0" w:firstLine="420"/>
        <w:jc w:val="left"/>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spacing w:val="0"/>
          <w:kern w:val="0"/>
          <w:sz w:val="21"/>
          <w:szCs w:val="21"/>
          <w:highlight w:val="none"/>
          <w:shd w:val="clear" w:color="auto" w:fill="FFFFFF"/>
        </w:rPr>
        <w:t>（4）承包人未按本项约定的期限和内容提交竣工付款申请单或者未按第 17.5.2（3）</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目约定提交修正后的竣工付款申请单，经监理人催促后 14 天内仍未提交或者没有明确答复</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的，监理人和发包人有权根据已有资料进行审查，审查确定的竣工结算合同总价和竣工付款 金额视同是经承包人认可的工程竣工结算合同总价和竣工付款金额。</w:t>
      </w:r>
    </w:p>
    <w:p w14:paraId="207C3FC2">
      <w:pPr>
        <w:widowControl/>
        <w:snapToGrid w:val="0"/>
        <w:spacing w:before="0" w:line="360" w:lineRule="auto"/>
        <w:ind w:left="210" w:leftChars="100" w:firstLine="420"/>
        <w:jc w:val="left"/>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spacing w:val="0"/>
          <w:kern w:val="0"/>
          <w:sz w:val="21"/>
          <w:szCs w:val="21"/>
          <w:highlight w:val="none"/>
          <w:shd w:val="clear" w:color="auto" w:fill="FFFFFF"/>
        </w:rPr>
        <w:t>17.5.3  竣工付款证书及支付时间</w:t>
      </w:r>
    </w:p>
    <w:p w14:paraId="591BDCA9">
      <w:pPr>
        <w:widowControl/>
        <w:snapToGrid w:val="0"/>
        <w:spacing w:before="0" w:line="360" w:lineRule="auto"/>
        <w:ind w:left="210" w:leftChars="100" w:right="0" w:firstLine="420"/>
        <w:jc w:val="left"/>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spacing w:val="0"/>
          <w:kern w:val="0"/>
          <w:sz w:val="21"/>
          <w:szCs w:val="21"/>
          <w:highlight w:val="none"/>
          <w:shd w:val="clear" w:color="auto" w:fill="FFFFFF"/>
        </w:rPr>
        <w:t>（1）监理人在收到承包人提交的竣工付款申请单后的 14 天内完成审核，并提出发包人</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到期应支付给承包人的价款等审核意见，报送发包人审核。发包人应在收到后 14 天内审核</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完毕，由监理人向承包人出具经发包人签字确认的竣工付款证书。监理人未在约定时间内提</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出具体意见的，视为承包人提交的竣工付款申请单已经监理人核查同意；发包人未在约定时 间内提出具体意见的，监理人提出发包人到期应支付给承包人的价款视为已经发包人同意。</w:t>
      </w:r>
    </w:p>
    <w:p w14:paraId="23BB40A6">
      <w:pPr>
        <w:widowControl/>
        <w:snapToGrid w:val="0"/>
        <w:spacing w:before="0" w:line="360" w:lineRule="auto"/>
        <w:ind w:left="210" w:leftChars="100" w:right="0" w:firstLine="420"/>
        <w:jc w:val="left"/>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spacing w:val="0"/>
          <w:kern w:val="0"/>
          <w:sz w:val="21"/>
          <w:szCs w:val="21"/>
          <w:highlight w:val="none"/>
          <w:shd w:val="clear" w:color="auto" w:fill="FFFFFF"/>
        </w:rPr>
        <w:t>（2）发包人应在监理人出具竣工付款证书后的 14 天内，将应支付款支付给承包人。发</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包人不按期支付的，按第 17.3.3（2） 目的约定，将逾期付款违约金支付给承包人。</w:t>
      </w:r>
    </w:p>
    <w:p w14:paraId="2B5AADAF">
      <w:pPr>
        <w:widowControl/>
        <w:snapToGrid w:val="0"/>
        <w:spacing w:before="0" w:line="360" w:lineRule="auto"/>
        <w:ind w:left="210" w:leftChars="100" w:right="0" w:firstLine="420"/>
        <w:jc w:val="left"/>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spacing w:val="0"/>
          <w:kern w:val="0"/>
          <w:sz w:val="21"/>
          <w:szCs w:val="21"/>
          <w:highlight w:val="none"/>
          <w:shd w:val="clear" w:color="auto" w:fill="FFFFFF"/>
        </w:rPr>
        <w:t>（3）如竣工付款证书中显示进度款支付超出实际已完成工程价款的情况，承包人应在</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监理人出具竣工付款证书后 30 日内向发包人返还多收到的工程进度款。</w:t>
      </w:r>
    </w:p>
    <w:p w14:paraId="0794BDC7">
      <w:pPr>
        <w:widowControl/>
        <w:snapToGrid w:val="0"/>
        <w:spacing w:before="0" w:line="360" w:lineRule="auto"/>
        <w:ind w:left="210" w:leftChars="100" w:firstLine="420"/>
        <w:jc w:val="left"/>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spacing w:val="0"/>
          <w:kern w:val="0"/>
          <w:sz w:val="21"/>
          <w:szCs w:val="21"/>
          <w:highlight w:val="none"/>
          <w:shd w:val="clear" w:color="auto" w:fill="FFFFFF"/>
        </w:rPr>
        <w:t>（4）承包人对发包人签认的竣工付款证书有异议的，发包人可出具竣工付款申请单中</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与承包人达成一致意见部分的临时付款证书。存在争议的部分，按第 24 条“争议的解决 ”</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的约定办理。</w:t>
      </w:r>
    </w:p>
    <w:p w14:paraId="5DFBF89A">
      <w:pPr>
        <w:widowControl/>
        <w:snapToGrid w:val="0"/>
        <w:spacing w:before="0" w:line="360" w:lineRule="auto"/>
        <w:ind w:left="210" w:leftChars="100" w:firstLine="420"/>
        <w:jc w:val="left"/>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spacing w:val="0"/>
          <w:kern w:val="0"/>
          <w:sz w:val="21"/>
          <w:szCs w:val="21"/>
          <w:highlight w:val="none"/>
          <w:shd w:val="clear" w:color="auto" w:fill="FFFFFF"/>
        </w:rPr>
        <w:t>（5）竣工付款涉及政府投资资金的，按第 17.3.3（4） 目的约定办理。</w:t>
      </w:r>
    </w:p>
    <w:p w14:paraId="5AE4ACC7">
      <w:pPr>
        <w:widowControl/>
        <w:snapToGrid w:val="0"/>
        <w:spacing w:before="0" w:line="360" w:lineRule="auto"/>
        <w:ind w:left="210" w:leftChars="100" w:right="0" w:firstLine="420"/>
        <w:jc w:val="left"/>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spacing w:val="0"/>
          <w:kern w:val="0"/>
          <w:sz w:val="21"/>
          <w:szCs w:val="21"/>
          <w:highlight w:val="none"/>
          <w:shd w:val="clear" w:color="auto" w:fill="FFFFFF"/>
        </w:rPr>
        <w:t>17.5.4  除第 17.5.5 项约定的情况外，发包人和承包人应当在监理人颁发（出具）工</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程接收证书后 56 天内办清竣工结算和竣工付款。</w:t>
      </w:r>
    </w:p>
    <w:p w14:paraId="5D40A66E">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eastAsia="宋体" w:cs="宋体"/>
          <w:color w:val="auto"/>
          <w:spacing w:val="0"/>
          <w:kern w:val="0"/>
          <w:sz w:val="21"/>
          <w:szCs w:val="21"/>
          <w:highlight w:val="none"/>
          <w:shd w:val="clear" w:color="auto" w:fill="FFFFFF"/>
        </w:rPr>
        <w:t>17.5.5  政府投资或者以政府投资为主的建设项目纳入审计项目计划的，发包人和承包 人均负有配合、接受审计机关审计的义务，竣工结算应当依据审计结论，办清竣工结算和竣 工付款的时间按照相关规定执行。</w:t>
      </w:r>
    </w:p>
    <w:p w14:paraId="70917D76">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1045" w:name="_Toc13638"/>
      <w:bookmarkStart w:id="1046" w:name="_Toc31079"/>
      <w:bookmarkStart w:id="1047" w:name="_Toc20535"/>
      <w:r>
        <w:rPr>
          <w:rFonts w:hint="eastAsia" w:ascii="宋体" w:hAnsi="宋体" w:cs="宋体"/>
          <w:b w:val="0"/>
          <w:bCs w:val="0"/>
          <w:color w:val="auto"/>
          <w:sz w:val="21"/>
          <w:szCs w:val="21"/>
          <w:highlight w:val="none"/>
          <w:shd w:val="clear" w:color="auto" w:fill="FFFFFF"/>
        </w:rPr>
        <w:t>17.6  最终结清</w:t>
      </w:r>
      <w:bookmarkEnd w:id="1045"/>
      <w:bookmarkEnd w:id="1046"/>
      <w:bookmarkEnd w:id="1047"/>
    </w:p>
    <w:p w14:paraId="786A9EA4">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17.6.1  最终结清申请单</w:t>
      </w:r>
    </w:p>
    <w:p w14:paraId="48A32FAB">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（1）缺陷责任期终止证书签发后，承包人可按合同约定的份数和期限向监理人提交最终结清申请单，并提供相关证明材料。承包人提交最终结清申请单的份数和期限见合同条款专用部分。</w:t>
      </w:r>
    </w:p>
    <w:p w14:paraId="0C1A4DE5">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发包人向承包人支付质量保证金利息的，承包人应按照约定的利息计算方法计算利息，并列入最终结清申请单中。是否支付质量保证金利息及利息计算方法见合同条款专用部分。</w:t>
      </w:r>
    </w:p>
    <w:p w14:paraId="4D8DDA66">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（2）发包人对最终结清申请单内容有异议的，有权要求承包人进行修正和提供补充资料，由承包人向监理人提交修正后的最终结清申请单。</w:t>
      </w:r>
    </w:p>
    <w:p w14:paraId="3E7B954E">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17.6.2  最终结清证书和支付时间</w:t>
      </w:r>
    </w:p>
    <w:p w14:paraId="3A0B6CBD">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监理人收到承包人提交的最终结清申请单后的14天内，提出发包人应支付给承包人的价款等审核意见，并报送发包人审核。发包人应在收到后14天内审核完毕，由监理人向承包人出具经发包人签认的最终结清证书。监理人未在约定时间内提出具体意见的，视为承包人提交的最终结清申请已经监理人核查同意；发包人未在约定时间内提出具体意见的，监理人提出应支付给承包人的价款视为已经发包人同意。</w:t>
      </w:r>
    </w:p>
    <w:p w14:paraId="171F0A8F">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（2）发包人应在监理人出具最终结清证书后的14天内，将应支付款支付给承包人。发包人不按期支付的，按第17.3.3（2）目的约定，将逾期付款违约金支付给承包人。</w:t>
      </w:r>
    </w:p>
    <w:p w14:paraId="0B838FB3">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（3）承包人对发包人签认的最终结清证书有异议的，按第24条“争议的解决”的约定办理。</w:t>
      </w:r>
    </w:p>
    <w:p w14:paraId="4D9471E1">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（4）最终结清付款涉及政府投资资金的，按第17.3.3（4）目的约定办理。</w:t>
      </w:r>
    </w:p>
    <w:p w14:paraId="4F972EB4">
      <w:pPr>
        <w:pStyle w:val="3"/>
        <w:keepNext w:val="0"/>
        <w:keepLines w:val="0"/>
        <w:widowControl/>
        <w:snapToGrid w:val="0"/>
        <w:spacing w:before="0" w:after="0" w:line="360" w:lineRule="auto"/>
        <w:ind w:left="210" w:leftChars="100"/>
        <w:jc w:val="left"/>
        <w:rPr>
          <w:rFonts w:ascii="宋体" w:hAnsi="宋体"/>
          <w:b w:val="0"/>
          <w:bCs w:val="0"/>
          <w:color w:val="auto"/>
          <w:sz w:val="21"/>
          <w:szCs w:val="21"/>
          <w:highlight w:val="none"/>
          <w:shd w:val="clear" w:color="auto" w:fill="FFFFFF"/>
        </w:rPr>
      </w:pPr>
      <w:bookmarkStart w:id="1048" w:name="_Toc1449"/>
      <w:bookmarkStart w:id="1049" w:name="_Toc29945"/>
      <w:bookmarkStart w:id="1050" w:name="_Toc8929"/>
      <w:r>
        <w:rPr>
          <w:rFonts w:hint="eastAsia" w:ascii="宋体" w:hAnsi="宋体"/>
          <w:b w:val="0"/>
          <w:bCs w:val="0"/>
          <w:color w:val="auto"/>
          <w:sz w:val="21"/>
          <w:szCs w:val="21"/>
          <w:highlight w:val="none"/>
          <w:shd w:val="clear" w:color="auto" w:fill="FFFFFF"/>
        </w:rPr>
        <w:t>18.竣工验收</w:t>
      </w:r>
      <w:bookmarkEnd w:id="1048"/>
      <w:bookmarkEnd w:id="1049"/>
      <w:bookmarkEnd w:id="1050"/>
    </w:p>
    <w:p w14:paraId="1A0E9266">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1051" w:name="_Toc22066"/>
      <w:bookmarkStart w:id="1052" w:name="_Toc13422"/>
      <w:bookmarkStart w:id="1053" w:name="_Toc17266"/>
      <w:r>
        <w:rPr>
          <w:rFonts w:hint="eastAsia" w:ascii="宋体" w:hAnsi="宋体" w:cs="宋体"/>
          <w:b w:val="0"/>
          <w:bCs w:val="0"/>
          <w:color w:val="auto"/>
          <w:sz w:val="21"/>
          <w:szCs w:val="21"/>
          <w:highlight w:val="none"/>
          <w:shd w:val="clear" w:color="auto" w:fill="FFFFFF"/>
        </w:rPr>
        <w:t>18.1  竣工验收的含义</w:t>
      </w:r>
      <w:bookmarkEnd w:id="1051"/>
      <w:bookmarkEnd w:id="1052"/>
      <w:bookmarkEnd w:id="1053"/>
    </w:p>
    <w:p w14:paraId="23507FA8">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18.1.1  竣工验收指承包人完成了全部合同工作后，发包人按合同要求进行的验收。</w:t>
      </w:r>
    </w:p>
    <w:p w14:paraId="12F8178D">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18.1.2  国家验收是政府有关部门根据法律、规范、规程和政策要求，针对发包人全面组织实施的整个工程正式交付投运前的验收。</w:t>
      </w:r>
    </w:p>
    <w:p w14:paraId="38AC339A">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 xml:space="preserve">18.1.3  需要进行国家验收的，竣工验收是国家验收的一部分。竣工验收所采用的各项验收和评定标准应符合国家验收标准。发包人和承包人为竣工验收提供的各项竣工验收资料应符合国家验收的要求。 </w:t>
      </w:r>
    </w:p>
    <w:p w14:paraId="4DD116EB">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1054" w:name="_Toc21192"/>
      <w:bookmarkStart w:id="1055" w:name="_Toc14511"/>
      <w:bookmarkStart w:id="1056" w:name="_Toc30202"/>
      <w:r>
        <w:rPr>
          <w:rFonts w:hint="eastAsia" w:ascii="宋体" w:hAnsi="宋体" w:cs="宋体"/>
          <w:b w:val="0"/>
          <w:bCs w:val="0"/>
          <w:color w:val="auto"/>
          <w:sz w:val="21"/>
          <w:szCs w:val="21"/>
          <w:highlight w:val="none"/>
          <w:shd w:val="clear" w:color="auto" w:fill="FFFFFF"/>
        </w:rPr>
        <w:t>18.2  竣工验收申请报告</w:t>
      </w:r>
      <w:bookmarkEnd w:id="1054"/>
      <w:bookmarkEnd w:id="1055"/>
      <w:bookmarkEnd w:id="1056"/>
    </w:p>
    <w:p w14:paraId="2E0D5934">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当工程具备以下条件时，承包人即可向监理人报送竣工验收申请报告：</w:t>
      </w:r>
    </w:p>
    <w:p w14:paraId="479B152F">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（1）除监理人同意列入缺陷责任期内完成的尾工（甩项）工程和缺陷修补工作外，合同范围内的全部单位工程以及有关工作，包括合同要求的试验、试运行以及检验和验收均已完成，并符合合同要求；</w:t>
      </w:r>
    </w:p>
    <w:p w14:paraId="636BD2E4">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承包人负责整理和提交的竣工验收资料应当符合工程所在地建设行政主管部门和（或）城市建设档案管理机构有关施工资料的要求，同时已按合同条款专用部分约定备齐了符合要求的竣工资料。竣工验收资料的内容和份数以及费用支付方式见合同条款专用部分。</w:t>
      </w:r>
    </w:p>
    <w:p w14:paraId="45AFCBF8">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（3）已按监理人的要求编制了在缺陷责任期内需完成的尾工（甩项）工程，和缺陷修补工作清单等相应施工计划；</w:t>
      </w:r>
    </w:p>
    <w:p w14:paraId="73C7E21C">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（4）监理人要求在竣工验收前应完成的其他工作；</w:t>
      </w:r>
    </w:p>
    <w:p w14:paraId="1A7DDF48">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（5）监理人要求提交的竣工验收资料清单。</w:t>
      </w:r>
    </w:p>
    <w:p w14:paraId="76894281">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1057" w:name="_Toc12897"/>
      <w:bookmarkStart w:id="1058" w:name="_Toc22251"/>
      <w:bookmarkStart w:id="1059" w:name="_Toc23661"/>
      <w:r>
        <w:rPr>
          <w:rFonts w:hint="eastAsia" w:ascii="宋体" w:hAnsi="宋体" w:cs="宋体"/>
          <w:b w:val="0"/>
          <w:bCs w:val="0"/>
          <w:color w:val="auto"/>
          <w:sz w:val="21"/>
          <w:szCs w:val="21"/>
          <w:highlight w:val="none"/>
          <w:shd w:val="clear" w:color="auto" w:fill="FFFFFF"/>
        </w:rPr>
        <w:t>18.3  验收</w:t>
      </w:r>
      <w:bookmarkEnd w:id="1057"/>
      <w:bookmarkEnd w:id="1058"/>
      <w:bookmarkEnd w:id="1059"/>
    </w:p>
    <w:p w14:paraId="1C2827D3">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监理人收到承包人按第18.2款约定提交的竣工验收申请报告后，应审查申请报告的各项内容，并按以下不同情况进行处理。</w:t>
      </w:r>
    </w:p>
    <w:p w14:paraId="5E01EE61">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18.3.1  监理人审查后认为尚不具备竣工验收条件的，应在收到竣工验收申请报告后的28天内通知承包人，并指出在颁发接收证书前承包人需进行的工作内容。承包人完成监理人通知的全部工作内容后，应再次提交竣工验收申请报告，直至监理人同意为止。</w:t>
      </w:r>
    </w:p>
    <w:p w14:paraId="256948D3">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18.3.2  监理人审查后认为已具备竣工验收条件的，应在收到竣工验收申请报告后的28天内提请发包人进行工程验收。</w:t>
      </w:r>
    </w:p>
    <w:p w14:paraId="457D3C93">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18.3.3  发包人经过验收后同意接受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14:paraId="4FE62AE0">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18.3.1项、第18.3.2项和第18.3.3项的约定进行。</w:t>
      </w:r>
    </w:p>
    <w:p w14:paraId="3F78ED7E">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18.3.5  经验收合格的工程, 实际竣工日期为承包人按照第18.2款提交竣工验收申请报告或按照本款重新提交竣工验收申请报告的日期（以两者中时间在后者为准）。</w:t>
      </w:r>
    </w:p>
    <w:p w14:paraId="5D141FB2">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18.3.6  发包人在收到承包人竣工验收申请报告56天后未进行验收的，视为验收合格，实际竣工日期以提交竣工验收申请报告的日期为准，但发包人由于不可抗力不能进行验收的除外。</w:t>
      </w:r>
    </w:p>
    <w:p w14:paraId="39C3DAEE">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1060" w:name="_Toc20332"/>
      <w:bookmarkStart w:id="1061" w:name="_Toc21983"/>
      <w:bookmarkStart w:id="1062" w:name="_Toc18815"/>
      <w:r>
        <w:rPr>
          <w:rFonts w:hint="eastAsia" w:ascii="宋体" w:hAnsi="宋体" w:cs="宋体"/>
          <w:b w:val="0"/>
          <w:bCs w:val="0"/>
          <w:color w:val="auto"/>
          <w:sz w:val="21"/>
          <w:szCs w:val="21"/>
          <w:highlight w:val="none"/>
          <w:shd w:val="clear" w:color="auto" w:fill="FFFFFF"/>
        </w:rPr>
        <w:t>18.4  单位工程验收</w:t>
      </w:r>
      <w:bookmarkEnd w:id="1060"/>
      <w:bookmarkEnd w:id="1061"/>
      <w:bookmarkEnd w:id="1062"/>
    </w:p>
    <w:p w14:paraId="0883B641">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18.4.1  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14:paraId="43C5A2D4">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18.4.2  发包人在全部工程竣工前，使用已接收的单位工程导致承包人费用增加的，发包人应承担由此增加的费用和（或）工期延误，并支付承包人合理利润。</w:t>
      </w:r>
    </w:p>
    <w:p w14:paraId="4A165AF8">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1063" w:name="_Toc19573"/>
      <w:bookmarkStart w:id="1064" w:name="_Toc16222"/>
      <w:bookmarkStart w:id="1065" w:name="_Toc1592"/>
      <w:r>
        <w:rPr>
          <w:rFonts w:hint="eastAsia" w:ascii="宋体" w:hAnsi="宋体" w:cs="宋体"/>
          <w:b w:val="0"/>
          <w:bCs w:val="0"/>
          <w:color w:val="auto"/>
          <w:sz w:val="21"/>
          <w:szCs w:val="21"/>
          <w:highlight w:val="none"/>
          <w:shd w:val="clear" w:color="auto" w:fill="FFFFFF"/>
        </w:rPr>
        <w:t>18.5  施工期运行</w:t>
      </w:r>
      <w:bookmarkEnd w:id="1063"/>
      <w:bookmarkEnd w:id="1064"/>
      <w:bookmarkEnd w:id="1065"/>
    </w:p>
    <w:p w14:paraId="7ABE69F3">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18.5.1  施工期运行是指合同工程尚未全部竣工，其中某项或某几项单位工程或工程设备安装已竣工，根据合同条款专用部分约定，需要投入施工期运行的，经发包人按第18.4款的约定验收合格，证明能确保安全后，才能在施工期投入运行。</w:t>
      </w:r>
    </w:p>
    <w:p w14:paraId="4420AA7D">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18.5.2  在施工期运行中发现工程或工程设备损坏或存在缺陷的，由承包人按第19.2款约定进行修复。</w:t>
      </w:r>
    </w:p>
    <w:p w14:paraId="1A2B3B45">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1066" w:name="_Toc8413"/>
      <w:bookmarkStart w:id="1067" w:name="_Toc24002"/>
      <w:bookmarkStart w:id="1068" w:name="_Toc26656"/>
      <w:r>
        <w:rPr>
          <w:rFonts w:hint="eastAsia" w:ascii="宋体" w:hAnsi="宋体" w:cs="宋体"/>
          <w:b w:val="0"/>
          <w:bCs w:val="0"/>
          <w:color w:val="auto"/>
          <w:sz w:val="21"/>
          <w:szCs w:val="21"/>
          <w:highlight w:val="none"/>
          <w:shd w:val="clear" w:color="auto" w:fill="FFFFFF"/>
        </w:rPr>
        <w:t>18.6  试运行</w:t>
      </w:r>
      <w:bookmarkEnd w:id="1066"/>
      <w:bookmarkEnd w:id="1067"/>
      <w:bookmarkEnd w:id="1068"/>
    </w:p>
    <w:p w14:paraId="7E05B454">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18.6.1  工程及工程设备试运行的组织与费用承担</w:t>
      </w:r>
    </w:p>
    <w:p w14:paraId="0BF40ABC">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（1）工程设备安装具备单机无负荷试运行条件，由承包人组织试运行，费用由承包人承担。</w:t>
      </w:r>
    </w:p>
    <w:p w14:paraId="3ADDA91F">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（2）工程设备安装具备无负荷联动试运行条件，由发包人组织试运行，费用由发包人承担。</w:t>
      </w:r>
    </w:p>
    <w:p w14:paraId="71CBCCD7">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（3）投料试运行应在工程竣工验收后由发包人负责，如发包人要求在工程竣工验收前进行或需要承包人配合时，应征得承包人同意，另行签订补充协议。</w:t>
      </w:r>
    </w:p>
    <w:p w14:paraId="65157973">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18.6.2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3116B66F">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1069" w:name="_Toc28497"/>
      <w:bookmarkStart w:id="1070" w:name="_Toc12857"/>
      <w:bookmarkStart w:id="1071" w:name="_Toc24141"/>
      <w:r>
        <w:rPr>
          <w:rFonts w:hint="eastAsia" w:ascii="宋体" w:hAnsi="宋体" w:cs="宋体"/>
          <w:b w:val="0"/>
          <w:bCs w:val="0"/>
          <w:color w:val="auto"/>
          <w:sz w:val="21"/>
          <w:szCs w:val="21"/>
          <w:highlight w:val="none"/>
          <w:shd w:val="clear" w:color="auto" w:fill="FFFFFF"/>
        </w:rPr>
        <w:t>18.7  竣工清场</w:t>
      </w:r>
      <w:bookmarkEnd w:id="1069"/>
      <w:bookmarkEnd w:id="1070"/>
      <w:bookmarkEnd w:id="1071"/>
    </w:p>
    <w:p w14:paraId="0B8B9211">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18.7.1  监理人颁发（出具）工程接收证书后，承包人负责按照以下要求对施工场地进行清理，直至监理人检验合格为止。竣工清场费用由承包人承担。</w:t>
      </w:r>
    </w:p>
    <w:p w14:paraId="750F0F6E">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（1）施工场地内残留的垃圾已全部清除出场；</w:t>
      </w:r>
    </w:p>
    <w:p w14:paraId="685FA942">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（2）临时工程已拆除，场地已按合同要求进行清理、平整或复原；</w:t>
      </w:r>
    </w:p>
    <w:p w14:paraId="345DB69A">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（3）按合同约定应撤离的承包人设备和剩余的材料，包括废弃的施工设备和材料，已按计划撤离施工场地；</w:t>
      </w:r>
    </w:p>
    <w:p w14:paraId="1F9671A5">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（4）工程建筑物周边及其附近道路、河道的施工堆积物，已按监理人指示全部清理；</w:t>
      </w:r>
    </w:p>
    <w:p w14:paraId="67B817D7">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（5）监理人指示的其他场地清理工作已全部完成。</w:t>
      </w:r>
    </w:p>
    <w:p w14:paraId="444E21E9">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18.7.2  承包人未按监理人的要求恢复临时占地，或者场地清理未达到合同约定的，发包人有权委托其他人恢复或清理，所发生的金额从拟支付给承包人的款项中扣除。</w:t>
      </w:r>
    </w:p>
    <w:p w14:paraId="1D76BE61">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1072" w:name="_Toc22272"/>
      <w:bookmarkStart w:id="1073" w:name="_Toc22098"/>
      <w:bookmarkStart w:id="1074" w:name="_Toc24470"/>
      <w:r>
        <w:rPr>
          <w:rFonts w:hint="eastAsia" w:ascii="宋体" w:hAnsi="宋体" w:cs="宋体"/>
          <w:b w:val="0"/>
          <w:bCs w:val="0"/>
          <w:color w:val="auto"/>
          <w:sz w:val="21"/>
          <w:szCs w:val="21"/>
          <w:highlight w:val="none"/>
          <w:shd w:val="clear" w:color="auto" w:fill="FFFFFF"/>
        </w:rPr>
        <w:t>18.8  施工队伍的撤离</w:t>
      </w:r>
      <w:bookmarkEnd w:id="1072"/>
      <w:bookmarkEnd w:id="1073"/>
      <w:bookmarkEnd w:id="1074"/>
    </w:p>
    <w:p w14:paraId="099FF48B">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18.8.1  工程接收证书颁发后的56天内，除了经监理人同意需在缺陷责任期内继续工作和使用的人员、施工设备和临时工程外，其余的人员、施工设备和临时工程均应撤离施工场地或拆除。</w:t>
      </w:r>
    </w:p>
    <w:p w14:paraId="5A4C3E98">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18.8.2  承包人撤离施工场地（现场）时，监理人和承包人应当办理永久工程和施工场地移交手续，移交手续以书面方式出具，并分别经过发包人、监理人和承包人的签认。但是，监理人和发包人未按第17.5.1项约定的期限办清竣工结算和竣工付款的，本工程不得交付使用，发包人和监理人也无权要求承包人按合同约定的期限撤离施工场地（现场）和办理工程移交手续。</w:t>
      </w:r>
    </w:p>
    <w:p w14:paraId="1C7A6F5B">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18.8.3  缺陷责任期满时，承包人的人员和施工设备应在合同约定期限内全部撤离施工场地。撤离施工场地的期限要求见合同条款专用部分。</w:t>
      </w:r>
    </w:p>
    <w:p w14:paraId="0A0CFF12">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1075" w:name="_Toc3126"/>
      <w:bookmarkStart w:id="1076" w:name="_Toc10194"/>
      <w:bookmarkStart w:id="1077" w:name="_Toc26791"/>
      <w:r>
        <w:rPr>
          <w:rFonts w:hint="eastAsia" w:ascii="宋体" w:hAnsi="宋体" w:cs="宋体"/>
          <w:b w:val="0"/>
          <w:bCs w:val="0"/>
          <w:color w:val="auto"/>
          <w:sz w:val="21"/>
          <w:szCs w:val="21"/>
          <w:highlight w:val="none"/>
          <w:shd w:val="clear" w:color="auto" w:fill="FFFFFF"/>
        </w:rPr>
        <w:t>18.9  中间验收</w:t>
      </w:r>
      <w:bookmarkEnd w:id="1075"/>
      <w:bookmarkEnd w:id="1076"/>
      <w:bookmarkEnd w:id="1077"/>
    </w:p>
    <w:p w14:paraId="43B1C286">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18.9.1  本工程需要按照合同约定进行中间验收。进行中间验收的部位见合同条款专用部分。</w:t>
      </w:r>
    </w:p>
    <w:p w14:paraId="0C63A179">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18.9.2  当工程进度达到第18.9.1项约定的中间验收部位时，承包人应当进行自检，并在中间验收前48小时以书面形式通知监理人验收。书面通知应包括中间验收的内容、验收时间和地点。承包人应当准备验收记录。只有监理人验收合格并在验收记录上签字后，承包人方可继续施工。验收不合格的，承包人在合同约定的期限内修改后重新验收。重新验收的期限见合同条款专用部分。</w:t>
      </w:r>
    </w:p>
    <w:p w14:paraId="7CC8AC32">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18.9.3  监理人不能按时进行验收的，应在验收前至少24小时以书面形式向承包人提出延期要求，但延期不能超过48小时。监理人未能按本款约定的时限提出延期要求，又未按期进行验收的，承包人可自行组织验收，监理人必须认同验收记录。</w:t>
      </w:r>
    </w:p>
    <w:p w14:paraId="7A76049D">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经监理人验收后工程质量符合约定的验收标准，但验收24小时后监理人仍不在验收记录上签字的，视为监理人已经认可验收记录，承包人可继续施工。</w:t>
      </w:r>
    </w:p>
    <w:p w14:paraId="2F63F08C">
      <w:pPr>
        <w:pStyle w:val="3"/>
        <w:keepNext w:val="0"/>
        <w:keepLines w:val="0"/>
        <w:widowControl/>
        <w:snapToGrid w:val="0"/>
        <w:spacing w:before="0" w:after="0" w:line="360" w:lineRule="auto"/>
        <w:ind w:left="210" w:leftChars="100"/>
        <w:jc w:val="left"/>
        <w:rPr>
          <w:rFonts w:ascii="宋体" w:hAnsi="宋体"/>
          <w:b w:val="0"/>
          <w:bCs w:val="0"/>
          <w:color w:val="auto"/>
          <w:sz w:val="21"/>
          <w:szCs w:val="21"/>
          <w:highlight w:val="none"/>
          <w:shd w:val="clear" w:color="auto" w:fill="FFFFFF"/>
        </w:rPr>
      </w:pPr>
      <w:bookmarkStart w:id="1078" w:name="_Toc24651"/>
      <w:bookmarkStart w:id="1079" w:name="_Toc18137"/>
      <w:bookmarkStart w:id="1080" w:name="_Toc6107"/>
      <w:r>
        <w:rPr>
          <w:rFonts w:hint="eastAsia" w:ascii="宋体" w:hAnsi="宋体"/>
          <w:b w:val="0"/>
          <w:bCs w:val="0"/>
          <w:color w:val="auto"/>
          <w:sz w:val="21"/>
          <w:szCs w:val="21"/>
          <w:highlight w:val="none"/>
          <w:shd w:val="clear" w:color="auto" w:fill="FFFFFF"/>
        </w:rPr>
        <w:t>19.缺陷责任与保修责任</w:t>
      </w:r>
      <w:bookmarkEnd w:id="1078"/>
      <w:bookmarkEnd w:id="1079"/>
      <w:bookmarkEnd w:id="1080"/>
    </w:p>
    <w:p w14:paraId="72D4BD2F">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1081" w:name="_Toc2177"/>
      <w:bookmarkStart w:id="1082" w:name="_Toc7930"/>
      <w:bookmarkStart w:id="1083" w:name="_Toc8038"/>
      <w:r>
        <w:rPr>
          <w:rFonts w:hint="eastAsia" w:ascii="宋体" w:hAnsi="宋体" w:cs="宋体"/>
          <w:b w:val="0"/>
          <w:bCs w:val="0"/>
          <w:color w:val="auto"/>
          <w:sz w:val="21"/>
          <w:szCs w:val="21"/>
          <w:highlight w:val="none"/>
          <w:shd w:val="clear" w:color="auto" w:fill="FFFFFF"/>
        </w:rPr>
        <w:t>19.1  缺陷责任期的起算时间</w:t>
      </w:r>
      <w:bookmarkEnd w:id="1081"/>
      <w:bookmarkEnd w:id="1082"/>
      <w:bookmarkEnd w:id="1083"/>
    </w:p>
    <w:p w14:paraId="3F63AE99">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缺陷责任期自实际竣工日期起计算。在全部工程竣工验收前，已经发包人提前验收的单位工程，其缺陷责任期的起算日期相应提前。</w:t>
      </w:r>
    </w:p>
    <w:p w14:paraId="21B77199">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1084" w:name="_Toc6710"/>
      <w:bookmarkStart w:id="1085" w:name="_Toc7890"/>
      <w:bookmarkStart w:id="1086" w:name="_Toc11708"/>
      <w:r>
        <w:rPr>
          <w:rFonts w:hint="eastAsia" w:ascii="宋体" w:hAnsi="宋体" w:cs="宋体"/>
          <w:b w:val="0"/>
          <w:bCs w:val="0"/>
          <w:color w:val="auto"/>
          <w:sz w:val="21"/>
          <w:szCs w:val="21"/>
          <w:highlight w:val="none"/>
          <w:shd w:val="clear" w:color="auto" w:fill="FFFFFF"/>
        </w:rPr>
        <w:t>19.2  缺陷责任</w:t>
      </w:r>
      <w:bookmarkEnd w:id="1084"/>
      <w:bookmarkEnd w:id="1085"/>
      <w:bookmarkEnd w:id="1086"/>
    </w:p>
    <w:p w14:paraId="39580B05">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19.2.1  承包人应在缺陷责任期内对已交付使用的工程承担缺陷责任。</w:t>
      </w:r>
    </w:p>
    <w:p w14:paraId="37865C23">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19.2.2  缺陷责任期内，发包人对已接收使用的工程负责日常维护工作。发包人在使用过程中，发现已接收的工程存在新的缺陷或已修复的缺陷部位或部件又遭损坏的，承包人应负责修复，直至检验合格为止。</w:t>
      </w:r>
    </w:p>
    <w:p w14:paraId="47A44C40">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19.2.3  监理人和承包人应共同查清缺陷和（或）损坏的原因。经查明属承包人原因造成的，应由承包人承担修复和查验的费用。经查验属发包人原因造成的，发包人应承担修复和查验的费用，并支付承包人合理利润。</w:t>
      </w:r>
    </w:p>
    <w:p w14:paraId="6ED1F284">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19.2.4  承包人不能在合理时间内修复缺陷的，发包人可自行修复或委托其他人修复，所需费用和利润的承担，按第19.2.3项约定办理。</w:t>
      </w:r>
    </w:p>
    <w:p w14:paraId="504DA17C">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1087" w:name="_Toc27682"/>
      <w:bookmarkStart w:id="1088" w:name="_Toc8177"/>
      <w:bookmarkStart w:id="1089" w:name="_Toc17104"/>
      <w:r>
        <w:rPr>
          <w:rFonts w:hint="eastAsia" w:ascii="宋体" w:hAnsi="宋体" w:cs="宋体"/>
          <w:b w:val="0"/>
          <w:bCs w:val="0"/>
          <w:color w:val="auto"/>
          <w:sz w:val="21"/>
          <w:szCs w:val="21"/>
          <w:highlight w:val="none"/>
          <w:shd w:val="clear" w:color="auto" w:fill="FFFFFF"/>
        </w:rPr>
        <w:t>19.3  缺陷责任期的延长</w:t>
      </w:r>
      <w:bookmarkEnd w:id="1087"/>
      <w:bookmarkEnd w:id="1088"/>
      <w:bookmarkEnd w:id="1089"/>
    </w:p>
    <w:p w14:paraId="6953108F">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由于承包人原因造成某项缺陷或损坏，使某项工程或工程设备不能按原定目标使用，需要再次检查、检验和修复的，发包人有权要求承包人相应延长缺陷责任期，但缺陷责任期最长不超过2年。</w:t>
      </w:r>
    </w:p>
    <w:p w14:paraId="3BAD0198">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1090" w:name="_Toc31122"/>
      <w:bookmarkStart w:id="1091" w:name="_Toc16977"/>
      <w:bookmarkStart w:id="1092" w:name="_Toc8352"/>
      <w:r>
        <w:rPr>
          <w:rFonts w:hint="eastAsia" w:ascii="宋体" w:hAnsi="宋体" w:cs="宋体"/>
          <w:b w:val="0"/>
          <w:bCs w:val="0"/>
          <w:color w:val="auto"/>
          <w:sz w:val="21"/>
          <w:szCs w:val="21"/>
          <w:highlight w:val="none"/>
          <w:shd w:val="clear" w:color="auto" w:fill="FFFFFF"/>
        </w:rPr>
        <w:t>19.4  进一步试验和试运行</w:t>
      </w:r>
      <w:bookmarkEnd w:id="1090"/>
      <w:bookmarkEnd w:id="1091"/>
      <w:bookmarkEnd w:id="1092"/>
    </w:p>
    <w:p w14:paraId="3737F4DC">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任何一项缺陷或损坏修复后，经检查证明其影响了工程或工程设备的使用性能，承包人应重新进行合同约定的试验和试运行，试验和试运行的全部费用应由责任方承担。</w:t>
      </w:r>
    </w:p>
    <w:p w14:paraId="77A67DFC">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1093" w:name="_Toc1610"/>
      <w:bookmarkStart w:id="1094" w:name="_Toc4240"/>
      <w:bookmarkStart w:id="1095" w:name="_Toc13031"/>
      <w:r>
        <w:rPr>
          <w:rFonts w:hint="eastAsia" w:ascii="宋体" w:hAnsi="宋体" w:cs="宋体"/>
          <w:b w:val="0"/>
          <w:bCs w:val="0"/>
          <w:color w:val="auto"/>
          <w:sz w:val="21"/>
          <w:szCs w:val="21"/>
          <w:highlight w:val="none"/>
          <w:shd w:val="clear" w:color="auto" w:fill="FFFFFF"/>
        </w:rPr>
        <w:t>19.5  承包人的进入权</w:t>
      </w:r>
      <w:bookmarkEnd w:id="1093"/>
      <w:bookmarkEnd w:id="1094"/>
      <w:bookmarkEnd w:id="1095"/>
    </w:p>
    <w:p w14:paraId="23E8DE43">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缺陷责任期内承包人为缺陷修复工作需要，有权进入工程现场，但应遵守发包人的保安和保密规定。</w:t>
      </w:r>
    </w:p>
    <w:p w14:paraId="0F55762A">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1096" w:name="_Toc16175"/>
      <w:bookmarkStart w:id="1097" w:name="_Toc29431"/>
      <w:bookmarkStart w:id="1098" w:name="_Toc5457"/>
      <w:r>
        <w:rPr>
          <w:rFonts w:hint="eastAsia" w:ascii="宋体" w:hAnsi="宋体" w:cs="宋体"/>
          <w:b w:val="0"/>
          <w:bCs w:val="0"/>
          <w:color w:val="auto"/>
          <w:sz w:val="21"/>
          <w:szCs w:val="21"/>
          <w:highlight w:val="none"/>
          <w:shd w:val="clear" w:color="auto" w:fill="FFFFFF"/>
        </w:rPr>
        <w:t>19.6  缺陷责任期终止证书</w:t>
      </w:r>
      <w:bookmarkEnd w:id="1096"/>
      <w:bookmarkEnd w:id="1097"/>
      <w:bookmarkEnd w:id="1098"/>
    </w:p>
    <w:p w14:paraId="7F537070">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在第1.1.4.5目约定的缺陷责任期，包括根据第19.3款延长的期限终止后14天内，由监理人向承包人出具经发包人签认的缺陷责任期终止证书，并退还剩余的质量保证金或退还保函。</w:t>
      </w:r>
    </w:p>
    <w:p w14:paraId="40147341">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1099" w:name="_Toc4268"/>
      <w:bookmarkStart w:id="1100" w:name="_Toc11430"/>
      <w:bookmarkStart w:id="1101" w:name="_Toc3036"/>
      <w:r>
        <w:rPr>
          <w:rFonts w:hint="eastAsia" w:ascii="宋体" w:hAnsi="宋体" w:cs="宋体"/>
          <w:b w:val="0"/>
          <w:bCs w:val="0"/>
          <w:color w:val="auto"/>
          <w:sz w:val="21"/>
          <w:szCs w:val="21"/>
          <w:highlight w:val="none"/>
          <w:shd w:val="clear" w:color="auto" w:fill="FFFFFF"/>
        </w:rPr>
        <w:t>19.7  保修责任</w:t>
      </w:r>
      <w:bookmarkEnd w:id="1099"/>
      <w:bookmarkEnd w:id="1100"/>
      <w:bookmarkEnd w:id="1101"/>
    </w:p>
    <w:p w14:paraId="327034EC">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19.7.1  合同当事人根据有关法律法规规定明确工程质量保修范围、期限和责任。保修期自实际竣工日期起计算。在全部工程竣工验收前，已经发包人提前验收的单位工程，其保修期的起算日期相应提前。工程质量保修范围、期限和责任见合同条款专用部分。</w:t>
      </w:r>
    </w:p>
    <w:p w14:paraId="44012E88">
      <w:pPr>
        <w:widowControl/>
        <w:snapToGrid w:val="0"/>
        <w:spacing w:line="360" w:lineRule="auto"/>
        <w:ind w:left="210" w:leftChars="100" w:firstLine="428"/>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19.7.2  质量保修书是竣工验收申请报告的组成内容。承包人应当按照有关法律法规规定和合同所附的格式出具质量保修书，质量保修书的主要内容应当与本款上述约定内容一致。承包人在递交合同条款第18.2款约定的竣工验收报告的同时，将质量保修书一并报送监理人。</w:t>
      </w:r>
    </w:p>
    <w:p w14:paraId="728E7AA7">
      <w:pPr>
        <w:pStyle w:val="3"/>
        <w:keepNext w:val="0"/>
        <w:keepLines w:val="0"/>
        <w:widowControl/>
        <w:snapToGrid w:val="0"/>
        <w:spacing w:before="0" w:after="0" w:line="360" w:lineRule="auto"/>
        <w:ind w:left="210" w:leftChars="100"/>
        <w:jc w:val="left"/>
        <w:rPr>
          <w:rFonts w:ascii="宋体" w:hAnsi="宋体"/>
          <w:b w:val="0"/>
          <w:bCs w:val="0"/>
          <w:color w:val="auto"/>
          <w:sz w:val="21"/>
          <w:szCs w:val="21"/>
          <w:highlight w:val="none"/>
          <w:shd w:val="clear" w:color="auto" w:fill="FFFFFF"/>
        </w:rPr>
      </w:pPr>
      <w:bookmarkStart w:id="1102" w:name="_Toc21065"/>
      <w:bookmarkStart w:id="1103" w:name="_Toc18410"/>
      <w:bookmarkStart w:id="1104" w:name="_Toc25923"/>
      <w:r>
        <w:rPr>
          <w:rFonts w:hint="eastAsia" w:ascii="宋体" w:hAnsi="宋体"/>
          <w:b w:val="0"/>
          <w:bCs w:val="0"/>
          <w:color w:val="auto"/>
          <w:sz w:val="21"/>
          <w:szCs w:val="21"/>
          <w:highlight w:val="none"/>
          <w:shd w:val="clear" w:color="auto" w:fill="FFFFFF"/>
        </w:rPr>
        <w:t>20.保险</w:t>
      </w:r>
      <w:bookmarkEnd w:id="1102"/>
      <w:bookmarkEnd w:id="1103"/>
      <w:bookmarkEnd w:id="1104"/>
    </w:p>
    <w:p w14:paraId="11A405B9">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1105" w:name="_Toc13058"/>
      <w:bookmarkStart w:id="1106" w:name="_Toc519"/>
      <w:bookmarkStart w:id="1107" w:name="_Toc4684"/>
      <w:r>
        <w:rPr>
          <w:rFonts w:hint="eastAsia" w:ascii="宋体" w:hAnsi="宋体" w:cs="宋体"/>
          <w:b w:val="0"/>
          <w:bCs w:val="0"/>
          <w:color w:val="auto"/>
          <w:sz w:val="21"/>
          <w:szCs w:val="21"/>
          <w:highlight w:val="none"/>
          <w:shd w:val="clear" w:color="auto" w:fill="FFFFFF"/>
        </w:rPr>
        <w:t>20.1  工程保险</w:t>
      </w:r>
      <w:bookmarkEnd w:id="1105"/>
      <w:bookmarkEnd w:id="1106"/>
      <w:bookmarkEnd w:id="1107"/>
    </w:p>
    <w:p w14:paraId="7C5323A8">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承包人应以发包人和承包人的共同名义向双方同意的保险人投保建筑工程一切险、安装工程一切险。其具体的投保内容、保险金额、保险费率、保险期限等有关内容见合同条款专用部分。</w:t>
      </w:r>
    </w:p>
    <w:p w14:paraId="5AEC75BF">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1108" w:name="_Toc9776"/>
      <w:bookmarkStart w:id="1109" w:name="_Toc7683"/>
      <w:bookmarkStart w:id="1110" w:name="_Toc20591"/>
      <w:r>
        <w:rPr>
          <w:rFonts w:hint="eastAsia" w:ascii="宋体" w:hAnsi="宋体" w:cs="宋体"/>
          <w:b w:val="0"/>
          <w:bCs w:val="0"/>
          <w:color w:val="auto"/>
          <w:sz w:val="21"/>
          <w:szCs w:val="21"/>
          <w:highlight w:val="none"/>
          <w:shd w:val="clear" w:color="auto" w:fill="FFFFFF"/>
        </w:rPr>
        <w:t>20.2  人员工伤事故的保险</w:t>
      </w:r>
      <w:bookmarkEnd w:id="1108"/>
      <w:bookmarkEnd w:id="1109"/>
      <w:bookmarkEnd w:id="1110"/>
    </w:p>
    <w:p w14:paraId="7DE6C060">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20.2.1  承包人员工伤事故的保险</w:t>
      </w:r>
    </w:p>
    <w:p w14:paraId="3FBB734F">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承包人应依照有关法律法规规定参加工伤保险，为其履行合同所雇佣的全部人员（包括专业分包人、劳务分包人使用的人员），在合同工程开工前应当一次性缴纳工伤保险费。承包人在工程分包计费时，不得再向分包人另行计提、划拨工伤保险费。</w:t>
      </w:r>
    </w:p>
    <w:p w14:paraId="1DF83CC9">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（2）承包人工伤事故保险期限自合同工程开工之日起至合同终止之日止。</w:t>
      </w:r>
    </w:p>
    <w:p w14:paraId="66638936">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20.2.2  发包人员工伤事故的保险</w:t>
      </w:r>
    </w:p>
    <w:p w14:paraId="15A2E882">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发包人应依照有关法律法规规定参加工伤保险，为其现场机构雇佣的全部人员，缴纳工伤保险费，并要求其监理人也进行此项保险。</w:t>
      </w:r>
    </w:p>
    <w:p w14:paraId="7AF04466">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1111" w:name="_Toc10811"/>
      <w:bookmarkStart w:id="1112" w:name="_Toc5181"/>
      <w:bookmarkStart w:id="1113" w:name="_Toc15383"/>
      <w:r>
        <w:rPr>
          <w:rFonts w:hint="eastAsia" w:ascii="宋体" w:hAnsi="宋体" w:cs="宋体"/>
          <w:b w:val="0"/>
          <w:bCs w:val="0"/>
          <w:color w:val="auto"/>
          <w:sz w:val="21"/>
          <w:szCs w:val="21"/>
          <w:highlight w:val="none"/>
          <w:shd w:val="clear" w:color="auto" w:fill="FFFFFF"/>
        </w:rPr>
        <w:t>20.3  人身意外伤害险</w:t>
      </w:r>
      <w:bookmarkEnd w:id="1111"/>
      <w:bookmarkEnd w:id="1112"/>
      <w:bookmarkEnd w:id="1113"/>
    </w:p>
    <w:p w14:paraId="2D9A95D6">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20.3.1  发包人应在整个施工期间为其现场机构雇用的全部人员，投保人身意外伤害险，缴纳保险费，并要求其监理人也进行此项保险。</w:t>
      </w:r>
    </w:p>
    <w:p w14:paraId="73D34C9E">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20.3.2  承包人应在整个施工期间为其现场机构雇用的全部人员，投保人身意外伤害险，缴纳保险费，并要求其分包人也进行此项保险。</w:t>
      </w:r>
    </w:p>
    <w:p w14:paraId="77F0C112">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1114" w:name="_Toc28962"/>
      <w:bookmarkStart w:id="1115" w:name="_Toc27766"/>
      <w:bookmarkStart w:id="1116" w:name="_Toc22382"/>
      <w:r>
        <w:rPr>
          <w:rFonts w:hint="eastAsia" w:ascii="宋体" w:hAnsi="宋体" w:cs="宋体"/>
          <w:b w:val="0"/>
          <w:bCs w:val="0"/>
          <w:color w:val="auto"/>
          <w:sz w:val="21"/>
          <w:szCs w:val="21"/>
          <w:highlight w:val="none"/>
          <w:shd w:val="clear" w:color="auto" w:fill="FFFFFF"/>
        </w:rPr>
        <w:t>20.4  第三者责任险</w:t>
      </w:r>
      <w:bookmarkEnd w:id="1114"/>
      <w:bookmarkEnd w:id="1115"/>
      <w:bookmarkEnd w:id="1116"/>
    </w:p>
    <w:p w14:paraId="35FEE4A6">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5EFC3E1B">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20.4.2  在缺陷责任期终止证书颁发前，承包人应以承包人和发包人的共同名义，投保第20.4.1项约定的第三者责任险，其保险费率、保险金额、保险费承担人等有关内容见合同条款专用部分。</w:t>
      </w:r>
    </w:p>
    <w:p w14:paraId="2EAC8302">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1117" w:name="_Toc27480"/>
      <w:bookmarkStart w:id="1118" w:name="_Toc6885"/>
      <w:bookmarkStart w:id="1119" w:name="_Toc13626"/>
      <w:r>
        <w:rPr>
          <w:rFonts w:hint="eastAsia" w:ascii="宋体" w:hAnsi="宋体" w:cs="宋体"/>
          <w:b w:val="0"/>
          <w:bCs w:val="0"/>
          <w:color w:val="auto"/>
          <w:sz w:val="21"/>
          <w:szCs w:val="21"/>
          <w:highlight w:val="none"/>
          <w:shd w:val="clear" w:color="auto" w:fill="FFFFFF"/>
        </w:rPr>
        <w:t>20.5  其他保险</w:t>
      </w:r>
      <w:bookmarkEnd w:id="1117"/>
      <w:bookmarkEnd w:id="1118"/>
      <w:bookmarkEnd w:id="1119"/>
    </w:p>
    <w:p w14:paraId="440C0824">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承包人应为其施工设备、进场的材料等办理保险。办理保险的险种见合同条款专用部分。</w:t>
      </w:r>
    </w:p>
    <w:p w14:paraId="6A410617">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1120" w:name="_Toc6943"/>
      <w:bookmarkStart w:id="1121" w:name="_Toc20388"/>
      <w:bookmarkStart w:id="1122" w:name="_Toc27691"/>
      <w:r>
        <w:rPr>
          <w:rFonts w:hint="eastAsia" w:ascii="宋体" w:hAnsi="宋体" w:cs="宋体"/>
          <w:b w:val="0"/>
          <w:bCs w:val="0"/>
          <w:color w:val="auto"/>
          <w:sz w:val="21"/>
          <w:szCs w:val="21"/>
          <w:highlight w:val="none"/>
          <w:shd w:val="clear" w:color="auto" w:fill="FFFFFF"/>
        </w:rPr>
        <w:t>20.6  对各项保险的一般要求</w:t>
      </w:r>
      <w:bookmarkEnd w:id="1120"/>
      <w:bookmarkEnd w:id="1121"/>
      <w:bookmarkEnd w:id="1122"/>
    </w:p>
    <w:p w14:paraId="12125842">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20.6.1  保险凭证</w:t>
      </w:r>
    </w:p>
    <w:p w14:paraId="476725F7">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承包人应在合同约定的期限内向发包人提交各项保险生效的证据和保险单副本，保险单必须与合同约定的条件保持一致。各项保险生效的证据和保险单副本的期限见合同条款专用部分。</w:t>
      </w:r>
    </w:p>
    <w:p w14:paraId="5516022A">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20.6.2  保险合同条款的变动</w:t>
      </w:r>
    </w:p>
    <w:p w14:paraId="7C9C947B">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承包人需要变动保险合同条款时，应事先征得发包人同意，并通知监理人。保险人作出变动的，承包人应在收到保险人通知后立即通知发包人和监理人。</w:t>
      </w:r>
    </w:p>
    <w:p w14:paraId="22DF107E">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20.6.3  持续保险</w:t>
      </w:r>
    </w:p>
    <w:p w14:paraId="6FBABAED">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承包人应与保险人保持联系，使保险人能够随时了解工程实施中的变动，并确保按保险合同条款要求持续保险。</w:t>
      </w:r>
    </w:p>
    <w:p w14:paraId="350977D6">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20.6.4  保险金不足的补偿</w:t>
      </w:r>
    </w:p>
    <w:p w14:paraId="23FC7813">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保险金不足以补偿损失的，应由承包人和（或）发包人按合同约定负责补偿。保险金不足的补偿原则见合同条款专用部分。</w:t>
      </w:r>
    </w:p>
    <w:p w14:paraId="018D326F">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20.6.5  未按约定投保的补救</w:t>
      </w:r>
    </w:p>
    <w:p w14:paraId="2C28E467">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（1）由于负有投保义务的一方当事人未按合同约定办理保险，或未能使保险持续有效的，另一方当事人可代为办理，所需费用由对方当事人承担。</w:t>
      </w:r>
    </w:p>
    <w:p w14:paraId="27A46F7D">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（2）由于负有投保义务的一方当事人未按合同约定办理某项保险，导致受益人未能得到保险人的赔偿，原应从该项保险得到的保险金应由负有投保义务的一方当事人支付。</w:t>
      </w:r>
    </w:p>
    <w:p w14:paraId="4EB88906">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20.6.6  报告义务</w:t>
      </w:r>
    </w:p>
    <w:p w14:paraId="5DB55AF2">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当保险事故发生时，投保人应按照保险单规定的条件和期限及时向保险人报告。</w:t>
      </w:r>
    </w:p>
    <w:p w14:paraId="2E4B1501">
      <w:pPr>
        <w:pStyle w:val="3"/>
        <w:keepNext w:val="0"/>
        <w:keepLines w:val="0"/>
        <w:widowControl/>
        <w:snapToGrid w:val="0"/>
        <w:spacing w:before="0" w:after="0" w:line="360" w:lineRule="auto"/>
        <w:ind w:left="210" w:leftChars="100"/>
        <w:jc w:val="left"/>
        <w:rPr>
          <w:rFonts w:ascii="宋体" w:hAnsi="宋体"/>
          <w:b w:val="0"/>
          <w:bCs w:val="0"/>
          <w:color w:val="auto"/>
          <w:sz w:val="21"/>
          <w:szCs w:val="21"/>
          <w:highlight w:val="none"/>
          <w:shd w:val="clear" w:color="auto" w:fill="FFFFFF"/>
        </w:rPr>
      </w:pPr>
      <w:bookmarkStart w:id="1123" w:name="_Toc21234"/>
      <w:bookmarkStart w:id="1124" w:name="_Toc17164"/>
      <w:bookmarkStart w:id="1125" w:name="_Toc12609"/>
      <w:r>
        <w:rPr>
          <w:rFonts w:hint="eastAsia" w:ascii="宋体" w:hAnsi="宋体"/>
          <w:b w:val="0"/>
          <w:bCs w:val="0"/>
          <w:color w:val="auto"/>
          <w:sz w:val="21"/>
          <w:szCs w:val="21"/>
          <w:highlight w:val="none"/>
          <w:shd w:val="clear" w:color="auto" w:fill="FFFFFF"/>
        </w:rPr>
        <w:t>21.不可抗力</w:t>
      </w:r>
      <w:bookmarkEnd w:id="1123"/>
      <w:bookmarkEnd w:id="1124"/>
      <w:bookmarkEnd w:id="1125"/>
    </w:p>
    <w:p w14:paraId="2976551E">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1126" w:name="_Toc17720"/>
      <w:bookmarkStart w:id="1127" w:name="_Toc32601"/>
      <w:bookmarkStart w:id="1128" w:name="_Toc15464"/>
      <w:r>
        <w:rPr>
          <w:rFonts w:hint="eastAsia" w:ascii="宋体" w:hAnsi="宋体" w:cs="宋体"/>
          <w:b w:val="0"/>
          <w:bCs w:val="0"/>
          <w:color w:val="auto"/>
          <w:sz w:val="21"/>
          <w:szCs w:val="21"/>
          <w:highlight w:val="none"/>
          <w:shd w:val="clear" w:color="auto" w:fill="FFFFFF"/>
        </w:rPr>
        <w:t>21.1  不可抗力的确认</w:t>
      </w:r>
      <w:bookmarkEnd w:id="1126"/>
      <w:bookmarkEnd w:id="1127"/>
      <w:bookmarkEnd w:id="1128"/>
    </w:p>
    <w:p w14:paraId="7C40EE1F">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21.1.1  不可抗力是指承包人和发包人在订立合同时不可预见，在工程施工过程中不可避免发生并不能克服的自然灾害和社会性突发事件，如地震、海啸、瘟疫、水灾、骚乱、暴动、战争和合同约定的其他情形。其他情形见合同条款专用部分。</w:t>
      </w:r>
    </w:p>
    <w:p w14:paraId="22FA192F">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14:paraId="77FFDD3E">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1129" w:name="_Toc14463"/>
      <w:bookmarkStart w:id="1130" w:name="_Toc31864"/>
      <w:bookmarkStart w:id="1131" w:name="_Toc18015"/>
      <w:r>
        <w:rPr>
          <w:rFonts w:hint="eastAsia" w:ascii="宋体" w:hAnsi="宋体" w:cs="宋体"/>
          <w:b w:val="0"/>
          <w:bCs w:val="0"/>
          <w:color w:val="auto"/>
          <w:sz w:val="21"/>
          <w:szCs w:val="21"/>
          <w:highlight w:val="none"/>
          <w:shd w:val="clear" w:color="auto" w:fill="FFFFFF"/>
        </w:rPr>
        <w:t>21.2  不可抗力的通知</w:t>
      </w:r>
      <w:bookmarkEnd w:id="1129"/>
      <w:bookmarkEnd w:id="1130"/>
      <w:bookmarkEnd w:id="1131"/>
    </w:p>
    <w:p w14:paraId="7436AC3C">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21.2.1  合同一方当事人遇到不可抗力事件，使其履行合同义务受到阻碍时，应立即通知合同另一方当事人和监理人，书面说明不可抗力和受阻碍的详细情况，并提供必要的证明。</w:t>
      </w:r>
    </w:p>
    <w:p w14:paraId="71968C79">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21.2.2  如不可抗力持续发生，合同一方当事人应及时向合同另一方当事人和监理人提交中间报告，说明不可抗力和履行合同受阻的情况，并于不可抗力事件结束后28天内提交最终报告及有关资料。</w:t>
      </w:r>
    </w:p>
    <w:p w14:paraId="46263FBD">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1132" w:name="_Toc26334"/>
      <w:bookmarkStart w:id="1133" w:name="_Toc32528"/>
      <w:bookmarkStart w:id="1134" w:name="_Toc6405"/>
      <w:r>
        <w:rPr>
          <w:rFonts w:hint="eastAsia" w:ascii="宋体" w:hAnsi="宋体" w:cs="宋体"/>
          <w:b w:val="0"/>
          <w:bCs w:val="0"/>
          <w:color w:val="auto"/>
          <w:sz w:val="21"/>
          <w:szCs w:val="21"/>
          <w:highlight w:val="none"/>
          <w:shd w:val="clear" w:color="auto" w:fill="FFFFFF"/>
        </w:rPr>
        <w:t>21.3  不可抗力后果及其处理</w:t>
      </w:r>
      <w:bookmarkEnd w:id="1132"/>
      <w:bookmarkEnd w:id="1133"/>
      <w:bookmarkEnd w:id="1134"/>
    </w:p>
    <w:p w14:paraId="74DFED9F">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21.3.1  不可抗力造成损害的责任</w:t>
      </w:r>
    </w:p>
    <w:p w14:paraId="26546EF6">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 xml:space="preserve">不可抗力导致的人员伤亡、财产损失、费用增加和（或）工期延误等后果，由合同双方按以下原则承担： </w:t>
      </w:r>
    </w:p>
    <w:p w14:paraId="4E223F04">
      <w:pPr>
        <w:widowControl/>
        <w:snapToGrid w:val="0"/>
        <w:spacing w:before="0" w:line="360" w:lineRule="auto"/>
        <w:ind w:left="210" w:leftChars="100" w:firstLine="420"/>
        <w:jc w:val="left"/>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spacing w:val="0"/>
          <w:kern w:val="0"/>
          <w:sz w:val="21"/>
          <w:szCs w:val="21"/>
          <w:highlight w:val="none"/>
          <w:shd w:val="clear" w:color="auto" w:fill="FFFFFF"/>
        </w:rPr>
        <w:t>（1）永久工程、已运至施工现场的材料的损坏及修复费用，以及因不可抗力事件引起施工场地内及工程损坏造成的第三方人员伤亡和财产损失由发包人承担；</w:t>
      </w:r>
    </w:p>
    <w:p w14:paraId="30C0978F">
      <w:pPr>
        <w:widowControl/>
        <w:snapToGrid w:val="0"/>
        <w:spacing w:before="0" w:line="360" w:lineRule="auto"/>
        <w:ind w:left="210" w:leftChars="100" w:right="0" w:firstLine="420"/>
        <w:jc w:val="left"/>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spacing w:val="0"/>
          <w:kern w:val="0"/>
          <w:sz w:val="21"/>
          <w:szCs w:val="21"/>
          <w:highlight w:val="none"/>
          <w:shd w:val="clear" w:color="auto" w:fill="FFFFFF"/>
        </w:rPr>
        <w:t>（2）承包人施工机具的损坏及停工损失和措施项目的损坏、清理、修复费用，以及因</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承包人原因发生的第三方人员伤亡和财产损失由承包人承担；</w:t>
      </w:r>
    </w:p>
    <w:p w14:paraId="70112213">
      <w:pPr>
        <w:widowControl/>
        <w:snapToGrid w:val="0"/>
        <w:spacing w:before="0" w:line="360" w:lineRule="auto"/>
        <w:ind w:left="210" w:leftChars="100" w:firstLine="420"/>
        <w:jc w:val="left"/>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spacing w:val="0"/>
          <w:kern w:val="0"/>
          <w:sz w:val="21"/>
          <w:szCs w:val="21"/>
          <w:highlight w:val="none"/>
          <w:shd w:val="clear" w:color="auto" w:fill="FFFFFF"/>
        </w:rPr>
        <w:t>（3）发包人和承包人各自承担其人员伤亡和其他财产损失；</w:t>
      </w:r>
    </w:p>
    <w:p w14:paraId="794C6E9B">
      <w:pPr>
        <w:widowControl/>
        <w:snapToGrid w:val="0"/>
        <w:spacing w:before="0" w:line="360" w:lineRule="auto"/>
        <w:ind w:left="210" w:leftChars="100" w:right="0" w:firstLine="420"/>
        <w:jc w:val="left"/>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spacing w:val="0"/>
          <w:kern w:val="0"/>
          <w:sz w:val="21"/>
          <w:szCs w:val="21"/>
          <w:highlight w:val="none"/>
          <w:shd w:val="clear" w:color="auto" w:fill="FFFFFF"/>
        </w:rPr>
        <w:t>（4）因不可抗力引起暂停施工的，停工期间应监理人要求照管、清理、修复工程的费</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用和监理人要求留驻施工现场必要的管理与保卫人员工资，以及按监理人要求留驻现场待工 人员的工资由发包人承担；</w:t>
      </w:r>
    </w:p>
    <w:p w14:paraId="24F0C299">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eastAsia="宋体" w:cs="宋体"/>
          <w:color w:val="auto"/>
          <w:spacing w:val="0"/>
          <w:kern w:val="0"/>
          <w:sz w:val="21"/>
          <w:szCs w:val="21"/>
          <w:highlight w:val="none"/>
          <w:shd w:val="clear" w:color="auto" w:fill="FFFFFF"/>
        </w:rPr>
        <w:t>（5）因不可抗力影响承包人履行合同约定的义务，引起工期延误的，应顺延工期，承</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包人不需支付逾期竣工违约金。发包人要求赶工的，承包人应采取赶工措施，赶工费用由发</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包人承担。</w:t>
      </w:r>
    </w:p>
    <w:p w14:paraId="6404375C">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21.3.2  延迟履行期间发生的不可抗力</w:t>
      </w:r>
    </w:p>
    <w:p w14:paraId="1BA8E8A5">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合同一方当事人延迟履行，在延迟履行期间发生不可抗力的，不免除其责任。</w:t>
      </w:r>
    </w:p>
    <w:p w14:paraId="6CDBE3EE">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21.3.3  避免和减少不可抗力损失</w:t>
      </w:r>
    </w:p>
    <w:p w14:paraId="6D3C0FC8">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不可抗力发生后，发包人和承包人均应采取措施尽量避免和减少损失的扩大，任何一方没有采取有效措施导致损失扩大的，应对扩大的损失承担责任。</w:t>
      </w:r>
    </w:p>
    <w:p w14:paraId="47E0CDBC">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21.3.4  因不可抗力解除合同</w:t>
      </w:r>
    </w:p>
    <w:p w14:paraId="1AFA465F">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14:paraId="6A5025E2">
      <w:pPr>
        <w:pStyle w:val="3"/>
        <w:keepNext w:val="0"/>
        <w:keepLines w:val="0"/>
        <w:widowControl/>
        <w:snapToGrid w:val="0"/>
        <w:spacing w:before="0" w:after="0" w:line="360" w:lineRule="auto"/>
        <w:ind w:left="210" w:leftChars="100"/>
        <w:jc w:val="left"/>
        <w:rPr>
          <w:rFonts w:ascii="宋体" w:hAnsi="宋体"/>
          <w:b w:val="0"/>
          <w:bCs w:val="0"/>
          <w:color w:val="auto"/>
          <w:sz w:val="21"/>
          <w:szCs w:val="21"/>
          <w:highlight w:val="none"/>
          <w:shd w:val="clear" w:color="auto" w:fill="FFFFFF"/>
        </w:rPr>
      </w:pPr>
      <w:bookmarkStart w:id="1135" w:name="_Toc23275"/>
      <w:bookmarkStart w:id="1136" w:name="_Toc12483"/>
      <w:bookmarkStart w:id="1137" w:name="_Toc5222"/>
      <w:r>
        <w:rPr>
          <w:rFonts w:hint="eastAsia" w:ascii="宋体" w:hAnsi="宋体"/>
          <w:b w:val="0"/>
          <w:bCs w:val="0"/>
          <w:color w:val="auto"/>
          <w:sz w:val="21"/>
          <w:szCs w:val="21"/>
          <w:highlight w:val="none"/>
          <w:shd w:val="clear" w:color="auto" w:fill="FFFFFF"/>
        </w:rPr>
        <w:t>22.违约</w:t>
      </w:r>
      <w:bookmarkEnd w:id="1135"/>
      <w:bookmarkEnd w:id="1136"/>
      <w:bookmarkEnd w:id="1137"/>
    </w:p>
    <w:p w14:paraId="45086460">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1138" w:name="_Toc7193"/>
      <w:bookmarkStart w:id="1139" w:name="_Toc22151"/>
      <w:bookmarkStart w:id="1140" w:name="_Toc31219"/>
      <w:r>
        <w:rPr>
          <w:rFonts w:hint="eastAsia" w:ascii="宋体" w:hAnsi="宋体" w:cs="宋体"/>
          <w:b w:val="0"/>
          <w:bCs w:val="0"/>
          <w:color w:val="auto"/>
          <w:sz w:val="21"/>
          <w:szCs w:val="21"/>
          <w:highlight w:val="none"/>
          <w:shd w:val="clear" w:color="auto" w:fill="FFFFFF"/>
        </w:rPr>
        <w:t>22.1  承包人违约</w:t>
      </w:r>
      <w:bookmarkEnd w:id="1138"/>
      <w:bookmarkEnd w:id="1139"/>
      <w:bookmarkEnd w:id="1140"/>
    </w:p>
    <w:p w14:paraId="3E3C22FC">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22.1.1  承包人违约的情形</w:t>
      </w:r>
    </w:p>
    <w:p w14:paraId="6347AE22">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在履行合同过程中发生的下列情况属承包人违约：</w:t>
      </w:r>
    </w:p>
    <w:p w14:paraId="6ABAEFE9">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（1）承包人违反第1.8款或第4.3款的约定，私自将合同的全部或部分权利转让给其他人，或私自将合同的全部或部分义务转移给其他人；</w:t>
      </w:r>
    </w:p>
    <w:p w14:paraId="0E49017D">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（2）承包人违反第5.3款或第6.4款的约定，未经监理人批准，私自将已按合同约定进入施工场地的施工设备、临时设施或材料撤离施工场地；</w:t>
      </w:r>
    </w:p>
    <w:p w14:paraId="627B236C">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（3）承包人违反第5.4款的约定使用了不合格材料，工程质量达不到标准要求，又拒绝清除不合格工程；</w:t>
      </w:r>
    </w:p>
    <w:p w14:paraId="3977E6A0">
      <w:pPr>
        <w:widowControl/>
        <w:snapToGrid w:val="0"/>
        <w:spacing w:line="360" w:lineRule="auto"/>
        <w:ind w:left="210" w:leftChars="100" w:firstLine="428"/>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（4）承包人未能按合同进度计划及时完成合同约定的工作，已造成或预期造成工期延误；</w:t>
      </w:r>
    </w:p>
    <w:p w14:paraId="2A318555">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（5）承包人在缺陷责任期内，未能对工程接收证书所列的缺陷清单的内容或缺陷责任期内发生的缺陷进行修复，而又拒绝按监理人指示再进行修补；</w:t>
      </w:r>
    </w:p>
    <w:p w14:paraId="32EF971B">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（6）承包人无法继续履行或明确表示不履行或实质上已停止履行合同；</w:t>
      </w:r>
    </w:p>
    <w:p w14:paraId="1511B3BA">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（7）承包人不按合同约定履行义务的其他情况。</w:t>
      </w:r>
    </w:p>
    <w:p w14:paraId="140CA226">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22.1.2  对承包人违约的处理</w:t>
      </w:r>
    </w:p>
    <w:p w14:paraId="52B25A20">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（1）承包人发生第22.1.1（6）目约定的违约情况时，发包人可通知承包人立即解除合同，并按有关法律处理。</w:t>
      </w:r>
    </w:p>
    <w:p w14:paraId="547440AC">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（2）承包人发生除第22.1.1（6）目约定以外的其他违约情况时，监理人可向承包人发出整改通知，要求其在指定的期限内改正。承包人应承担其违约所引起的费用增加和（或）工期延误。</w:t>
      </w:r>
    </w:p>
    <w:p w14:paraId="5D6765DF">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（3）经检查证明承包人已采取了有效措施纠正违约行为，具备复工条件的，可由监理人签发复工通知复工。</w:t>
      </w:r>
    </w:p>
    <w:p w14:paraId="39B5AF1E">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22.1.3  承包人违约解除合同</w:t>
      </w:r>
    </w:p>
    <w:p w14:paraId="30D938A8">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674970E6">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22.1.4  合同解除后的估价、付款和结清</w:t>
      </w:r>
    </w:p>
    <w:p w14:paraId="25F94669">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 xml:space="preserve">（1）合同解除后，监理人按第3.5款商定或确定承包人实际完成工作的价值，以及承包人已提供的材料、施工设备和临时工程等的价值。 </w:t>
      </w:r>
    </w:p>
    <w:p w14:paraId="1584E12F">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 xml:space="preserve">（2）合同解除后，发包人应暂停对承包人的一切付款，查清各项付款和已扣款金额，包括承包人应支付的违约金。 </w:t>
      </w:r>
    </w:p>
    <w:p w14:paraId="551CDF38">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（3）合同解除后，发包人应按第23.4款的约定向承包人索赔由于解除合同给发包人造成的损失。</w:t>
      </w:r>
    </w:p>
    <w:p w14:paraId="7275F744">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（4）合同双方确认上述往来款项后，出具最终结清付款证书，结清全部合同款项。</w:t>
      </w:r>
    </w:p>
    <w:p w14:paraId="20FA5ED5">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（5）发包人和承包人未能就解除合同后的结清达成一致而形成争议的，按第24条的约定办理。</w:t>
      </w:r>
    </w:p>
    <w:p w14:paraId="1D97CA6C">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22.1.5  协议利益的转让</w:t>
      </w:r>
    </w:p>
    <w:p w14:paraId="47EC5A51">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 xml:space="preserve">因承包人违约解除合同的，发包人有权要求承包人将其为实施合同而签订的材料和设备的订货协议或任何服务协议利益转让给发包人，并在解除合同后的14天内，依法办理转让手续。 </w:t>
      </w:r>
    </w:p>
    <w:p w14:paraId="1C9B40CB">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22.1.6  紧急情况下无能力或不愿进行抢救</w:t>
      </w:r>
    </w:p>
    <w:p w14:paraId="517ABDF0">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0592F6BF">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1141" w:name="_Toc23564"/>
      <w:bookmarkStart w:id="1142" w:name="_Toc4983"/>
      <w:bookmarkStart w:id="1143" w:name="_Toc11393"/>
      <w:r>
        <w:rPr>
          <w:rFonts w:hint="eastAsia" w:ascii="宋体" w:hAnsi="宋体" w:cs="宋体"/>
          <w:b w:val="0"/>
          <w:bCs w:val="0"/>
          <w:color w:val="auto"/>
          <w:sz w:val="21"/>
          <w:szCs w:val="21"/>
          <w:highlight w:val="none"/>
          <w:shd w:val="clear" w:color="auto" w:fill="FFFFFF"/>
        </w:rPr>
        <w:t>22.2  发包人违约</w:t>
      </w:r>
      <w:bookmarkEnd w:id="1141"/>
      <w:bookmarkEnd w:id="1142"/>
      <w:bookmarkEnd w:id="1143"/>
    </w:p>
    <w:p w14:paraId="63AD3650">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22.2.1  发包人违约的情形</w:t>
      </w:r>
    </w:p>
    <w:p w14:paraId="15C323B0">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在履行合同过程中发生的下列情形，属发包人违约：</w:t>
      </w:r>
    </w:p>
    <w:p w14:paraId="04C12B3A">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（1）发包人未能按合同约定支付预付款或合同价款，或拖延、拒绝批准付款申请和支付凭证，导致付款延误的；</w:t>
      </w:r>
    </w:p>
    <w:p w14:paraId="75FC855B">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（2）发包人原因造成停工的；</w:t>
      </w:r>
    </w:p>
    <w:p w14:paraId="6B925997">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（3）监理人无正当理由没有在约定期限内发出复工指示，导致承包人无法复工的；</w:t>
      </w:r>
    </w:p>
    <w:p w14:paraId="7B6A333A">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（4）发包人无法继续履行或明确表示不履行或实质上已停止履行合同的；</w:t>
      </w:r>
    </w:p>
    <w:p w14:paraId="7AFF3661">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（5）发包人不履行合同约定其他义务的。</w:t>
      </w:r>
    </w:p>
    <w:p w14:paraId="4C4E78BE">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22.2.2  承包人有权暂停施工</w:t>
      </w:r>
    </w:p>
    <w:p w14:paraId="153E11C3">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1BB9C61D">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 xml:space="preserve">22.2.3  发包人违约解除合同 </w:t>
      </w:r>
    </w:p>
    <w:p w14:paraId="137D53BF">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 xml:space="preserve">（1）发生第22.2.1（4）目的违约情况时，承包人可书面通知发包人解除合同。   </w:t>
      </w:r>
    </w:p>
    <w:p w14:paraId="506C423B">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（2）承包人按第22.2.2项暂停施工28天后，发包人仍不纠正违约行为的，承包人可向发包人发出解除合同通知。但承包人的这一行动不免除发包人承担的违约责任，也不影响承包人根据合同约定享有的索赔权利。</w:t>
      </w:r>
    </w:p>
    <w:p w14:paraId="2DEE492D">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22.2.4  解除合同后的付款</w:t>
      </w:r>
    </w:p>
    <w:p w14:paraId="115914DF">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因发包人违约解除合同的，发包人应在解除合同后28天内向承包人支付下列金额，承包人应在此期限内及时向发包人提交要求支付下列金额的有关资料和凭证：</w:t>
      </w:r>
    </w:p>
    <w:p w14:paraId="617177CA">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（1）合同解除日以前所完成工作的价款；</w:t>
      </w:r>
    </w:p>
    <w:p w14:paraId="0DC42BB8">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（2）承包人为该工程施工订购并已付款的材料和其他物品的金额。发包人付还后，该材料和其他物品归发包人所有；</w:t>
      </w:r>
    </w:p>
    <w:p w14:paraId="50F2A5F7">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（3）承包人为完成工程所发生的，而发包人未支付的金额；</w:t>
      </w:r>
    </w:p>
    <w:p w14:paraId="1CDC45B1">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（4）承包人撤离施工场地以及遣散承包人人员的金额；</w:t>
      </w:r>
    </w:p>
    <w:p w14:paraId="5F6EB921">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（5）由于解除合同应赔偿的承包人损失；</w:t>
      </w:r>
    </w:p>
    <w:p w14:paraId="01A0F649">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（6）按合同约定在合同解除日前应支付给承包人的其他金额。</w:t>
      </w:r>
    </w:p>
    <w:p w14:paraId="17EA780D">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发包人应按本项约定支付上述金额并退还质量保证金或退还质量保证金保函和履约担保，但有权要求承包人支付应偿还给发包人的各项金额。</w:t>
      </w:r>
    </w:p>
    <w:p w14:paraId="1E75F3A9">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22.2.5  解除合同后的承包人撤离</w:t>
      </w:r>
    </w:p>
    <w:p w14:paraId="11D8DEEB">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14:paraId="42B888D4">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1144" w:name="_Toc12894"/>
      <w:bookmarkStart w:id="1145" w:name="_Toc8794"/>
      <w:bookmarkStart w:id="1146" w:name="_Toc19576"/>
      <w:r>
        <w:rPr>
          <w:rFonts w:hint="eastAsia" w:ascii="宋体" w:hAnsi="宋体" w:cs="宋体"/>
          <w:b w:val="0"/>
          <w:bCs w:val="0"/>
          <w:color w:val="auto"/>
          <w:sz w:val="21"/>
          <w:szCs w:val="21"/>
          <w:highlight w:val="none"/>
          <w:shd w:val="clear" w:color="auto" w:fill="FFFFFF"/>
        </w:rPr>
        <w:t>22.3  第三人造成的违约</w:t>
      </w:r>
      <w:bookmarkEnd w:id="1144"/>
      <w:bookmarkEnd w:id="1145"/>
      <w:bookmarkEnd w:id="1146"/>
    </w:p>
    <w:p w14:paraId="396AE7F7">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在履行合同过程中，一方当事人因第三人的原因造成违约的，应当向对方当事人承担违约责任。一方当事人和第三人之间的纠纷，依照法律规定或者按照约定解决。</w:t>
      </w:r>
    </w:p>
    <w:p w14:paraId="02E28B5E">
      <w:pPr>
        <w:pStyle w:val="3"/>
        <w:keepNext w:val="0"/>
        <w:keepLines w:val="0"/>
        <w:widowControl/>
        <w:snapToGrid w:val="0"/>
        <w:spacing w:before="0" w:after="0" w:line="360" w:lineRule="auto"/>
        <w:ind w:left="210" w:leftChars="100"/>
        <w:jc w:val="left"/>
        <w:rPr>
          <w:rFonts w:ascii="宋体" w:hAnsi="宋体"/>
          <w:b w:val="0"/>
          <w:bCs w:val="0"/>
          <w:color w:val="auto"/>
          <w:sz w:val="21"/>
          <w:szCs w:val="21"/>
          <w:highlight w:val="none"/>
          <w:shd w:val="clear" w:color="auto" w:fill="FFFFFF"/>
        </w:rPr>
      </w:pPr>
      <w:bookmarkStart w:id="1147" w:name="_Toc2586"/>
      <w:bookmarkStart w:id="1148" w:name="_Toc29490"/>
      <w:bookmarkStart w:id="1149" w:name="_Toc8949"/>
      <w:r>
        <w:rPr>
          <w:rFonts w:hint="eastAsia" w:ascii="宋体" w:hAnsi="宋体"/>
          <w:b w:val="0"/>
          <w:bCs w:val="0"/>
          <w:color w:val="auto"/>
          <w:sz w:val="21"/>
          <w:szCs w:val="21"/>
          <w:highlight w:val="none"/>
          <w:shd w:val="clear" w:color="auto" w:fill="FFFFFF"/>
        </w:rPr>
        <w:t>23.</w:t>
      </w:r>
      <w:r>
        <w:rPr>
          <w:rFonts w:hint="eastAsia" w:ascii="宋体" w:hAnsi="宋体"/>
          <w:b w:val="0"/>
          <w:bCs w:val="0"/>
          <w:color w:val="auto"/>
          <w:sz w:val="21"/>
          <w:szCs w:val="21"/>
          <w:highlight w:val="none"/>
          <w:shd w:val="clear" w:color="auto" w:fill="FFFFFF"/>
          <w:lang w:val="en-US" w:eastAsia="zh-CN"/>
        </w:rPr>
        <w:t>工程</w:t>
      </w:r>
      <w:r>
        <w:rPr>
          <w:rFonts w:hint="eastAsia" w:ascii="宋体" w:hAnsi="宋体"/>
          <w:b w:val="0"/>
          <w:bCs w:val="0"/>
          <w:color w:val="auto"/>
          <w:sz w:val="21"/>
          <w:szCs w:val="21"/>
          <w:highlight w:val="none"/>
          <w:shd w:val="clear" w:color="auto" w:fill="FFFFFF"/>
        </w:rPr>
        <w:t>索赔</w:t>
      </w:r>
      <w:bookmarkEnd w:id="1147"/>
      <w:bookmarkEnd w:id="1148"/>
      <w:bookmarkEnd w:id="1149"/>
    </w:p>
    <w:p w14:paraId="446DFF8D">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1150" w:name="_Toc1400"/>
      <w:bookmarkStart w:id="1151" w:name="_Toc6815"/>
      <w:bookmarkStart w:id="1152" w:name="_Toc15375"/>
      <w:r>
        <w:rPr>
          <w:rFonts w:hint="eastAsia" w:ascii="宋体" w:hAnsi="宋体" w:cs="宋体"/>
          <w:b w:val="0"/>
          <w:bCs w:val="0"/>
          <w:color w:val="auto"/>
          <w:sz w:val="21"/>
          <w:szCs w:val="21"/>
          <w:highlight w:val="none"/>
          <w:shd w:val="clear" w:color="auto" w:fill="FFFFFF"/>
        </w:rPr>
        <w:t>23.1  承包人索赔的提出</w:t>
      </w:r>
      <w:bookmarkEnd w:id="1150"/>
      <w:bookmarkEnd w:id="1151"/>
      <w:bookmarkEnd w:id="1152"/>
    </w:p>
    <w:p w14:paraId="16606EEB">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根据合同约定，承包人认为有权得到追加付款和（或）延长工期的，应按以下程序向发包人提出索赔：</w:t>
      </w:r>
    </w:p>
    <w:p w14:paraId="5239F52F">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（1）承包人应在知道或应当知道</w:t>
      </w:r>
      <w:r>
        <w:rPr>
          <w:rFonts w:hint="eastAsia" w:ascii="宋体" w:hAnsi="宋体" w:cs="宋体"/>
          <w:color w:val="auto"/>
          <w:kern w:val="0"/>
          <w:szCs w:val="21"/>
          <w:highlight w:val="none"/>
          <w:shd w:val="clear" w:color="auto" w:fill="FFFFFF"/>
          <w:lang w:val="en-US" w:eastAsia="zh-CN"/>
        </w:rPr>
        <w:t>工程</w:t>
      </w:r>
      <w:r>
        <w:rPr>
          <w:rFonts w:hint="eastAsia" w:ascii="宋体" w:hAnsi="宋体" w:cs="宋体"/>
          <w:color w:val="auto"/>
          <w:kern w:val="0"/>
          <w:szCs w:val="21"/>
          <w:highlight w:val="none"/>
          <w:shd w:val="clear" w:color="auto" w:fill="FFFFFF"/>
        </w:rPr>
        <w:t>索赔事件发生后28天内，向监理人递交</w:t>
      </w:r>
      <w:r>
        <w:rPr>
          <w:rFonts w:hint="eastAsia" w:ascii="宋体" w:hAnsi="宋体" w:cs="宋体"/>
          <w:color w:val="auto"/>
          <w:kern w:val="0"/>
          <w:szCs w:val="21"/>
          <w:highlight w:val="none"/>
          <w:shd w:val="clear" w:color="auto" w:fill="FFFFFF"/>
          <w:lang w:val="en-US" w:eastAsia="zh-CN"/>
        </w:rPr>
        <w:t>工程</w:t>
      </w:r>
      <w:r>
        <w:rPr>
          <w:rFonts w:hint="eastAsia" w:ascii="宋体" w:hAnsi="宋体" w:cs="宋体"/>
          <w:color w:val="auto"/>
          <w:kern w:val="0"/>
          <w:szCs w:val="21"/>
          <w:highlight w:val="none"/>
          <w:shd w:val="clear" w:color="auto" w:fill="FFFFFF"/>
        </w:rPr>
        <w:t>索赔意向通知书，并说明发生</w:t>
      </w:r>
      <w:r>
        <w:rPr>
          <w:rFonts w:hint="eastAsia" w:ascii="宋体" w:hAnsi="宋体" w:cs="宋体"/>
          <w:color w:val="auto"/>
          <w:kern w:val="0"/>
          <w:szCs w:val="21"/>
          <w:highlight w:val="none"/>
          <w:shd w:val="clear" w:color="auto" w:fill="FFFFFF"/>
          <w:lang w:val="en-US" w:eastAsia="zh-CN"/>
        </w:rPr>
        <w:t>工程</w:t>
      </w:r>
      <w:r>
        <w:rPr>
          <w:rFonts w:hint="eastAsia" w:ascii="宋体" w:hAnsi="宋体" w:cs="宋体"/>
          <w:color w:val="auto"/>
          <w:kern w:val="0"/>
          <w:szCs w:val="21"/>
          <w:highlight w:val="none"/>
          <w:shd w:val="clear" w:color="auto" w:fill="FFFFFF"/>
        </w:rPr>
        <w:t>索赔事件的事由。承包人未在前述28天内发出</w:t>
      </w:r>
      <w:r>
        <w:rPr>
          <w:rFonts w:hint="eastAsia" w:ascii="宋体" w:hAnsi="宋体" w:cs="宋体"/>
          <w:color w:val="auto"/>
          <w:kern w:val="0"/>
          <w:szCs w:val="21"/>
          <w:highlight w:val="none"/>
          <w:shd w:val="clear" w:color="auto" w:fill="FFFFFF"/>
          <w:lang w:val="en-US" w:eastAsia="zh-CN"/>
        </w:rPr>
        <w:t>工程</w:t>
      </w:r>
      <w:r>
        <w:rPr>
          <w:rFonts w:hint="eastAsia" w:ascii="宋体" w:hAnsi="宋体" w:cs="宋体"/>
          <w:color w:val="auto"/>
          <w:kern w:val="0"/>
          <w:szCs w:val="21"/>
          <w:highlight w:val="none"/>
          <w:shd w:val="clear" w:color="auto" w:fill="FFFFFF"/>
        </w:rPr>
        <w:t>索赔意向通知书的，丧失要求追加付款和（或）延长工期的权利；</w:t>
      </w:r>
    </w:p>
    <w:p w14:paraId="42FB48E9">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（2）承包人应在发出</w:t>
      </w:r>
      <w:r>
        <w:rPr>
          <w:rFonts w:hint="eastAsia" w:ascii="宋体" w:hAnsi="宋体" w:cs="宋体"/>
          <w:color w:val="auto"/>
          <w:kern w:val="0"/>
          <w:szCs w:val="21"/>
          <w:highlight w:val="none"/>
          <w:shd w:val="clear" w:color="auto" w:fill="FFFFFF"/>
          <w:lang w:val="en-US" w:eastAsia="zh-CN"/>
        </w:rPr>
        <w:t>工程</w:t>
      </w:r>
      <w:r>
        <w:rPr>
          <w:rFonts w:hint="eastAsia" w:ascii="宋体" w:hAnsi="宋体" w:cs="宋体"/>
          <w:color w:val="auto"/>
          <w:kern w:val="0"/>
          <w:szCs w:val="21"/>
          <w:highlight w:val="none"/>
          <w:shd w:val="clear" w:color="auto" w:fill="FFFFFF"/>
        </w:rPr>
        <w:t>索赔意向通知书后28天内，向监理人正式递交</w:t>
      </w:r>
      <w:r>
        <w:rPr>
          <w:rFonts w:hint="eastAsia" w:ascii="宋体" w:hAnsi="宋体" w:cs="宋体"/>
          <w:color w:val="auto"/>
          <w:kern w:val="0"/>
          <w:szCs w:val="21"/>
          <w:highlight w:val="none"/>
          <w:shd w:val="clear" w:color="auto" w:fill="FFFFFF"/>
          <w:lang w:val="en-US" w:eastAsia="zh-CN"/>
        </w:rPr>
        <w:t>工程</w:t>
      </w:r>
      <w:r>
        <w:rPr>
          <w:rFonts w:hint="eastAsia" w:ascii="宋体" w:hAnsi="宋体" w:cs="宋体"/>
          <w:color w:val="auto"/>
          <w:kern w:val="0"/>
          <w:szCs w:val="21"/>
          <w:highlight w:val="none"/>
          <w:shd w:val="clear" w:color="auto" w:fill="FFFFFF"/>
        </w:rPr>
        <w:t>索赔通知书。</w:t>
      </w:r>
      <w:r>
        <w:rPr>
          <w:rFonts w:hint="eastAsia" w:ascii="宋体" w:hAnsi="宋体" w:cs="宋体"/>
          <w:color w:val="auto"/>
          <w:kern w:val="0"/>
          <w:szCs w:val="21"/>
          <w:highlight w:val="none"/>
          <w:shd w:val="clear" w:color="auto" w:fill="FFFFFF"/>
          <w:lang w:val="en-US" w:eastAsia="zh-CN"/>
        </w:rPr>
        <w:t>工程</w:t>
      </w:r>
      <w:r>
        <w:rPr>
          <w:rFonts w:hint="eastAsia" w:ascii="宋体" w:hAnsi="宋体" w:cs="宋体"/>
          <w:color w:val="auto"/>
          <w:kern w:val="0"/>
          <w:szCs w:val="21"/>
          <w:highlight w:val="none"/>
          <w:shd w:val="clear" w:color="auto" w:fill="FFFFFF"/>
        </w:rPr>
        <w:t>索赔通知书应详细说明索赔理由以及要求追加的付款金额和（或）延长的工期，并附必要的记录和证明材料；</w:t>
      </w:r>
    </w:p>
    <w:p w14:paraId="68009BD9">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（3）</w:t>
      </w:r>
      <w:r>
        <w:rPr>
          <w:rFonts w:hint="eastAsia" w:ascii="宋体" w:hAnsi="宋体" w:cs="宋体"/>
          <w:color w:val="auto"/>
          <w:kern w:val="0"/>
          <w:szCs w:val="21"/>
          <w:highlight w:val="none"/>
          <w:shd w:val="clear" w:color="auto" w:fill="FFFFFF"/>
          <w:lang w:val="en-US" w:eastAsia="zh-CN"/>
        </w:rPr>
        <w:t>工程</w:t>
      </w:r>
      <w:r>
        <w:rPr>
          <w:rFonts w:hint="eastAsia" w:ascii="宋体" w:hAnsi="宋体" w:cs="宋体"/>
          <w:color w:val="auto"/>
          <w:kern w:val="0"/>
          <w:szCs w:val="21"/>
          <w:highlight w:val="none"/>
          <w:shd w:val="clear" w:color="auto" w:fill="FFFFFF"/>
        </w:rPr>
        <w:t>索赔事件具有连续影响的，承包人应按合理时间间隔继续递交延续</w:t>
      </w:r>
      <w:r>
        <w:rPr>
          <w:rFonts w:hint="eastAsia" w:ascii="宋体" w:hAnsi="宋体" w:cs="宋体"/>
          <w:color w:val="auto"/>
          <w:kern w:val="0"/>
          <w:szCs w:val="21"/>
          <w:highlight w:val="none"/>
          <w:shd w:val="clear" w:color="auto" w:fill="FFFFFF"/>
          <w:lang w:val="en-US" w:eastAsia="zh-CN"/>
        </w:rPr>
        <w:t>工程</w:t>
      </w:r>
      <w:r>
        <w:rPr>
          <w:rFonts w:hint="eastAsia" w:ascii="宋体" w:hAnsi="宋体" w:cs="宋体"/>
          <w:color w:val="auto"/>
          <w:kern w:val="0"/>
          <w:szCs w:val="21"/>
          <w:highlight w:val="none"/>
          <w:shd w:val="clear" w:color="auto" w:fill="FFFFFF"/>
        </w:rPr>
        <w:t>索赔通知，说明连续影响的实际情况和记录，列出累计的追加付款金额和（或）工期延长天数；</w:t>
      </w:r>
    </w:p>
    <w:p w14:paraId="06597197">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（4）在索赔事件影响结束后的28天内，承包人应向监理人递交最终</w:t>
      </w:r>
      <w:r>
        <w:rPr>
          <w:rFonts w:hint="eastAsia" w:ascii="宋体" w:hAnsi="宋体" w:cs="宋体"/>
          <w:color w:val="auto"/>
          <w:kern w:val="0"/>
          <w:szCs w:val="21"/>
          <w:highlight w:val="none"/>
          <w:shd w:val="clear" w:color="auto" w:fill="FFFFFF"/>
          <w:lang w:val="en-US" w:eastAsia="zh-CN"/>
        </w:rPr>
        <w:t>工程</w:t>
      </w:r>
      <w:r>
        <w:rPr>
          <w:rFonts w:hint="eastAsia" w:ascii="宋体" w:hAnsi="宋体" w:cs="宋体"/>
          <w:color w:val="auto"/>
          <w:kern w:val="0"/>
          <w:szCs w:val="21"/>
          <w:highlight w:val="none"/>
          <w:shd w:val="clear" w:color="auto" w:fill="FFFFFF"/>
        </w:rPr>
        <w:t>索赔通知书，说明最终要求索赔的追加付款金额和延长的工期，并附必要的记录和证明材料。</w:t>
      </w:r>
    </w:p>
    <w:p w14:paraId="131A338D">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1153" w:name="_Toc20546"/>
      <w:bookmarkStart w:id="1154" w:name="_Toc21410"/>
      <w:bookmarkStart w:id="1155" w:name="_Toc10081"/>
      <w:r>
        <w:rPr>
          <w:rFonts w:hint="eastAsia" w:ascii="宋体" w:hAnsi="宋体" w:cs="宋体"/>
          <w:b w:val="0"/>
          <w:bCs w:val="0"/>
          <w:color w:val="auto"/>
          <w:sz w:val="21"/>
          <w:szCs w:val="21"/>
          <w:highlight w:val="none"/>
          <w:shd w:val="clear" w:color="auto" w:fill="FFFFFF"/>
        </w:rPr>
        <w:t>23.2  承包人</w:t>
      </w:r>
      <w:r>
        <w:rPr>
          <w:rFonts w:hint="eastAsia" w:hAnsi="宋体" w:cs="宋体"/>
          <w:b w:val="0"/>
          <w:bCs w:val="0"/>
          <w:color w:val="auto"/>
          <w:sz w:val="21"/>
          <w:szCs w:val="21"/>
          <w:highlight w:val="none"/>
          <w:shd w:val="clear" w:color="auto" w:fill="FFFFFF"/>
          <w:lang w:val="en-US" w:eastAsia="zh-CN"/>
        </w:rPr>
        <w:t>工程</w:t>
      </w:r>
      <w:r>
        <w:rPr>
          <w:rFonts w:hint="eastAsia" w:ascii="宋体" w:hAnsi="宋体" w:cs="宋体"/>
          <w:b w:val="0"/>
          <w:bCs w:val="0"/>
          <w:color w:val="auto"/>
          <w:sz w:val="21"/>
          <w:szCs w:val="21"/>
          <w:highlight w:val="none"/>
          <w:shd w:val="clear" w:color="auto" w:fill="FFFFFF"/>
        </w:rPr>
        <w:t>索赔处理程序</w:t>
      </w:r>
      <w:bookmarkEnd w:id="1153"/>
      <w:bookmarkEnd w:id="1154"/>
      <w:bookmarkEnd w:id="1155"/>
    </w:p>
    <w:p w14:paraId="7A278836">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（1）监理人收到承包人提交的</w:t>
      </w:r>
      <w:r>
        <w:rPr>
          <w:rFonts w:hint="eastAsia" w:ascii="宋体" w:hAnsi="宋体" w:cs="宋体"/>
          <w:color w:val="auto"/>
          <w:kern w:val="0"/>
          <w:szCs w:val="21"/>
          <w:highlight w:val="none"/>
          <w:shd w:val="clear" w:color="auto" w:fill="FFFFFF"/>
          <w:lang w:val="en-US" w:eastAsia="zh-CN"/>
        </w:rPr>
        <w:t>工程</w:t>
      </w:r>
      <w:r>
        <w:rPr>
          <w:rFonts w:hint="eastAsia" w:ascii="宋体" w:hAnsi="宋体" w:cs="宋体"/>
          <w:color w:val="auto"/>
          <w:kern w:val="0"/>
          <w:szCs w:val="21"/>
          <w:highlight w:val="none"/>
          <w:shd w:val="clear" w:color="auto" w:fill="FFFFFF"/>
        </w:rPr>
        <w:t>索赔通知书后，应及时审查</w:t>
      </w:r>
      <w:r>
        <w:rPr>
          <w:rFonts w:hint="eastAsia" w:ascii="宋体" w:hAnsi="宋体" w:cs="宋体"/>
          <w:color w:val="auto"/>
          <w:kern w:val="0"/>
          <w:szCs w:val="21"/>
          <w:highlight w:val="none"/>
          <w:shd w:val="clear" w:color="auto" w:fill="FFFFFF"/>
          <w:lang w:val="en-US" w:eastAsia="zh-CN"/>
        </w:rPr>
        <w:t>工程</w:t>
      </w:r>
      <w:r>
        <w:rPr>
          <w:rFonts w:hint="eastAsia" w:ascii="宋体" w:hAnsi="宋体" w:cs="宋体"/>
          <w:color w:val="auto"/>
          <w:kern w:val="0"/>
          <w:szCs w:val="21"/>
          <w:highlight w:val="none"/>
          <w:shd w:val="clear" w:color="auto" w:fill="FFFFFF"/>
        </w:rPr>
        <w:t>索赔通知书的内容、查验承包人的记录和证明材料，必要时监理人可要求承包人提交全部原始记录副本。</w:t>
      </w:r>
    </w:p>
    <w:p w14:paraId="7BE02B18">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（2）监理人应按第3.5款商定或确定追加的付款和（或）延长的工期，并在收到上述</w:t>
      </w:r>
      <w:r>
        <w:rPr>
          <w:rFonts w:hint="eastAsia" w:ascii="宋体" w:hAnsi="宋体" w:cs="宋体"/>
          <w:color w:val="auto"/>
          <w:kern w:val="0"/>
          <w:szCs w:val="21"/>
          <w:highlight w:val="none"/>
          <w:shd w:val="clear" w:color="auto" w:fill="FFFFFF"/>
          <w:lang w:val="en-US" w:eastAsia="zh-CN"/>
        </w:rPr>
        <w:t>工程</w:t>
      </w:r>
      <w:r>
        <w:rPr>
          <w:rFonts w:hint="eastAsia" w:ascii="宋体" w:hAnsi="宋体" w:cs="宋体"/>
          <w:color w:val="auto"/>
          <w:kern w:val="0"/>
          <w:szCs w:val="21"/>
          <w:highlight w:val="none"/>
          <w:shd w:val="clear" w:color="auto" w:fill="FFFFFF"/>
        </w:rPr>
        <w:t>索赔通知书或有关</w:t>
      </w:r>
      <w:r>
        <w:rPr>
          <w:rFonts w:hint="eastAsia" w:ascii="宋体" w:hAnsi="宋体" w:cs="宋体"/>
          <w:color w:val="auto"/>
          <w:kern w:val="0"/>
          <w:szCs w:val="21"/>
          <w:highlight w:val="none"/>
          <w:shd w:val="clear" w:color="auto" w:fill="FFFFFF"/>
          <w:lang w:val="en-US" w:eastAsia="zh-CN"/>
        </w:rPr>
        <w:t>工程</w:t>
      </w:r>
      <w:r>
        <w:rPr>
          <w:rFonts w:hint="eastAsia" w:ascii="宋体" w:hAnsi="宋体" w:cs="宋体"/>
          <w:color w:val="auto"/>
          <w:kern w:val="0"/>
          <w:szCs w:val="21"/>
          <w:highlight w:val="none"/>
          <w:shd w:val="clear" w:color="auto" w:fill="FFFFFF"/>
        </w:rPr>
        <w:t>索赔的进一步证明材料后的42天内，将索赔处理结果答复承包人。</w:t>
      </w:r>
    </w:p>
    <w:p w14:paraId="0708B6BA">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（3）承包人接受索赔处理结果的，发包人应在作出索赔处理结果答复后28天内完成赔付。承包人不接受索赔处理结果的，按第24条的约定办理。</w:t>
      </w:r>
    </w:p>
    <w:p w14:paraId="503D8D7F">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1156" w:name="_Toc14809"/>
      <w:bookmarkStart w:id="1157" w:name="_Toc27498"/>
      <w:bookmarkStart w:id="1158" w:name="_Toc17736"/>
      <w:r>
        <w:rPr>
          <w:rFonts w:hint="eastAsia" w:ascii="宋体" w:hAnsi="宋体" w:cs="宋体"/>
          <w:b w:val="0"/>
          <w:bCs w:val="0"/>
          <w:color w:val="auto"/>
          <w:sz w:val="21"/>
          <w:szCs w:val="21"/>
          <w:highlight w:val="none"/>
          <w:shd w:val="clear" w:color="auto" w:fill="FFFFFF"/>
        </w:rPr>
        <w:t>23.3  承包人提出索赔的期限</w:t>
      </w:r>
      <w:bookmarkEnd w:id="1156"/>
      <w:bookmarkEnd w:id="1157"/>
      <w:bookmarkEnd w:id="1158"/>
    </w:p>
    <w:p w14:paraId="37D05AE3">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23.3.1  承包人按第17.5款的约定接受了竣工付款证书后，应被认为已无权再提出在合同工程接收证书颁发前所发生的任何索赔。</w:t>
      </w:r>
    </w:p>
    <w:p w14:paraId="654529BA">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 xml:space="preserve">23.3.2  承包人按第17.6款的约定提交的最终结清申请单中，只限于提出工程接收证书颁发后发生的索赔。提出索赔的期限自接受最终结清证书时终止。 </w:t>
      </w:r>
    </w:p>
    <w:p w14:paraId="63140A3D">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1159" w:name="_Toc189"/>
      <w:bookmarkStart w:id="1160" w:name="_Toc21428"/>
      <w:bookmarkStart w:id="1161" w:name="_Toc13838"/>
      <w:r>
        <w:rPr>
          <w:rFonts w:hint="eastAsia" w:ascii="宋体" w:hAnsi="宋体" w:cs="宋体"/>
          <w:b w:val="0"/>
          <w:bCs w:val="0"/>
          <w:color w:val="auto"/>
          <w:sz w:val="21"/>
          <w:szCs w:val="21"/>
          <w:highlight w:val="none"/>
          <w:shd w:val="clear" w:color="auto" w:fill="FFFFFF"/>
        </w:rPr>
        <w:t>23.4  发包人的</w:t>
      </w:r>
      <w:r>
        <w:rPr>
          <w:rFonts w:hint="eastAsia" w:hAnsi="宋体" w:cs="宋体"/>
          <w:b w:val="0"/>
          <w:bCs w:val="0"/>
          <w:color w:val="auto"/>
          <w:sz w:val="21"/>
          <w:szCs w:val="21"/>
          <w:highlight w:val="none"/>
          <w:shd w:val="clear" w:color="auto" w:fill="FFFFFF"/>
          <w:lang w:val="en-US" w:eastAsia="zh-CN"/>
        </w:rPr>
        <w:t>工程</w:t>
      </w:r>
      <w:r>
        <w:rPr>
          <w:rFonts w:hint="eastAsia" w:ascii="宋体" w:hAnsi="宋体" w:cs="宋体"/>
          <w:b w:val="0"/>
          <w:bCs w:val="0"/>
          <w:color w:val="auto"/>
          <w:sz w:val="21"/>
          <w:szCs w:val="21"/>
          <w:highlight w:val="none"/>
          <w:shd w:val="clear" w:color="auto" w:fill="FFFFFF"/>
        </w:rPr>
        <w:t>索赔</w:t>
      </w:r>
      <w:bookmarkEnd w:id="1159"/>
      <w:bookmarkEnd w:id="1160"/>
      <w:bookmarkEnd w:id="1161"/>
    </w:p>
    <w:p w14:paraId="219D96B2">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23.4.1  发生</w:t>
      </w:r>
      <w:r>
        <w:rPr>
          <w:rFonts w:hint="eastAsia" w:ascii="宋体" w:hAnsi="宋体" w:cs="宋体"/>
          <w:color w:val="auto"/>
          <w:kern w:val="0"/>
          <w:szCs w:val="21"/>
          <w:highlight w:val="none"/>
          <w:shd w:val="clear" w:color="auto" w:fill="FFFFFF"/>
          <w:lang w:val="en-US" w:eastAsia="zh-CN"/>
        </w:rPr>
        <w:t>工程</w:t>
      </w:r>
      <w:r>
        <w:rPr>
          <w:rFonts w:hint="eastAsia" w:ascii="宋体" w:hAnsi="宋体" w:cs="宋体"/>
          <w:color w:val="auto"/>
          <w:kern w:val="0"/>
          <w:szCs w:val="21"/>
          <w:highlight w:val="none"/>
          <w:shd w:val="clear" w:color="auto" w:fill="FFFFFF"/>
        </w:rPr>
        <w:t>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14:paraId="5C035C94">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23.4.2  监理人按第3.5款商定或确定发包人从承包人处得到赔付的金额和（或）缺陷责任期的延长期。承包人应付给发包人的金额可从拟支付给承包人的合同价款中扣除，或由承包人以其他方式支付给发包人。</w:t>
      </w:r>
    </w:p>
    <w:p w14:paraId="1008E6C3">
      <w:pPr>
        <w:pStyle w:val="3"/>
        <w:keepNext w:val="0"/>
        <w:keepLines w:val="0"/>
        <w:widowControl/>
        <w:snapToGrid w:val="0"/>
        <w:spacing w:before="0" w:after="0" w:line="360" w:lineRule="auto"/>
        <w:ind w:left="210" w:leftChars="100"/>
        <w:jc w:val="left"/>
        <w:rPr>
          <w:rFonts w:ascii="宋体" w:hAnsi="宋体"/>
          <w:b w:val="0"/>
          <w:bCs w:val="0"/>
          <w:color w:val="auto"/>
          <w:sz w:val="21"/>
          <w:szCs w:val="21"/>
          <w:highlight w:val="none"/>
          <w:shd w:val="clear" w:color="auto" w:fill="FFFFFF"/>
        </w:rPr>
      </w:pPr>
      <w:bookmarkStart w:id="1162" w:name="_Toc10692"/>
      <w:bookmarkStart w:id="1163" w:name="_Toc10704"/>
      <w:bookmarkStart w:id="1164" w:name="_Toc21456"/>
      <w:r>
        <w:rPr>
          <w:rFonts w:hint="eastAsia" w:ascii="宋体" w:hAnsi="宋体"/>
          <w:b w:val="0"/>
          <w:bCs w:val="0"/>
          <w:color w:val="auto"/>
          <w:sz w:val="21"/>
          <w:szCs w:val="21"/>
          <w:highlight w:val="none"/>
          <w:shd w:val="clear" w:color="auto" w:fill="FFFFFF"/>
        </w:rPr>
        <w:t>24.争议的解决</w:t>
      </w:r>
      <w:bookmarkEnd w:id="1162"/>
      <w:bookmarkEnd w:id="1163"/>
      <w:bookmarkEnd w:id="1164"/>
    </w:p>
    <w:p w14:paraId="1191B2BC">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1165" w:name="_Toc16499"/>
      <w:bookmarkStart w:id="1166" w:name="_Toc1598"/>
      <w:bookmarkStart w:id="1167" w:name="_Toc2930"/>
      <w:r>
        <w:rPr>
          <w:rFonts w:hint="eastAsia" w:ascii="宋体" w:hAnsi="宋体" w:cs="宋体"/>
          <w:b w:val="0"/>
          <w:bCs w:val="0"/>
          <w:color w:val="auto"/>
          <w:sz w:val="21"/>
          <w:szCs w:val="21"/>
          <w:highlight w:val="none"/>
          <w:shd w:val="clear" w:color="auto" w:fill="FFFFFF"/>
        </w:rPr>
        <w:t>24.1  争议的解决方式</w:t>
      </w:r>
      <w:bookmarkEnd w:id="1165"/>
      <w:bookmarkEnd w:id="1166"/>
      <w:bookmarkEnd w:id="1167"/>
    </w:p>
    <w:p w14:paraId="667270D5">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发包人和承包人在履行合同中发生争议的，可以友好协商解决或者提请争议评审组评审。合同当事人友好协商解决不成、不愿提请争议评审或者不接受争议评审组意见的，可在合同条款专用部分中约定下列一种方式解决。</w:t>
      </w:r>
    </w:p>
    <w:p w14:paraId="605BCD17">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（1）向约定的仲裁委员会申请仲裁；</w:t>
      </w:r>
    </w:p>
    <w:p w14:paraId="3730D7B8">
      <w:pPr>
        <w:widowControl/>
        <w:snapToGrid w:val="0"/>
        <w:spacing w:before="0" w:line="360" w:lineRule="auto"/>
        <w:ind w:left="210" w:leftChars="100" w:right="0" w:firstLine="420"/>
        <w:jc w:val="left"/>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spacing w:val="0"/>
          <w:kern w:val="0"/>
          <w:sz w:val="21"/>
          <w:szCs w:val="21"/>
          <w:highlight w:val="none"/>
          <w:shd w:val="clear" w:color="auto" w:fill="FFFFFF"/>
        </w:rPr>
        <w:t>除因发包人或承包人违约引起合同已无法继续履行，或双方协商确定停止施工或合同已 经解除外，发包人和承包人在争议发生后应继续履行合同工程，直至争议解决。</w:t>
      </w:r>
    </w:p>
    <w:p w14:paraId="58510AFC">
      <w:pPr>
        <w:widowControl/>
        <w:snapToGrid w:val="0"/>
        <w:spacing w:before="0" w:line="360" w:lineRule="auto"/>
        <w:ind w:left="210" w:leftChars="100" w:firstLine="420"/>
        <w:jc w:val="left"/>
        <w:outlineLvl w:val="9"/>
        <w:rPr>
          <w:rFonts w:hint="eastAsia" w:ascii="宋体" w:hAnsi="宋体" w:eastAsia="宋体" w:cs="宋体"/>
          <w:color w:val="auto"/>
          <w:kern w:val="0"/>
          <w:sz w:val="21"/>
          <w:szCs w:val="21"/>
          <w:highlight w:val="none"/>
          <w:u w:val="single"/>
          <w:shd w:val="clear" w:color="auto" w:fill="FFFFFF"/>
        </w:rPr>
      </w:pPr>
      <w:bookmarkStart w:id="1168" w:name="bookmark262"/>
      <w:bookmarkEnd w:id="1168"/>
      <w:r>
        <w:rPr>
          <w:rFonts w:hint="eastAsia" w:ascii="宋体" w:hAnsi="宋体" w:eastAsia="宋体" w:cs="宋体"/>
          <w:color w:val="auto"/>
          <w:spacing w:val="0"/>
          <w:kern w:val="0"/>
          <w:sz w:val="21"/>
          <w:szCs w:val="21"/>
          <w:highlight w:val="none"/>
          <w:u w:val="single"/>
          <w:shd w:val="clear" w:color="auto" w:fill="FFFFFF"/>
        </w:rPr>
        <w:t>24.2  和解</w:t>
      </w:r>
    </w:p>
    <w:p w14:paraId="006E2AB8">
      <w:pPr>
        <w:widowControl/>
        <w:snapToGrid w:val="0"/>
        <w:spacing w:line="360" w:lineRule="auto"/>
        <w:ind w:left="210" w:leftChars="100" w:firstLine="420"/>
        <w:jc w:val="left"/>
        <w:rPr>
          <w:rFonts w:ascii="宋体" w:hAnsi="宋体" w:cs="宋体"/>
          <w:color w:val="auto"/>
          <w:kern w:val="0"/>
          <w:szCs w:val="21"/>
          <w:highlight w:val="none"/>
          <w:shd w:val="clear" w:color="auto" w:fill="FFFFFF"/>
        </w:rPr>
      </w:pPr>
      <w:r>
        <w:rPr>
          <w:rFonts w:hint="eastAsia" w:ascii="宋体" w:hAnsi="宋体" w:eastAsia="宋体" w:cs="宋体"/>
          <w:color w:val="auto"/>
          <w:spacing w:val="0"/>
          <w:kern w:val="0"/>
          <w:sz w:val="21"/>
          <w:szCs w:val="21"/>
          <w:highlight w:val="none"/>
          <w:shd w:val="clear" w:color="auto" w:fill="FFFFFF"/>
        </w:rPr>
        <w:t>发包人和承包人在履行合同中发生争议的，应通过友好协商解决，并在协商一致后签订 相关的补充（和解）协议，所签订的补充（和解）协议作为合同补充文件，对合同双方均具</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有约束力，合同双方都应遵守执行。</w:t>
      </w:r>
    </w:p>
    <w:p w14:paraId="366174ED">
      <w:pPr>
        <w:pStyle w:val="4"/>
        <w:keepNext w:val="0"/>
        <w:keepLines w:val="0"/>
        <w:widowControl/>
        <w:snapToGrid w:val="0"/>
        <w:spacing w:before="0" w:after="0" w:line="360" w:lineRule="auto"/>
        <w:ind w:left="210" w:leftChars="100"/>
        <w:jc w:val="left"/>
        <w:rPr>
          <w:rFonts w:ascii="宋体" w:hAnsi="宋体" w:cs="宋体"/>
          <w:b w:val="0"/>
          <w:bCs w:val="0"/>
          <w:color w:val="auto"/>
          <w:sz w:val="21"/>
          <w:szCs w:val="21"/>
          <w:highlight w:val="none"/>
          <w:shd w:val="clear" w:color="auto" w:fill="FFFFFF"/>
        </w:rPr>
      </w:pPr>
      <w:bookmarkStart w:id="1169" w:name="_Toc29320"/>
      <w:bookmarkStart w:id="1170" w:name="_Toc18243"/>
      <w:bookmarkStart w:id="1171" w:name="_Toc4010"/>
      <w:r>
        <w:rPr>
          <w:rFonts w:hint="eastAsia" w:ascii="宋体" w:hAnsi="宋体" w:cs="宋体"/>
          <w:b w:val="0"/>
          <w:bCs w:val="0"/>
          <w:color w:val="auto"/>
          <w:sz w:val="21"/>
          <w:szCs w:val="21"/>
          <w:highlight w:val="none"/>
          <w:shd w:val="clear" w:color="auto" w:fill="FFFFFF"/>
        </w:rPr>
        <w:t>24.3  争议评审</w:t>
      </w:r>
      <w:bookmarkEnd w:id="1169"/>
      <w:bookmarkEnd w:id="1170"/>
      <w:bookmarkEnd w:id="1171"/>
    </w:p>
    <w:p w14:paraId="28B25034">
      <w:pPr>
        <w:widowControl/>
        <w:snapToGrid w:val="0"/>
        <w:spacing w:before="0" w:line="360" w:lineRule="auto"/>
        <w:ind w:left="210" w:leftChars="100" w:right="0" w:firstLine="420"/>
        <w:jc w:val="left"/>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spacing w:val="0"/>
          <w:kern w:val="0"/>
          <w:sz w:val="21"/>
          <w:szCs w:val="21"/>
          <w:highlight w:val="none"/>
          <w:shd w:val="clear" w:color="auto" w:fill="FFFFFF"/>
        </w:rPr>
        <w:t>24.3.1  采用争议评审方式解决争议的，发包人和承包人应在合同履行过程中共同确定</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争议评审委员会（或机构）的选择形式、人员构成和数量。</w:t>
      </w:r>
    </w:p>
    <w:p w14:paraId="34C9FABE">
      <w:pPr>
        <w:widowControl/>
        <w:snapToGrid w:val="0"/>
        <w:spacing w:before="0" w:line="360" w:lineRule="auto"/>
        <w:ind w:left="210" w:leftChars="100" w:right="0" w:firstLine="420"/>
        <w:jc w:val="left"/>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spacing w:val="0"/>
          <w:kern w:val="0"/>
          <w:sz w:val="21"/>
          <w:szCs w:val="21"/>
          <w:highlight w:val="none"/>
          <w:shd w:val="clear" w:color="auto" w:fill="FFFFFF"/>
        </w:rPr>
        <w:t>24.3.2  合同双方或任一方提出争议的，应在争议评审委员会（或机构）确定后，由合同双方共同将与争议事项相关的工程资料以书面形式提供给争议评审委员会（或机构），或 提出相关争议的一方将争议事项相关的工程资料以书面形式提供给争议评审委员会（或机</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构），同时提供一份给合同的另一方。</w:t>
      </w:r>
    </w:p>
    <w:p w14:paraId="08183915">
      <w:pPr>
        <w:widowControl/>
        <w:snapToGrid w:val="0"/>
        <w:spacing w:before="0" w:line="360" w:lineRule="auto"/>
        <w:ind w:left="210" w:leftChars="100" w:right="0" w:firstLine="420"/>
        <w:jc w:val="left"/>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spacing w:val="0"/>
          <w:kern w:val="0"/>
          <w:sz w:val="21"/>
          <w:szCs w:val="21"/>
          <w:highlight w:val="none"/>
          <w:shd w:val="clear" w:color="auto" w:fill="FFFFFF"/>
        </w:rPr>
        <w:t>24.3.3  争议评审委员会（或机构）应在收到争议事项文件资料后，全面了解争议事项</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的发生实情，并在收到争议事项文件资料后的约定时间内将争议处理意见以书面形式同时提</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供给合同双方，包括相关的详细说明和依据。</w:t>
      </w:r>
    </w:p>
    <w:p w14:paraId="146CF617">
      <w:pPr>
        <w:widowControl/>
        <w:snapToGrid w:val="0"/>
        <w:spacing w:before="0" w:line="360" w:lineRule="auto"/>
        <w:ind w:left="210" w:leftChars="100" w:right="0" w:firstLine="420"/>
        <w:jc w:val="left"/>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spacing w:val="0"/>
          <w:kern w:val="0"/>
          <w:sz w:val="21"/>
          <w:szCs w:val="21"/>
          <w:highlight w:val="none"/>
          <w:shd w:val="clear" w:color="auto" w:fill="FFFFFF"/>
        </w:rPr>
        <w:t>24.3.4  如合同双方中的任一方对争议评审委员会（或机构）的意见提出异议的，提出</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异议的一方应在收到争议评审委员会（或机构）的意见后的规定时间内，将不认可理由的函</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件以书面形式提供给争议评审委员会（或机构），并同时抄送一份给合同的另一方，包括相</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关说明、依据及补充提供的支持性资料。争议评审委员会（或机构）复查后，将维持原意见</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或修改意见的理由及决定以书面形式同时提供给合同双方。</w:t>
      </w:r>
    </w:p>
    <w:p w14:paraId="506C61DA">
      <w:pPr>
        <w:widowControl/>
        <w:snapToGrid w:val="0"/>
        <w:spacing w:before="0" w:line="360" w:lineRule="auto"/>
        <w:ind w:left="210" w:leftChars="100" w:right="0" w:firstLine="420"/>
        <w:jc w:val="left"/>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spacing w:val="0"/>
          <w:kern w:val="0"/>
          <w:sz w:val="21"/>
          <w:szCs w:val="21"/>
          <w:highlight w:val="none"/>
          <w:shd w:val="clear" w:color="auto" w:fill="FFFFFF"/>
        </w:rPr>
        <w:t>24.3.5  如合同双方对争议评审委员会（或机构）提出的争议解决意见或修改意见没有</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异议的，合同双方应以书面形式签署确认，作为相关争议的和解协议，对合同双方应均具有</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约束力，合同双方都应遵守执行。</w:t>
      </w:r>
    </w:p>
    <w:p w14:paraId="0331C765">
      <w:pPr>
        <w:widowControl/>
        <w:snapToGrid w:val="0"/>
        <w:spacing w:before="0" w:line="360" w:lineRule="auto"/>
        <w:ind w:left="210" w:leftChars="100" w:right="0" w:firstLine="420"/>
        <w:jc w:val="left"/>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spacing w:val="0"/>
          <w:kern w:val="0"/>
          <w:sz w:val="21"/>
          <w:szCs w:val="21"/>
          <w:highlight w:val="none"/>
          <w:shd w:val="clear" w:color="auto" w:fill="FFFFFF"/>
        </w:rPr>
        <w:t>24.3.6  如合同双方中的任一方对争议评审委员会（或机构）的处理意见有异议，处理</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意见对合同双方不具有约束力。</w:t>
      </w:r>
    </w:p>
    <w:p w14:paraId="2477C67E">
      <w:pPr>
        <w:widowControl/>
        <w:snapToGrid w:val="0"/>
        <w:spacing w:before="0" w:line="360" w:lineRule="auto"/>
        <w:ind w:left="210" w:leftChars="100" w:firstLine="420"/>
        <w:jc w:val="left"/>
        <w:outlineLvl w:val="9"/>
        <w:rPr>
          <w:rFonts w:hint="eastAsia" w:ascii="宋体" w:hAnsi="宋体" w:eastAsia="宋体" w:cs="宋体"/>
          <w:color w:val="auto"/>
          <w:kern w:val="0"/>
          <w:sz w:val="21"/>
          <w:szCs w:val="21"/>
          <w:highlight w:val="none"/>
          <w:u w:val="single"/>
          <w:shd w:val="clear" w:color="auto" w:fill="FFFFFF"/>
        </w:rPr>
      </w:pPr>
      <w:bookmarkStart w:id="1172" w:name="bookmark264"/>
      <w:bookmarkEnd w:id="1172"/>
      <w:r>
        <w:rPr>
          <w:rFonts w:hint="eastAsia" w:ascii="宋体" w:hAnsi="宋体" w:eastAsia="宋体" w:cs="宋体"/>
          <w:color w:val="auto"/>
          <w:spacing w:val="0"/>
          <w:kern w:val="0"/>
          <w:sz w:val="21"/>
          <w:szCs w:val="21"/>
          <w:highlight w:val="none"/>
          <w:u w:val="single"/>
          <w:shd w:val="clear" w:color="auto" w:fill="FFFFFF"/>
        </w:rPr>
        <w:t>24.4  调解</w:t>
      </w:r>
    </w:p>
    <w:p w14:paraId="149A46C6">
      <w:pPr>
        <w:widowControl/>
        <w:snapToGrid w:val="0"/>
        <w:spacing w:before="0" w:line="360" w:lineRule="auto"/>
        <w:ind w:left="210" w:leftChars="100" w:right="0" w:firstLine="420"/>
        <w:jc w:val="left"/>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spacing w:val="0"/>
          <w:kern w:val="0"/>
          <w:sz w:val="21"/>
          <w:szCs w:val="21"/>
          <w:highlight w:val="none"/>
          <w:shd w:val="clear" w:color="auto" w:fill="FFFFFF"/>
        </w:rPr>
        <w:t>24.4.1  采用调解方式解决合同履行过程中发生争议事项的，应在合同履行过程中双方</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共同选择、确定具有调解能力的调解人（或机构），负责双方在合同履行过程中发生争议事项的调解。</w:t>
      </w:r>
    </w:p>
    <w:p w14:paraId="273F2B39">
      <w:pPr>
        <w:widowControl/>
        <w:snapToGrid w:val="0"/>
        <w:spacing w:before="0" w:line="360" w:lineRule="auto"/>
        <w:ind w:left="210" w:leftChars="100" w:right="0" w:firstLine="420"/>
        <w:jc w:val="left"/>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spacing w:val="0"/>
          <w:kern w:val="0"/>
          <w:sz w:val="21"/>
          <w:szCs w:val="21"/>
          <w:highlight w:val="none"/>
          <w:shd w:val="clear" w:color="auto" w:fill="FFFFFF"/>
        </w:rPr>
        <w:t>24.4.2  合同双方发生争议解决事项时，提出争议合理解决的任一方应将相关争议事项</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的所有文件、工程指令等以书面形式提交调解人（或机构），并书面抄送一份给合同的另一 方，委托调解人（或机构）进行调解。</w:t>
      </w:r>
    </w:p>
    <w:p w14:paraId="4E910ADB">
      <w:pPr>
        <w:widowControl/>
        <w:snapToGrid w:val="0"/>
        <w:spacing w:before="0" w:line="360" w:lineRule="auto"/>
        <w:ind w:left="210" w:leftChars="100" w:right="0" w:firstLine="420"/>
        <w:jc w:val="left"/>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spacing w:val="0"/>
          <w:kern w:val="0"/>
          <w:sz w:val="21"/>
          <w:szCs w:val="21"/>
          <w:highlight w:val="none"/>
          <w:shd w:val="clear" w:color="auto" w:fill="FFFFFF"/>
        </w:rPr>
        <w:t>24.4.3  合同双方应按照调解人（或机构）提出的要求，提供其所需要的资料、进入现</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场的权利及相应工作设施条件。</w:t>
      </w:r>
    </w:p>
    <w:p w14:paraId="0BE53D0C">
      <w:pPr>
        <w:widowControl/>
        <w:snapToGrid w:val="0"/>
        <w:spacing w:before="0" w:line="360" w:lineRule="auto"/>
        <w:ind w:left="210" w:leftChars="100" w:firstLine="420"/>
        <w:jc w:val="left"/>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spacing w:val="0"/>
          <w:kern w:val="0"/>
          <w:sz w:val="21"/>
          <w:szCs w:val="21"/>
          <w:highlight w:val="none"/>
          <w:shd w:val="clear" w:color="auto" w:fill="FFFFFF"/>
        </w:rPr>
        <w:t>24.4.4  调解人（或机构）收到争议事项文件资料后，应全面了解争议事项的发生实情， 听取合同双方的意见及协调双方的主张，并在收到争议事项文件资料后的约定时间内将自身 的争议处理意见以书面形式提供给合同双方，包括相关的详细说明和依据。</w:t>
      </w:r>
    </w:p>
    <w:p w14:paraId="5727D42C">
      <w:pPr>
        <w:widowControl/>
        <w:snapToGrid w:val="0"/>
        <w:spacing w:line="360" w:lineRule="auto"/>
        <w:ind w:left="210" w:leftChars="100" w:firstLine="420"/>
        <w:jc w:val="left"/>
        <w:rPr>
          <w:rFonts w:hint="eastAsia" w:ascii="宋体" w:hAnsi="宋体" w:cs="宋体"/>
          <w:color w:val="auto"/>
          <w:kern w:val="0"/>
          <w:szCs w:val="21"/>
          <w:highlight w:val="none"/>
          <w:shd w:val="clear" w:color="auto" w:fill="FFFFFF"/>
        </w:rPr>
      </w:pPr>
      <w:r>
        <w:rPr>
          <w:rFonts w:hint="eastAsia" w:ascii="宋体" w:hAnsi="宋体" w:eastAsia="宋体" w:cs="宋体"/>
          <w:color w:val="auto"/>
          <w:spacing w:val="0"/>
          <w:kern w:val="0"/>
          <w:sz w:val="21"/>
          <w:szCs w:val="21"/>
          <w:highlight w:val="none"/>
          <w:shd w:val="clear" w:color="auto" w:fill="FFFFFF"/>
        </w:rPr>
        <w:t>24.4.5  如合同双方中的任一方不认可调解人（或机构）的决定，提出异议的一方应在</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收到调解人（或机构）的决定后,在规定的时间内将不认可理由的函件以书面形式提交给调</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解人（或机构），并同时抄送一份给合同的另一方，包括相关的详细说明、依据及补充提供</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的支持性资料。调解人（或机构）复查、协调后，将维持决定或修改决定的调整意见书同时</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提供给合同双方。</w:t>
      </w:r>
    </w:p>
    <w:p w14:paraId="29FC0FDD">
      <w:pPr>
        <w:widowControl/>
        <w:snapToGrid w:val="0"/>
        <w:spacing w:before="0" w:line="360" w:lineRule="auto"/>
        <w:ind w:left="210" w:leftChars="100" w:right="0" w:firstLine="420"/>
        <w:jc w:val="left"/>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spacing w:val="0"/>
          <w:kern w:val="0"/>
          <w:sz w:val="21"/>
          <w:szCs w:val="21"/>
          <w:highlight w:val="none"/>
          <w:shd w:val="clear" w:color="auto" w:fill="FFFFFF"/>
        </w:rPr>
        <w:t>24.4.6  合同双方接受调解人（或机构）提出的调解书的，双方应签署确认并作为合同</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的补充文件，对合同双方应均具有约束力，双方都应遵守执行。</w:t>
      </w:r>
    </w:p>
    <w:p w14:paraId="1EE894E6">
      <w:pPr>
        <w:widowControl/>
        <w:snapToGrid w:val="0"/>
        <w:spacing w:before="0" w:line="360" w:lineRule="auto"/>
        <w:ind w:left="210" w:leftChars="100" w:right="0" w:firstLine="420"/>
        <w:jc w:val="left"/>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spacing w:val="0"/>
          <w:kern w:val="0"/>
          <w:sz w:val="21"/>
          <w:szCs w:val="21"/>
          <w:highlight w:val="none"/>
          <w:shd w:val="clear" w:color="auto" w:fill="FFFFFF"/>
        </w:rPr>
        <w:t>24.4.7  当合同双方中的任一方对调解人（或机构）的调解书有异议时，应在收到调解</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书后约定的时间内提出异议的事项和理由。当调解人（或机构）已就争议事项向合同双方提 交了调解书，而任一方在收到调解书后的约定时间内未发出表示异议的通知时，视为已认可</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调解书。</w:t>
      </w:r>
    </w:p>
    <w:p w14:paraId="52024840">
      <w:pPr>
        <w:widowControl/>
        <w:snapToGrid w:val="0"/>
        <w:spacing w:before="0" w:line="360" w:lineRule="auto"/>
        <w:ind w:left="210" w:leftChars="100" w:right="0" w:firstLine="420"/>
        <w:jc w:val="left"/>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spacing w:val="0"/>
          <w:kern w:val="0"/>
          <w:sz w:val="21"/>
          <w:szCs w:val="21"/>
          <w:highlight w:val="none"/>
          <w:shd w:val="clear" w:color="auto" w:fill="FFFFFF"/>
        </w:rPr>
        <w:t>24.4.8  合同双方未共同签字确认的调解书，除调解协议另有约定或罚解书在仲裁裁</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决、诉讼判决中予以确认外，对合同双方均不应具有约束力。</w:t>
      </w:r>
    </w:p>
    <w:p w14:paraId="60EC97D8">
      <w:pPr>
        <w:widowControl/>
        <w:snapToGrid w:val="0"/>
        <w:spacing w:before="0" w:line="360" w:lineRule="auto"/>
        <w:ind w:left="210" w:leftChars="100" w:firstLine="420"/>
        <w:jc w:val="left"/>
        <w:outlineLvl w:val="9"/>
        <w:rPr>
          <w:rFonts w:hint="eastAsia" w:ascii="宋体" w:hAnsi="宋体" w:eastAsia="宋体" w:cs="宋体"/>
          <w:color w:val="auto"/>
          <w:kern w:val="0"/>
          <w:sz w:val="21"/>
          <w:szCs w:val="21"/>
          <w:highlight w:val="none"/>
          <w:u w:val="single"/>
          <w:shd w:val="clear" w:color="auto" w:fill="FFFFFF"/>
        </w:rPr>
      </w:pPr>
      <w:bookmarkStart w:id="1173" w:name="bookmark265"/>
      <w:bookmarkEnd w:id="1173"/>
      <w:r>
        <w:rPr>
          <w:rFonts w:hint="eastAsia" w:ascii="宋体" w:hAnsi="宋体" w:eastAsia="宋体" w:cs="宋体"/>
          <w:color w:val="auto"/>
          <w:spacing w:val="0"/>
          <w:kern w:val="0"/>
          <w:sz w:val="21"/>
          <w:szCs w:val="21"/>
          <w:highlight w:val="none"/>
          <w:u w:val="single"/>
          <w:shd w:val="clear" w:color="auto" w:fill="FFFFFF"/>
        </w:rPr>
        <w:t>24.5  仲裁与诉讼</w:t>
      </w:r>
    </w:p>
    <w:p w14:paraId="3D1C0058">
      <w:pPr>
        <w:widowControl/>
        <w:snapToGrid w:val="0"/>
        <w:spacing w:before="0" w:line="360" w:lineRule="auto"/>
        <w:ind w:left="210" w:leftChars="100" w:right="0" w:firstLine="420"/>
        <w:jc w:val="left"/>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spacing w:val="0"/>
          <w:kern w:val="0"/>
          <w:sz w:val="21"/>
          <w:szCs w:val="21"/>
          <w:highlight w:val="none"/>
          <w:shd w:val="clear" w:color="auto" w:fill="FFFFFF"/>
        </w:rPr>
        <w:t>24.5.1  如果合同双方按 24.1 款约定采用仲裁或诉讼方式解决争议事项的，在仲裁委</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员会裁决或人民法院判决前，合同双方可按仲裁委员会或人民法院的调解程序和方法进行调</w:t>
      </w:r>
      <w:r>
        <w:rPr>
          <w:rFonts w:hint="eastAsia" w:ascii="宋体" w:hAnsi="宋体" w:eastAsia="宋体" w:cs="宋体"/>
          <w:color w:val="auto"/>
          <w:kern w:val="0"/>
          <w:sz w:val="21"/>
          <w:szCs w:val="21"/>
          <w:highlight w:val="none"/>
          <w:shd w:val="clear" w:color="auto" w:fill="FFFFFF"/>
        </w:rPr>
        <w:t xml:space="preserve"> 解。</w:t>
      </w:r>
    </w:p>
    <w:p w14:paraId="741999D8">
      <w:pPr>
        <w:widowControl/>
        <w:snapToGrid w:val="0"/>
        <w:spacing w:before="0" w:line="360" w:lineRule="auto"/>
        <w:ind w:left="210" w:leftChars="100" w:right="0" w:firstLine="420"/>
        <w:jc w:val="left"/>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spacing w:val="0"/>
          <w:kern w:val="0"/>
          <w:sz w:val="21"/>
          <w:szCs w:val="21"/>
          <w:highlight w:val="none"/>
          <w:shd w:val="clear" w:color="auto" w:fill="FFFFFF"/>
        </w:rPr>
        <w:t>24.5.2  合同双方各自的义务不因在工程实施期间进行仲裁或诉讼而改变。当仲裁或诉</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讼时，按仲裁委员会或人民法院要求停止施工的，承包人应对合同工程采取保护措施，由此</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增加的费用应由败诉方承担，或按责任分担。</w:t>
      </w:r>
    </w:p>
    <w:p w14:paraId="021CE313">
      <w:pPr>
        <w:widowControl/>
        <w:snapToGrid w:val="0"/>
        <w:spacing w:before="0" w:line="360" w:lineRule="auto"/>
        <w:ind w:left="210" w:leftChars="100" w:right="0" w:firstLine="420"/>
        <w:jc w:val="left"/>
        <w:rPr>
          <w:rFonts w:hint="eastAsia" w:ascii="宋体" w:hAnsi="宋体" w:eastAsia="宋体" w:cs="宋体"/>
          <w:color w:val="auto"/>
          <w:kern w:val="0"/>
          <w:sz w:val="21"/>
          <w:szCs w:val="21"/>
          <w:highlight w:val="none"/>
          <w:shd w:val="clear" w:color="auto" w:fill="FFFFFF"/>
        </w:rPr>
      </w:pPr>
      <w:r>
        <w:rPr>
          <w:rFonts w:hint="eastAsia" w:ascii="宋体" w:hAnsi="宋体" w:eastAsia="宋体" w:cs="宋体"/>
          <w:color w:val="auto"/>
          <w:spacing w:val="0"/>
          <w:kern w:val="0"/>
          <w:sz w:val="21"/>
          <w:szCs w:val="21"/>
          <w:highlight w:val="none"/>
          <w:shd w:val="clear" w:color="auto" w:fill="FFFFFF"/>
        </w:rPr>
        <w:t>24.5.3  合同双方中的任一方未能遵守双方确认的争议评审意见或调解书的，另一方可</w:t>
      </w:r>
      <w:r>
        <w:rPr>
          <w:rFonts w:hint="eastAsia" w:ascii="宋体" w:hAnsi="宋体" w:eastAsia="宋体" w:cs="宋体"/>
          <w:color w:val="auto"/>
          <w:kern w:val="0"/>
          <w:sz w:val="21"/>
          <w:szCs w:val="21"/>
          <w:highlight w:val="none"/>
          <w:shd w:val="clear" w:color="auto" w:fill="FFFFFF"/>
        </w:rPr>
        <w:t xml:space="preserve"> </w:t>
      </w:r>
      <w:r>
        <w:rPr>
          <w:rFonts w:hint="eastAsia" w:ascii="宋体" w:hAnsi="宋体" w:eastAsia="宋体" w:cs="宋体"/>
          <w:color w:val="auto"/>
          <w:spacing w:val="0"/>
          <w:kern w:val="0"/>
          <w:sz w:val="21"/>
          <w:szCs w:val="21"/>
          <w:highlight w:val="none"/>
          <w:shd w:val="clear" w:color="auto" w:fill="FFFFFF"/>
        </w:rPr>
        <w:t>按合同约定的争议解决方式将争议事项提交仲裁或诉讼。</w:t>
      </w:r>
    </w:p>
    <w:p w14:paraId="40A00A7F">
      <w:pPr>
        <w:widowControl/>
        <w:snapToGrid w:val="0"/>
        <w:spacing w:line="360" w:lineRule="auto"/>
        <w:ind w:left="210" w:leftChars="100" w:firstLine="420"/>
        <w:jc w:val="left"/>
        <w:rPr>
          <w:rFonts w:hint="eastAsia" w:ascii="宋体" w:hAnsi="宋体" w:cs="宋体"/>
          <w:color w:val="auto"/>
          <w:kern w:val="0"/>
          <w:szCs w:val="21"/>
          <w:highlight w:val="none"/>
          <w:shd w:val="clear" w:color="auto" w:fill="FFFFFF"/>
        </w:rPr>
      </w:pPr>
      <w:r>
        <w:rPr>
          <w:rFonts w:hint="eastAsia" w:ascii="宋体" w:hAnsi="宋体" w:eastAsia="宋体" w:cs="宋体"/>
          <w:color w:val="auto"/>
          <w:spacing w:val="0"/>
          <w:kern w:val="0"/>
          <w:sz w:val="21"/>
          <w:szCs w:val="21"/>
          <w:highlight w:val="none"/>
          <w:shd w:val="clear" w:color="auto" w:fill="FFFFFF"/>
        </w:rPr>
        <w:t>24.5.4  仲裁或诉讼的最终决定，对合同双方均有约束力，应共同遵守。</w:t>
      </w:r>
    </w:p>
    <w:p w14:paraId="0FC148AE">
      <w:pPr>
        <w:pStyle w:val="2"/>
        <w:rPr>
          <w:b/>
          <w:color w:val="auto"/>
          <w:sz w:val="32"/>
          <w:szCs w:val="32"/>
          <w:highlight w:val="none"/>
        </w:rPr>
      </w:pPr>
      <w:r>
        <w:rPr>
          <w:color w:val="auto"/>
          <w:highlight w:val="none"/>
        </w:rPr>
        <w:br w:type="page"/>
      </w:r>
      <w:bookmarkEnd w:id="682"/>
      <w:bookmarkEnd w:id="683"/>
      <w:bookmarkStart w:id="1174" w:name="_Toc26892"/>
      <w:bookmarkStart w:id="1175" w:name="_Toc7574"/>
      <w:bookmarkStart w:id="1176" w:name="_Toc6934"/>
      <w:r>
        <w:rPr>
          <w:rFonts w:hint="eastAsia"/>
          <w:color w:val="auto"/>
          <w:sz w:val="32"/>
          <w:szCs w:val="32"/>
          <w:highlight w:val="none"/>
        </w:rPr>
        <w:t>第</w:t>
      </w:r>
      <w:r>
        <w:rPr>
          <w:rFonts w:hint="eastAsia"/>
          <w:color w:val="auto"/>
          <w:sz w:val="32"/>
          <w:szCs w:val="32"/>
          <w:highlight w:val="none"/>
          <w:lang w:val="en-US" w:eastAsia="zh-CN"/>
        </w:rPr>
        <w:t>二部分</w:t>
      </w:r>
      <w:r>
        <w:rPr>
          <w:rFonts w:hint="eastAsia"/>
          <w:color w:val="auto"/>
          <w:sz w:val="32"/>
          <w:szCs w:val="32"/>
          <w:highlight w:val="none"/>
        </w:rPr>
        <w:t xml:space="preserve">  合同条款专用部分</w:t>
      </w:r>
      <w:bookmarkEnd w:id="1174"/>
      <w:bookmarkEnd w:id="1175"/>
      <w:bookmarkEnd w:id="1176"/>
    </w:p>
    <w:p w14:paraId="501F763F">
      <w:pPr>
        <w:adjustRightInd w:val="0"/>
        <w:snapToGrid w:val="0"/>
        <w:spacing w:line="360" w:lineRule="auto"/>
        <w:jc w:val="center"/>
        <w:rPr>
          <w:rFonts w:ascii="宋体" w:hAnsi="宋体"/>
          <w:color w:val="auto"/>
          <w:szCs w:val="22"/>
        </w:rPr>
      </w:pPr>
    </w:p>
    <w:p w14:paraId="0AB2D86D">
      <w:pPr>
        <w:adjustRightInd w:val="0"/>
        <w:snapToGrid w:val="0"/>
        <w:spacing w:line="360" w:lineRule="auto"/>
        <w:outlineLvl w:val="1"/>
        <w:rPr>
          <w:rFonts w:ascii="宋体" w:hAnsi="宋体"/>
          <w:color w:val="auto"/>
          <w:sz w:val="28"/>
        </w:rPr>
      </w:pPr>
      <w:bookmarkStart w:id="1177" w:name="_Toc14886"/>
      <w:bookmarkStart w:id="1178" w:name="_Toc7982"/>
      <w:r>
        <w:rPr>
          <w:rFonts w:ascii="宋体" w:hAnsi="宋体"/>
          <w:color w:val="auto"/>
          <w:sz w:val="28"/>
        </w:rPr>
        <w:t>1.一般约定</w:t>
      </w:r>
      <w:bookmarkEnd w:id="1177"/>
      <w:bookmarkEnd w:id="1178"/>
    </w:p>
    <w:p w14:paraId="7199DDB0">
      <w:pPr>
        <w:adjustRightInd w:val="0"/>
        <w:snapToGrid w:val="0"/>
        <w:spacing w:line="360" w:lineRule="auto"/>
        <w:rPr>
          <w:rFonts w:ascii="宋体" w:hAnsi="宋体"/>
          <w:color w:val="auto"/>
          <w:sz w:val="24"/>
        </w:rPr>
      </w:pPr>
      <w:r>
        <w:rPr>
          <w:rFonts w:ascii="宋体" w:hAnsi="宋体"/>
          <w:color w:val="auto"/>
          <w:sz w:val="24"/>
        </w:rPr>
        <w:t>1.1词语定义</w:t>
      </w:r>
    </w:p>
    <w:p w14:paraId="751BE5AE">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1.1.2合同当事人和人员</w:t>
      </w:r>
    </w:p>
    <w:p w14:paraId="67301582">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1.1.2.2发包人：</w:t>
      </w:r>
      <w:r>
        <w:rPr>
          <w:rFonts w:hint="eastAsia" w:ascii="宋体" w:hAnsi="宋体" w:cs="宋体"/>
          <w:color w:val="auto"/>
          <w:u w:val="single"/>
          <w:lang w:eastAsia="zh-CN"/>
        </w:rPr>
        <w:t>北京市昌平区百善镇人民政府</w:t>
      </w:r>
      <w:r>
        <w:rPr>
          <w:color w:val="auto"/>
        </w:rPr>
        <w:fldChar w:fldCharType="begin"/>
      </w:r>
      <w:r>
        <w:rPr>
          <w:color w:val="auto"/>
        </w:rPr>
        <w:instrText xml:space="preserve"> AUTOTEXT  input417 \* MERGEFORMAT </w:instrText>
      </w:r>
      <w:r>
        <w:rPr>
          <w:color w:val="auto"/>
        </w:rPr>
        <w:fldChar w:fldCharType="end"/>
      </w:r>
    </w:p>
    <w:p w14:paraId="50795A9A">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1.1.2.3承包人：</w:t>
      </w:r>
      <w:r>
        <w:rPr>
          <w:rFonts w:hint="eastAsia" w:ascii="宋体" w:hAnsi="宋体" w:cs="宋体"/>
          <w:color w:val="auto"/>
          <w:u w:val="single"/>
        </w:rPr>
        <w:t>待定</w:t>
      </w:r>
    </w:p>
    <w:p w14:paraId="634D5CA5">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1.1.2.6监理人：</w:t>
      </w:r>
      <w:r>
        <w:rPr>
          <w:rFonts w:hint="eastAsia" w:ascii="宋体" w:hAnsi="宋体" w:cs="宋体"/>
          <w:color w:val="auto"/>
          <w:u w:val="single"/>
        </w:rPr>
        <w:t>待定</w:t>
      </w:r>
      <w:r>
        <w:rPr>
          <w:color w:val="auto"/>
        </w:rPr>
        <w:fldChar w:fldCharType="begin"/>
      </w:r>
      <w:r>
        <w:rPr>
          <w:color w:val="auto"/>
        </w:rPr>
        <w:instrText xml:space="preserve"> AUTOTEXT  input418 \* MERGEFORMAT </w:instrText>
      </w:r>
      <w:r>
        <w:rPr>
          <w:color w:val="auto"/>
        </w:rPr>
        <w:fldChar w:fldCharType="end"/>
      </w:r>
    </w:p>
    <w:p w14:paraId="592FE727">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1.1.2.8发包人代表：</w:t>
      </w:r>
    </w:p>
    <w:p w14:paraId="7F215A1D">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姓    名：</w:t>
      </w:r>
      <w:r>
        <w:rPr>
          <w:rFonts w:hint="eastAsia" w:ascii="宋体" w:hAnsi="宋体" w:cs="宋体"/>
          <w:color w:val="auto"/>
          <w:u w:val="single"/>
        </w:rPr>
        <w:t>待定</w:t>
      </w:r>
      <w:r>
        <w:rPr>
          <w:color w:val="auto"/>
        </w:rPr>
        <w:fldChar w:fldCharType="begin"/>
      </w:r>
      <w:r>
        <w:rPr>
          <w:color w:val="auto"/>
        </w:rPr>
        <w:instrText xml:space="preserve"> AUTOTEXT  input419 \* MERGEFORMAT </w:instrText>
      </w:r>
      <w:r>
        <w:rPr>
          <w:color w:val="auto"/>
        </w:rPr>
        <w:fldChar w:fldCharType="end"/>
      </w:r>
    </w:p>
    <w:p w14:paraId="3FBECF2C">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职    称：</w:t>
      </w:r>
      <w:r>
        <w:rPr>
          <w:rFonts w:hint="eastAsia" w:ascii="宋体" w:hAnsi="宋体" w:cs="宋体"/>
          <w:color w:val="auto"/>
          <w:u w:val="single"/>
        </w:rPr>
        <w:t>待定</w:t>
      </w:r>
      <w:r>
        <w:rPr>
          <w:color w:val="auto"/>
        </w:rPr>
        <w:fldChar w:fldCharType="begin"/>
      </w:r>
      <w:r>
        <w:rPr>
          <w:color w:val="auto"/>
        </w:rPr>
        <w:instrText xml:space="preserve"> AUTOTEXT  input420 \* MERGEFORMAT </w:instrText>
      </w:r>
      <w:r>
        <w:rPr>
          <w:color w:val="auto"/>
        </w:rPr>
        <w:fldChar w:fldCharType="end"/>
      </w:r>
    </w:p>
    <w:p w14:paraId="329201E2">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联系电话：</w:t>
      </w:r>
      <w:r>
        <w:rPr>
          <w:rFonts w:hint="eastAsia" w:ascii="宋体" w:hAnsi="宋体" w:cs="宋体"/>
          <w:color w:val="auto"/>
          <w:u w:val="single"/>
        </w:rPr>
        <w:t>待定</w:t>
      </w:r>
      <w:r>
        <w:rPr>
          <w:color w:val="auto"/>
        </w:rPr>
        <w:fldChar w:fldCharType="begin"/>
      </w:r>
      <w:r>
        <w:rPr>
          <w:color w:val="auto"/>
        </w:rPr>
        <w:instrText xml:space="preserve"> AUTOTEXT  input421 \* MERGEFORMAT </w:instrText>
      </w:r>
      <w:r>
        <w:rPr>
          <w:color w:val="auto"/>
        </w:rPr>
        <w:fldChar w:fldCharType="end"/>
      </w:r>
    </w:p>
    <w:p w14:paraId="3EC3D4F3">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电子信箱：</w:t>
      </w:r>
      <w:r>
        <w:rPr>
          <w:rFonts w:hint="eastAsia" w:ascii="宋体" w:hAnsi="宋体" w:cs="宋体"/>
          <w:color w:val="auto"/>
          <w:u w:val="single"/>
        </w:rPr>
        <w:t>待定</w:t>
      </w:r>
      <w:r>
        <w:rPr>
          <w:color w:val="auto"/>
        </w:rPr>
        <w:fldChar w:fldCharType="begin"/>
      </w:r>
      <w:r>
        <w:rPr>
          <w:color w:val="auto"/>
        </w:rPr>
        <w:instrText xml:space="preserve"> AUTOTEXT  input422 \* MERGEFORMAT </w:instrText>
      </w:r>
      <w:r>
        <w:rPr>
          <w:color w:val="auto"/>
        </w:rPr>
        <w:fldChar w:fldCharType="end"/>
      </w:r>
    </w:p>
    <w:p w14:paraId="5F92D957">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通信地址：</w:t>
      </w:r>
      <w:r>
        <w:rPr>
          <w:rFonts w:hint="eastAsia" w:ascii="宋体" w:hAnsi="宋体" w:cs="宋体"/>
          <w:color w:val="auto"/>
          <w:u w:val="single"/>
        </w:rPr>
        <w:t>待定</w:t>
      </w:r>
      <w:r>
        <w:rPr>
          <w:color w:val="auto"/>
        </w:rPr>
        <w:fldChar w:fldCharType="begin"/>
      </w:r>
      <w:r>
        <w:rPr>
          <w:color w:val="auto"/>
        </w:rPr>
        <w:instrText xml:space="preserve"> AUTOTEXT  input423 \* MERGEFORMAT </w:instrText>
      </w:r>
      <w:r>
        <w:rPr>
          <w:color w:val="auto"/>
        </w:rPr>
        <w:fldChar w:fldCharType="end"/>
      </w:r>
    </w:p>
    <w:p w14:paraId="67C9710D">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1.1.</w:t>
      </w:r>
      <w:r>
        <w:rPr>
          <w:rFonts w:ascii="宋体" w:hAnsi="宋体"/>
          <w:color w:val="auto"/>
          <w:szCs w:val="21"/>
        </w:rPr>
        <w:t>3</w:t>
      </w:r>
      <w:r>
        <w:rPr>
          <w:rFonts w:hint="eastAsia" w:ascii="宋体" w:hAnsi="宋体"/>
          <w:color w:val="auto"/>
          <w:szCs w:val="21"/>
        </w:rPr>
        <w:t>工程和设备</w:t>
      </w:r>
    </w:p>
    <w:p w14:paraId="34570DA1">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1.1.</w:t>
      </w:r>
      <w:r>
        <w:rPr>
          <w:rFonts w:ascii="宋体" w:hAnsi="宋体"/>
          <w:color w:val="auto"/>
          <w:szCs w:val="21"/>
        </w:rPr>
        <w:t>3</w:t>
      </w:r>
      <w:r>
        <w:rPr>
          <w:rFonts w:hint="eastAsia" w:ascii="宋体" w:hAnsi="宋体"/>
          <w:color w:val="auto"/>
          <w:szCs w:val="21"/>
        </w:rPr>
        <w:t>.2永久工程：</w:t>
      </w:r>
      <w:r>
        <w:rPr>
          <w:rFonts w:hint="eastAsia" w:ascii="宋体" w:hAnsi="宋体" w:cs="宋体"/>
          <w:color w:val="auto"/>
          <w:u w:val="single"/>
        </w:rPr>
        <w:t>图纸显示的全部工作内容</w:t>
      </w:r>
      <w:r>
        <w:rPr>
          <w:color w:val="auto"/>
        </w:rPr>
        <w:fldChar w:fldCharType="begin"/>
      </w:r>
      <w:r>
        <w:rPr>
          <w:color w:val="auto"/>
        </w:rPr>
        <w:instrText xml:space="preserve"> AUTOTEXT  input424 \* MERGEFORMAT </w:instrText>
      </w:r>
      <w:r>
        <w:rPr>
          <w:color w:val="auto"/>
        </w:rPr>
        <w:fldChar w:fldCharType="end"/>
      </w:r>
    </w:p>
    <w:p w14:paraId="6E9C57D7">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1.1.</w:t>
      </w:r>
      <w:r>
        <w:rPr>
          <w:rFonts w:ascii="宋体" w:hAnsi="宋体"/>
          <w:color w:val="auto"/>
          <w:szCs w:val="21"/>
        </w:rPr>
        <w:t>3</w:t>
      </w:r>
      <w:r>
        <w:rPr>
          <w:rFonts w:hint="eastAsia" w:ascii="宋体" w:hAnsi="宋体"/>
          <w:color w:val="auto"/>
          <w:szCs w:val="21"/>
        </w:rPr>
        <w:t>.</w:t>
      </w:r>
      <w:r>
        <w:rPr>
          <w:rFonts w:ascii="宋体" w:hAnsi="宋体"/>
          <w:color w:val="auto"/>
          <w:szCs w:val="21"/>
        </w:rPr>
        <w:t>3</w:t>
      </w:r>
      <w:r>
        <w:rPr>
          <w:rFonts w:hint="eastAsia" w:ascii="宋体" w:hAnsi="宋体"/>
          <w:color w:val="auto"/>
          <w:szCs w:val="21"/>
        </w:rPr>
        <w:t>临时工程：</w:t>
      </w:r>
      <w:r>
        <w:rPr>
          <w:rFonts w:hint="eastAsia" w:ascii="宋体" w:hAnsi="宋体" w:cs="宋体"/>
          <w:color w:val="auto"/>
          <w:u w:val="single"/>
        </w:rPr>
        <w:t>临时性道路、施工供水工程、施工用电工程、临时设施等</w:t>
      </w:r>
      <w:r>
        <w:rPr>
          <w:color w:val="auto"/>
        </w:rPr>
        <w:fldChar w:fldCharType="begin"/>
      </w:r>
      <w:r>
        <w:rPr>
          <w:color w:val="auto"/>
        </w:rPr>
        <w:instrText xml:space="preserve"> AUTOTEXT  input425 \* MERGEFORMAT </w:instrText>
      </w:r>
      <w:r>
        <w:rPr>
          <w:color w:val="auto"/>
        </w:rPr>
        <w:fldChar w:fldCharType="end"/>
      </w:r>
    </w:p>
    <w:p w14:paraId="0EE624FB">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1.1.</w:t>
      </w:r>
      <w:r>
        <w:rPr>
          <w:rFonts w:ascii="宋体" w:hAnsi="宋体"/>
          <w:color w:val="auto"/>
          <w:szCs w:val="21"/>
        </w:rPr>
        <w:t>3</w:t>
      </w:r>
      <w:r>
        <w:rPr>
          <w:rFonts w:hint="eastAsia" w:ascii="宋体" w:hAnsi="宋体"/>
          <w:color w:val="auto"/>
          <w:szCs w:val="21"/>
        </w:rPr>
        <w:t>.</w:t>
      </w:r>
      <w:r>
        <w:rPr>
          <w:rFonts w:ascii="宋体" w:hAnsi="宋体"/>
          <w:color w:val="auto"/>
          <w:szCs w:val="21"/>
        </w:rPr>
        <w:t>10</w:t>
      </w:r>
      <w:r>
        <w:rPr>
          <w:rFonts w:hint="eastAsia" w:ascii="宋体" w:hAnsi="宋体"/>
          <w:color w:val="auto"/>
          <w:szCs w:val="21"/>
        </w:rPr>
        <w:t>永久占地：</w:t>
      </w:r>
      <w:r>
        <w:rPr>
          <w:rFonts w:hint="eastAsia" w:ascii="宋体" w:hAnsi="宋体" w:cs="宋体"/>
          <w:color w:val="auto"/>
          <w:u w:val="single"/>
        </w:rPr>
        <w:t>为实施合同工程需要永久占用的土地</w:t>
      </w:r>
      <w:r>
        <w:rPr>
          <w:color w:val="auto"/>
        </w:rPr>
        <w:fldChar w:fldCharType="begin"/>
      </w:r>
      <w:r>
        <w:rPr>
          <w:color w:val="auto"/>
        </w:rPr>
        <w:instrText xml:space="preserve"> AUTOTEXT  input426 \* MERGEFORMAT </w:instrText>
      </w:r>
      <w:r>
        <w:rPr>
          <w:color w:val="auto"/>
        </w:rPr>
        <w:fldChar w:fldCharType="end"/>
      </w:r>
    </w:p>
    <w:p w14:paraId="7F810940">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1.1.</w:t>
      </w:r>
      <w:r>
        <w:rPr>
          <w:rFonts w:ascii="宋体" w:hAnsi="宋体"/>
          <w:color w:val="auto"/>
          <w:szCs w:val="21"/>
        </w:rPr>
        <w:t>3</w:t>
      </w:r>
      <w:r>
        <w:rPr>
          <w:rFonts w:hint="eastAsia" w:ascii="宋体" w:hAnsi="宋体"/>
          <w:color w:val="auto"/>
          <w:szCs w:val="21"/>
        </w:rPr>
        <w:t>.</w:t>
      </w:r>
      <w:r>
        <w:rPr>
          <w:rFonts w:ascii="宋体" w:hAnsi="宋体"/>
          <w:color w:val="auto"/>
          <w:szCs w:val="21"/>
        </w:rPr>
        <w:t>11</w:t>
      </w:r>
      <w:r>
        <w:rPr>
          <w:rFonts w:hint="eastAsia" w:ascii="宋体" w:hAnsi="宋体"/>
          <w:color w:val="auto"/>
          <w:szCs w:val="21"/>
        </w:rPr>
        <w:t>临时占地：</w:t>
      </w:r>
      <w:r>
        <w:rPr>
          <w:rFonts w:hint="eastAsia" w:ascii="宋体" w:hAnsi="宋体" w:cs="宋体"/>
          <w:color w:val="auto"/>
          <w:u w:val="single"/>
        </w:rPr>
        <w:t>为实施合同需要临时占用的土地</w:t>
      </w:r>
      <w:r>
        <w:rPr>
          <w:color w:val="auto"/>
        </w:rPr>
        <w:fldChar w:fldCharType="begin"/>
      </w:r>
      <w:r>
        <w:rPr>
          <w:color w:val="auto"/>
        </w:rPr>
        <w:instrText xml:space="preserve"> AUTOTEXT  input427 \* MERGEFORMAT </w:instrText>
      </w:r>
      <w:r>
        <w:rPr>
          <w:color w:val="auto"/>
        </w:rPr>
        <w:fldChar w:fldCharType="end"/>
      </w:r>
    </w:p>
    <w:p w14:paraId="768DB92D">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1.1.4日期</w:t>
      </w:r>
    </w:p>
    <w:p w14:paraId="1FDE1EF6">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1.1.4.5缺陷责任期期限：</w:t>
      </w:r>
      <w:r>
        <w:rPr>
          <w:rFonts w:hint="eastAsia" w:ascii="宋体" w:hAnsi="宋体" w:cs="宋体"/>
          <w:color w:val="auto"/>
          <w:u w:val="single"/>
        </w:rPr>
        <w:t>24个</w:t>
      </w:r>
      <w:r>
        <w:rPr>
          <w:color w:val="auto"/>
        </w:rPr>
        <w:fldChar w:fldCharType="begin"/>
      </w:r>
      <w:r>
        <w:rPr>
          <w:color w:val="auto"/>
        </w:rPr>
        <w:instrText xml:space="preserve"> AUTOTEXT  input428 \* MERGEFORMAT </w:instrText>
      </w:r>
      <w:r>
        <w:rPr>
          <w:color w:val="auto"/>
        </w:rPr>
        <w:fldChar w:fldCharType="end"/>
      </w:r>
      <w:r>
        <w:rPr>
          <w:rFonts w:hint="eastAsia" w:ascii="宋体" w:hAnsi="宋体"/>
          <w:color w:val="auto"/>
          <w:szCs w:val="21"/>
        </w:rPr>
        <w:t>月。</w:t>
      </w:r>
    </w:p>
    <w:p w14:paraId="492109B1">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1.1.8其他需要补充的内容</w:t>
      </w:r>
    </w:p>
    <w:p w14:paraId="4BC77825">
      <w:pPr>
        <w:adjustRightInd w:val="0"/>
        <w:snapToGrid w:val="0"/>
        <w:spacing w:line="360" w:lineRule="auto"/>
        <w:ind w:firstLine="420" w:firstLineChars="200"/>
        <w:jc w:val="left"/>
        <w:rPr>
          <w:rFonts w:ascii="宋体" w:hAnsi="宋体"/>
          <w:color w:val="auto"/>
          <w:szCs w:val="21"/>
        </w:rPr>
      </w:pPr>
      <w:r>
        <w:rPr>
          <w:rFonts w:ascii="宋体" w:hAnsi="宋体" w:cs="宋体"/>
          <w:color w:val="auto"/>
          <w:u w:val="single"/>
        </w:rPr>
        <w:t xml:space="preserve">  /  </w:t>
      </w:r>
      <w:r>
        <w:rPr>
          <w:color w:val="auto"/>
        </w:rPr>
        <w:fldChar w:fldCharType="begin"/>
      </w:r>
      <w:r>
        <w:rPr>
          <w:color w:val="auto"/>
        </w:rPr>
        <w:instrText xml:space="preserve"> AUTOTEXT  input835 \* MERGEFORMAT </w:instrText>
      </w:r>
      <w:r>
        <w:rPr>
          <w:color w:val="auto"/>
        </w:rPr>
        <w:fldChar w:fldCharType="end"/>
      </w:r>
    </w:p>
    <w:p w14:paraId="5EABCA0F">
      <w:pPr>
        <w:adjustRightInd w:val="0"/>
        <w:snapToGrid w:val="0"/>
        <w:spacing w:line="360" w:lineRule="auto"/>
        <w:rPr>
          <w:rFonts w:ascii="宋体" w:hAnsi="宋体"/>
          <w:color w:val="auto"/>
          <w:sz w:val="24"/>
        </w:rPr>
      </w:pPr>
      <w:r>
        <w:rPr>
          <w:rFonts w:hint="eastAsia" w:ascii="宋体" w:hAnsi="宋体"/>
          <w:color w:val="auto"/>
          <w:sz w:val="24"/>
        </w:rPr>
        <w:t>1.4合同文件的优先顺序</w:t>
      </w:r>
    </w:p>
    <w:p w14:paraId="1C75F222">
      <w:pPr>
        <w:adjustRightInd w:val="0"/>
        <w:snapToGrid w:val="0"/>
        <w:spacing w:line="360" w:lineRule="auto"/>
        <w:ind w:firstLine="420" w:firstLineChars="200"/>
        <w:jc w:val="left"/>
        <w:rPr>
          <w:rFonts w:ascii="宋体" w:hAnsi="宋体" w:cs="Arial"/>
          <w:color w:val="auto"/>
          <w:szCs w:val="21"/>
        </w:rPr>
      </w:pPr>
      <w:r>
        <w:rPr>
          <w:rFonts w:hint="eastAsia" w:ascii="宋体" w:hAnsi="宋体" w:cs="Arial"/>
          <w:color w:val="auto"/>
          <w:szCs w:val="21"/>
        </w:rPr>
        <w:t>合同文件的优先解释顺序如下：</w:t>
      </w:r>
    </w:p>
    <w:p w14:paraId="19941A44">
      <w:pPr>
        <w:adjustRightInd w:val="0"/>
        <w:snapToGrid w:val="0"/>
        <w:spacing w:line="360" w:lineRule="auto"/>
        <w:ind w:firstLine="420" w:firstLineChars="200"/>
        <w:jc w:val="left"/>
        <w:rPr>
          <w:rFonts w:ascii="宋体" w:hAnsi="宋体" w:cs="Arial"/>
          <w:color w:val="auto"/>
          <w:szCs w:val="21"/>
        </w:rPr>
      </w:pPr>
      <w:r>
        <w:rPr>
          <w:rFonts w:hint="eastAsia" w:ascii="宋体" w:hAnsi="宋体" w:cs="Arial"/>
          <w:color w:val="auto"/>
          <w:szCs w:val="21"/>
        </w:rPr>
        <w:t>(1)合同协议书；</w:t>
      </w:r>
    </w:p>
    <w:p w14:paraId="7C7B35D4">
      <w:pPr>
        <w:adjustRightInd w:val="0"/>
        <w:snapToGrid w:val="0"/>
        <w:spacing w:line="360" w:lineRule="auto"/>
        <w:ind w:firstLine="420" w:firstLineChars="200"/>
        <w:jc w:val="left"/>
        <w:rPr>
          <w:rFonts w:ascii="宋体" w:hAnsi="宋体" w:cs="Arial"/>
          <w:color w:val="auto"/>
          <w:szCs w:val="21"/>
        </w:rPr>
      </w:pPr>
      <w:r>
        <w:rPr>
          <w:rFonts w:hint="eastAsia" w:ascii="宋体" w:hAnsi="宋体" w:cs="Arial"/>
          <w:color w:val="auto"/>
          <w:szCs w:val="21"/>
        </w:rPr>
        <w:t>(2)中标通知书；</w:t>
      </w:r>
    </w:p>
    <w:p w14:paraId="75F2E947">
      <w:pPr>
        <w:adjustRightInd w:val="0"/>
        <w:snapToGrid w:val="0"/>
        <w:spacing w:line="360" w:lineRule="auto"/>
        <w:ind w:firstLine="420" w:firstLineChars="200"/>
        <w:jc w:val="left"/>
        <w:rPr>
          <w:rFonts w:ascii="宋体" w:hAnsi="宋体" w:cs="Arial"/>
          <w:color w:val="auto"/>
          <w:szCs w:val="21"/>
        </w:rPr>
      </w:pPr>
      <w:r>
        <w:rPr>
          <w:rFonts w:hint="eastAsia" w:ascii="宋体" w:hAnsi="宋体" w:cs="Arial"/>
          <w:color w:val="auto"/>
          <w:szCs w:val="21"/>
        </w:rPr>
        <w:t>(3)投标函及投标函附录；</w:t>
      </w:r>
    </w:p>
    <w:p w14:paraId="0B758578">
      <w:pPr>
        <w:adjustRightInd w:val="0"/>
        <w:snapToGrid w:val="0"/>
        <w:spacing w:line="360" w:lineRule="auto"/>
        <w:ind w:firstLine="420" w:firstLineChars="200"/>
        <w:jc w:val="left"/>
        <w:rPr>
          <w:rFonts w:ascii="宋体" w:hAnsi="宋体" w:cs="Arial"/>
          <w:color w:val="auto"/>
          <w:szCs w:val="21"/>
        </w:rPr>
      </w:pPr>
      <w:r>
        <w:rPr>
          <w:rFonts w:hint="eastAsia" w:ascii="宋体" w:hAnsi="宋体" w:cs="Arial"/>
          <w:color w:val="auto"/>
          <w:szCs w:val="21"/>
        </w:rPr>
        <w:t>(4)合同条款专用部分；</w:t>
      </w:r>
    </w:p>
    <w:p w14:paraId="3E7871D2">
      <w:pPr>
        <w:adjustRightInd w:val="0"/>
        <w:snapToGrid w:val="0"/>
        <w:spacing w:line="360" w:lineRule="auto"/>
        <w:ind w:firstLine="420" w:firstLineChars="200"/>
        <w:jc w:val="left"/>
        <w:rPr>
          <w:rFonts w:ascii="宋体" w:hAnsi="宋体" w:cs="Arial"/>
          <w:color w:val="auto"/>
          <w:szCs w:val="21"/>
        </w:rPr>
      </w:pPr>
      <w:r>
        <w:rPr>
          <w:rFonts w:hint="eastAsia" w:ascii="宋体" w:hAnsi="宋体" w:cs="Arial"/>
          <w:color w:val="auto"/>
          <w:szCs w:val="21"/>
        </w:rPr>
        <w:t>(5)合同条款通用部分；</w:t>
      </w:r>
    </w:p>
    <w:p w14:paraId="0D16BAFC">
      <w:pPr>
        <w:adjustRightInd w:val="0"/>
        <w:snapToGrid w:val="0"/>
        <w:spacing w:line="360" w:lineRule="auto"/>
        <w:ind w:firstLine="420" w:firstLineChars="200"/>
        <w:jc w:val="left"/>
        <w:rPr>
          <w:rFonts w:ascii="宋体" w:hAnsi="宋体" w:cs="Arial"/>
          <w:color w:val="auto"/>
          <w:szCs w:val="21"/>
        </w:rPr>
      </w:pPr>
      <w:r>
        <w:rPr>
          <w:rFonts w:hint="eastAsia" w:ascii="宋体" w:hAnsi="宋体" w:cs="Arial"/>
          <w:color w:val="auto"/>
          <w:szCs w:val="21"/>
        </w:rPr>
        <w:t>(6)</w:t>
      </w:r>
      <w:r>
        <w:rPr>
          <w:rFonts w:hint="eastAsia"/>
          <w:color w:val="auto"/>
        </w:rPr>
        <w:t xml:space="preserve"> </w:t>
      </w:r>
      <w:r>
        <w:rPr>
          <w:rFonts w:hint="eastAsia" w:ascii="宋体" w:hAnsi="宋体" w:cs="宋体"/>
          <w:color w:val="auto"/>
          <w:u w:val="single"/>
        </w:rPr>
        <w:t>已标价工程量清单</w:t>
      </w:r>
    </w:p>
    <w:p w14:paraId="786E9599">
      <w:pPr>
        <w:adjustRightInd w:val="0"/>
        <w:snapToGrid w:val="0"/>
        <w:spacing w:line="360" w:lineRule="auto"/>
        <w:ind w:firstLine="420" w:firstLineChars="200"/>
        <w:jc w:val="left"/>
        <w:rPr>
          <w:rFonts w:ascii="宋体" w:hAnsi="宋体" w:cs="Arial"/>
          <w:color w:val="auto"/>
        </w:rPr>
      </w:pPr>
      <w:r>
        <w:rPr>
          <w:rFonts w:hint="eastAsia" w:ascii="宋体" w:hAnsi="宋体" w:cs="Arial"/>
          <w:color w:val="auto"/>
          <w:szCs w:val="21"/>
        </w:rPr>
        <w:t>(7)</w:t>
      </w:r>
      <w:r>
        <w:rPr>
          <w:rFonts w:hint="eastAsia"/>
          <w:color w:val="auto"/>
        </w:rPr>
        <w:t xml:space="preserve"> </w:t>
      </w:r>
      <w:r>
        <w:rPr>
          <w:rFonts w:hint="eastAsia" w:ascii="宋体" w:hAnsi="宋体" w:cs="宋体"/>
          <w:color w:val="auto"/>
          <w:u w:val="single"/>
        </w:rPr>
        <w:t>技术标准和要求</w:t>
      </w:r>
      <w:r>
        <w:rPr>
          <w:color w:val="auto"/>
        </w:rPr>
        <w:fldChar w:fldCharType="begin"/>
      </w:r>
      <w:r>
        <w:rPr>
          <w:color w:val="auto"/>
        </w:rPr>
        <w:instrText xml:space="preserve"> AUTOTEXT  input429 \* MERGEFORMAT </w:instrText>
      </w:r>
      <w:r>
        <w:rPr>
          <w:color w:val="auto"/>
        </w:rPr>
        <w:fldChar w:fldCharType="end"/>
      </w:r>
    </w:p>
    <w:p w14:paraId="65AD695D">
      <w:pPr>
        <w:adjustRightInd w:val="0"/>
        <w:snapToGrid w:val="0"/>
        <w:spacing w:line="360" w:lineRule="auto"/>
        <w:ind w:firstLine="420" w:firstLineChars="200"/>
        <w:jc w:val="left"/>
        <w:rPr>
          <w:rFonts w:ascii="宋体" w:hAnsi="宋体" w:cs="Arial"/>
          <w:color w:val="auto"/>
        </w:rPr>
      </w:pPr>
      <w:r>
        <w:rPr>
          <w:rFonts w:hint="eastAsia" w:ascii="宋体" w:hAnsi="宋体" w:cs="Arial"/>
          <w:color w:val="auto"/>
          <w:szCs w:val="21"/>
        </w:rPr>
        <w:t>(8)</w:t>
      </w:r>
      <w:r>
        <w:rPr>
          <w:rFonts w:hint="eastAsia"/>
          <w:color w:val="auto"/>
        </w:rPr>
        <w:t xml:space="preserve"> </w:t>
      </w:r>
      <w:r>
        <w:rPr>
          <w:rFonts w:hint="eastAsia" w:ascii="宋体" w:hAnsi="宋体" w:cs="宋体"/>
          <w:color w:val="auto"/>
          <w:u w:val="single"/>
        </w:rPr>
        <w:t>图纸</w:t>
      </w:r>
      <w:r>
        <w:rPr>
          <w:color w:val="auto"/>
        </w:rPr>
        <w:fldChar w:fldCharType="begin"/>
      </w:r>
      <w:r>
        <w:rPr>
          <w:color w:val="auto"/>
        </w:rPr>
        <w:instrText xml:space="preserve"> AUTOTEXT  input430 \* MERGEFORMAT </w:instrText>
      </w:r>
      <w:r>
        <w:rPr>
          <w:color w:val="auto"/>
        </w:rPr>
        <w:fldChar w:fldCharType="end"/>
      </w:r>
      <w:r>
        <w:rPr>
          <w:color w:val="auto"/>
        </w:rPr>
        <w:fldChar w:fldCharType="begin"/>
      </w:r>
      <w:r>
        <w:rPr>
          <w:color w:val="auto"/>
        </w:rPr>
        <w:instrText xml:space="preserve"> AUTOTEXT  input431 \* MERGEFORMAT </w:instrText>
      </w:r>
      <w:r>
        <w:rPr>
          <w:color w:val="auto"/>
        </w:rPr>
        <w:fldChar w:fldCharType="end"/>
      </w:r>
    </w:p>
    <w:p w14:paraId="1D026F59">
      <w:pPr>
        <w:adjustRightInd w:val="0"/>
        <w:snapToGrid w:val="0"/>
        <w:spacing w:line="360" w:lineRule="auto"/>
        <w:ind w:firstLine="420" w:firstLineChars="200"/>
        <w:jc w:val="left"/>
        <w:rPr>
          <w:rFonts w:ascii="宋体" w:hAnsi="宋体" w:cs="Arial"/>
          <w:color w:val="auto"/>
        </w:rPr>
      </w:pPr>
      <w:r>
        <w:rPr>
          <w:rFonts w:hint="eastAsia" w:ascii="宋体" w:hAnsi="宋体" w:cs="Arial"/>
          <w:color w:val="auto"/>
        </w:rPr>
        <w:t>(9)</w:t>
      </w:r>
      <w:r>
        <w:rPr>
          <w:rFonts w:hint="eastAsia"/>
          <w:color w:val="auto"/>
        </w:rPr>
        <w:t xml:space="preserve"> </w:t>
      </w:r>
      <w:r>
        <w:rPr>
          <w:rFonts w:hint="eastAsia" w:ascii="宋体" w:hAnsi="宋体" w:cs="宋体"/>
          <w:color w:val="auto"/>
          <w:u w:val="single"/>
        </w:rPr>
        <w:t>其他合同文件</w:t>
      </w:r>
      <w:r>
        <w:rPr>
          <w:color w:val="auto"/>
        </w:rPr>
        <w:fldChar w:fldCharType="begin"/>
      </w:r>
      <w:r>
        <w:rPr>
          <w:color w:val="auto"/>
        </w:rPr>
        <w:instrText xml:space="preserve"> AUTOTEXT  input432 \* MERGEFORMAT </w:instrText>
      </w:r>
      <w:r>
        <w:rPr>
          <w:color w:val="auto"/>
        </w:rPr>
        <w:fldChar w:fldCharType="end"/>
      </w:r>
    </w:p>
    <w:p w14:paraId="64DA8090">
      <w:pPr>
        <w:adjustRightInd w:val="0"/>
        <w:snapToGrid w:val="0"/>
        <w:spacing w:line="360" w:lineRule="auto"/>
        <w:ind w:firstLine="420" w:firstLineChars="200"/>
        <w:jc w:val="left"/>
        <w:rPr>
          <w:rFonts w:ascii="宋体" w:hAnsi="宋体" w:cs="Arial"/>
          <w:color w:val="auto"/>
          <w:szCs w:val="21"/>
        </w:rPr>
      </w:pPr>
      <w:r>
        <w:rPr>
          <w:rFonts w:hint="eastAsia" w:ascii="宋体" w:hAnsi="宋体" w:cs="Arial"/>
          <w:color w:val="auto"/>
          <w:szCs w:val="21"/>
        </w:rPr>
        <w:t>（说明：(6)、(7)、(8)填空内容分别限于技术标准和要求、图纸、已标价工程量清单三者之一。）</w:t>
      </w:r>
    </w:p>
    <w:p w14:paraId="36D4BCBF">
      <w:pPr>
        <w:adjustRightInd w:val="0"/>
        <w:snapToGrid w:val="0"/>
        <w:spacing w:line="360" w:lineRule="auto"/>
        <w:rPr>
          <w:rFonts w:ascii="宋体" w:hAnsi="宋体"/>
          <w:color w:val="auto"/>
          <w:sz w:val="24"/>
        </w:rPr>
      </w:pPr>
      <w:r>
        <w:rPr>
          <w:rFonts w:hint="eastAsia" w:ascii="宋体" w:hAnsi="宋体"/>
          <w:color w:val="auto"/>
          <w:sz w:val="24"/>
        </w:rPr>
        <w:t>1.5合同协议书</w:t>
      </w:r>
    </w:p>
    <w:p w14:paraId="0C451301">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合同生效的条件：</w:t>
      </w:r>
      <w:r>
        <w:rPr>
          <w:rFonts w:hint="eastAsia" w:ascii="宋体" w:hAnsi="宋体" w:cs="宋体"/>
          <w:color w:val="auto"/>
          <w:u w:val="single"/>
        </w:rPr>
        <w:t>双方法定代表人或委托代理人签字并加盖公章或合同专用章之日生效</w:t>
      </w:r>
      <w:r>
        <w:rPr>
          <w:rFonts w:hint="eastAsia" w:ascii="宋体" w:hAnsi="宋体" w:cs="宋体"/>
          <w:color w:val="auto"/>
          <w:u w:val="single"/>
          <w:lang w:eastAsia="zh-CN"/>
        </w:rPr>
        <w:t>，</w:t>
      </w:r>
      <w:r>
        <w:rPr>
          <w:rFonts w:hint="eastAsia" w:ascii="宋体" w:hAnsi="宋体" w:cs="宋体"/>
          <w:color w:val="auto"/>
          <w:u w:val="single"/>
        </w:rPr>
        <w:t xml:space="preserve">由委托代理人签字的，必须提供法定代表人授权委托书作为合同附件。 </w:t>
      </w:r>
      <w:r>
        <w:rPr>
          <w:color w:val="auto"/>
        </w:rPr>
        <w:fldChar w:fldCharType="begin"/>
      </w:r>
      <w:r>
        <w:rPr>
          <w:color w:val="auto"/>
        </w:rPr>
        <w:instrText xml:space="preserve"> AUTOTEXT  input433 \* MERGEFORMAT </w:instrText>
      </w:r>
      <w:r>
        <w:rPr>
          <w:color w:val="auto"/>
        </w:rPr>
        <w:fldChar w:fldCharType="end"/>
      </w:r>
    </w:p>
    <w:p w14:paraId="35CE367E">
      <w:pPr>
        <w:adjustRightInd w:val="0"/>
        <w:snapToGrid w:val="0"/>
        <w:spacing w:line="360" w:lineRule="auto"/>
        <w:rPr>
          <w:rFonts w:ascii="宋体" w:hAnsi="宋体"/>
          <w:color w:val="auto"/>
          <w:sz w:val="24"/>
        </w:rPr>
      </w:pPr>
      <w:r>
        <w:rPr>
          <w:rFonts w:hint="eastAsia" w:ascii="宋体" w:hAnsi="宋体"/>
          <w:color w:val="auto"/>
          <w:sz w:val="24"/>
        </w:rPr>
        <w:t>1.6图纸和承包人文件</w:t>
      </w:r>
    </w:p>
    <w:p w14:paraId="05CF5262">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1.6.1图纸的提供</w:t>
      </w:r>
    </w:p>
    <w:p w14:paraId="6B063450">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w:t>
      </w:r>
      <w:r>
        <w:rPr>
          <w:rFonts w:ascii="宋体" w:hAnsi="宋体"/>
          <w:color w:val="auto"/>
          <w:szCs w:val="21"/>
        </w:rPr>
        <w:t>5</w:t>
      </w:r>
      <w:r>
        <w:rPr>
          <w:rFonts w:hint="eastAsia" w:ascii="宋体" w:hAnsi="宋体"/>
          <w:color w:val="auto"/>
          <w:szCs w:val="21"/>
        </w:rPr>
        <w:t>)发包人提供图纸的期限：</w:t>
      </w:r>
      <w:r>
        <w:rPr>
          <w:rFonts w:hint="eastAsia" w:ascii="宋体" w:hAnsi="宋体" w:cs="宋体"/>
          <w:color w:val="auto"/>
          <w:u w:val="single"/>
        </w:rPr>
        <w:t>发包人、承包人双方签署施工合同后14日内或开工前7日内向承包人提供施工图（以时间在后的为准）</w:t>
      </w:r>
      <w:r>
        <w:rPr>
          <w:color w:val="auto"/>
        </w:rPr>
        <w:fldChar w:fldCharType="begin"/>
      </w:r>
      <w:r>
        <w:rPr>
          <w:color w:val="auto"/>
        </w:rPr>
        <w:instrText xml:space="preserve"> AUTOTEXT  input434 \* MERGEFORMAT </w:instrText>
      </w:r>
      <w:r>
        <w:rPr>
          <w:color w:val="auto"/>
        </w:rPr>
        <w:fldChar w:fldCharType="end"/>
      </w:r>
    </w:p>
    <w:p w14:paraId="03B0FE5F">
      <w:pPr>
        <w:adjustRightInd w:val="0"/>
        <w:snapToGrid w:val="0"/>
        <w:spacing w:line="360" w:lineRule="auto"/>
        <w:ind w:firstLine="420" w:firstLineChars="200"/>
        <w:jc w:val="left"/>
        <w:rPr>
          <w:rFonts w:ascii="宋体" w:hAnsi="宋体"/>
          <w:color w:val="auto"/>
          <w:szCs w:val="21"/>
        </w:rPr>
      </w:pPr>
      <w:r>
        <w:rPr>
          <w:rFonts w:hint="eastAsia" w:ascii="宋体" w:hAnsi="宋体" w:cs="宋体"/>
          <w:color w:val="auto"/>
          <w:u w:val="single"/>
        </w:rPr>
        <w:t>施工图8套，承包人需额外提供的，额外提供的费用由承包人承担。（本条款中的图纸套数不包含编制竣工图的图纸，编制竣工图所需图纸由承包人自行解决）。</w:t>
      </w:r>
      <w:r>
        <w:rPr>
          <w:color w:val="auto"/>
        </w:rPr>
        <w:fldChar w:fldCharType="begin"/>
      </w:r>
      <w:r>
        <w:rPr>
          <w:color w:val="auto"/>
        </w:rPr>
        <w:instrText xml:space="preserve"> AUTOTEXT  input435 \* MERGEFORMAT </w:instrText>
      </w:r>
      <w:r>
        <w:rPr>
          <w:color w:val="auto"/>
        </w:rPr>
        <w:fldChar w:fldCharType="end"/>
      </w:r>
    </w:p>
    <w:p w14:paraId="25A36DDA">
      <w:pPr>
        <w:adjustRightInd w:val="0"/>
        <w:snapToGrid w:val="0"/>
        <w:spacing w:line="360" w:lineRule="auto"/>
        <w:ind w:firstLine="420" w:firstLineChars="200"/>
        <w:jc w:val="left"/>
        <w:rPr>
          <w:rFonts w:ascii="宋体" w:hAnsi="宋体" w:cs="宋体"/>
          <w:color w:val="auto"/>
          <w:u w:val="single"/>
        </w:rPr>
      </w:pPr>
      <w:r>
        <w:rPr>
          <w:rFonts w:hint="eastAsia" w:ascii="宋体" w:hAnsi="宋体"/>
          <w:color w:val="auto"/>
          <w:szCs w:val="21"/>
        </w:rPr>
        <w:t>其他约定：</w:t>
      </w:r>
      <w:r>
        <w:rPr>
          <w:rFonts w:hint="eastAsia" w:ascii="宋体" w:hAnsi="宋体" w:cs="宋体"/>
          <w:color w:val="auto"/>
          <w:u w:val="single"/>
        </w:rPr>
        <w:t>承包人检查由发包人提供的所有图纸和文件以及监理人审批的施工作业图、大样图、安装图和配合图，并查清这些图纸或文件中的明显不一致处或缺陷和错误，承包人应立即以书面形式将此类差异或缺陷和错误报告给监理人并请求澄清，如果承包人未按程序要求发包人澄清的，则视为发包人提供的图纸满足承包人的要求，承包人不得就此提出任何工期和费用方面的索赔。承包人应注意图纸和文件中要求的预留洞和预埋件等，并在工程实施过程中严格检查落实，发包人不会为今后重新补做任何被承包人遗漏的预留洞和预埋件等支付额外的费用，且发包人有权要求承包人赔偿因此给发包人造成的一切损失。如果承包人需要任何进一步的图纸，承包人应在相关工作开始前充裕的时间内以书面形式向监理人申请此类图纸。如果合同文件中约定部分永久工程由承包人负责设计，承包人应当具有相应的设计资质或委托具有相应设计资质的单位进行设计，并对工程设计的质量负责。承包人同时应当将相关图纸、规范、计算书及其他资料报监理人，并经监理人报发包人、设计人或相关图纸审批单位批准。承包人还应当依据竣工资料的相关要求将详细的使用维修手册以及竣工图纸等报监理人并满足政府部门检查及竣工存档要求。</w:t>
      </w:r>
    </w:p>
    <w:p w14:paraId="664B73C4">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1.6.2承包人提供的文件</w:t>
      </w:r>
    </w:p>
    <w:p w14:paraId="07C2935E">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(1)由承包人提供的文件范围：</w:t>
      </w:r>
    </w:p>
    <w:p w14:paraId="372DA23D">
      <w:pPr>
        <w:adjustRightInd w:val="0"/>
        <w:snapToGrid w:val="0"/>
        <w:spacing w:line="360" w:lineRule="auto"/>
        <w:ind w:firstLine="420" w:firstLineChars="200"/>
        <w:jc w:val="left"/>
        <w:rPr>
          <w:rFonts w:ascii="宋体" w:hAnsi="宋体" w:cs="宋体"/>
          <w:color w:val="auto"/>
          <w:u w:val="single"/>
        </w:rPr>
      </w:pPr>
      <w:r>
        <w:rPr>
          <w:rFonts w:hint="eastAsia" w:ascii="宋体" w:hAnsi="宋体" w:cs="宋体"/>
          <w:color w:val="auto"/>
          <w:u w:val="single"/>
        </w:rPr>
        <w:t xml:space="preserve">承包人应当按照工程技术规范的相关要求及工程实际需要制作图纸（加工图、大样图、安装图、协调配合图、竣工图等）并提供相关文件；发包人或监理人根据工程实际需要要求承包人提供的其他文件和图纸，承包人应及时提供。 </w:t>
      </w:r>
    </w:p>
    <w:p w14:paraId="427D036F">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承包人提供文件的期限：</w:t>
      </w:r>
    </w:p>
    <w:p w14:paraId="6FE00DB5">
      <w:pPr>
        <w:adjustRightInd w:val="0"/>
        <w:snapToGrid w:val="0"/>
        <w:spacing w:line="360" w:lineRule="auto"/>
        <w:ind w:firstLine="420" w:firstLineChars="200"/>
        <w:jc w:val="left"/>
        <w:rPr>
          <w:rFonts w:ascii="宋体" w:hAnsi="宋体"/>
          <w:color w:val="auto"/>
          <w:szCs w:val="21"/>
        </w:rPr>
      </w:pPr>
      <w:r>
        <w:rPr>
          <w:rFonts w:hint="eastAsia" w:ascii="宋体" w:hAnsi="宋体" w:cs="宋体"/>
          <w:color w:val="auto"/>
          <w:u w:val="single"/>
        </w:rPr>
        <w:t>在相应工程或部位实施至少10天前或在发包人或监理人要求的时间内(以时间在前的为准)。工程竣工图纸及电子版图纸应在竣工验收备案完成前15日历天内或工程竣工后20天内(以时间在前的为准)提供给发包人。</w:t>
      </w:r>
      <w:r>
        <w:rPr>
          <w:color w:val="auto"/>
        </w:rPr>
        <w:fldChar w:fldCharType="begin"/>
      </w:r>
      <w:r>
        <w:rPr>
          <w:color w:val="auto"/>
        </w:rPr>
        <w:instrText xml:space="preserve"> AUTOTEXT  input437 \* MERGEFORMAT </w:instrText>
      </w:r>
      <w:r>
        <w:rPr>
          <w:color w:val="auto"/>
        </w:rPr>
        <w:fldChar w:fldCharType="end"/>
      </w:r>
    </w:p>
    <w:p w14:paraId="46317708">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承包人提供文件的数量：</w:t>
      </w:r>
    </w:p>
    <w:p w14:paraId="5C217E83">
      <w:pPr>
        <w:adjustRightInd w:val="0"/>
        <w:snapToGrid w:val="0"/>
        <w:spacing w:line="360" w:lineRule="auto"/>
        <w:ind w:firstLine="420" w:firstLineChars="200"/>
        <w:jc w:val="left"/>
        <w:rPr>
          <w:rFonts w:ascii="宋体" w:hAnsi="宋体"/>
          <w:color w:val="auto"/>
          <w:szCs w:val="21"/>
        </w:rPr>
      </w:pPr>
      <w:r>
        <w:rPr>
          <w:rFonts w:hint="eastAsia" w:ascii="宋体" w:hAnsi="宋体" w:cs="宋体"/>
          <w:color w:val="auto"/>
          <w:u w:val="single"/>
        </w:rPr>
        <w:t>满足工程需要及审批需要。</w:t>
      </w:r>
      <w:r>
        <w:rPr>
          <w:color w:val="auto"/>
        </w:rPr>
        <w:fldChar w:fldCharType="begin"/>
      </w:r>
      <w:r>
        <w:rPr>
          <w:color w:val="auto"/>
        </w:rPr>
        <w:instrText xml:space="preserve"> AUTOTEXT  input438 \* MERGEFORMAT </w:instrText>
      </w:r>
      <w:r>
        <w:rPr>
          <w:color w:val="auto"/>
        </w:rPr>
        <w:fldChar w:fldCharType="end"/>
      </w:r>
    </w:p>
    <w:p w14:paraId="19DA7E3C">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监理人批复承包人提供文件的期限：</w:t>
      </w:r>
    </w:p>
    <w:p w14:paraId="483CEF3E">
      <w:pPr>
        <w:adjustRightInd w:val="0"/>
        <w:snapToGrid w:val="0"/>
        <w:spacing w:line="360" w:lineRule="auto"/>
        <w:ind w:firstLine="420" w:firstLineChars="200"/>
        <w:jc w:val="left"/>
        <w:rPr>
          <w:rFonts w:ascii="宋体" w:hAnsi="宋体"/>
          <w:color w:val="auto"/>
          <w:szCs w:val="21"/>
        </w:rPr>
      </w:pPr>
      <w:r>
        <w:rPr>
          <w:rFonts w:hint="eastAsia" w:ascii="宋体" w:hAnsi="宋体" w:cs="宋体"/>
          <w:color w:val="auto"/>
          <w:u w:val="single"/>
        </w:rPr>
        <w:t>收到承包人提交的文件后7日内。</w:t>
      </w:r>
      <w:r>
        <w:rPr>
          <w:color w:val="auto"/>
        </w:rPr>
        <w:fldChar w:fldCharType="begin"/>
      </w:r>
      <w:r>
        <w:rPr>
          <w:color w:val="auto"/>
        </w:rPr>
        <w:instrText xml:space="preserve"> AUTOTEXT  input439 \* MERGEFORMAT </w:instrText>
      </w:r>
      <w:r>
        <w:rPr>
          <w:color w:val="auto"/>
        </w:rPr>
        <w:fldChar w:fldCharType="end"/>
      </w:r>
    </w:p>
    <w:p w14:paraId="101A112D">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其他约定：</w:t>
      </w:r>
    </w:p>
    <w:p w14:paraId="04EFC6AB">
      <w:pPr>
        <w:adjustRightInd w:val="0"/>
        <w:snapToGrid w:val="0"/>
        <w:spacing w:line="360" w:lineRule="auto"/>
        <w:ind w:firstLine="420" w:firstLineChars="200"/>
        <w:jc w:val="left"/>
        <w:rPr>
          <w:rFonts w:ascii="宋体" w:hAnsi="宋体"/>
          <w:color w:val="auto"/>
          <w:szCs w:val="21"/>
        </w:rPr>
      </w:pPr>
      <w:r>
        <w:rPr>
          <w:rFonts w:hint="eastAsia" w:ascii="宋体" w:hAnsi="宋体" w:cs="宋体"/>
          <w:color w:val="auto"/>
          <w:u w:val="single"/>
        </w:rPr>
        <w:t>监理人对承包人文件有异议的，承包人应在监理人要求的时间内予以修改，并重新报送监理人。监理人的审查或批复并不减轻或免除承包人根据合同约定应当承担的责任和义务。承包人提供本条约定的所有文件和图纸的费用已经全部包括在合同价内，不得要求发包人另行支付费用。</w:t>
      </w:r>
      <w:r>
        <w:rPr>
          <w:color w:val="auto"/>
        </w:rPr>
        <w:fldChar w:fldCharType="begin"/>
      </w:r>
      <w:r>
        <w:rPr>
          <w:color w:val="auto"/>
        </w:rPr>
        <w:instrText xml:space="preserve"> AUTOTEXT  input440 \* MERGEFORMAT </w:instrText>
      </w:r>
      <w:r>
        <w:rPr>
          <w:color w:val="auto"/>
        </w:rPr>
        <w:fldChar w:fldCharType="end"/>
      </w:r>
    </w:p>
    <w:p w14:paraId="4AEDA23C">
      <w:pPr>
        <w:adjustRightInd w:val="0"/>
        <w:snapToGrid w:val="0"/>
        <w:spacing w:line="360" w:lineRule="auto"/>
        <w:rPr>
          <w:rFonts w:ascii="宋体" w:hAnsi="宋体"/>
          <w:color w:val="auto"/>
          <w:sz w:val="24"/>
        </w:rPr>
      </w:pPr>
      <w:r>
        <w:rPr>
          <w:rFonts w:hint="eastAsia" w:ascii="宋体" w:hAnsi="宋体"/>
          <w:color w:val="auto"/>
          <w:sz w:val="24"/>
        </w:rPr>
        <w:t>1.7联络</w:t>
      </w:r>
    </w:p>
    <w:p w14:paraId="0139DDD5">
      <w:pPr>
        <w:adjustRightInd w:val="0"/>
        <w:snapToGrid w:val="0"/>
        <w:spacing w:line="360" w:lineRule="auto"/>
        <w:ind w:firstLine="420" w:firstLineChars="200"/>
        <w:jc w:val="left"/>
        <w:rPr>
          <w:rFonts w:ascii="宋体" w:hAnsi="宋体" w:cs="Arial"/>
          <w:color w:val="auto"/>
          <w:szCs w:val="21"/>
        </w:rPr>
      </w:pPr>
      <w:r>
        <w:rPr>
          <w:rFonts w:hint="eastAsia" w:ascii="宋体" w:hAnsi="宋体"/>
          <w:color w:val="auto"/>
          <w:szCs w:val="21"/>
        </w:rPr>
        <w:t>1.7.2联络来往函件的送达和接收</w:t>
      </w:r>
    </w:p>
    <w:p w14:paraId="75A9069C">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(2)发包人指定的接收地点：</w:t>
      </w:r>
      <w:r>
        <w:rPr>
          <w:rFonts w:hint="eastAsia" w:ascii="宋体" w:hAnsi="宋体" w:cs="宋体"/>
          <w:color w:val="auto"/>
          <w:u w:val="single"/>
        </w:rPr>
        <w:t>待定</w:t>
      </w:r>
      <w:r>
        <w:rPr>
          <w:color w:val="auto"/>
        </w:rPr>
        <w:fldChar w:fldCharType="begin"/>
      </w:r>
      <w:r>
        <w:rPr>
          <w:color w:val="auto"/>
        </w:rPr>
        <w:instrText xml:space="preserve"> AUTOTEXT  input441 \* MERGEFORMAT </w:instrText>
      </w:r>
      <w:r>
        <w:rPr>
          <w:color w:val="auto"/>
        </w:rPr>
        <w:fldChar w:fldCharType="end"/>
      </w:r>
    </w:p>
    <w:p w14:paraId="4B82ABD3">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发包人指定的接收人为：</w:t>
      </w:r>
      <w:r>
        <w:rPr>
          <w:rFonts w:hint="eastAsia" w:ascii="宋体" w:hAnsi="宋体" w:cs="宋体"/>
          <w:color w:val="auto"/>
          <w:u w:val="single"/>
        </w:rPr>
        <w:t>发包人代表</w:t>
      </w:r>
      <w:r>
        <w:rPr>
          <w:color w:val="auto"/>
        </w:rPr>
        <w:fldChar w:fldCharType="begin"/>
      </w:r>
      <w:r>
        <w:rPr>
          <w:color w:val="auto"/>
        </w:rPr>
        <w:instrText xml:space="preserve"> AUTOTEXT  input442 \* MERGEFORMAT </w:instrText>
      </w:r>
      <w:r>
        <w:rPr>
          <w:color w:val="auto"/>
        </w:rPr>
        <w:fldChar w:fldCharType="end"/>
      </w:r>
    </w:p>
    <w:p w14:paraId="7CFB22A7">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(3)监理人指定的接收地点：</w:t>
      </w:r>
      <w:r>
        <w:rPr>
          <w:rFonts w:hint="eastAsia" w:ascii="宋体" w:hAnsi="宋体" w:cs="宋体"/>
          <w:color w:val="auto"/>
          <w:u w:val="single"/>
        </w:rPr>
        <w:t>现场监理办公室</w:t>
      </w:r>
      <w:r>
        <w:rPr>
          <w:color w:val="auto"/>
        </w:rPr>
        <w:fldChar w:fldCharType="begin"/>
      </w:r>
      <w:r>
        <w:rPr>
          <w:color w:val="auto"/>
        </w:rPr>
        <w:instrText xml:space="preserve"> AUTOTEXT  input443 \* MERGEFORMAT </w:instrText>
      </w:r>
      <w:r>
        <w:rPr>
          <w:color w:val="auto"/>
        </w:rPr>
        <w:fldChar w:fldCharType="end"/>
      </w:r>
    </w:p>
    <w:p w14:paraId="1A0500B9">
      <w:pPr>
        <w:adjustRightInd w:val="0"/>
        <w:snapToGrid w:val="0"/>
        <w:spacing w:line="360" w:lineRule="auto"/>
        <w:ind w:firstLine="420" w:firstLineChars="200"/>
        <w:jc w:val="left"/>
        <w:rPr>
          <w:rFonts w:ascii="宋体" w:hAnsi="宋体"/>
          <w:color w:val="auto"/>
          <w:szCs w:val="21"/>
          <w:u w:val="single"/>
        </w:rPr>
      </w:pPr>
      <w:r>
        <w:rPr>
          <w:rFonts w:hint="eastAsia" w:ascii="宋体" w:hAnsi="宋体"/>
          <w:color w:val="auto"/>
          <w:szCs w:val="21"/>
        </w:rPr>
        <w:t>监理人指定的接收人为：</w:t>
      </w:r>
      <w:r>
        <w:rPr>
          <w:rFonts w:ascii="宋体" w:hAnsi="宋体" w:cs="宋体"/>
          <w:color w:val="auto"/>
          <w:u w:val="single"/>
        </w:rPr>
        <w:t>总监或总监代表</w:t>
      </w:r>
      <w:r>
        <w:rPr>
          <w:color w:val="auto"/>
        </w:rPr>
        <w:fldChar w:fldCharType="begin"/>
      </w:r>
      <w:r>
        <w:rPr>
          <w:color w:val="auto"/>
        </w:rPr>
        <w:instrText xml:space="preserve"> AUTOTEXT  input444 \* MERGEFORMAT </w:instrText>
      </w:r>
      <w:r>
        <w:rPr>
          <w:color w:val="auto"/>
        </w:rPr>
        <w:fldChar w:fldCharType="end"/>
      </w:r>
    </w:p>
    <w:p w14:paraId="56EED2E1">
      <w:pPr>
        <w:adjustRightInd w:val="0"/>
        <w:snapToGrid w:val="0"/>
        <w:spacing w:line="360" w:lineRule="auto"/>
        <w:ind w:firstLine="420" w:firstLineChars="200"/>
        <w:jc w:val="left"/>
        <w:rPr>
          <w:rFonts w:ascii="宋体" w:hAnsi="宋体"/>
          <w:color w:val="auto"/>
        </w:rPr>
      </w:pPr>
      <w:r>
        <w:rPr>
          <w:rFonts w:hint="eastAsia" w:ascii="宋体" w:hAnsi="宋体"/>
          <w:color w:val="auto"/>
        </w:rPr>
        <w:t>(4)承包人指定的接收地点：</w:t>
      </w:r>
      <w:r>
        <w:rPr>
          <w:rFonts w:hint="eastAsia" w:ascii="宋体" w:hAnsi="宋体" w:cs="宋体"/>
          <w:color w:val="auto"/>
          <w:u w:val="single"/>
        </w:rPr>
        <w:t>承包人施工场地管理机构的办公地点</w:t>
      </w:r>
      <w:r>
        <w:rPr>
          <w:color w:val="auto"/>
        </w:rPr>
        <w:fldChar w:fldCharType="begin"/>
      </w:r>
      <w:r>
        <w:rPr>
          <w:color w:val="auto"/>
        </w:rPr>
        <w:instrText xml:space="preserve"> AUTOTEXT  input872 \* MERGEFORMAT </w:instrText>
      </w:r>
      <w:r>
        <w:rPr>
          <w:color w:val="auto"/>
        </w:rPr>
        <w:fldChar w:fldCharType="end"/>
      </w:r>
    </w:p>
    <w:p w14:paraId="4A4D1A6C">
      <w:pPr>
        <w:adjustRightInd w:val="0"/>
        <w:snapToGrid w:val="0"/>
        <w:spacing w:line="360" w:lineRule="auto"/>
        <w:outlineLvl w:val="1"/>
        <w:rPr>
          <w:rFonts w:ascii="宋体" w:hAnsi="宋体"/>
          <w:color w:val="auto"/>
          <w:sz w:val="28"/>
        </w:rPr>
      </w:pPr>
      <w:bookmarkStart w:id="1179" w:name="_Toc30158"/>
      <w:bookmarkStart w:id="1180" w:name="_Toc25899"/>
      <w:r>
        <w:rPr>
          <w:rFonts w:hint="eastAsia" w:ascii="宋体" w:hAnsi="宋体"/>
          <w:color w:val="auto"/>
          <w:sz w:val="28"/>
        </w:rPr>
        <w:t>2.发包人义务</w:t>
      </w:r>
      <w:bookmarkEnd w:id="1179"/>
      <w:bookmarkEnd w:id="1180"/>
    </w:p>
    <w:p w14:paraId="67C3670B">
      <w:pPr>
        <w:adjustRightInd w:val="0"/>
        <w:snapToGrid w:val="0"/>
        <w:spacing w:line="360" w:lineRule="auto"/>
        <w:rPr>
          <w:rFonts w:ascii="宋体" w:hAnsi="宋体"/>
          <w:color w:val="auto"/>
          <w:sz w:val="24"/>
        </w:rPr>
      </w:pPr>
      <w:r>
        <w:rPr>
          <w:rFonts w:hint="eastAsia" w:ascii="宋体" w:hAnsi="宋体"/>
          <w:color w:val="auto"/>
          <w:sz w:val="24"/>
        </w:rPr>
        <w:t>2.3提供施工场地</w:t>
      </w:r>
    </w:p>
    <w:p w14:paraId="4428C6E8">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发包人移交施工场地的期限：发包人应当将具备施工条件的施工场地，在监理人发出开工通知中载明的开工日期</w:t>
      </w:r>
      <w:r>
        <w:rPr>
          <w:rFonts w:hint="eastAsia" w:ascii="宋体" w:hAnsi="宋体" w:cs="宋体"/>
          <w:color w:val="auto"/>
          <w:u w:val="single"/>
        </w:rPr>
        <w:t>7</w:t>
      </w:r>
      <w:r>
        <w:rPr>
          <w:color w:val="auto"/>
        </w:rPr>
        <w:fldChar w:fldCharType="begin"/>
      </w:r>
      <w:r>
        <w:rPr>
          <w:color w:val="auto"/>
        </w:rPr>
        <w:instrText xml:space="preserve"> AUTOTEXT  input445 \* MERGEFORMAT </w:instrText>
      </w:r>
      <w:r>
        <w:rPr>
          <w:color w:val="auto"/>
        </w:rPr>
        <w:fldChar w:fldCharType="end"/>
      </w:r>
      <w:r>
        <w:rPr>
          <w:rFonts w:hint="eastAsia" w:ascii="宋体" w:hAnsi="宋体"/>
          <w:color w:val="auto"/>
          <w:szCs w:val="21"/>
        </w:rPr>
        <w:t>天前移交给承包人。</w:t>
      </w:r>
    </w:p>
    <w:p w14:paraId="626252C6">
      <w:pPr>
        <w:adjustRightInd w:val="0"/>
        <w:snapToGrid w:val="0"/>
        <w:spacing w:line="360" w:lineRule="auto"/>
        <w:rPr>
          <w:rFonts w:ascii="宋体" w:hAnsi="宋体"/>
          <w:color w:val="auto"/>
          <w:sz w:val="24"/>
        </w:rPr>
      </w:pPr>
      <w:r>
        <w:rPr>
          <w:rFonts w:hint="eastAsia" w:ascii="宋体" w:hAnsi="宋体"/>
          <w:color w:val="auto"/>
          <w:sz w:val="24"/>
        </w:rPr>
        <w:t>2.8向承包人提交支付担保</w:t>
      </w:r>
    </w:p>
    <w:p w14:paraId="14EBDC82">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(1)发包人向承包人提交支付担保的金额：</w:t>
      </w:r>
      <w:r>
        <w:rPr>
          <w:rFonts w:ascii="宋体" w:hAnsi="宋体" w:cs="宋体"/>
          <w:color w:val="auto"/>
          <w:u w:val="single"/>
        </w:rPr>
        <w:t xml:space="preserve">  /  </w:t>
      </w:r>
      <w:r>
        <w:rPr>
          <w:color w:val="auto"/>
        </w:rPr>
        <w:fldChar w:fldCharType="begin"/>
      </w:r>
      <w:r>
        <w:rPr>
          <w:color w:val="auto"/>
        </w:rPr>
        <w:instrText xml:space="preserve"> AUTOTEXT  input837 \* MERGEFORMAT </w:instrText>
      </w:r>
      <w:r>
        <w:rPr>
          <w:color w:val="auto"/>
        </w:rPr>
        <w:fldChar w:fldCharType="end"/>
      </w:r>
    </w:p>
    <w:p w14:paraId="68153149">
      <w:pPr>
        <w:adjustRightInd w:val="0"/>
        <w:snapToGrid w:val="0"/>
        <w:spacing w:line="360" w:lineRule="auto"/>
        <w:rPr>
          <w:rFonts w:ascii="宋体" w:hAnsi="宋体"/>
          <w:color w:val="auto"/>
          <w:sz w:val="24"/>
        </w:rPr>
      </w:pPr>
      <w:r>
        <w:rPr>
          <w:rFonts w:hint="eastAsia" w:ascii="宋体" w:hAnsi="宋体"/>
          <w:color w:val="auto"/>
          <w:sz w:val="24"/>
        </w:rPr>
        <w:t>2.1</w:t>
      </w:r>
      <w:r>
        <w:rPr>
          <w:rFonts w:ascii="宋体" w:hAnsi="宋体"/>
          <w:color w:val="auto"/>
          <w:sz w:val="24"/>
        </w:rPr>
        <w:t>3</w:t>
      </w:r>
      <w:r>
        <w:rPr>
          <w:rFonts w:hint="eastAsia" w:ascii="宋体" w:hAnsi="宋体"/>
          <w:color w:val="auto"/>
          <w:sz w:val="24"/>
        </w:rPr>
        <w:t>其他义务</w:t>
      </w:r>
    </w:p>
    <w:p w14:paraId="6D7F42C6">
      <w:pPr>
        <w:adjustRightInd w:val="0"/>
        <w:snapToGrid w:val="0"/>
        <w:spacing w:line="360" w:lineRule="auto"/>
        <w:ind w:firstLine="420" w:firstLineChars="200"/>
        <w:jc w:val="left"/>
        <w:rPr>
          <w:rFonts w:ascii="宋体" w:hAnsi="宋体" w:cs="Arial"/>
          <w:color w:val="auto"/>
        </w:rPr>
      </w:pPr>
      <w:r>
        <w:rPr>
          <w:rFonts w:hint="eastAsia" w:ascii="宋体" w:hAnsi="宋体"/>
          <w:color w:val="auto"/>
          <w:szCs w:val="21"/>
        </w:rPr>
        <w:t>发包人应当履行的其他义务</w:t>
      </w:r>
      <w:r>
        <w:rPr>
          <w:rFonts w:hint="eastAsia" w:ascii="宋体" w:hAnsi="宋体" w:cs="Arial"/>
          <w:color w:val="auto"/>
        </w:rPr>
        <w:t>：</w:t>
      </w:r>
    </w:p>
    <w:p w14:paraId="6F0103B2">
      <w:pPr>
        <w:adjustRightInd w:val="0"/>
        <w:snapToGrid w:val="0"/>
        <w:spacing w:line="360" w:lineRule="auto"/>
        <w:ind w:firstLine="420" w:firstLineChars="200"/>
        <w:jc w:val="left"/>
        <w:rPr>
          <w:rFonts w:ascii="宋体" w:hAnsi="宋体" w:cs="Arial"/>
          <w:color w:val="auto"/>
          <w:szCs w:val="21"/>
        </w:rPr>
      </w:pPr>
      <w:r>
        <w:rPr>
          <w:rFonts w:ascii="宋体" w:hAnsi="宋体" w:cs="宋体"/>
          <w:color w:val="auto"/>
          <w:u w:val="single"/>
        </w:rPr>
        <w:t xml:space="preserve">  /  </w:t>
      </w:r>
      <w:r>
        <w:rPr>
          <w:color w:val="auto"/>
        </w:rPr>
        <w:fldChar w:fldCharType="begin"/>
      </w:r>
      <w:r>
        <w:rPr>
          <w:color w:val="auto"/>
        </w:rPr>
        <w:instrText xml:space="preserve"> AUTOTEXT  input446 \* MERGEFORMAT </w:instrText>
      </w:r>
      <w:r>
        <w:rPr>
          <w:color w:val="auto"/>
        </w:rPr>
        <w:fldChar w:fldCharType="end"/>
      </w:r>
    </w:p>
    <w:p w14:paraId="77B293E5">
      <w:pPr>
        <w:adjustRightInd w:val="0"/>
        <w:snapToGrid w:val="0"/>
        <w:spacing w:line="360" w:lineRule="auto"/>
        <w:outlineLvl w:val="1"/>
        <w:rPr>
          <w:rFonts w:ascii="宋体" w:hAnsi="宋体"/>
          <w:color w:val="auto"/>
          <w:sz w:val="28"/>
        </w:rPr>
      </w:pPr>
      <w:bookmarkStart w:id="1181" w:name="_Toc1214"/>
      <w:bookmarkStart w:id="1182" w:name="_Toc31161"/>
      <w:r>
        <w:rPr>
          <w:rFonts w:hint="eastAsia" w:ascii="宋体" w:hAnsi="宋体"/>
          <w:color w:val="auto"/>
          <w:sz w:val="28"/>
        </w:rPr>
        <w:t>3.监理人</w:t>
      </w:r>
      <w:bookmarkEnd w:id="1181"/>
      <w:bookmarkEnd w:id="1182"/>
    </w:p>
    <w:p w14:paraId="1F8A32DA">
      <w:pPr>
        <w:adjustRightInd w:val="0"/>
        <w:snapToGrid w:val="0"/>
        <w:spacing w:line="360" w:lineRule="auto"/>
        <w:rPr>
          <w:rFonts w:ascii="宋体" w:hAnsi="宋体"/>
          <w:color w:val="auto"/>
          <w:sz w:val="24"/>
        </w:rPr>
      </w:pPr>
      <w:r>
        <w:rPr>
          <w:rFonts w:hint="eastAsia" w:ascii="宋体" w:hAnsi="宋体"/>
          <w:color w:val="auto"/>
          <w:sz w:val="24"/>
        </w:rPr>
        <w:t>3.1监理人的职责和权力</w:t>
      </w:r>
    </w:p>
    <w:p w14:paraId="0743C50A">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3.1.1发包人需批准明确行使的权力：</w:t>
      </w:r>
    </w:p>
    <w:p w14:paraId="58C2622F">
      <w:pPr>
        <w:adjustRightInd w:val="0"/>
        <w:snapToGrid w:val="0"/>
        <w:spacing w:line="360" w:lineRule="auto"/>
        <w:ind w:firstLine="420" w:firstLineChars="200"/>
        <w:jc w:val="left"/>
        <w:rPr>
          <w:rFonts w:ascii="宋体" w:hAnsi="宋体" w:cs="宋体"/>
          <w:color w:val="auto"/>
          <w:u w:val="single"/>
        </w:rPr>
      </w:pPr>
      <w:r>
        <w:rPr>
          <w:rFonts w:hint="eastAsia" w:ascii="宋体" w:hAnsi="宋体" w:cs="宋体"/>
          <w:color w:val="auto"/>
          <w:u w:val="single"/>
        </w:rPr>
        <w:t>监理人在作出如下行为、指令或决定时，应事先取得发包人的书面同意，否则其行为或决定对发包人不具有约束力，发包人不承担因此导致的任何后果和责任，承包人对此无异议:</w:t>
      </w:r>
    </w:p>
    <w:p w14:paraId="62FD25FC">
      <w:pPr>
        <w:adjustRightInd w:val="0"/>
        <w:snapToGrid w:val="0"/>
        <w:spacing w:line="360" w:lineRule="auto"/>
        <w:ind w:firstLine="420" w:firstLineChars="200"/>
        <w:jc w:val="left"/>
        <w:rPr>
          <w:rFonts w:ascii="宋体" w:hAnsi="宋体" w:cs="宋体"/>
          <w:color w:val="auto"/>
          <w:u w:val="single"/>
        </w:rPr>
      </w:pPr>
      <w:r>
        <w:rPr>
          <w:rFonts w:hint="eastAsia" w:ascii="宋体" w:hAnsi="宋体" w:cs="宋体"/>
          <w:color w:val="auto"/>
          <w:u w:val="single"/>
        </w:rPr>
        <w:t>(1)发布开工令、整体或局部暂时停工或复工令；</w:t>
      </w:r>
    </w:p>
    <w:p w14:paraId="3ADCC809">
      <w:pPr>
        <w:adjustRightInd w:val="0"/>
        <w:snapToGrid w:val="0"/>
        <w:spacing w:line="360" w:lineRule="auto"/>
        <w:ind w:firstLine="420" w:firstLineChars="200"/>
        <w:jc w:val="left"/>
        <w:rPr>
          <w:rFonts w:ascii="宋体" w:hAnsi="宋体" w:cs="宋体"/>
          <w:color w:val="auto"/>
          <w:u w:val="single"/>
        </w:rPr>
      </w:pPr>
      <w:r>
        <w:rPr>
          <w:rFonts w:hint="eastAsia" w:ascii="宋体" w:hAnsi="宋体" w:cs="宋体"/>
          <w:color w:val="auto"/>
          <w:u w:val="single"/>
        </w:rPr>
        <w:t>(2)确定工期或决定延长工期、工程月进度计划及更高级别变化的变更审批权；</w:t>
      </w:r>
    </w:p>
    <w:p w14:paraId="7AA1CA13">
      <w:pPr>
        <w:adjustRightInd w:val="0"/>
        <w:snapToGrid w:val="0"/>
        <w:spacing w:line="360" w:lineRule="auto"/>
        <w:ind w:firstLine="420" w:firstLineChars="200"/>
        <w:jc w:val="left"/>
        <w:rPr>
          <w:rFonts w:ascii="宋体" w:hAnsi="宋体" w:cs="宋体"/>
          <w:color w:val="auto"/>
          <w:u w:val="single"/>
        </w:rPr>
      </w:pPr>
      <w:r>
        <w:rPr>
          <w:rFonts w:hint="eastAsia" w:ascii="宋体" w:hAnsi="宋体" w:cs="宋体"/>
          <w:color w:val="auto"/>
          <w:u w:val="single"/>
        </w:rPr>
        <w:t>(3)审查批准设计的变更，并发出实施变更的指示；</w:t>
      </w:r>
    </w:p>
    <w:p w14:paraId="31736640">
      <w:pPr>
        <w:adjustRightInd w:val="0"/>
        <w:snapToGrid w:val="0"/>
        <w:spacing w:line="360" w:lineRule="auto"/>
        <w:ind w:firstLine="420" w:firstLineChars="200"/>
        <w:jc w:val="left"/>
        <w:rPr>
          <w:rFonts w:ascii="宋体" w:hAnsi="宋体" w:cs="宋体"/>
          <w:color w:val="auto"/>
          <w:u w:val="single"/>
        </w:rPr>
      </w:pPr>
      <w:r>
        <w:rPr>
          <w:rFonts w:hint="eastAsia" w:ascii="宋体" w:hAnsi="宋体" w:cs="宋体"/>
          <w:color w:val="auto"/>
          <w:u w:val="single"/>
        </w:rPr>
        <w:t>(4)同意或批准承包人提出的索赔(包括工期索赔和费用索赔)及有关暂列金额的使用；</w:t>
      </w:r>
    </w:p>
    <w:p w14:paraId="0BDA68CD">
      <w:pPr>
        <w:adjustRightInd w:val="0"/>
        <w:snapToGrid w:val="0"/>
        <w:spacing w:line="360" w:lineRule="auto"/>
        <w:ind w:firstLine="420" w:firstLineChars="200"/>
        <w:jc w:val="left"/>
        <w:rPr>
          <w:rFonts w:ascii="宋体" w:hAnsi="宋体" w:cs="宋体"/>
          <w:color w:val="auto"/>
          <w:u w:val="single"/>
        </w:rPr>
      </w:pPr>
      <w:r>
        <w:rPr>
          <w:rFonts w:hint="eastAsia" w:ascii="宋体" w:hAnsi="宋体" w:cs="宋体"/>
          <w:color w:val="auto"/>
          <w:u w:val="single"/>
        </w:rPr>
        <w:t>(5)涉及责任事件的签认需要办理现场签证，以及对材料、设备单位需要进行市场询价、定价的；</w:t>
      </w:r>
    </w:p>
    <w:p w14:paraId="07FD6D7F">
      <w:pPr>
        <w:adjustRightInd w:val="0"/>
        <w:snapToGrid w:val="0"/>
        <w:spacing w:line="360" w:lineRule="auto"/>
        <w:ind w:firstLine="420" w:firstLineChars="200"/>
        <w:jc w:val="left"/>
        <w:rPr>
          <w:rFonts w:ascii="宋体" w:hAnsi="宋体" w:cs="宋体"/>
          <w:color w:val="auto"/>
          <w:u w:val="single"/>
        </w:rPr>
      </w:pPr>
      <w:r>
        <w:rPr>
          <w:rFonts w:hint="eastAsia" w:ascii="宋体" w:hAnsi="宋体" w:cs="宋体"/>
          <w:color w:val="auto"/>
          <w:u w:val="single"/>
        </w:rPr>
        <w:t>(6)对不符合规范标准、设计要求或合同约定的材料、构配件、设备 命令承包人停止使用，批准使用替代材料或设备;对不符合规范和质量标准的工序、分部 分项工程和不安全施工作业，命令承包人停工整改或返工；</w:t>
      </w:r>
    </w:p>
    <w:p w14:paraId="01F143B8">
      <w:pPr>
        <w:adjustRightInd w:val="0"/>
        <w:snapToGrid w:val="0"/>
        <w:spacing w:line="360" w:lineRule="auto"/>
        <w:ind w:firstLine="420" w:firstLineChars="200"/>
        <w:jc w:val="left"/>
        <w:rPr>
          <w:rFonts w:ascii="宋体" w:hAnsi="宋体" w:cs="宋体"/>
          <w:color w:val="auto"/>
          <w:u w:val="single"/>
        </w:rPr>
      </w:pPr>
      <w:r>
        <w:rPr>
          <w:rFonts w:hint="eastAsia" w:ascii="宋体" w:hAnsi="宋体" w:cs="宋体"/>
          <w:color w:val="auto"/>
          <w:u w:val="single"/>
        </w:rPr>
        <w:t>(7)对核算后已标价工程量清单的批准；</w:t>
      </w:r>
    </w:p>
    <w:p w14:paraId="18288C7A">
      <w:pPr>
        <w:adjustRightInd w:val="0"/>
        <w:snapToGrid w:val="0"/>
        <w:spacing w:line="360" w:lineRule="auto"/>
        <w:ind w:firstLine="420" w:firstLineChars="200"/>
        <w:jc w:val="left"/>
        <w:rPr>
          <w:rFonts w:ascii="宋体" w:hAnsi="宋体" w:cs="宋体"/>
          <w:color w:val="auto"/>
          <w:u w:val="single"/>
        </w:rPr>
      </w:pPr>
      <w:r>
        <w:rPr>
          <w:rFonts w:hint="eastAsia" w:ascii="宋体" w:hAnsi="宋体" w:cs="宋体"/>
          <w:color w:val="auto"/>
          <w:u w:val="single"/>
        </w:rPr>
        <w:t>(8)监理人要求承包人撤换由其派遣或雇佣的那些工作不能胜任、或玩忽职守、工作不负责任的人员，上述撤换的人员未经监理人同意不得重新回到本合同工程工作；</w:t>
      </w:r>
    </w:p>
    <w:p w14:paraId="2F9C8A07">
      <w:pPr>
        <w:adjustRightInd w:val="0"/>
        <w:snapToGrid w:val="0"/>
        <w:spacing w:line="360" w:lineRule="auto"/>
        <w:ind w:firstLine="420" w:firstLineChars="200"/>
        <w:jc w:val="left"/>
        <w:rPr>
          <w:rFonts w:ascii="宋体" w:hAnsi="宋体" w:cs="宋体"/>
          <w:color w:val="auto"/>
          <w:u w:val="single"/>
        </w:rPr>
      </w:pPr>
      <w:r>
        <w:rPr>
          <w:rFonts w:hint="eastAsia" w:ascii="宋体" w:hAnsi="宋体" w:cs="宋体"/>
          <w:color w:val="auto"/>
          <w:u w:val="single"/>
        </w:rPr>
        <w:t>(9)变更、增加合同价款；</w:t>
      </w:r>
    </w:p>
    <w:p w14:paraId="1BFD5042">
      <w:pPr>
        <w:adjustRightInd w:val="0"/>
        <w:snapToGrid w:val="0"/>
        <w:spacing w:line="360" w:lineRule="auto"/>
        <w:ind w:firstLine="420" w:firstLineChars="200"/>
        <w:jc w:val="left"/>
        <w:rPr>
          <w:rFonts w:ascii="宋体" w:hAnsi="宋体" w:cs="宋体"/>
          <w:color w:val="auto"/>
          <w:u w:val="single"/>
        </w:rPr>
      </w:pPr>
      <w:r>
        <w:rPr>
          <w:rFonts w:hint="eastAsia" w:ascii="宋体" w:hAnsi="宋体" w:cs="宋体"/>
          <w:color w:val="auto"/>
          <w:u w:val="single"/>
        </w:rPr>
        <w:t>(10)洽商变更的签订；</w:t>
      </w:r>
    </w:p>
    <w:p w14:paraId="00A2B172">
      <w:pPr>
        <w:adjustRightInd w:val="0"/>
        <w:snapToGrid w:val="0"/>
        <w:spacing w:line="360" w:lineRule="auto"/>
        <w:ind w:firstLine="420" w:firstLineChars="200"/>
        <w:jc w:val="left"/>
        <w:rPr>
          <w:rFonts w:ascii="宋体" w:hAnsi="宋体" w:cs="宋体"/>
          <w:color w:val="auto"/>
          <w:u w:val="single"/>
        </w:rPr>
      </w:pPr>
      <w:r>
        <w:rPr>
          <w:rFonts w:hint="eastAsia" w:ascii="宋体" w:hAnsi="宋体" w:cs="宋体"/>
          <w:color w:val="auto"/>
          <w:u w:val="single"/>
        </w:rPr>
        <w:t>(11)批准承包人提出的涉及工程价款、样品批复、工期、结算等事项的报告等事宜；</w:t>
      </w:r>
    </w:p>
    <w:p w14:paraId="0CEEC188">
      <w:pPr>
        <w:adjustRightInd w:val="0"/>
        <w:snapToGrid w:val="0"/>
        <w:spacing w:line="360" w:lineRule="auto"/>
        <w:ind w:firstLine="420" w:firstLineChars="200"/>
        <w:jc w:val="left"/>
        <w:rPr>
          <w:rFonts w:ascii="宋体" w:hAnsi="宋体" w:cs="宋体"/>
          <w:color w:val="auto"/>
          <w:u w:val="single"/>
        </w:rPr>
      </w:pPr>
      <w:r>
        <w:rPr>
          <w:rFonts w:hint="eastAsia" w:ascii="宋体" w:hAnsi="宋体" w:cs="宋体"/>
          <w:color w:val="auto"/>
          <w:u w:val="single"/>
        </w:rPr>
        <w:t>(12)预付款、工程款拨付的批准权、进度请款单的确认、进度付款单的签字支付；</w:t>
      </w:r>
    </w:p>
    <w:p w14:paraId="1B7040B2">
      <w:pPr>
        <w:adjustRightInd w:val="0"/>
        <w:snapToGrid w:val="0"/>
        <w:spacing w:line="360" w:lineRule="auto"/>
        <w:ind w:firstLine="420" w:firstLineChars="200"/>
        <w:jc w:val="left"/>
        <w:rPr>
          <w:rFonts w:ascii="宋体" w:hAnsi="宋体" w:cs="宋体"/>
          <w:color w:val="auto"/>
          <w:u w:val="single"/>
        </w:rPr>
      </w:pPr>
      <w:r>
        <w:rPr>
          <w:rFonts w:hint="eastAsia" w:ascii="宋体" w:hAnsi="宋体" w:cs="宋体"/>
          <w:color w:val="auto"/>
          <w:u w:val="single"/>
        </w:rPr>
        <w:t>(13)工程验收报告的确认；</w:t>
      </w:r>
    </w:p>
    <w:p w14:paraId="53FDC9CA">
      <w:pPr>
        <w:adjustRightInd w:val="0"/>
        <w:snapToGrid w:val="0"/>
        <w:spacing w:line="360" w:lineRule="auto"/>
        <w:ind w:firstLine="420" w:firstLineChars="200"/>
        <w:jc w:val="left"/>
        <w:rPr>
          <w:rFonts w:hint="eastAsia" w:ascii="宋体" w:hAnsi="宋体" w:cs="宋体"/>
          <w:color w:val="auto"/>
          <w:u w:val="single"/>
        </w:rPr>
      </w:pPr>
      <w:r>
        <w:rPr>
          <w:rFonts w:hint="eastAsia" w:ascii="宋体" w:hAnsi="宋体" w:cs="宋体"/>
          <w:color w:val="auto"/>
          <w:u w:val="single"/>
        </w:rPr>
        <w:t>(14)批准承包人使用新材料、新产品、新工艺、新技术。</w:t>
      </w:r>
    </w:p>
    <w:p w14:paraId="20958314">
      <w:pPr>
        <w:adjustRightInd w:val="0"/>
        <w:snapToGrid w:val="0"/>
        <w:spacing w:line="360" w:lineRule="auto"/>
        <w:ind w:firstLine="420" w:firstLineChars="200"/>
        <w:jc w:val="left"/>
        <w:rPr>
          <w:rFonts w:hint="eastAsia" w:ascii="宋体" w:hAnsi="宋体" w:cs="宋体"/>
          <w:color w:val="auto"/>
          <w:u w:val="single"/>
        </w:rPr>
      </w:pPr>
      <w:r>
        <w:rPr>
          <w:rFonts w:hint="eastAsia" w:ascii="宋体" w:hAnsi="宋体" w:cs="宋体"/>
          <w:color w:val="auto"/>
          <w:u w:val="single"/>
        </w:rPr>
        <w:t xml:space="preserve">监理人履行须经发包人批准行使的权力时，应当向承包人出示其行使该权力已经取得发包人批准的文件或者其他合法有效的证明，承包人对于监理人的行为、指令或决定是否已经取得发包人的书面同意存在疑问时，可以向发包人进行询问和核实，因承包人怠于询问和核实造成的所有损失由承包人自行承担。当发包人与监理任何书面通知、指示、同意、批准、证书、决定及其他通讯联络之间出现冲突、矛盾或不一致时，发包人的决定应是最终的并具有合同约束力。  </w:t>
      </w:r>
    </w:p>
    <w:p w14:paraId="044403B4">
      <w:pPr>
        <w:adjustRightInd w:val="0"/>
        <w:snapToGrid w:val="0"/>
        <w:spacing w:line="360" w:lineRule="auto"/>
        <w:outlineLvl w:val="1"/>
        <w:rPr>
          <w:rFonts w:ascii="宋体" w:hAnsi="宋体"/>
          <w:color w:val="auto"/>
          <w:sz w:val="28"/>
        </w:rPr>
      </w:pPr>
      <w:bookmarkStart w:id="1183" w:name="_Toc11497"/>
      <w:bookmarkStart w:id="1184" w:name="_Toc26996"/>
      <w:r>
        <w:rPr>
          <w:rFonts w:hint="eastAsia" w:ascii="宋体" w:hAnsi="宋体"/>
          <w:color w:val="auto"/>
          <w:sz w:val="28"/>
        </w:rPr>
        <w:t>4.承包人</w:t>
      </w:r>
      <w:bookmarkEnd w:id="1183"/>
      <w:bookmarkEnd w:id="1184"/>
    </w:p>
    <w:p w14:paraId="2B8A9955">
      <w:pPr>
        <w:adjustRightInd w:val="0"/>
        <w:snapToGrid w:val="0"/>
        <w:spacing w:line="360" w:lineRule="auto"/>
        <w:rPr>
          <w:rFonts w:ascii="宋体" w:hAnsi="宋体"/>
          <w:color w:val="auto"/>
          <w:sz w:val="24"/>
        </w:rPr>
      </w:pPr>
      <w:r>
        <w:rPr>
          <w:rFonts w:hint="eastAsia" w:ascii="宋体" w:hAnsi="宋体"/>
          <w:color w:val="auto"/>
          <w:sz w:val="24"/>
        </w:rPr>
        <w:t>4.1承包人的一般义务</w:t>
      </w:r>
    </w:p>
    <w:p w14:paraId="51716D70">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4.1.8为他人提供方便</w:t>
      </w:r>
    </w:p>
    <w:p w14:paraId="53DEDC74">
      <w:pPr>
        <w:numPr>
          <w:ilvl w:val="0"/>
          <w:numId w:val="14"/>
        </w:num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承包人应当对在施工场地或者附近实施与合同工程有关的其他工作的独立承包人履行管理、协调、配合、照管和服务义务的具体工作内容和要求：</w:t>
      </w:r>
    </w:p>
    <w:p w14:paraId="46FC6A5B">
      <w:pPr>
        <w:numPr>
          <w:ilvl w:val="-1"/>
          <w:numId w:val="0"/>
        </w:numPr>
        <w:adjustRightInd w:val="0"/>
        <w:snapToGrid w:val="0"/>
        <w:spacing w:line="360" w:lineRule="auto"/>
        <w:ind w:firstLine="420" w:firstLineChars="200"/>
        <w:jc w:val="left"/>
        <w:rPr>
          <w:rFonts w:hint="eastAsia" w:ascii="宋体" w:hAnsi="宋体" w:cs="宋体"/>
          <w:color w:val="auto"/>
          <w:u w:val="single"/>
        </w:rPr>
      </w:pPr>
      <w:r>
        <w:rPr>
          <w:rFonts w:hint="eastAsia" w:ascii="宋体" w:hAnsi="宋体" w:cs="宋体"/>
          <w:color w:val="auto"/>
          <w:u w:val="single"/>
        </w:rPr>
        <w:t>1)提供施工现场水源、电源及通道。</w:t>
      </w:r>
    </w:p>
    <w:p w14:paraId="30F9A2CC">
      <w:pPr>
        <w:numPr>
          <w:ilvl w:val="-1"/>
          <w:numId w:val="0"/>
        </w:numPr>
        <w:adjustRightInd w:val="0"/>
        <w:snapToGrid w:val="0"/>
        <w:spacing w:line="360" w:lineRule="auto"/>
        <w:ind w:firstLine="420" w:firstLineChars="200"/>
        <w:jc w:val="left"/>
        <w:rPr>
          <w:rFonts w:hint="eastAsia" w:ascii="宋体" w:hAnsi="宋体" w:cs="宋体"/>
          <w:color w:val="auto"/>
          <w:u w:val="single"/>
        </w:rPr>
      </w:pPr>
      <w:r>
        <w:rPr>
          <w:rFonts w:hint="eastAsia" w:ascii="宋体" w:hAnsi="宋体" w:cs="宋体"/>
          <w:color w:val="auto"/>
          <w:u w:val="single"/>
        </w:rPr>
        <w:t>2)提供用于施工及发包人现场检查的照明设备，包括照明线路、照明灯具,在正常施工时间内及发包人批准的抢工时间内保证照明系统处于正常使用状态。</w:t>
      </w:r>
    </w:p>
    <w:p w14:paraId="52F54EE0">
      <w:pPr>
        <w:numPr>
          <w:ilvl w:val="-1"/>
          <w:numId w:val="0"/>
        </w:numPr>
        <w:adjustRightInd w:val="0"/>
        <w:snapToGrid w:val="0"/>
        <w:spacing w:line="360" w:lineRule="auto"/>
        <w:ind w:firstLine="420" w:firstLineChars="200"/>
        <w:jc w:val="left"/>
        <w:rPr>
          <w:rFonts w:hint="eastAsia" w:ascii="宋体" w:hAnsi="宋体" w:cs="宋体"/>
          <w:color w:val="auto"/>
          <w:u w:val="single"/>
        </w:rPr>
      </w:pPr>
      <w:r>
        <w:rPr>
          <w:rFonts w:hint="eastAsia" w:ascii="宋体" w:hAnsi="宋体" w:cs="宋体"/>
          <w:color w:val="auto"/>
          <w:u w:val="single"/>
        </w:rPr>
        <w:t>3)提供在约定计划工期内的临时工程或承包人在现场已存在的运输机械、设备等临时设施。如果根据工程实际进展情况，承包人需拆除现场已存在的临时设施时，承包人须征得发包人和监理人的认可后方可拆除。</w:t>
      </w:r>
    </w:p>
    <w:p w14:paraId="48E7F559">
      <w:pPr>
        <w:numPr>
          <w:ilvl w:val="-1"/>
          <w:numId w:val="0"/>
        </w:numPr>
        <w:adjustRightInd w:val="0"/>
        <w:snapToGrid w:val="0"/>
        <w:spacing w:line="360" w:lineRule="auto"/>
        <w:ind w:firstLine="420" w:firstLineChars="200"/>
        <w:jc w:val="left"/>
        <w:rPr>
          <w:rFonts w:hint="eastAsia" w:ascii="宋体" w:hAnsi="宋体" w:cs="宋体"/>
          <w:color w:val="auto"/>
          <w:u w:val="single"/>
        </w:rPr>
      </w:pPr>
      <w:r>
        <w:rPr>
          <w:rFonts w:hint="eastAsia" w:ascii="宋体" w:hAnsi="宋体" w:cs="宋体"/>
          <w:color w:val="auto"/>
          <w:u w:val="single"/>
        </w:rPr>
        <w:t>4)为保证承包人和其他承包人的工作面不发生冲突，承包人应对其他承包人的工作场所及材料存放场所等的安排、布置负责协调。</w:t>
      </w:r>
    </w:p>
    <w:p w14:paraId="1215F511">
      <w:pPr>
        <w:numPr>
          <w:ilvl w:val="-1"/>
          <w:numId w:val="0"/>
        </w:numPr>
        <w:adjustRightInd w:val="0"/>
        <w:snapToGrid w:val="0"/>
        <w:spacing w:line="360" w:lineRule="auto"/>
        <w:ind w:firstLine="420" w:firstLineChars="200"/>
        <w:jc w:val="left"/>
        <w:rPr>
          <w:rFonts w:hint="eastAsia" w:ascii="宋体" w:hAnsi="宋体" w:cs="宋体"/>
          <w:color w:val="auto"/>
          <w:u w:val="single"/>
        </w:rPr>
      </w:pPr>
      <w:r>
        <w:rPr>
          <w:rFonts w:hint="eastAsia" w:ascii="宋体" w:hAnsi="宋体" w:cs="宋体"/>
          <w:color w:val="auto"/>
          <w:u w:val="single"/>
        </w:rPr>
        <w:t>5)提供足够的和无障碍的工作面。</w:t>
      </w:r>
    </w:p>
    <w:p w14:paraId="3AA3F598">
      <w:pPr>
        <w:numPr>
          <w:ilvl w:val="-1"/>
          <w:numId w:val="0"/>
        </w:numPr>
        <w:adjustRightInd w:val="0"/>
        <w:snapToGrid w:val="0"/>
        <w:spacing w:line="360" w:lineRule="auto"/>
        <w:ind w:firstLine="420" w:firstLineChars="200"/>
        <w:jc w:val="left"/>
        <w:rPr>
          <w:rFonts w:hint="eastAsia" w:ascii="宋体" w:hAnsi="宋体" w:cs="宋体"/>
          <w:color w:val="auto"/>
          <w:u w:val="single"/>
        </w:rPr>
      </w:pPr>
      <w:r>
        <w:rPr>
          <w:rFonts w:hint="eastAsia" w:ascii="宋体" w:hAnsi="宋体" w:cs="宋体"/>
          <w:color w:val="auto"/>
          <w:u w:val="single"/>
        </w:rPr>
        <w:t>6)提供正常的临时照明和施工及调试运行所必需的设施。</w:t>
      </w:r>
    </w:p>
    <w:p w14:paraId="27EC86C9">
      <w:pPr>
        <w:numPr>
          <w:ilvl w:val="-1"/>
          <w:numId w:val="0"/>
        </w:numPr>
        <w:adjustRightInd w:val="0"/>
        <w:snapToGrid w:val="0"/>
        <w:spacing w:line="360" w:lineRule="auto"/>
        <w:ind w:firstLine="420" w:firstLineChars="200"/>
        <w:jc w:val="left"/>
        <w:rPr>
          <w:rFonts w:hint="eastAsia" w:ascii="宋体" w:hAnsi="宋体" w:cs="宋体"/>
          <w:color w:val="auto"/>
          <w:u w:val="single"/>
        </w:rPr>
      </w:pPr>
      <w:r>
        <w:rPr>
          <w:rFonts w:hint="eastAsia" w:ascii="宋体" w:hAnsi="宋体" w:cs="宋体"/>
          <w:color w:val="auto"/>
          <w:u w:val="single"/>
        </w:rPr>
        <w:t>7)负责清理现场垃圾（各独立承包人将其施工所产生的垃圾堆放至承包人指定的合理堆放点后）。</w:t>
      </w:r>
    </w:p>
    <w:p w14:paraId="0B23483E">
      <w:pPr>
        <w:numPr>
          <w:ilvl w:val="-1"/>
          <w:numId w:val="0"/>
        </w:numPr>
        <w:adjustRightInd w:val="0"/>
        <w:snapToGrid w:val="0"/>
        <w:spacing w:line="360" w:lineRule="auto"/>
        <w:ind w:firstLine="420" w:firstLineChars="200"/>
        <w:jc w:val="left"/>
        <w:rPr>
          <w:rFonts w:hint="eastAsia" w:ascii="宋体" w:hAnsi="宋体" w:cs="宋体"/>
          <w:color w:val="auto"/>
          <w:u w:val="single"/>
        </w:rPr>
      </w:pPr>
      <w:r>
        <w:rPr>
          <w:rFonts w:hint="eastAsia" w:ascii="宋体" w:hAnsi="宋体" w:cs="宋体"/>
          <w:color w:val="auto"/>
          <w:u w:val="single"/>
        </w:rPr>
        <w:t>8)负责对承包工程施工进度计划的安排、协调和管理，确保总体工程进度。</w:t>
      </w:r>
    </w:p>
    <w:p w14:paraId="732484B3">
      <w:pPr>
        <w:numPr>
          <w:ilvl w:val="-1"/>
          <w:numId w:val="0"/>
        </w:numPr>
        <w:adjustRightInd w:val="0"/>
        <w:snapToGrid w:val="0"/>
        <w:spacing w:line="360" w:lineRule="auto"/>
        <w:ind w:firstLine="420" w:firstLineChars="200"/>
        <w:jc w:val="left"/>
        <w:rPr>
          <w:rFonts w:hint="eastAsia" w:ascii="宋体" w:hAnsi="宋体" w:cs="宋体"/>
          <w:color w:val="auto"/>
          <w:u w:val="single"/>
        </w:rPr>
      </w:pPr>
      <w:r>
        <w:rPr>
          <w:rFonts w:hint="eastAsia" w:ascii="宋体" w:hAnsi="宋体" w:cs="宋体"/>
          <w:color w:val="auto"/>
          <w:u w:val="single"/>
        </w:rPr>
        <w:t>9)负责对承包工程的质量进行监督、管理，确保总体工程质量。</w:t>
      </w:r>
    </w:p>
    <w:p w14:paraId="57F07E29">
      <w:pPr>
        <w:numPr>
          <w:ilvl w:val="-1"/>
          <w:numId w:val="0"/>
        </w:numPr>
        <w:adjustRightInd w:val="0"/>
        <w:snapToGrid w:val="0"/>
        <w:spacing w:line="360" w:lineRule="auto"/>
        <w:ind w:firstLine="420" w:firstLineChars="200"/>
        <w:jc w:val="left"/>
        <w:rPr>
          <w:rFonts w:hint="eastAsia" w:ascii="宋体" w:hAnsi="宋体" w:cs="宋体"/>
          <w:color w:val="auto"/>
          <w:u w:val="single"/>
        </w:rPr>
      </w:pPr>
      <w:r>
        <w:rPr>
          <w:rFonts w:hint="eastAsia" w:ascii="宋体" w:hAnsi="宋体" w:cs="宋体"/>
          <w:color w:val="auto"/>
          <w:u w:val="single"/>
        </w:rPr>
        <w:t>10)负责对承包工程的安全防护、文明施工进行监督、管理，确保总体工程安全，杜绝伤亡事故。如发生事故，及时按照相关规定进行全面救护、上报、处理和善后，尽最大可能降低事故损失。</w:t>
      </w:r>
    </w:p>
    <w:p w14:paraId="1870866D">
      <w:pPr>
        <w:numPr>
          <w:ilvl w:val="-1"/>
          <w:numId w:val="0"/>
        </w:numPr>
        <w:adjustRightInd w:val="0"/>
        <w:snapToGrid w:val="0"/>
        <w:spacing w:line="360" w:lineRule="auto"/>
        <w:ind w:firstLine="420" w:firstLineChars="200"/>
        <w:jc w:val="left"/>
        <w:rPr>
          <w:rFonts w:hint="eastAsia" w:ascii="宋体" w:hAnsi="宋体" w:cs="宋体"/>
          <w:color w:val="auto"/>
          <w:u w:val="single"/>
        </w:rPr>
      </w:pPr>
      <w:r>
        <w:rPr>
          <w:rFonts w:hint="eastAsia" w:ascii="宋体" w:hAnsi="宋体" w:cs="宋体"/>
          <w:color w:val="auto"/>
          <w:u w:val="single"/>
        </w:rPr>
        <w:t>11)负责对已完成并移交给承包人的独立承包工程采取有效的成品保护措施。</w:t>
      </w:r>
    </w:p>
    <w:p w14:paraId="3E6B35B0">
      <w:pPr>
        <w:numPr>
          <w:ilvl w:val="-1"/>
          <w:numId w:val="0"/>
        </w:numPr>
        <w:adjustRightInd w:val="0"/>
        <w:snapToGrid w:val="0"/>
        <w:spacing w:line="360" w:lineRule="auto"/>
        <w:ind w:firstLine="420" w:firstLineChars="200"/>
        <w:jc w:val="left"/>
        <w:rPr>
          <w:rFonts w:hint="eastAsia" w:ascii="宋体" w:hAnsi="宋体" w:cs="宋体"/>
          <w:color w:val="auto"/>
          <w:u w:val="single"/>
        </w:rPr>
      </w:pPr>
      <w:r>
        <w:rPr>
          <w:rFonts w:hint="eastAsia" w:ascii="宋体" w:hAnsi="宋体" w:cs="宋体"/>
          <w:color w:val="auto"/>
          <w:u w:val="single"/>
        </w:rPr>
        <w:t>12)对于政府有关部门发送发包人的有关本工程施工现场的任何意见及通知，其中涉及承包人的，承包人应承担相关责任和工作。</w:t>
      </w:r>
    </w:p>
    <w:p w14:paraId="07F2C4CE">
      <w:pPr>
        <w:numPr>
          <w:ilvl w:val="-1"/>
          <w:numId w:val="0"/>
        </w:numPr>
        <w:adjustRightInd w:val="0"/>
        <w:snapToGrid w:val="0"/>
        <w:spacing w:line="360" w:lineRule="auto"/>
        <w:ind w:firstLine="420" w:firstLineChars="200"/>
        <w:jc w:val="left"/>
        <w:rPr>
          <w:rFonts w:hint="eastAsia" w:ascii="宋体" w:hAnsi="宋体" w:cs="宋体"/>
          <w:color w:val="auto"/>
          <w:u w:val="single"/>
        </w:rPr>
      </w:pPr>
      <w:r>
        <w:rPr>
          <w:rFonts w:hint="eastAsia" w:ascii="宋体" w:hAnsi="宋体" w:cs="宋体"/>
          <w:color w:val="auto"/>
          <w:u w:val="single"/>
        </w:rPr>
        <w:t>13)承包人确保本工程无安全事故发生，安全员在施工过程中实行全程旁站制度，即安全员施工全过程现场监督。</w:t>
      </w:r>
    </w:p>
    <w:p w14:paraId="2E0D7629">
      <w:pPr>
        <w:numPr>
          <w:ilvl w:val="-1"/>
          <w:numId w:val="0"/>
        </w:numPr>
        <w:adjustRightInd w:val="0"/>
        <w:snapToGrid w:val="0"/>
        <w:spacing w:line="360" w:lineRule="auto"/>
        <w:ind w:firstLine="420" w:firstLineChars="200"/>
        <w:jc w:val="left"/>
        <w:rPr>
          <w:rFonts w:hint="eastAsia" w:ascii="宋体" w:hAnsi="宋体" w:cs="宋体"/>
          <w:color w:val="auto"/>
          <w:u w:val="single"/>
        </w:rPr>
      </w:pPr>
      <w:r>
        <w:rPr>
          <w:rFonts w:hint="eastAsia" w:ascii="宋体" w:hAnsi="宋体" w:cs="宋体"/>
          <w:color w:val="auto"/>
          <w:u w:val="single"/>
        </w:rPr>
        <w:t>14)承包人须按照有关规定做好施工工地的防止扬尘污染工作。</w:t>
      </w:r>
    </w:p>
    <w:p w14:paraId="5A62BC4E">
      <w:pPr>
        <w:numPr>
          <w:ilvl w:val="-1"/>
          <w:numId w:val="0"/>
        </w:numPr>
        <w:adjustRightInd w:val="0"/>
        <w:snapToGrid w:val="0"/>
        <w:spacing w:line="360" w:lineRule="auto"/>
        <w:ind w:firstLine="420" w:firstLineChars="200"/>
        <w:jc w:val="left"/>
        <w:rPr>
          <w:rFonts w:hint="eastAsia" w:ascii="宋体" w:hAnsi="宋体" w:cs="宋体"/>
          <w:color w:val="auto"/>
          <w:u w:val="single"/>
        </w:rPr>
      </w:pPr>
      <w:r>
        <w:rPr>
          <w:rFonts w:hint="eastAsia" w:ascii="宋体" w:hAnsi="宋体" w:cs="宋体"/>
          <w:color w:val="auto"/>
          <w:u w:val="single"/>
        </w:rPr>
        <w:t>15)在施工过程中承包人有责任保护地上或地下管线的完整性，在施工范围内地上或地下管线受损而产生的损害赔偿、行政处罚等费用均由承包人自行承担。</w:t>
      </w:r>
    </w:p>
    <w:p w14:paraId="4AF0E7CA">
      <w:pPr>
        <w:numPr>
          <w:ilvl w:val="-1"/>
          <w:numId w:val="0"/>
        </w:numPr>
        <w:adjustRightInd w:val="0"/>
        <w:snapToGrid w:val="0"/>
        <w:spacing w:line="360" w:lineRule="auto"/>
        <w:ind w:firstLine="420" w:firstLineChars="200"/>
        <w:jc w:val="left"/>
        <w:rPr>
          <w:rFonts w:hint="eastAsia" w:ascii="宋体" w:hAnsi="宋体" w:cs="宋体"/>
          <w:color w:val="auto"/>
          <w:u w:val="single"/>
        </w:rPr>
      </w:pPr>
      <w:r>
        <w:rPr>
          <w:rFonts w:hint="eastAsia" w:ascii="宋体" w:hAnsi="宋体" w:cs="宋体"/>
          <w:color w:val="auto"/>
          <w:u w:val="single"/>
        </w:rPr>
        <w:t>16)承包人在进行渣土清运过程中，与相关主管部门的协调工作应自行解决。（如道路遗洒、办理营运证等）。</w:t>
      </w:r>
    </w:p>
    <w:p w14:paraId="21B9133A">
      <w:pPr>
        <w:numPr>
          <w:ilvl w:val="-1"/>
          <w:numId w:val="0"/>
        </w:numPr>
        <w:adjustRightInd w:val="0"/>
        <w:snapToGrid w:val="0"/>
        <w:spacing w:line="360" w:lineRule="auto"/>
        <w:ind w:firstLine="420" w:firstLineChars="200"/>
        <w:jc w:val="left"/>
        <w:rPr>
          <w:rFonts w:hint="eastAsia" w:ascii="宋体" w:hAnsi="宋体" w:cs="宋体"/>
          <w:color w:val="auto"/>
          <w:u w:val="single"/>
        </w:rPr>
      </w:pPr>
      <w:r>
        <w:rPr>
          <w:rFonts w:hint="eastAsia" w:ascii="宋体" w:hAnsi="宋体" w:cs="宋体"/>
          <w:color w:val="auto"/>
          <w:u w:val="single"/>
        </w:rPr>
        <w:t>17)承包人应文明施工，施工应充分考虑对周边居民的影响,施工过程如发生扰民或民扰事件，由承包人解决，费用由承包人承担（含可能产生的施工降效等风险）。</w:t>
      </w:r>
    </w:p>
    <w:p w14:paraId="36641876">
      <w:pPr>
        <w:numPr>
          <w:ilvl w:val="-1"/>
          <w:numId w:val="0"/>
        </w:numPr>
        <w:adjustRightInd w:val="0"/>
        <w:snapToGrid w:val="0"/>
        <w:spacing w:line="360" w:lineRule="auto"/>
        <w:ind w:firstLine="420" w:firstLineChars="200"/>
        <w:jc w:val="left"/>
        <w:rPr>
          <w:rFonts w:hint="eastAsia" w:ascii="宋体" w:hAnsi="宋体" w:cs="宋体"/>
          <w:color w:val="auto"/>
          <w:u w:val="single"/>
        </w:rPr>
      </w:pPr>
      <w:r>
        <w:rPr>
          <w:rFonts w:hint="eastAsia" w:ascii="宋体" w:hAnsi="宋体" w:cs="宋体"/>
          <w:color w:val="auto"/>
          <w:u w:val="single"/>
        </w:rPr>
        <w:t>18）承包人因与其他独立承包人之间产生的工序交叉等产生的误工费用等，承包人自行承担。</w:t>
      </w:r>
    </w:p>
    <w:p w14:paraId="70E3CF2D">
      <w:pPr>
        <w:numPr>
          <w:ilvl w:val="-1"/>
          <w:numId w:val="0"/>
        </w:numPr>
        <w:adjustRightInd w:val="0"/>
        <w:snapToGrid w:val="0"/>
        <w:spacing w:line="360" w:lineRule="auto"/>
        <w:ind w:firstLine="420" w:firstLineChars="200"/>
        <w:jc w:val="left"/>
        <w:rPr>
          <w:rFonts w:hint="eastAsia" w:ascii="宋体" w:hAnsi="宋体" w:cs="宋体"/>
          <w:color w:val="auto"/>
          <w:u w:val="single"/>
        </w:rPr>
      </w:pPr>
      <w:r>
        <w:rPr>
          <w:rFonts w:hint="eastAsia" w:ascii="宋体" w:hAnsi="宋体" w:cs="宋体"/>
          <w:color w:val="auto"/>
          <w:u w:val="single"/>
        </w:rPr>
        <w:t>19）为其他独立承包人在使用施工用地、道路和其他公共设施等方面提供方便 。承包人负责现场内的施工计划安排、施工安全、工程质量、配合协调、工程资料汇总、现场管理等，做好与专业分包人(如有)的管理、协调、配合与服务等工作, 全部纳入承包人管理工作中，确保整体工程的顺利进行, 并承担由此发生的费用。承包人不得以任何手段、借口、理由或形式向独立承包人和专业分包人（如有）再行收取、索取或截留与独立承包人和专业分包人工程有关的、承包人履行本合同约定的总包管理、协调、配合、服务责任、义务、损失等其他任何费用。</w:t>
      </w:r>
    </w:p>
    <w:p w14:paraId="1CE05113">
      <w:pPr>
        <w:numPr>
          <w:ilvl w:val="-1"/>
          <w:numId w:val="0"/>
        </w:numPr>
        <w:adjustRightInd w:val="0"/>
        <w:snapToGrid w:val="0"/>
        <w:spacing w:line="360" w:lineRule="auto"/>
        <w:ind w:firstLine="420" w:firstLineChars="200"/>
        <w:jc w:val="left"/>
        <w:rPr>
          <w:rFonts w:ascii="宋体" w:hAnsi="宋体"/>
          <w:color w:val="auto"/>
          <w:szCs w:val="21"/>
        </w:rPr>
      </w:pPr>
      <w:r>
        <w:rPr>
          <w:rFonts w:hint="eastAsia" w:ascii="宋体" w:hAnsi="宋体" w:cs="宋体"/>
          <w:color w:val="auto"/>
          <w:u w:val="single"/>
        </w:rPr>
        <w:t>20）自发包人向承包人移交施工场地之日起至工程接收证书颁发止，承包人应负责照管和维护工程及工程相关的材料。工程接收证书颁发时尚有部分未竣工工程的，承包人还应负责该未竣工工程的照管和维护工作，直至竣工后移交给发包人为止。在承包人负责照管期间，因承包人原因造成工程、材料损坏的，由承包人负责修复或更换，并承担由此增加的费用和（或）延误的工期。对合同内分期完成的成品和半成品，在工程接收证书颁发前，由承包人承担保护责任。因承包人原因造成成品或半成品损坏的，由承包人负责修复或更换，并承担由此增加的费用和（或）延误的工期。</w:t>
      </w:r>
    </w:p>
    <w:p w14:paraId="1D65C3C3">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4.1.10承包人的设计工作</w:t>
      </w:r>
    </w:p>
    <w:p w14:paraId="3DE09509">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承包人承担的施工图设计或与工程配套的设计工作内容：</w:t>
      </w:r>
    </w:p>
    <w:p w14:paraId="61847BD9">
      <w:pPr>
        <w:adjustRightInd w:val="0"/>
        <w:snapToGrid w:val="0"/>
        <w:spacing w:line="360" w:lineRule="auto"/>
        <w:ind w:firstLine="420" w:firstLineChars="200"/>
        <w:jc w:val="left"/>
        <w:rPr>
          <w:rFonts w:ascii="宋体" w:hAnsi="宋体"/>
          <w:color w:val="auto"/>
          <w:szCs w:val="21"/>
        </w:rPr>
      </w:pPr>
      <w:r>
        <w:rPr>
          <w:rFonts w:hint="eastAsia" w:ascii="宋体" w:hAnsi="宋体" w:cs="宋体"/>
          <w:color w:val="auto"/>
          <w:u w:val="single"/>
        </w:rPr>
        <w:t>包括不限于节点图、施工大样图、深化设计图</w:t>
      </w:r>
      <w:r>
        <w:rPr>
          <w:color w:val="auto"/>
        </w:rPr>
        <w:fldChar w:fldCharType="begin"/>
      </w:r>
      <w:r>
        <w:rPr>
          <w:color w:val="auto"/>
        </w:rPr>
        <w:instrText xml:space="preserve"> AUTOTEXT  input449 \* MERGEFORMAT </w:instrText>
      </w:r>
      <w:r>
        <w:rPr>
          <w:color w:val="auto"/>
        </w:rPr>
        <w:fldChar w:fldCharType="end"/>
      </w:r>
    </w:p>
    <w:p w14:paraId="15BE67D1">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4.1.1</w:t>
      </w:r>
      <w:r>
        <w:rPr>
          <w:rFonts w:ascii="宋体" w:hAnsi="宋体"/>
          <w:color w:val="auto"/>
          <w:szCs w:val="21"/>
        </w:rPr>
        <w:t>2</w:t>
      </w:r>
      <w:r>
        <w:rPr>
          <w:rFonts w:hint="eastAsia" w:ascii="宋体" w:hAnsi="宋体"/>
          <w:color w:val="auto"/>
          <w:szCs w:val="21"/>
        </w:rPr>
        <w:t>其他义务</w:t>
      </w:r>
    </w:p>
    <w:p w14:paraId="7DA04524">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1）安全生产标准化措施费由承包人统一管理，承包人对工程安全生产标准化负总责。承包人不按分包合同约定支付安全生产标准化措施费，造成分包人不能及时落实安全防护措施导致发生事故的，由承包人负主要责任。</w:t>
      </w:r>
    </w:p>
    <w:p w14:paraId="3948F82A">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（2）对于超过一定规模的危大工程（如有），承包人应当组织召开专家论证会对专项施工方案进行论证，并根据专家论证意见对专项方案进行调整，发包人原因造成的专项方案调整，其费用变化由发包人承担。</w:t>
      </w:r>
    </w:p>
    <w:p w14:paraId="495998C1">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（3）承包人应使用符合北京市《建筑类涂料与胶粘剂挥发性有机化合物含量限值标准》（DB11／1983-2022）相关要求的产品。</w:t>
      </w:r>
    </w:p>
    <w:p w14:paraId="4A6A7E25">
      <w:pPr>
        <w:adjustRightInd w:val="0"/>
        <w:snapToGrid w:val="0"/>
        <w:spacing w:line="360" w:lineRule="auto"/>
        <w:ind w:firstLine="420" w:firstLineChars="200"/>
        <w:jc w:val="left"/>
        <w:rPr>
          <w:rFonts w:ascii="宋体" w:hAnsi="宋体" w:cs="Arial"/>
          <w:color w:val="auto"/>
        </w:rPr>
      </w:pPr>
      <w:r>
        <w:rPr>
          <w:rFonts w:hint="eastAsia" w:ascii="宋体" w:hAnsi="宋体"/>
          <w:color w:val="auto"/>
          <w:szCs w:val="21"/>
        </w:rPr>
        <w:t>（4）承包人应履行的其他义务</w:t>
      </w:r>
      <w:r>
        <w:rPr>
          <w:rFonts w:hint="eastAsia" w:ascii="宋体" w:hAnsi="宋体" w:cs="Arial"/>
          <w:color w:val="auto"/>
        </w:rPr>
        <w:t>：</w:t>
      </w:r>
    </w:p>
    <w:p w14:paraId="20A2A4D5">
      <w:pPr>
        <w:adjustRightInd w:val="0"/>
        <w:snapToGrid w:val="0"/>
        <w:spacing w:line="360" w:lineRule="auto"/>
        <w:ind w:firstLine="420" w:firstLineChars="200"/>
        <w:jc w:val="left"/>
        <w:rPr>
          <w:rFonts w:ascii="宋体" w:hAnsi="宋体" w:cs="宋体"/>
          <w:color w:val="auto"/>
          <w:u w:val="single"/>
        </w:rPr>
      </w:pPr>
      <w:r>
        <w:rPr>
          <w:rFonts w:hint="eastAsia" w:ascii="宋体" w:hAnsi="宋体" w:cs="宋体"/>
          <w:color w:val="auto"/>
          <w:u w:val="single"/>
        </w:rPr>
        <w:t>1)承包人对施工现场的全面安全管理和文明施工管理并对现场安全负责，包括与现场其他承包人签订安全协议书、建立安全生产责任制度、配置足够数量的专职安全员、对现场所有人员的安全培训及登记造册工作、审核各项现场专项安全施工组织设计、监督检查特殊作业环境人员的劳动保护措施、保证安全技术费用专款专用、书面记录各项安全管理活动。发包人可要求承包人撤换任何不遵守这些企业约定的雇员或人员。</w:t>
      </w:r>
    </w:p>
    <w:p w14:paraId="317D275A">
      <w:pPr>
        <w:adjustRightInd w:val="0"/>
        <w:snapToGrid w:val="0"/>
        <w:spacing w:line="360" w:lineRule="auto"/>
        <w:ind w:firstLine="420" w:firstLineChars="200"/>
        <w:jc w:val="left"/>
        <w:rPr>
          <w:rFonts w:ascii="宋体" w:hAnsi="宋体" w:cs="宋体"/>
          <w:color w:val="auto"/>
          <w:u w:val="single"/>
        </w:rPr>
      </w:pPr>
      <w:r>
        <w:rPr>
          <w:rFonts w:hint="eastAsia" w:ascii="宋体" w:hAnsi="宋体" w:cs="宋体"/>
          <w:color w:val="auto"/>
          <w:u w:val="single"/>
        </w:rPr>
        <w:t>2)施工过程中承包人应确保施工不影响其他相关单位的正常工作。</w:t>
      </w:r>
    </w:p>
    <w:p w14:paraId="27200B93">
      <w:pPr>
        <w:adjustRightInd w:val="0"/>
        <w:snapToGrid w:val="0"/>
        <w:spacing w:line="360" w:lineRule="auto"/>
        <w:ind w:firstLine="420" w:firstLineChars="200"/>
        <w:jc w:val="left"/>
        <w:rPr>
          <w:rFonts w:ascii="宋体" w:hAnsi="宋体" w:cs="宋体"/>
          <w:color w:val="auto"/>
          <w:u w:val="single"/>
        </w:rPr>
      </w:pPr>
      <w:r>
        <w:rPr>
          <w:rFonts w:hint="eastAsia" w:ascii="宋体" w:hAnsi="宋体" w:cs="宋体"/>
          <w:color w:val="auto"/>
          <w:u w:val="single"/>
        </w:rPr>
        <w:t>3)承包人应协助发包人办理施工所需证件、批件、绿化、道路、水、电、燃气等接口手续协调，由此产生的费用已包含在合同价款中。</w:t>
      </w:r>
    </w:p>
    <w:p w14:paraId="65107CED">
      <w:pPr>
        <w:adjustRightInd w:val="0"/>
        <w:snapToGrid w:val="0"/>
        <w:spacing w:line="360" w:lineRule="auto"/>
        <w:ind w:firstLine="420" w:firstLineChars="200"/>
        <w:jc w:val="left"/>
        <w:rPr>
          <w:rFonts w:ascii="宋体" w:hAnsi="宋体" w:cs="宋体"/>
          <w:color w:val="auto"/>
          <w:u w:val="single"/>
        </w:rPr>
      </w:pPr>
      <w:r>
        <w:rPr>
          <w:rFonts w:hint="eastAsia" w:ascii="宋体" w:hAnsi="宋体" w:cs="宋体"/>
          <w:color w:val="auto"/>
          <w:u w:val="single"/>
        </w:rPr>
        <w:t>4)承包人自行安装水表、电表计量，准备连接电缆及必要的配电保护设备等，其费用及施工用水、用电费用包含在投标报价中，发包人不再另行支付；若发包人代缴水费、电费，发包方有权在结算时扣除此项费用；如发包人未能提供电源，承包人使用发电机施工时，发电机用电方案应提前报监理人及发包人审批，发电机费用应提前报监理人及发包人确认，未经确认投入使用的，其费用以发包人审核为准，发电机费用单独计量，只计取成本和税金，同时扣减完成相应工程清单内的电费。</w:t>
      </w:r>
    </w:p>
    <w:p w14:paraId="638B9CC2">
      <w:pPr>
        <w:adjustRightInd w:val="0"/>
        <w:snapToGrid w:val="0"/>
        <w:spacing w:line="360" w:lineRule="auto"/>
        <w:ind w:firstLine="420" w:firstLineChars="200"/>
        <w:jc w:val="left"/>
        <w:rPr>
          <w:rFonts w:ascii="宋体" w:hAnsi="宋体" w:cs="宋体"/>
          <w:color w:val="auto"/>
          <w:u w:val="single"/>
        </w:rPr>
      </w:pPr>
      <w:r>
        <w:rPr>
          <w:rFonts w:hint="eastAsia" w:ascii="宋体" w:hAnsi="宋体" w:cs="宋体"/>
          <w:color w:val="auto"/>
          <w:u w:val="single"/>
        </w:rPr>
        <w:t>5)承包人采购的材料设备到货后,仓储场地由承包人负责，发包人不提供仓储地，承包人应组织发包人及监理人进行验收，经发包人及监理人验收合格后的材料设备方可运至施工现场，并负责材料设备的二次运输，相关费用已包含在合同价款中。</w:t>
      </w:r>
    </w:p>
    <w:p w14:paraId="105527F1">
      <w:pPr>
        <w:adjustRightInd w:val="0"/>
        <w:snapToGrid w:val="0"/>
        <w:spacing w:line="360" w:lineRule="auto"/>
        <w:ind w:firstLine="420" w:firstLineChars="200"/>
        <w:jc w:val="left"/>
        <w:rPr>
          <w:rFonts w:ascii="宋体" w:hAnsi="宋体" w:cs="宋体"/>
          <w:color w:val="auto"/>
          <w:u w:val="single"/>
        </w:rPr>
      </w:pPr>
      <w:r>
        <w:rPr>
          <w:rFonts w:hint="eastAsia" w:ascii="宋体" w:hAnsi="宋体" w:cs="宋体"/>
          <w:color w:val="auto"/>
          <w:u w:val="single"/>
        </w:rPr>
        <w:t>6)承包人使用本工程技术成果或技术方案时，需征得发包人书面同意，不得擅自复印或提供给第三人。承包人在使用任何材料、承包人设备或采用施工工艺时，因侵犯专利权或其他知识产权所引起的责任，由承包人承担。因此给发包人造成损失的，承包人应另行赔偿发包人全部损失。</w:t>
      </w:r>
    </w:p>
    <w:p w14:paraId="027C050B">
      <w:pPr>
        <w:adjustRightInd w:val="0"/>
        <w:snapToGrid w:val="0"/>
        <w:spacing w:line="360" w:lineRule="auto"/>
        <w:ind w:firstLine="420" w:firstLineChars="200"/>
        <w:jc w:val="left"/>
        <w:rPr>
          <w:rFonts w:ascii="宋体" w:hAnsi="宋体" w:cs="宋体"/>
          <w:color w:val="auto"/>
          <w:u w:val="single"/>
        </w:rPr>
      </w:pPr>
      <w:r>
        <w:rPr>
          <w:rFonts w:hint="eastAsia" w:ascii="宋体" w:hAnsi="宋体" w:cs="宋体"/>
          <w:color w:val="auto"/>
          <w:u w:val="single"/>
        </w:rPr>
        <w:t>7)发包人提供的图纸和文件，未经发包人同意，承包人不得为合同以外的目的泄露给他人或 公开发表与引用，承包人违反本合同约定的保密义务给发包人造成损失的，应承担全部赔偿责任。</w:t>
      </w:r>
    </w:p>
    <w:p w14:paraId="2CFFDFDA">
      <w:pPr>
        <w:adjustRightInd w:val="0"/>
        <w:snapToGrid w:val="0"/>
        <w:spacing w:line="360" w:lineRule="auto"/>
        <w:ind w:firstLine="420" w:firstLineChars="200"/>
        <w:jc w:val="left"/>
        <w:rPr>
          <w:rFonts w:ascii="宋体" w:hAnsi="宋体" w:cs="宋体"/>
          <w:color w:val="auto"/>
          <w:u w:val="single"/>
        </w:rPr>
      </w:pPr>
      <w:r>
        <w:rPr>
          <w:rFonts w:hint="eastAsia" w:ascii="宋体" w:hAnsi="宋体" w:cs="宋体"/>
          <w:color w:val="auto"/>
          <w:u w:val="single"/>
        </w:rPr>
        <w:t>8)在工程实施过程中如因施工造成地上建筑物、地上永久设施出现裂纹、发生沉降，造成质量问题，均由承包人负责并承担经济损失，由此给发包人造成损失的，还应另行赔偿发包人全部损失。</w:t>
      </w:r>
    </w:p>
    <w:p w14:paraId="340AACED">
      <w:pPr>
        <w:adjustRightInd w:val="0"/>
        <w:snapToGrid w:val="0"/>
        <w:spacing w:line="360" w:lineRule="auto"/>
        <w:ind w:firstLine="420" w:firstLineChars="200"/>
        <w:jc w:val="left"/>
        <w:rPr>
          <w:rFonts w:ascii="宋体" w:hAnsi="宋体" w:cs="宋体"/>
          <w:color w:val="auto"/>
          <w:u w:val="single"/>
        </w:rPr>
      </w:pPr>
      <w:r>
        <w:rPr>
          <w:rFonts w:hint="eastAsia" w:ascii="宋体" w:hAnsi="宋体" w:cs="宋体"/>
          <w:color w:val="auto"/>
          <w:u w:val="single"/>
        </w:rPr>
        <w:t>9)竣工图编制费用由承包人承担，此费已包含在合同价款中。</w:t>
      </w:r>
    </w:p>
    <w:p w14:paraId="433B144E">
      <w:pPr>
        <w:adjustRightInd w:val="0"/>
        <w:snapToGrid w:val="0"/>
        <w:spacing w:line="360" w:lineRule="auto"/>
        <w:ind w:firstLine="420" w:firstLineChars="200"/>
        <w:jc w:val="left"/>
        <w:rPr>
          <w:rFonts w:ascii="宋体" w:hAnsi="宋体" w:cs="宋体"/>
          <w:color w:val="auto"/>
          <w:u w:val="single"/>
        </w:rPr>
      </w:pPr>
      <w:r>
        <w:rPr>
          <w:rFonts w:hint="eastAsia" w:ascii="宋体" w:hAnsi="宋体" w:cs="宋体"/>
          <w:color w:val="auto"/>
          <w:u w:val="single"/>
        </w:rPr>
        <w:t>10)负责保养及维修进入工地及工地内的道路，承包人须负责保持道路畅通，使用一切安全措施以保障第三方人身和财产安全，出现纠纷负责解决并在责任范围内赔偿全部损失。</w:t>
      </w:r>
    </w:p>
    <w:p w14:paraId="53795BD3">
      <w:pPr>
        <w:adjustRightInd w:val="0"/>
        <w:snapToGrid w:val="0"/>
        <w:spacing w:line="360" w:lineRule="auto"/>
        <w:ind w:firstLine="420" w:firstLineChars="200"/>
        <w:jc w:val="left"/>
        <w:rPr>
          <w:rFonts w:ascii="宋体" w:hAnsi="宋体" w:cs="宋体"/>
          <w:color w:val="auto"/>
          <w:u w:val="single"/>
        </w:rPr>
      </w:pPr>
      <w:r>
        <w:rPr>
          <w:rFonts w:hint="eastAsia" w:ascii="宋体" w:hAnsi="宋体" w:cs="宋体"/>
          <w:color w:val="auto"/>
          <w:u w:val="single"/>
        </w:rPr>
        <w:t>11)承包人应负责编制竣工资料并将竣工资料移交城建档案馆。</w:t>
      </w:r>
    </w:p>
    <w:p w14:paraId="01E67BED">
      <w:pPr>
        <w:adjustRightInd w:val="0"/>
        <w:snapToGrid w:val="0"/>
        <w:spacing w:line="360" w:lineRule="auto"/>
        <w:ind w:firstLine="420" w:firstLineChars="200"/>
        <w:jc w:val="left"/>
        <w:rPr>
          <w:rFonts w:ascii="宋体" w:hAnsi="宋体" w:cs="宋体"/>
          <w:color w:val="auto"/>
          <w:u w:val="single"/>
        </w:rPr>
      </w:pPr>
      <w:r>
        <w:rPr>
          <w:rFonts w:hint="eastAsia" w:ascii="宋体" w:hAnsi="宋体" w:cs="宋体"/>
          <w:color w:val="auto"/>
          <w:u w:val="single"/>
        </w:rPr>
        <w:t>12)承包人应提供必要的人员、材料和设备用于整个工程的成品保护，包括对已完成相应工作的分包人工作成品的保护，防止任何已经完成的工作成品遭受任何损坏或破坏。分包人任何未完工阶段的工程或工作的成品保护由相关工程或工作的分包人负责，但并不免除承包人的管理责任；工作面移交后，承包人负责工程整体的成品保护 。成品保护所有费用被认为在编制投标文件时已经全部考虑进去，包含在措施费项目中。</w:t>
      </w:r>
    </w:p>
    <w:p w14:paraId="1A662B15">
      <w:pPr>
        <w:adjustRightInd w:val="0"/>
        <w:snapToGrid w:val="0"/>
        <w:spacing w:line="360" w:lineRule="auto"/>
        <w:ind w:firstLine="420" w:firstLineChars="200"/>
        <w:jc w:val="left"/>
        <w:rPr>
          <w:rFonts w:ascii="宋体" w:hAnsi="宋体" w:cs="宋体"/>
          <w:color w:val="auto"/>
          <w:u w:val="single"/>
        </w:rPr>
      </w:pPr>
      <w:r>
        <w:rPr>
          <w:rFonts w:hint="eastAsia" w:ascii="宋体" w:hAnsi="宋体" w:cs="宋体"/>
          <w:color w:val="auto"/>
          <w:u w:val="single"/>
        </w:rPr>
        <w:t>13)监理工程师认为工程进度过慢，无法确保工程按规定的时间完成时，监理工程师向承包人发出要求加快进度的通知，承包人应立即采取必要的措施，加快工程进度，确保工程按期完成。</w:t>
      </w:r>
    </w:p>
    <w:p w14:paraId="7CC5B3D9">
      <w:pPr>
        <w:adjustRightInd w:val="0"/>
        <w:snapToGrid w:val="0"/>
        <w:spacing w:line="360" w:lineRule="auto"/>
        <w:ind w:firstLine="420" w:firstLineChars="200"/>
        <w:jc w:val="left"/>
        <w:rPr>
          <w:rFonts w:ascii="宋体" w:hAnsi="宋体" w:cs="宋体"/>
          <w:color w:val="auto"/>
          <w:u w:val="single"/>
        </w:rPr>
      </w:pPr>
      <w:r>
        <w:rPr>
          <w:rFonts w:hint="eastAsia" w:ascii="宋体" w:hAnsi="宋体" w:cs="宋体"/>
          <w:color w:val="auto"/>
          <w:u w:val="single"/>
        </w:rPr>
        <w:t>14)承包人有义务在发包人上级领导或其他单位来施工现场参观检査时，根据检查、参观需要，完成施工现场的自检、清洁、迎检工作，承包人承担因此发生的全部费用。</w:t>
      </w:r>
    </w:p>
    <w:p w14:paraId="5F62B90F">
      <w:pPr>
        <w:adjustRightInd w:val="0"/>
        <w:snapToGrid w:val="0"/>
        <w:spacing w:line="360" w:lineRule="auto"/>
        <w:ind w:firstLine="420" w:firstLineChars="200"/>
        <w:jc w:val="left"/>
        <w:rPr>
          <w:rFonts w:ascii="宋体" w:hAnsi="宋体" w:cs="宋体"/>
          <w:color w:val="auto"/>
          <w:u w:val="single"/>
        </w:rPr>
      </w:pPr>
      <w:r>
        <w:rPr>
          <w:rFonts w:hint="eastAsia" w:ascii="宋体" w:hAnsi="宋体" w:cs="宋体"/>
          <w:color w:val="auto"/>
          <w:u w:val="single"/>
        </w:rPr>
        <w:t>15)承包人承诺工程款专款专用，保证不挪用 ，否则 ，承包人承担相应责任。</w:t>
      </w:r>
    </w:p>
    <w:p w14:paraId="4D03009D">
      <w:pPr>
        <w:adjustRightInd w:val="0"/>
        <w:snapToGrid w:val="0"/>
        <w:spacing w:line="360" w:lineRule="auto"/>
        <w:ind w:firstLine="420" w:firstLineChars="200"/>
        <w:jc w:val="left"/>
        <w:rPr>
          <w:rFonts w:ascii="宋体" w:hAnsi="宋体" w:cs="宋体"/>
          <w:color w:val="auto"/>
          <w:u w:val="single"/>
        </w:rPr>
      </w:pPr>
      <w:r>
        <w:rPr>
          <w:rFonts w:hint="eastAsia" w:ascii="宋体" w:hAnsi="宋体" w:cs="宋体"/>
          <w:color w:val="auto"/>
          <w:u w:val="single"/>
        </w:rPr>
        <w:t>16)承包人严格按照相关法律法规要求，及时并足额支付农民工工资，如发生任何因拖欠工资造成农民工投诉或群体性上访事件，由承包人承担所有责任。承包人确保其劳务分包人与其全部员工(包括正式工与临时工)签署劳动合同、并按照国家和北京市的规定为该等人员办理各项社会保险以及必要的人身意外伤害保险(如涉及危险作业)，如发生任何造成的损失，由承包人承担所有责任。在开工前7日内，承包人应向发包人提交施工总承包单位农民工工资专用账户的户名、账号、开户行，并明确每月为一个拨付周期及农民工工资每月转入的具体日期。承包人每月上报的《工程款支付申请表》、监理单位开具的《工程款支付证书》中应明确列出当期应支付的农民工工资数额。</w:t>
      </w:r>
    </w:p>
    <w:p w14:paraId="3F9AA66A">
      <w:pPr>
        <w:adjustRightInd w:val="0"/>
        <w:snapToGrid w:val="0"/>
        <w:spacing w:line="360" w:lineRule="auto"/>
        <w:ind w:firstLine="420" w:firstLineChars="200"/>
        <w:jc w:val="left"/>
        <w:rPr>
          <w:rFonts w:ascii="宋体" w:hAnsi="宋体" w:cs="宋体"/>
          <w:color w:val="auto"/>
          <w:u w:val="single"/>
        </w:rPr>
      </w:pPr>
      <w:r>
        <w:rPr>
          <w:rFonts w:hint="eastAsia" w:ascii="宋体" w:hAnsi="宋体" w:cs="宋体"/>
          <w:color w:val="auto"/>
          <w:u w:val="single"/>
        </w:rPr>
        <w:t>17)承包人应对本协议的内容、因履行本协议或在本协议期间获得的或接收到的发包人任何资料、文件及信息的内容(以下统称为“保密信息”)保守秘密，未经发包人书面许可，承包人及其知悉保密信息的人员均不得直接或间接的以任何方式提供或披露给任何第三方。承包人及其知悉保密信息的人员违反上述保密约定，承包人应承担签约合同总额合同价10%的违约责任，造成其他损失的，承包人还应据实赔偿。在任何情形下，本条所规定的保密条款应永久持续有效。</w:t>
      </w:r>
    </w:p>
    <w:p w14:paraId="7A303C16">
      <w:pPr>
        <w:adjustRightInd w:val="0"/>
        <w:snapToGrid w:val="0"/>
        <w:spacing w:line="360" w:lineRule="auto"/>
        <w:ind w:firstLine="420" w:firstLineChars="200"/>
        <w:jc w:val="left"/>
        <w:rPr>
          <w:rFonts w:ascii="宋体" w:hAnsi="宋体" w:cs="宋体"/>
          <w:color w:val="auto"/>
          <w:u w:val="single"/>
        </w:rPr>
      </w:pPr>
      <w:r>
        <w:rPr>
          <w:rFonts w:hint="eastAsia" w:ascii="宋体" w:hAnsi="宋体" w:cs="宋体"/>
          <w:color w:val="auto"/>
          <w:u w:val="single"/>
        </w:rPr>
        <w:t>18)承包人应配合联合试运转工作且此部分费用包含在投标报价中。</w:t>
      </w:r>
    </w:p>
    <w:p w14:paraId="4FB8CCF8">
      <w:pPr>
        <w:adjustRightInd w:val="0"/>
        <w:snapToGrid w:val="0"/>
        <w:spacing w:line="360" w:lineRule="auto"/>
        <w:ind w:firstLine="420" w:firstLineChars="200"/>
        <w:jc w:val="left"/>
        <w:rPr>
          <w:rFonts w:ascii="宋体" w:hAnsi="宋体" w:cs="宋体"/>
          <w:color w:val="auto"/>
          <w:u w:val="single"/>
        </w:rPr>
      </w:pPr>
      <w:r>
        <w:rPr>
          <w:rFonts w:hint="eastAsia" w:ascii="宋体" w:hAnsi="宋体" w:cs="宋体"/>
          <w:color w:val="auto"/>
          <w:u w:val="single"/>
        </w:rPr>
        <w:t>19）承包人对其在合同协议书规定的范围内所实施的工程按国家相关规定对质量负有责任。即使工程已交付使用，如发生重大质量事故，造成人员伤亡或重大经济损失，而事故原因经查明确系施工质量所致，将依照有关规定追究承包人的民事及刑事责任。</w:t>
      </w:r>
    </w:p>
    <w:p w14:paraId="2321A9C1">
      <w:pPr>
        <w:adjustRightInd w:val="0"/>
        <w:snapToGrid w:val="0"/>
        <w:spacing w:line="360" w:lineRule="auto"/>
        <w:ind w:firstLine="420" w:firstLineChars="200"/>
        <w:jc w:val="left"/>
        <w:rPr>
          <w:rFonts w:ascii="宋体" w:hAnsi="宋体" w:cs="宋体"/>
          <w:color w:val="auto"/>
          <w:u w:val="single"/>
        </w:rPr>
      </w:pPr>
      <w:r>
        <w:rPr>
          <w:rFonts w:hint="eastAsia" w:ascii="宋体" w:hAnsi="宋体" w:cs="宋体"/>
          <w:color w:val="auto"/>
          <w:u w:val="single"/>
        </w:rPr>
        <w:t>20）承包人须对整个现场的施工组织和施工方案的适用性、稳定性和安全性负全面责任。即使已经获取监理工程师的批准，承包人也须对这部分工程负全面责任。</w:t>
      </w:r>
    </w:p>
    <w:p w14:paraId="6036CA8F">
      <w:pPr>
        <w:adjustRightInd w:val="0"/>
        <w:snapToGrid w:val="0"/>
        <w:spacing w:line="360" w:lineRule="auto"/>
        <w:ind w:firstLine="420" w:firstLineChars="200"/>
        <w:jc w:val="left"/>
        <w:rPr>
          <w:rFonts w:ascii="宋体" w:hAnsi="宋体" w:cs="宋体"/>
          <w:color w:val="auto"/>
          <w:u w:val="single"/>
        </w:rPr>
      </w:pPr>
      <w:r>
        <w:rPr>
          <w:rFonts w:hint="eastAsia" w:ascii="宋体" w:hAnsi="宋体" w:cs="宋体"/>
          <w:color w:val="auto"/>
          <w:u w:val="single"/>
        </w:rPr>
        <w:t>21）本工程施工过程中发生的现场所有建筑垃圾、生活垃圾、污水等应及时清理并运离施工现场，承包人须自行联系政府规定的合法弃置点并办理好排污许可手续，不论距离远近和施工过程中因此发生的费用及各种可能发生的违约金等开支，均由承包人承担。如承包人不及时清运，发包人另行委托其他单位清运，由此发生的所有费用发包人可从承包人的任何一期工程款中按所发生费用扣除，承包人不得对此持任何异议。</w:t>
      </w:r>
    </w:p>
    <w:p w14:paraId="39B11464">
      <w:pPr>
        <w:adjustRightInd w:val="0"/>
        <w:snapToGrid w:val="0"/>
        <w:spacing w:line="360" w:lineRule="auto"/>
        <w:ind w:firstLine="420" w:firstLineChars="200"/>
        <w:jc w:val="left"/>
        <w:rPr>
          <w:rFonts w:ascii="宋体" w:hAnsi="宋体" w:cs="宋体"/>
          <w:color w:val="auto"/>
          <w:u w:val="single"/>
        </w:rPr>
      </w:pPr>
      <w:r>
        <w:rPr>
          <w:rFonts w:hint="eastAsia" w:ascii="宋体" w:hAnsi="宋体" w:cs="宋体"/>
          <w:color w:val="auto"/>
          <w:u w:val="single"/>
        </w:rPr>
        <w:t>22）承包人负责根据发包人要求完成新建工程与已施工完工程的接驳工作。</w:t>
      </w:r>
    </w:p>
    <w:p w14:paraId="24FB843B">
      <w:pPr>
        <w:adjustRightInd w:val="0"/>
        <w:snapToGrid w:val="0"/>
        <w:spacing w:line="360" w:lineRule="auto"/>
        <w:ind w:firstLine="420" w:firstLineChars="200"/>
        <w:jc w:val="left"/>
        <w:rPr>
          <w:rFonts w:ascii="宋体" w:hAnsi="宋体" w:cs="宋体"/>
          <w:color w:val="auto"/>
          <w:u w:val="single"/>
        </w:rPr>
      </w:pPr>
      <w:r>
        <w:rPr>
          <w:rFonts w:hint="eastAsia" w:ascii="宋体" w:hAnsi="宋体" w:cs="宋体"/>
          <w:color w:val="auto"/>
          <w:u w:val="single"/>
        </w:rPr>
        <w:t>23）合同约定应由承包人支付的违约金或赔偿金，发包人有权直接从应支付给承包人的任何款项中直接扣除。</w:t>
      </w:r>
    </w:p>
    <w:p w14:paraId="37AB6F2B">
      <w:pPr>
        <w:adjustRightInd w:val="0"/>
        <w:snapToGrid w:val="0"/>
        <w:spacing w:line="360" w:lineRule="auto"/>
        <w:ind w:firstLine="420" w:firstLineChars="200"/>
        <w:jc w:val="left"/>
        <w:rPr>
          <w:rFonts w:ascii="宋体" w:hAnsi="宋体" w:cs="宋体"/>
          <w:color w:val="auto"/>
          <w:u w:val="single"/>
        </w:rPr>
      </w:pPr>
      <w:r>
        <w:rPr>
          <w:rFonts w:hint="eastAsia" w:ascii="宋体" w:hAnsi="宋体" w:cs="宋体"/>
          <w:color w:val="auto"/>
          <w:u w:val="single"/>
        </w:rPr>
        <w:t>24）承包人协助发包人办理工程的各种报审及验收手续。</w:t>
      </w:r>
    </w:p>
    <w:p w14:paraId="6A7436AE">
      <w:pPr>
        <w:adjustRightInd w:val="0"/>
        <w:snapToGrid w:val="0"/>
        <w:spacing w:line="360" w:lineRule="auto"/>
        <w:ind w:firstLine="420" w:firstLineChars="200"/>
        <w:jc w:val="left"/>
        <w:rPr>
          <w:rFonts w:ascii="宋体" w:hAnsi="宋体" w:cs="宋体"/>
          <w:color w:val="auto"/>
          <w:u w:val="single"/>
        </w:rPr>
      </w:pPr>
      <w:r>
        <w:rPr>
          <w:rFonts w:hint="eastAsia" w:ascii="宋体" w:hAnsi="宋体" w:cs="宋体"/>
          <w:color w:val="auto"/>
          <w:u w:val="single"/>
        </w:rPr>
        <w:t>25）接受地质资料，承包人在签订合同之前，应研究和分析发包人提供的水文、地质、气象等资料，并对自身的理解、判断和应用负责。</w:t>
      </w:r>
    </w:p>
    <w:p w14:paraId="7D3803E3">
      <w:pPr>
        <w:adjustRightInd w:val="0"/>
        <w:snapToGrid w:val="0"/>
        <w:spacing w:line="360" w:lineRule="auto"/>
        <w:ind w:firstLine="420" w:firstLineChars="200"/>
        <w:jc w:val="left"/>
        <w:rPr>
          <w:rFonts w:ascii="宋体" w:hAnsi="宋体" w:cs="宋体"/>
          <w:color w:val="auto"/>
          <w:u w:val="single"/>
        </w:rPr>
      </w:pPr>
      <w:r>
        <w:rPr>
          <w:rFonts w:hint="eastAsia" w:ascii="宋体" w:hAnsi="宋体" w:cs="宋体"/>
          <w:color w:val="auto"/>
          <w:u w:val="single"/>
        </w:rPr>
        <w:t>26）勘察地下管线，承包人在签订合同之前，应在勘察设计资料和发包人提供的相关资料的基础上，对现场存在的管线等地下构筑物作进一步调查和了解，以取得其对施工影响的全部信息，并在投标报价、施工组织设计和进度计划中进行充分的考虑。</w:t>
      </w:r>
    </w:p>
    <w:p w14:paraId="703CD181">
      <w:pPr>
        <w:adjustRightInd w:val="0"/>
        <w:snapToGrid w:val="0"/>
        <w:spacing w:line="360" w:lineRule="auto"/>
        <w:ind w:firstLine="420" w:firstLineChars="200"/>
        <w:jc w:val="left"/>
        <w:rPr>
          <w:rFonts w:ascii="宋体" w:hAnsi="宋体" w:cs="宋体"/>
          <w:color w:val="auto"/>
          <w:u w:val="single"/>
        </w:rPr>
      </w:pPr>
      <w:r>
        <w:rPr>
          <w:rFonts w:hint="eastAsia" w:ascii="宋体" w:hAnsi="宋体" w:cs="宋体"/>
          <w:color w:val="auto"/>
          <w:u w:val="single"/>
        </w:rPr>
        <w:t>27）复核标高及定位，发包人应向承包人提供工程施工所需的原始基准点、基准线和基准标高，承包人应在工程放线前对其准确性进行验证，认真保持一切基准点、标桩和其他有关标志，并对其真实准确性负责。</w:t>
      </w:r>
    </w:p>
    <w:p w14:paraId="6E305770">
      <w:pPr>
        <w:adjustRightInd w:val="0"/>
        <w:snapToGrid w:val="0"/>
        <w:spacing w:line="360" w:lineRule="auto"/>
        <w:ind w:firstLine="420" w:firstLineChars="200"/>
        <w:jc w:val="left"/>
        <w:rPr>
          <w:rFonts w:ascii="宋体" w:hAnsi="宋体" w:cs="宋体"/>
          <w:color w:val="auto"/>
          <w:u w:val="single"/>
        </w:rPr>
      </w:pPr>
      <w:r>
        <w:rPr>
          <w:rFonts w:hint="eastAsia" w:ascii="宋体" w:hAnsi="宋体" w:cs="宋体"/>
          <w:color w:val="auto"/>
          <w:u w:val="single"/>
        </w:rPr>
        <w:t>28）施工场地周围地下管线和邻近建筑物、构筑物（含文物保护建筑）、古树名木的保护要求及费用承担：承包人负责按照要求采取相应的保护措施，费用由承包人承担。</w:t>
      </w:r>
    </w:p>
    <w:p w14:paraId="639995D7">
      <w:pPr>
        <w:adjustRightInd w:val="0"/>
        <w:snapToGrid w:val="0"/>
        <w:spacing w:line="360" w:lineRule="auto"/>
        <w:ind w:firstLine="420" w:firstLineChars="200"/>
        <w:jc w:val="left"/>
        <w:rPr>
          <w:rFonts w:ascii="宋体" w:hAnsi="宋体" w:cs="宋体"/>
          <w:color w:val="auto"/>
          <w:u w:val="single"/>
        </w:rPr>
      </w:pPr>
      <w:r>
        <w:rPr>
          <w:rFonts w:hint="eastAsia" w:ascii="宋体" w:hAnsi="宋体" w:cs="宋体"/>
          <w:color w:val="auto"/>
          <w:u w:val="single"/>
        </w:rPr>
        <w:t>29）承包人应保证发包人支付的工程款专款专用，不得拖欠所雇佣人员工资；且按照相关规定向有关部门交纳雇佣人员工资保证金。承包人必须按国家及地方政府规定，与每一位雇佣人员签订用工合同，及时足额发放工资。</w:t>
      </w:r>
    </w:p>
    <w:p w14:paraId="3BC6C9CF">
      <w:pPr>
        <w:adjustRightInd w:val="0"/>
        <w:snapToGrid w:val="0"/>
        <w:spacing w:line="360" w:lineRule="auto"/>
        <w:ind w:firstLine="420" w:firstLineChars="200"/>
        <w:jc w:val="left"/>
        <w:rPr>
          <w:rFonts w:ascii="宋体" w:hAnsi="宋体" w:cs="宋体"/>
          <w:color w:val="auto"/>
          <w:u w:val="single"/>
        </w:rPr>
      </w:pPr>
      <w:r>
        <w:rPr>
          <w:rFonts w:hint="eastAsia" w:ascii="宋体" w:hAnsi="宋体" w:cs="宋体"/>
          <w:color w:val="auto"/>
          <w:u w:val="single"/>
        </w:rPr>
        <w:t>30）承包人应保障和保持发包人免受任何项目侵权索赔的伤害，该侵权是指侵犯与工程有关的任何专利权、已登记的设计、版权、商标、商号商品名称、商业机密、或其它知识产权或工业产权，此类侵犯是包括由以下事项产生或与之有关的：a、任何货物的制造、使用、销售或进口；b、承包人负责的任何设计；c、承包人施工采用的任何技术、工艺、标准、规范、软件、材料、设备设施等等。</w:t>
      </w:r>
    </w:p>
    <w:p w14:paraId="26F7DC53">
      <w:pPr>
        <w:adjustRightInd w:val="0"/>
        <w:snapToGrid w:val="0"/>
        <w:spacing w:line="360" w:lineRule="auto"/>
        <w:ind w:firstLine="420" w:firstLineChars="200"/>
        <w:jc w:val="left"/>
        <w:rPr>
          <w:rFonts w:ascii="宋体" w:hAnsi="宋体" w:cs="宋体"/>
          <w:color w:val="auto"/>
          <w:u w:val="single"/>
        </w:rPr>
      </w:pPr>
      <w:r>
        <w:rPr>
          <w:rFonts w:hint="eastAsia" w:ascii="宋体" w:hAnsi="宋体" w:cs="宋体"/>
          <w:color w:val="auto"/>
          <w:u w:val="single"/>
        </w:rPr>
        <w:t>31）对周边财产的保护：承包人不得非法侵占和妨害毗邻的财产、土地、街道、市政设施和他们下面的土壤和空间、他们的所有者、使用者或其他任何人，也不得在工程或工程任何部分的实施中采用可能会给这类财产、土地、街道、市政设施、树木和人员带来损害或伤害的施工方法；承包人应保障发包人免于因工程实施对周边毗邻财产或人身等的损害或伤害而可能招致的索赔、罚款和其它法律责任。承包人因临时或永久工程施工需临时中断任何市政设施的总管或其它设施时，应首先从政府有关管理机构取得相关许可，承包人应周密计划和科学组织，保证此类中断的时间应尽可能短。在整个工程施工期间，承包人应负责保护所有的现有道路、步行道、踏步和在它们地下的可能的服务设施；承包人应自费对那些因受他控制的任何原因引起的对上述设施的损害或损坏进行修缮直至达到政府有关管理机构满意，并支付与此相关的任何费用和罚款。</w:t>
      </w:r>
    </w:p>
    <w:p w14:paraId="02EF6DE4">
      <w:pPr>
        <w:adjustRightInd w:val="0"/>
        <w:snapToGrid w:val="0"/>
        <w:spacing w:line="360" w:lineRule="auto"/>
        <w:ind w:firstLine="420" w:firstLineChars="200"/>
        <w:jc w:val="left"/>
        <w:rPr>
          <w:rFonts w:ascii="宋体" w:hAnsi="宋体" w:cs="宋体"/>
          <w:color w:val="auto"/>
          <w:u w:val="single"/>
        </w:rPr>
      </w:pPr>
      <w:r>
        <w:rPr>
          <w:rFonts w:hint="eastAsia" w:ascii="宋体" w:hAnsi="宋体" w:cs="宋体"/>
          <w:color w:val="auto"/>
          <w:u w:val="single"/>
        </w:rPr>
        <w:t>32）需承包人办理的有关施工场地交通、环卫和施工噪音管理等手续：承包人应按照北京市有关施工场地交通、环卫、施工噪音管理等的要求，自己承担费用办理相关手续（如交通特别通行证、排污手续、降噪措施），并保证这些规定在施工中得到贯彻执行，以免除发包人因承包人未能完成上述工作所承担的费用支出（包括但不限于政府部门罚款、工期延误期 间的费用支出）和工期延误责任。承包人须主动协调同周围居民及有关单位的关系，以免造成窝工、停工、延误工期的现象发生。</w:t>
      </w:r>
    </w:p>
    <w:p w14:paraId="2B17B2E1">
      <w:pPr>
        <w:adjustRightInd w:val="0"/>
        <w:snapToGrid w:val="0"/>
        <w:spacing w:line="360" w:lineRule="auto"/>
        <w:ind w:firstLine="420" w:firstLineChars="200"/>
        <w:jc w:val="left"/>
        <w:rPr>
          <w:rFonts w:ascii="宋体" w:hAnsi="宋体" w:cs="宋体"/>
          <w:color w:val="auto"/>
          <w:u w:val="single"/>
        </w:rPr>
      </w:pPr>
      <w:r>
        <w:rPr>
          <w:rFonts w:hint="eastAsia" w:ascii="宋体" w:hAnsi="宋体" w:cs="宋体"/>
          <w:color w:val="auto"/>
          <w:u w:val="single"/>
        </w:rPr>
        <w:t>33）施工区内临时设施、临时道路、水电管线安装和保养，施工现场内地下管线和临近建筑物、构筑物及临街交通要道、人行道的保护，费用由承包人负担。因承包人防护不力而发生事故，相关责任和费用由承包人承担。承包人施工完毕后，对所破坏的市政公共设施及道路应修复原貌，若承包人无力或未在规定的时间内修复，由发包人代为修复，费用由承包人承担。</w:t>
      </w:r>
    </w:p>
    <w:p w14:paraId="64323CA9">
      <w:pPr>
        <w:adjustRightInd w:val="0"/>
        <w:snapToGrid w:val="0"/>
        <w:spacing w:line="360" w:lineRule="auto"/>
        <w:ind w:firstLine="420" w:firstLineChars="200"/>
        <w:jc w:val="left"/>
        <w:rPr>
          <w:rFonts w:ascii="宋体" w:hAnsi="宋体" w:cs="宋体"/>
          <w:color w:val="auto"/>
          <w:u w:val="single"/>
        </w:rPr>
      </w:pPr>
      <w:r>
        <w:rPr>
          <w:rFonts w:hint="eastAsia" w:ascii="宋体" w:hAnsi="宋体" w:cs="宋体"/>
          <w:color w:val="auto"/>
          <w:u w:val="single"/>
        </w:rPr>
        <w:t>34）与本工程无关的人员及设备材料均不得进入现场，发包人有权进行检查。对于监理、发包人认定不合格的材料或设备，承包人必须在24小时内清理出场。</w:t>
      </w:r>
    </w:p>
    <w:p w14:paraId="602B247D">
      <w:pPr>
        <w:adjustRightInd w:val="0"/>
        <w:snapToGrid w:val="0"/>
        <w:spacing w:line="360" w:lineRule="auto"/>
        <w:ind w:firstLine="420" w:firstLineChars="200"/>
        <w:jc w:val="left"/>
        <w:rPr>
          <w:rFonts w:ascii="宋体" w:hAnsi="宋体" w:cs="宋体"/>
          <w:color w:val="auto"/>
          <w:u w:val="single"/>
        </w:rPr>
      </w:pPr>
      <w:r>
        <w:rPr>
          <w:rFonts w:hint="eastAsia" w:ascii="宋体" w:hAnsi="宋体" w:cs="宋体"/>
          <w:color w:val="auto"/>
          <w:u w:val="single"/>
        </w:rPr>
        <w:t>35）承包人应充分考虑各类重要会议或其他事件造成的对施工工作时间限制所产生的工期延误及所发生的费用，由此产生的费用已包含在合同价款中。</w:t>
      </w:r>
    </w:p>
    <w:p w14:paraId="70E59843">
      <w:pPr>
        <w:adjustRightInd w:val="0"/>
        <w:snapToGrid w:val="0"/>
        <w:spacing w:line="360" w:lineRule="auto"/>
        <w:ind w:firstLine="420" w:firstLineChars="200"/>
        <w:jc w:val="left"/>
        <w:rPr>
          <w:rFonts w:ascii="宋体" w:hAnsi="宋体" w:cs="宋体"/>
          <w:color w:val="auto"/>
          <w:u w:val="single"/>
        </w:rPr>
      </w:pPr>
      <w:r>
        <w:rPr>
          <w:rFonts w:hint="eastAsia" w:ascii="宋体" w:hAnsi="宋体" w:cs="宋体"/>
          <w:color w:val="auto"/>
          <w:u w:val="single"/>
        </w:rPr>
        <w:t>36）承包人负责办理市政、园林绿化、交通、市容等部门的相关手续及协调工程，费用计入投标报价内。</w:t>
      </w:r>
    </w:p>
    <w:p w14:paraId="12B21D6D">
      <w:pPr>
        <w:adjustRightInd w:val="0"/>
        <w:snapToGrid w:val="0"/>
        <w:spacing w:line="360" w:lineRule="auto"/>
        <w:ind w:firstLine="420" w:firstLineChars="200"/>
        <w:jc w:val="left"/>
        <w:rPr>
          <w:rFonts w:ascii="宋体" w:hAnsi="宋体" w:cs="宋体"/>
          <w:color w:val="auto"/>
          <w:u w:val="single"/>
        </w:rPr>
      </w:pPr>
      <w:r>
        <w:rPr>
          <w:rFonts w:hint="eastAsia" w:ascii="宋体" w:hAnsi="宋体" w:cs="宋体"/>
          <w:color w:val="auto"/>
          <w:u w:val="single"/>
        </w:rPr>
        <w:t>37）在合同履行过程中，受疫情防控应急措施影响可能发生的费用和延误的工期，依据国家及北京市相关规定，由发承包双方办理同期记录并签证确认，实行据实结算和调整原则。</w:t>
      </w:r>
    </w:p>
    <w:p w14:paraId="6E1482F1">
      <w:pPr>
        <w:adjustRightInd w:val="0"/>
        <w:snapToGrid w:val="0"/>
        <w:spacing w:line="360" w:lineRule="auto"/>
        <w:ind w:firstLine="420" w:firstLineChars="200"/>
        <w:jc w:val="left"/>
        <w:rPr>
          <w:rFonts w:ascii="宋体" w:hAnsi="宋体" w:cs="宋体"/>
          <w:color w:val="auto"/>
          <w:u w:val="single"/>
        </w:rPr>
      </w:pPr>
      <w:r>
        <w:rPr>
          <w:rFonts w:hint="eastAsia" w:ascii="宋体" w:hAnsi="宋体" w:cs="宋体"/>
          <w:color w:val="auto"/>
          <w:u w:val="single"/>
        </w:rPr>
        <w:t>38)在发包人发出工程接收证书，或因承包人违约而引致发包人解除合同而导致工程停工，发包人有权指令承包人全部撤离施工现场，承包人应当在接到发包人发出书面形式通知后5天内撤离现场。如5天内因承包人未能撤离现场导致发包人造成损失的，由承包人承担相应损失。</w:t>
      </w:r>
    </w:p>
    <w:p w14:paraId="691B9215">
      <w:pPr>
        <w:adjustRightInd w:val="0"/>
        <w:snapToGrid w:val="0"/>
        <w:spacing w:line="360" w:lineRule="auto"/>
        <w:ind w:firstLine="420" w:firstLineChars="200"/>
        <w:jc w:val="left"/>
        <w:rPr>
          <w:rFonts w:ascii="宋体" w:hAnsi="宋体" w:cs="宋体"/>
          <w:color w:val="auto"/>
          <w:u w:val="single"/>
        </w:rPr>
      </w:pPr>
      <w:r>
        <w:rPr>
          <w:rFonts w:hint="eastAsia" w:ascii="宋体" w:hAnsi="宋体" w:cs="宋体"/>
          <w:color w:val="auto"/>
          <w:u w:val="single"/>
        </w:rPr>
        <w:t>39)承包人已考虑冬雨季施工的相关措施费用含冬季施工需要的外加剂等。相关费用含在投标报价中。</w:t>
      </w:r>
    </w:p>
    <w:p w14:paraId="794F22BF">
      <w:pPr>
        <w:adjustRightInd w:val="0"/>
        <w:snapToGrid w:val="0"/>
        <w:spacing w:line="360" w:lineRule="auto"/>
        <w:ind w:firstLine="420" w:firstLineChars="200"/>
        <w:jc w:val="left"/>
        <w:rPr>
          <w:rFonts w:ascii="宋体" w:hAnsi="宋体" w:cs="宋体"/>
          <w:color w:val="auto"/>
          <w:u w:val="single"/>
        </w:rPr>
      </w:pPr>
      <w:r>
        <w:rPr>
          <w:rFonts w:hint="eastAsia" w:ascii="宋体" w:hAnsi="宋体" w:cs="宋体"/>
          <w:color w:val="auto"/>
          <w:u w:val="single"/>
        </w:rPr>
        <w:t>40)承包人不得自行更换投标文件中配备的项目管理机构人员，如因自身原因需更换须提前报发包人同意，更换后的人员资质、资历不低于原项目管理机构人员。发包人有权要求承包人更换不胜任的承包人项目经理和项目管理人员，承包人在接到通知后2天内向发包人提交拟更换人员名单，该更换人员在发包人同意后方可替换。</w:t>
      </w:r>
    </w:p>
    <w:p w14:paraId="6E7CC03C">
      <w:pPr>
        <w:adjustRightInd w:val="0"/>
        <w:snapToGrid w:val="0"/>
        <w:spacing w:line="360" w:lineRule="auto"/>
        <w:ind w:firstLine="420" w:firstLineChars="200"/>
        <w:jc w:val="left"/>
        <w:rPr>
          <w:rFonts w:ascii="宋体" w:hAnsi="宋体" w:cs="宋体"/>
          <w:color w:val="auto"/>
          <w:u w:val="single"/>
        </w:rPr>
      </w:pPr>
      <w:r>
        <w:rPr>
          <w:rFonts w:hint="eastAsia" w:ascii="宋体" w:hAnsi="宋体" w:cs="宋体"/>
          <w:color w:val="auto"/>
          <w:u w:val="single"/>
        </w:rPr>
        <w:t>41)因变更或洽商涉及到可重复利用的材料时，承包人应在拆除前与发包人谈定材料的可重复利用情况，否则视为承包人100%回收利用。</w:t>
      </w:r>
    </w:p>
    <w:p w14:paraId="14AFB14A">
      <w:pPr>
        <w:adjustRightInd w:val="0"/>
        <w:snapToGrid w:val="0"/>
        <w:spacing w:line="360" w:lineRule="auto"/>
        <w:ind w:firstLine="420" w:firstLineChars="200"/>
        <w:jc w:val="left"/>
        <w:rPr>
          <w:rFonts w:hint="eastAsia" w:ascii="宋体" w:hAnsi="宋体" w:cs="宋体"/>
          <w:color w:val="auto"/>
          <w:u w:val="single"/>
        </w:rPr>
      </w:pPr>
      <w:r>
        <w:rPr>
          <w:rFonts w:hint="eastAsia" w:ascii="宋体" w:hAnsi="宋体" w:cs="宋体"/>
          <w:color w:val="auto"/>
          <w:u w:val="single"/>
        </w:rPr>
        <w:t>42）负责本工程未完工而临时使用工程的维护工作及费用。</w:t>
      </w:r>
    </w:p>
    <w:p w14:paraId="2633D431">
      <w:pPr>
        <w:adjustRightInd w:val="0"/>
        <w:snapToGrid w:val="0"/>
        <w:spacing w:line="360" w:lineRule="auto"/>
        <w:ind w:firstLine="420" w:firstLineChars="200"/>
        <w:jc w:val="left"/>
        <w:rPr>
          <w:rFonts w:hint="eastAsia" w:ascii="宋体" w:hAnsi="宋体" w:cs="宋体"/>
          <w:color w:val="auto"/>
          <w:u w:val="single"/>
        </w:rPr>
      </w:pPr>
      <w:r>
        <w:rPr>
          <w:rFonts w:hint="eastAsia" w:ascii="宋体" w:hAnsi="宋体" w:cs="宋体"/>
          <w:color w:val="auto"/>
          <w:u w:val="single"/>
        </w:rPr>
        <w:t>43）根据区政府要求，大型货车必须全部配备视频监控系统。</w:t>
      </w:r>
    </w:p>
    <w:p w14:paraId="6C29AB0F">
      <w:pPr>
        <w:adjustRightInd w:val="0"/>
        <w:snapToGrid w:val="0"/>
        <w:spacing w:line="360" w:lineRule="auto"/>
        <w:ind w:firstLine="420" w:firstLineChars="200"/>
        <w:jc w:val="left"/>
        <w:rPr>
          <w:rFonts w:hint="eastAsia" w:ascii="宋体" w:hAnsi="宋体" w:cs="宋体"/>
          <w:color w:val="auto"/>
          <w:u w:val="single"/>
          <w:lang w:val="en-US" w:eastAsia="zh-CN"/>
        </w:rPr>
      </w:pPr>
      <w:r>
        <w:rPr>
          <w:rFonts w:hint="eastAsia" w:ascii="宋体" w:hAnsi="宋体" w:cs="宋体"/>
          <w:color w:val="auto"/>
          <w:u w:val="single"/>
          <w:lang w:val="en-US" w:eastAsia="zh-CN"/>
        </w:rPr>
        <w:t>44）承包人承诺其施工活动应遵守法律法规及合同约定，避免引发投诉。若发生因承包人施工导致的12345政务服务便民热线投诉，承包人负责牵头处理，包括但不限于：立即响应、查明原因、采取有效措施整改、与投诉人及相关方沟通协调、按要求回复处理结果等。</w:t>
      </w:r>
    </w:p>
    <w:p w14:paraId="7F0170C1">
      <w:pPr>
        <w:adjustRightInd w:val="0"/>
        <w:snapToGrid w:val="0"/>
        <w:spacing w:line="360" w:lineRule="auto"/>
        <w:ind w:firstLine="420" w:firstLineChars="200"/>
        <w:jc w:val="left"/>
        <w:rPr>
          <w:rFonts w:hint="eastAsia" w:ascii="宋体" w:hAnsi="宋体" w:cs="宋体"/>
          <w:color w:val="auto"/>
          <w:u w:val="single"/>
          <w:lang w:val="en-US" w:eastAsia="zh-CN"/>
        </w:rPr>
      </w:pPr>
      <w:r>
        <w:rPr>
          <w:rFonts w:hint="eastAsia" w:ascii="宋体" w:hAnsi="宋体" w:cs="宋体"/>
          <w:color w:val="auto"/>
          <w:u w:val="single"/>
          <w:lang w:val="en-US" w:eastAsia="zh-CN"/>
        </w:rPr>
        <w:t>45）承包人现场使用的重要劳动防护用品(安全帽、安全网、安全带、电箱、漏电 保护 品、扣件临电电缆等)应符合国家及当地政府的相关规定，且须严格按国家及当地政府的相关规定要求执行，否则发包人有权停止不符合要求的产品在施工场地使用。</w:t>
      </w:r>
    </w:p>
    <w:p w14:paraId="4E51BA37">
      <w:pPr>
        <w:adjustRightInd w:val="0"/>
        <w:snapToGrid w:val="0"/>
        <w:spacing w:line="360" w:lineRule="auto"/>
        <w:ind w:firstLine="420" w:firstLineChars="200"/>
        <w:jc w:val="left"/>
        <w:rPr>
          <w:rFonts w:hint="eastAsia" w:ascii="宋体" w:hAnsi="宋体" w:cs="宋体"/>
          <w:color w:val="auto"/>
          <w:u w:val="single"/>
          <w:lang w:val="en-US" w:eastAsia="zh-CN"/>
        </w:rPr>
      </w:pPr>
      <w:r>
        <w:rPr>
          <w:rFonts w:hint="eastAsia" w:ascii="宋体" w:hAnsi="宋体" w:cs="宋体"/>
          <w:color w:val="auto"/>
          <w:u w:val="single"/>
          <w:lang w:val="en-US" w:eastAsia="zh-CN"/>
        </w:rPr>
        <w:t>46）竣工清理：在工程竣工后10日内，不管发包人是否已办妥政府有关机构所要求的一切必要的批准、备案手续以及是否已发布移交证书，承包人应安排专业队伍全面履行其合同责任和义务，包括但不限于：(a)从现场清除所有剩余材料、杂物、垃圾等等；(b)从现场拆除所有的临时建筑物、构筑物和临时设施并恢复地面原状；(c)清洗工程的所有地面；(d)修缮所有损坏、清除所有污迹、替换所有需更换的材料。</w:t>
      </w:r>
    </w:p>
    <w:p w14:paraId="71C9852B">
      <w:pPr>
        <w:adjustRightInd w:val="0"/>
        <w:snapToGrid w:val="0"/>
        <w:spacing w:line="360" w:lineRule="auto"/>
        <w:ind w:firstLine="420" w:firstLineChars="200"/>
        <w:jc w:val="left"/>
        <w:rPr>
          <w:rFonts w:hint="eastAsia" w:ascii="宋体" w:hAnsi="宋体" w:cs="宋体"/>
          <w:color w:val="auto"/>
          <w:u w:val="single"/>
          <w:lang w:val="en-US" w:eastAsia="zh-CN"/>
        </w:rPr>
      </w:pPr>
      <w:r>
        <w:rPr>
          <w:rFonts w:hint="eastAsia" w:ascii="宋体" w:hAnsi="宋体" w:cs="宋体"/>
          <w:color w:val="auto"/>
          <w:u w:val="single"/>
          <w:lang w:val="en-US" w:eastAsia="zh-CN"/>
        </w:rPr>
        <w:t>47）承包人应在指示规定的时间（如果有）内执行发包人指令，或在规定的情形下立即执行，无论此指令的工作是否在承包合同范围之内。如承包人在拒绝执行发包人指令，则发包人有权另行委托第三方执行指令。如此指令的工作在原合同范围内，则因承包人拒绝执行指令而产生的所有费用，由承包人全额承担。如此指令的工作在原合同范围外，则因承包人拒绝执行指令而产生的所有费用及额外损失，由承包人全额承担。承包人必须按本合同进行施工组织，如需变更人员、机械设备、施工方案等，必须提前一周书面上报发包人并经书面同意方可执行，发包人同意变动并不减轻或免除承包人的责任。</w:t>
      </w:r>
    </w:p>
    <w:p w14:paraId="3C5151C1">
      <w:pPr>
        <w:adjustRightInd w:val="0"/>
        <w:snapToGrid w:val="0"/>
        <w:spacing w:line="360" w:lineRule="auto"/>
        <w:ind w:firstLine="420" w:firstLineChars="200"/>
        <w:jc w:val="left"/>
        <w:rPr>
          <w:rFonts w:hint="eastAsia" w:ascii="宋体" w:hAnsi="宋体" w:cs="宋体"/>
          <w:color w:val="auto"/>
          <w:u w:val="single"/>
          <w:lang w:val="en-US" w:eastAsia="zh-CN"/>
        </w:rPr>
      </w:pPr>
      <w:r>
        <w:rPr>
          <w:rFonts w:hint="eastAsia" w:ascii="宋体" w:hAnsi="宋体" w:cs="宋体"/>
          <w:color w:val="auto"/>
          <w:u w:val="single"/>
          <w:lang w:val="en-US" w:eastAsia="zh-CN"/>
        </w:rPr>
        <w:t>48）按合同约定应当由监理人或者发包人回复、批复、批准、确认或提出修改意见的承包人的要求、请求、申请和报批等，自监理人或者发包人指定的接收人收到承包人发出的相应要求、请求、申请和报批之日起，如果监理人或者发包人在合同约定的期限内未予回复、批复、批准、确认或提出修改意见的，视为监理人和发包人认为同意、确认或批准的条件不成熟，可以相应地顺延期限或不予回复。如承包人认为发包人或监理人不予同意、确认或批准将会造成工程或承包人的损失，或将影响工期时，承包人应再次提出这样的要求、请求、申请，并说明发包人或监理人不处理将带来的影响，发包人或监理人应于再次收到此种要求、请求、申请后7天内作出相应的处理，但是对于承包人要求增加合同价款（包括索赔、洽商、签证调价等）或延长工期的要求、请求或申请，监理人和发包人有权根据具体情况不予回复和处理。</w:t>
      </w:r>
    </w:p>
    <w:p w14:paraId="689BA997">
      <w:pPr>
        <w:adjustRightInd w:val="0"/>
        <w:snapToGrid w:val="0"/>
        <w:spacing w:line="360" w:lineRule="auto"/>
        <w:ind w:firstLine="420" w:firstLineChars="200"/>
        <w:jc w:val="left"/>
        <w:rPr>
          <w:rFonts w:hint="default" w:ascii="宋体" w:hAnsi="宋体" w:cs="宋体"/>
          <w:color w:val="auto"/>
          <w:u w:val="single"/>
          <w:lang w:val="en-US" w:eastAsia="zh-CN"/>
        </w:rPr>
      </w:pPr>
    </w:p>
    <w:p w14:paraId="0B878332">
      <w:pPr>
        <w:adjustRightInd w:val="0"/>
        <w:snapToGrid w:val="0"/>
        <w:spacing w:line="360" w:lineRule="auto"/>
        <w:rPr>
          <w:rFonts w:ascii="宋体" w:hAnsi="宋体"/>
          <w:color w:val="auto"/>
          <w:sz w:val="24"/>
        </w:rPr>
      </w:pPr>
      <w:r>
        <w:rPr>
          <w:rFonts w:hint="eastAsia" w:ascii="宋体" w:hAnsi="宋体"/>
          <w:color w:val="auto"/>
          <w:sz w:val="24"/>
        </w:rPr>
        <w:t>4.2履约担保</w:t>
      </w:r>
    </w:p>
    <w:p w14:paraId="64D24614">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4.2.1承包人履约担保的格式和金额</w:t>
      </w:r>
    </w:p>
    <w:p w14:paraId="5C8F06C9">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发包人</w:t>
      </w:r>
      <w:r>
        <w:rPr>
          <w:rFonts w:hint="eastAsia" w:ascii="宋体" w:hAnsi="宋体" w:cs="宋体"/>
          <w:color w:val="auto"/>
          <w:u w:val="single"/>
        </w:rPr>
        <w:t>不要求</w:t>
      </w:r>
      <w:r>
        <w:rPr>
          <w:color w:val="auto"/>
        </w:rPr>
        <w:fldChar w:fldCharType="begin"/>
      </w:r>
      <w:r>
        <w:rPr>
          <w:color w:val="auto"/>
        </w:rPr>
        <w:instrText xml:space="preserve"> AUTOTEXT  input838 \* MERGEFORMAT </w:instrText>
      </w:r>
      <w:r>
        <w:rPr>
          <w:color w:val="auto"/>
        </w:rPr>
        <w:fldChar w:fldCharType="end"/>
      </w:r>
      <w:r>
        <w:rPr>
          <w:rFonts w:hint="eastAsia" w:ascii="宋体" w:hAnsi="宋体"/>
          <w:color w:val="auto"/>
          <w:szCs w:val="21"/>
        </w:rPr>
        <w:t>（要求/不要求）承包人提供承包人履约担保。</w:t>
      </w:r>
    </w:p>
    <w:p w14:paraId="3F9E3016">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承包人履约担保的金额为</w:t>
      </w:r>
      <w:r>
        <w:rPr>
          <w:rFonts w:ascii="宋体" w:hAnsi="宋体" w:cs="宋体"/>
          <w:color w:val="auto"/>
          <w:u w:val="single"/>
        </w:rPr>
        <w:t xml:space="preserve">  /  </w:t>
      </w:r>
      <w:r>
        <w:rPr>
          <w:color w:val="auto"/>
        </w:rPr>
        <w:fldChar w:fldCharType="begin"/>
      </w:r>
      <w:r>
        <w:rPr>
          <w:color w:val="auto"/>
        </w:rPr>
        <w:instrText xml:space="preserve"> AUTOTEXT  input451 \* MERGEFORMAT </w:instrText>
      </w:r>
      <w:r>
        <w:rPr>
          <w:color w:val="auto"/>
        </w:rPr>
        <w:fldChar w:fldCharType="end"/>
      </w:r>
    </w:p>
    <w:p w14:paraId="32CD1221">
      <w:pPr>
        <w:adjustRightInd w:val="0"/>
        <w:snapToGrid w:val="0"/>
        <w:spacing w:line="360" w:lineRule="auto"/>
        <w:rPr>
          <w:rFonts w:ascii="宋体" w:hAnsi="宋体"/>
          <w:color w:val="auto"/>
          <w:sz w:val="24"/>
        </w:rPr>
      </w:pPr>
      <w:r>
        <w:rPr>
          <w:rFonts w:hint="eastAsia" w:ascii="宋体" w:hAnsi="宋体"/>
          <w:color w:val="auto"/>
          <w:sz w:val="24"/>
        </w:rPr>
        <w:t>4.11不利物质条件</w:t>
      </w:r>
    </w:p>
    <w:p w14:paraId="3AB79205">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4.11.1不利物质条件的范围：</w:t>
      </w:r>
    </w:p>
    <w:p w14:paraId="3D1E35B5">
      <w:pPr>
        <w:adjustRightInd w:val="0"/>
        <w:snapToGrid w:val="0"/>
        <w:spacing w:line="360" w:lineRule="auto"/>
        <w:ind w:firstLine="420" w:firstLineChars="200"/>
        <w:jc w:val="left"/>
        <w:rPr>
          <w:rFonts w:ascii="宋体" w:hAnsi="宋体"/>
          <w:color w:val="auto"/>
          <w:szCs w:val="21"/>
        </w:rPr>
      </w:pPr>
      <w:r>
        <w:rPr>
          <w:rFonts w:hint="eastAsia" w:ascii="宋体" w:hAnsi="宋体" w:cs="宋体"/>
          <w:color w:val="auto"/>
          <w:u w:val="single"/>
        </w:rPr>
        <w:t>（1）在施工现场遇到的不可预见的自然物质条件,包括地下各种管网障碍、地下文物障碍、地下建筑障碍物、不良地质条件、流砂、暗河等；（2）地下已存在的但未探明的非自然物质障碍和污染物。</w:t>
      </w:r>
      <w:r>
        <w:rPr>
          <w:color w:val="auto"/>
        </w:rPr>
        <w:fldChar w:fldCharType="begin"/>
      </w:r>
      <w:r>
        <w:rPr>
          <w:color w:val="auto"/>
        </w:rPr>
        <w:instrText xml:space="preserve"> AUTOTEXT  input452 \* MERGEFORMAT </w:instrText>
      </w:r>
      <w:r>
        <w:rPr>
          <w:color w:val="auto"/>
        </w:rPr>
        <w:fldChar w:fldCharType="end"/>
      </w:r>
    </w:p>
    <w:p w14:paraId="1392AE8D">
      <w:pPr>
        <w:adjustRightInd w:val="0"/>
        <w:snapToGrid w:val="0"/>
        <w:spacing w:line="360" w:lineRule="auto"/>
        <w:outlineLvl w:val="1"/>
        <w:rPr>
          <w:rFonts w:ascii="宋体" w:hAnsi="宋体"/>
          <w:color w:val="auto"/>
          <w:sz w:val="28"/>
        </w:rPr>
      </w:pPr>
      <w:bookmarkStart w:id="1185" w:name="_Toc9575"/>
      <w:bookmarkStart w:id="1186" w:name="_Toc12098"/>
      <w:r>
        <w:rPr>
          <w:rFonts w:hint="eastAsia" w:ascii="宋体" w:hAnsi="宋体"/>
          <w:color w:val="auto"/>
          <w:sz w:val="28"/>
        </w:rPr>
        <w:t>5.材料</w:t>
      </w:r>
      <w:bookmarkEnd w:id="1185"/>
      <w:bookmarkEnd w:id="1186"/>
    </w:p>
    <w:p w14:paraId="405C1004">
      <w:pPr>
        <w:adjustRightInd w:val="0"/>
        <w:snapToGrid w:val="0"/>
        <w:spacing w:line="360" w:lineRule="auto"/>
        <w:rPr>
          <w:rFonts w:ascii="宋体" w:hAnsi="宋体"/>
          <w:color w:val="auto"/>
          <w:sz w:val="24"/>
        </w:rPr>
      </w:pPr>
      <w:r>
        <w:rPr>
          <w:rFonts w:hint="eastAsia" w:ascii="宋体" w:hAnsi="宋体"/>
          <w:color w:val="auto"/>
          <w:sz w:val="24"/>
        </w:rPr>
        <w:t>5.1承包人提供的材料</w:t>
      </w:r>
    </w:p>
    <w:p w14:paraId="1B540739">
      <w:pPr>
        <w:adjustRightInd w:val="0"/>
        <w:snapToGrid w:val="0"/>
        <w:spacing w:line="360" w:lineRule="auto"/>
        <w:ind w:firstLine="420" w:firstLineChars="200"/>
        <w:jc w:val="left"/>
        <w:rPr>
          <w:rFonts w:ascii="宋体" w:hAnsi="宋体" w:cs="宋体"/>
          <w:color w:val="auto"/>
          <w:u w:val="single"/>
        </w:rPr>
      </w:pPr>
      <w:r>
        <w:rPr>
          <w:rFonts w:hint="eastAsia" w:ascii="宋体" w:hAnsi="宋体"/>
          <w:color w:val="auto"/>
          <w:szCs w:val="21"/>
        </w:rPr>
        <w:t>5.1.2承包人将由其提供的材料的供货人和品种、规格、数量及供货时间等报送监理人审批的期限：：</w:t>
      </w:r>
      <w:r>
        <w:rPr>
          <w:rFonts w:hint="eastAsia" w:ascii="宋体" w:hAnsi="宋体" w:cs="宋体"/>
          <w:color w:val="auto"/>
          <w:u w:val="single"/>
        </w:rPr>
        <w:t>承包人应当在相应材料进场前14天将相应材料的供货人及采购品种、规格、数量和供货时间等报送监理人审批，监理人应当在7天内提出审批意见。</w:t>
      </w:r>
      <w:r>
        <w:rPr>
          <w:color w:val="auto"/>
        </w:rPr>
        <w:fldChar w:fldCharType="begin"/>
      </w:r>
      <w:r>
        <w:rPr>
          <w:color w:val="auto"/>
        </w:rPr>
        <w:instrText xml:space="preserve"> AUTOTEXT  input453 \* MERGEFORMAT </w:instrText>
      </w:r>
      <w:r>
        <w:rPr>
          <w:color w:val="auto"/>
        </w:rPr>
        <w:fldChar w:fldCharType="end"/>
      </w:r>
    </w:p>
    <w:p w14:paraId="167C9EB1">
      <w:pPr>
        <w:adjustRightInd w:val="0"/>
        <w:snapToGrid w:val="0"/>
        <w:spacing w:line="360" w:lineRule="auto"/>
        <w:outlineLvl w:val="1"/>
        <w:rPr>
          <w:rFonts w:ascii="宋体" w:hAnsi="宋体"/>
          <w:color w:val="auto"/>
          <w:sz w:val="28"/>
        </w:rPr>
      </w:pPr>
      <w:bookmarkStart w:id="1187" w:name="_Toc22817"/>
      <w:bookmarkStart w:id="1188" w:name="_Toc1866"/>
      <w:r>
        <w:rPr>
          <w:rFonts w:hint="eastAsia" w:ascii="宋体" w:hAnsi="宋体"/>
          <w:color w:val="auto"/>
          <w:sz w:val="28"/>
        </w:rPr>
        <w:t>6.施工设备和临时设施</w:t>
      </w:r>
      <w:bookmarkEnd w:id="1187"/>
      <w:bookmarkEnd w:id="1188"/>
    </w:p>
    <w:p w14:paraId="0DC05ADF">
      <w:pPr>
        <w:adjustRightInd w:val="0"/>
        <w:snapToGrid w:val="0"/>
        <w:spacing w:line="360" w:lineRule="auto"/>
        <w:rPr>
          <w:rFonts w:ascii="宋体" w:hAnsi="宋体"/>
          <w:color w:val="auto"/>
          <w:sz w:val="24"/>
        </w:rPr>
      </w:pPr>
      <w:r>
        <w:rPr>
          <w:rFonts w:hint="eastAsia" w:ascii="宋体" w:hAnsi="宋体"/>
          <w:color w:val="auto"/>
          <w:sz w:val="24"/>
        </w:rPr>
        <w:t>6.1承包人提供的施工设备和临时设施</w:t>
      </w:r>
    </w:p>
    <w:p w14:paraId="06BBD823">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6.1.2</w:t>
      </w:r>
      <w:r>
        <w:rPr>
          <w:rFonts w:hint="eastAsia"/>
          <w:color w:val="auto"/>
          <w:kern w:val="0"/>
        </w:rPr>
        <w:t>承包人</w:t>
      </w:r>
      <w:r>
        <w:rPr>
          <w:rFonts w:hint="eastAsia" w:ascii="宋体" w:hAnsi="宋体"/>
          <w:color w:val="auto"/>
          <w:szCs w:val="21"/>
        </w:rPr>
        <w:t>承担自行修建临时设施费用的范围：</w:t>
      </w:r>
      <w:r>
        <w:rPr>
          <w:rFonts w:hint="eastAsia" w:ascii="宋体" w:hAnsi="宋体" w:cs="宋体"/>
          <w:color w:val="auto"/>
          <w:u w:val="single"/>
        </w:rPr>
        <w:t>由承包人修建的临时设施所发生的费用均由承包人承担，包括因临时设施修建而产生 的周边建（构）筑物拆除恢复所发生的费用，并已包含在合同总价中。</w:t>
      </w:r>
      <w:r>
        <w:rPr>
          <w:color w:val="auto"/>
        </w:rPr>
        <w:fldChar w:fldCharType="begin"/>
      </w:r>
      <w:r>
        <w:rPr>
          <w:color w:val="auto"/>
        </w:rPr>
        <w:instrText xml:space="preserve"> AUTOTEXT  input454 \* MERGEFORMAT </w:instrText>
      </w:r>
      <w:r>
        <w:rPr>
          <w:color w:val="auto"/>
        </w:rPr>
        <w:fldChar w:fldCharType="end"/>
      </w:r>
    </w:p>
    <w:p w14:paraId="109E1E92">
      <w:pPr>
        <w:adjustRightInd w:val="0"/>
        <w:snapToGrid w:val="0"/>
        <w:spacing w:line="360" w:lineRule="auto"/>
        <w:ind w:firstLine="420" w:firstLineChars="200"/>
        <w:jc w:val="left"/>
        <w:rPr>
          <w:rFonts w:ascii="宋体" w:hAnsi="宋体"/>
          <w:color w:val="auto"/>
        </w:rPr>
      </w:pPr>
      <w:r>
        <w:rPr>
          <w:rFonts w:hint="eastAsia" w:ascii="宋体" w:hAnsi="宋体"/>
          <w:color w:val="auto"/>
        </w:rPr>
        <w:t>发包人办理申请手续并承担相关费用的临时占地：</w:t>
      </w:r>
    </w:p>
    <w:p w14:paraId="50077556">
      <w:pPr>
        <w:adjustRightInd w:val="0"/>
        <w:snapToGrid w:val="0"/>
        <w:spacing w:line="360" w:lineRule="auto"/>
        <w:ind w:firstLine="420" w:firstLineChars="200"/>
        <w:jc w:val="left"/>
        <w:rPr>
          <w:rFonts w:ascii="宋体" w:hAnsi="宋体"/>
          <w:color w:val="auto"/>
        </w:rPr>
      </w:pPr>
      <w:r>
        <w:rPr>
          <w:rFonts w:ascii="宋体" w:hAnsi="宋体" w:cs="宋体"/>
          <w:color w:val="auto"/>
          <w:u w:val="single"/>
        </w:rPr>
        <w:t xml:space="preserve">  /  </w:t>
      </w:r>
      <w:r>
        <w:rPr>
          <w:color w:val="auto"/>
        </w:rPr>
        <w:fldChar w:fldCharType="begin"/>
      </w:r>
      <w:r>
        <w:rPr>
          <w:color w:val="auto"/>
        </w:rPr>
        <w:instrText xml:space="preserve"> AUTOTEXT  input455 \* MERGEFORMAT </w:instrText>
      </w:r>
      <w:r>
        <w:rPr>
          <w:color w:val="auto"/>
        </w:rPr>
        <w:fldChar w:fldCharType="end"/>
      </w:r>
    </w:p>
    <w:p w14:paraId="1C79CAC4">
      <w:pPr>
        <w:adjustRightInd w:val="0"/>
        <w:snapToGrid w:val="0"/>
        <w:spacing w:line="360" w:lineRule="auto"/>
        <w:rPr>
          <w:rFonts w:ascii="宋体" w:hAnsi="宋体"/>
          <w:color w:val="auto"/>
          <w:sz w:val="24"/>
        </w:rPr>
      </w:pPr>
      <w:r>
        <w:rPr>
          <w:rFonts w:hint="eastAsia" w:ascii="宋体" w:hAnsi="宋体"/>
          <w:color w:val="auto"/>
          <w:sz w:val="24"/>
        </w:rPr>
        <w:t>6.2发包人提供的施工设备和临时设施</w:t>
      </w:r>
    </w:p>
    <w:p w14:paraId="7FFF8834">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发包人提供的施工设备和临时设施：</w:t>
      </w:r>
      <w:r>
        <w:rPr>
          <w:rFonts w:hint="eastAsia" w:ascii="宋体" w:hAnsi="宋体" w:cs="宋体"/>
          <w:color w:val="auto"/>
          <w:u w:val="single"/>
        </w:rPr>
        <w:t>发包人不提供临时设施用地，所有临时设施用地所发生的费用由承包人自行承担。如发包人提供临时设施用地，投标报价中所列临时设施用地价格从合同价格中扣除。</w:t>
      </w:r>
      <w:r>
        <w:rPr>
          <w:color w:val="auto"/>
        </w:rPr>
        <w:fldChar w:fldCharType="begin"/>
      </w:r>
      <w:r>
        <w:rPr>
          <w:color w:val="auto"/>
        </w:rPr>
        <w:instrText xml:space="preserve"> AUTOTEXT  input456 \* MERGEFORMAT </w:instrText>
      </w:r>
      <w:r>
        <w:rPr>
          <w:color w:val="auto"/>
        </w:rPr>
        <w:fldChar w:fldCharType="end"/>
      </w:r>
    </w:p>
    <w:p w14:paraId="1701F239">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发包人提供的施工设备和临时设施的运行、维护、拆除、清运费用的承担人：</w:t>
      </w:r>
      <w:r>
        <w:rPr>
          <w:rFonts w:ascii="宋体" w:hAnsi="宋体" w:cs="宋体"/>
          <w:color w:val="auto"/>
          <w:u w:val="single"/>
        </w:rPr>
        <w:t xml:space="preserve">  /  </w:t>
      </w:r>
      <w:r>
        <w:rPr>
          <w:color w:val="auto"/>
        </w:rPr>
        <w:fldChar w:fldCharType="begin"/>
      </w:r>
      <w:r>
        <w:rPr>
          <w:color w:val="auto"/>
        </w:rPr>
        <w:instrText xml:space="preserve"> AUTOTEXT  input457 \* MERGEFORMAT </w:instrText>
      </w:r>
      <w:r>
        <w:rPr>
          <w:color w:val="auto"/>
        </w:rPr>
        <w:fldChar w:fldCharType="end"/>
      </w:r>
    </w:p>
    <w:p w14:paraId="71BE74A6">
      <w:pPr>
        <w:adjustRightInd w:val="0"/>
        <w:snapToGrid w:val="0"/>
        <w:spacing w:line="360" w:lineRule="auto"/>
        <w:outlineLvl w:val="1"/>
        <w:rPr>
          <w:rFonts w:ascii="宋体" w:hAnsi="宋体"/>
          <w:color w:val="auto"/>
          <w:sz w:val="28"/>
        </w:rPr>
      </w:pPr>
      <w:bookmarkStart w:id="1189" w:name="_Toc2444"/>
      <w:bookmarkStart w:id="1190" w:name="_Toc21954"/>
      <w:r>
        <w:rPr>
          <w:rFonts w:hint="eastAsia" w:ascii="宋体" w:hAnsi="宋体"/>
          <w:color w:val="auto"/>
          <w:sz w:val="28"/>
        </w:rPr>
        <w:t>7.交通运输</w:t>
      </w:r>
      <w:bookmarkEnd w:id="1189"/>
      <w:bookmarkEnd w:id="1190"/>
    </w:p>
    <w:p w14:paraId="3A01AA3A">
      <w:pPr>
        <w:adjustRightInd w:val="0"/>
        <w:snapToGrid w:val="0"/>
        <w:spacing w:line="360" w:lineRule="auto"/>
        <w:rPr>
          <w:rFonts w:ascii="宋体" w:hAnsi="宋体"/>
          <w:color w:val="auto"/>
          <w:sz w:val="24"/>
        </w:rPr>
      </w:pPr>
      <w:r>
        <w:rPr>
          <w:rFonts w:hint="eastAsia" w:ascii="宋体" w:hAnsi="宋体"/>
          <w:color w:val="auto"/>
          <w:sz w:val="24"/>
        </w:rPr>
        <w:t>7.1道路通行权和场外设施</w:t>
      </w:r>
    </w:p>
    <w:p w14:paraId="01183846">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负责取得道路通行权、场外设施修建权的办理人：</w:t>
      </w:r>
      <w:r>
        <w:rPr>
          <w:rFonts w:hint="eastAsia" w:ascii="宋体" w:hAnsi="宋体" w:cs="宋体"/>
          <w:color w:val="auto"/>
          <w:u w:val="single"/>
        </w:rPr>
        <w:t>承包人</w:t>
      </w:r>
      <w:r>
        <w:rPr>
          <w:color w:val="auto"/>
        </w:rPr>
        <w:fldChar w:fldCharType="begin"/>
      </w:r>
      <w:r>
        <w:rPr>
          <w:color w:val="auto"/>
        </w:rPr>
        <w:instrText xml:space="preserve"> AUTOTEXT  input458 \* MERGEFORMAT </w:instrText>
      </w:r>
      <w:r>
        <w:rPr>
          <w:color w:val="auto"/>
        </w:rPr>
        <w:fldChar w:fldCharType="end"/>
      </w:r>
      <w:r>
        <w:rPr>
          <w:rFonts w:hint="eastAsia" w:ascii="宋体" w:hAnsi="宋体"/>
          <w:color w:val="auto"/>
          <w:szCs w:val="21"/>
        </w:rPr>
        <w:t>，其相关费用由发包人承担。</w:t>
      </w:r>
    </w:p>
    <w:p w14:paraId="7C82B7FA">
      <w:pPr>
        <w:adjustRightInd w:val="0"/>
        <w:snapToGrid w:val="0"/>
        <w:spacing w:line="360" w:lineRule="auto"/>
        <w:rPr>
          <w:rFonts w:ascii="宋体" w:hAnsi="宋体"/>
          <w:color w:val="auto"/>
          <w:sz w:val="24"/>
        </w:rPr>
      </w:pPr>
      <w:r>
        <w:rPr>
          <w:rFonts w:hint="eastAsia" w:ascii="宋体" w:hAnsi="宋体"/>
          <w:color w:val="auto"/>
          <w:sz w:val="24"/>
        </w:rPr>
        <w:t>7.2场内施工道路</w:t>
      </w:r>
    </w:p>
    <w:p w14:paraId="20CA7842">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7.2.1施工所需的场内临时道路和交通设施的修建、维护、养护和管理人：</w:t>
      </w:r>
      <w:r>
        <w:rPr>
          <w:rFonts w:hint="eastAsia" w:ascii="宋体" w:hAnsi="宋体" w:cs="宋体"/>
          <w:color w:val="auto"/>
          <w:u w:val="single"/>
        </w:rPr>
        <w:t>承包人</w:t>
      </w:r>
      <w:r>
        <w:rPr>
          <w:color w:val="auto"/>
        </w:rPr>
        <w:fldChar w:fldCharType="begin"/>
      </w:r>
      <w:r>
        <w:rPr>
          <w:color w:val="auto"/>
        </w:rPr>
        <w:instrText xml:space="preserve"> AUTOTEXT  input459 \* MERGEFORMAT </w:instrText>
      </w:r>
      <w:r>
        <w:rPr>
          <w:color w:val="auto"/>
        </w:rPr>
        <w:fldChar w:fldCharType="end"/>
      </w:r>
      <w:r>
        <w:rPr>
          <w:rFonts w:hint="eastAsia" w:ascii="宋体" w:hAnsi="宋体"/>
          <w:color w:val="auto"/>
          <w:szCs w:val="21"/>
        </w:rPr>
        <w:t>，相关费用由</w:t>
      </w:r>
      <w:r>
        <w:rPr>
          <w:rFonts w:hint="eastAsia" w:ascii="宋体" w:hAnsi="宋体" w:cs="宋体"/>
          <w:color w:val="auto"/>
          <w:u w:val="single"/>
        </w:rPr>
        <w:t>承包人</w:t>
      </w:r>
      <w:r>
        <w:rPr>
          <w:color w:val="auto"/>
        </w:rPr>
        <w:fldChar w:fldCharType="begin"/>
      </w:r>
      <w:r>
        <w:rPr>
          <w:color w:val="auto"/>
        </w:rPr>
        <w:instrText xml:space="preserve"> AUTOTEXT  input460 \* MERGEFORMAT </w:instrText>
      </w:r>
      <w:r>
        <w:rPr>
          <w:color w:val="auto"/>
        </w:rPr>
        <w:fldChar w:fldCharType="end"/>
      </w:r>
      <w:r>
        <w:rPr>
          <w:rFonts w:hint="eastAsia" w:ascii="宋体" w:hAnsi="宋体"/>
          <w:color w:val="auto"/>
          <w:szCs w:val="21"/>
        </w:rPr>
        <w:t>承担。</w:t>
      </w:r>
    </w:p>
    <w:p w14:paraId="5C6634D4">
      <w:pPr>
        <w:adjustRightInd w:val="0"/>
        <w:snapToGrid w:val="0"/>
        <w:spacing w:line="360" w:lineRule="auto"/>
        <w:rPr>
          <w:rFonts w:ascii="宋体" w:hAnsi="宋体"/>
          <w:color w:val="auto"/>
          <w:sz w:val="24"/>
        </w:rPr>
      </w:pPr>
      <w:r>
        <w:rPr>
          <w:rFonts w:hint="eastAsia" w:ascii="宋体" w:hAnsi="宋体"/>
          <w:color w:val="auto"/>
          <w:sz w:val="24"/>
        </w:rPr>
        <w:t>7.4超大件和超重件的运输</w:t>
      </w:r>
    </w:p>
    <w:p w14:paraId="2CFEC7C0">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运输超大件或超重件所需的道路和桥梁临时加固改造等费用的承担人：</w:t>
      </w:r>
      <w:r>
        <w:rPr>
          <w:rFonts w:hint="eastAsia" w:ascii="宋体" w:hAnsi="宋体" w:cs="宋体"/>
          <w:color w:val="auto"/>
          <w:u w:val="single"/>
        </w:rPr>
        <w:t>承包人</w:t>
      </w:r>
      <w:r>
        <w:rPr>
          <w:color w:val="auto"/>
        </w:rPr>
        <w:fldChar w:fldCharType="begin"/>
      </w:r>
      <w:r>
        <w:rPr>
          <w:color w:val="auto"/>
        </w:rPr>
        <w:instrText xml:space="preserve"> AUTOTEXT  input461 \* MERGEFORMAT </w:instrText>
      </w:r>
      <w:r>
        <w:rPr>
          <w:color w:val="auto"/>
        </w:rPr>
        <w:fldChar w:fldCharType="end"/>
      </w:r>
    </w:p>
    <w:p w14:paraId="35B98EFE">
      <w:pPr>
        <w:adjustRightInd w:val="0"/>
        <w:snapToGrid w:val="0"/>
        <w:spacing w:line="360" w:lineRule="auto"/>
        <w:outlineLvl w:val="1"/>
        <w:rPr>
          <w:rFonts w:ascii="宋体" w:hAnsi="宋体"/>
          <w:color w:val="auto"/>
          <w:sz w:val="28"/>
        </w:rPr>
      </w:pPr>
      <w:bookmarkStart w:id="1191" w:name="_Toc2589"/>
      <w:bookmarkStart w:id="1192" w:name="_Toc4006"/>
      <w:r>
        <w:rPr>
          <w:rFonts w:hint="eastAsia" w:ascii="宋体" w:hAnsi="宋体"/>
          <w:color w:val="auto"/>
          <w:sz w:val="28"/>
        </w:rPr>
        <w:t>8.测量放线</w:t>
      </w:r>
      <w:bookmarkEnd w:id="1191"/>
      <w:bookmarkEnd w:id="1192"/>
    </w:p>
    <w:p w14:paraId="1F718A69">
      <w:pPr>
        <w:adjustRightInd w:val="0"/>
        <w:snapToGrid w:val="0"/>
        <w:spacing w:line="360" w:lineRule="auto"/>
        <w:rPr>
          <w:rFonts w:ascii="宋体" w:hAnsi="宋体"/>
          <w:color w:val="auto"/>
          <w:sz w:val="24"/>
        </w:rPr>
      </w:pPr>
      <w:r>
        <w:rPr>
          <w:rFonts w:hint="eastAsia" w:ascii="宋体" w:hAnsi="宋体"/>
          <w:color w:val="auto"/>
          <w:sz w:val="24"/>
        </w:rPr>
        <w:t>8.1施工控制网</w:t>
      </w:r>
    </w:p>
    <w:p w14:paraId="48A6670B">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8.1.1发包人通过监理人提供测量基准点、基准线和水准点及其书面资料的期限：</w:t>
      </w:r>
    </w:p>
    <w:p w14:paraId="3CD0DCC3">
      <w:pPr>
        <w:adjustRightInd w:val="0"/>
        <w:snapToGrid w:val="0"/>
        <w:spacing w:line="360" w:lineRule="auto"/>
        <w:ind w:firstLine="420" w:firstLineChars="200"/>
        <w:jc w:val="left"/>
        <w:rPr>
          <w:rFonts w:ascii="宋体" w:hAnsi="宋体"/>
          <w:color w:val="auto"/>
          <w:szCs w:val="21"/>
        </w:rPr>
      </w:pPr>
      <w:r>
        <w:rPr>
          <w:rFonts w:hint="eastAsia" w:ascii="宋体" w:hAnsi="宋体" w:cs="宋体"/>
          <w:color w:val="auto"/>
          <w:u w:val="single"/>
        </w:rPr>
        <w:t>合同签订并完成备案后7天内。</w:t>
      </w:r>
      <w:r>
        <w:rPr>
          <w:color w:val="auto"/>
        </w:rPr>
        <w:fldChar w:fldCharType="begin"/>
      </w:r>
      <w:r>
        <w:rPr>
          <w:color w:val="auto"/>
        </w:rPr>
        <w:instrText xml:space="preserve"> AUTOTEXT  input462 \* MERGEFORMAT </w:instrText>
      </w:r>
      <w:r>
        <w:rPr>
          <w:color w:val="auto"/>
        </w:rPr>
        <w:fldChar w:fldCharType="end"/>
      </w:r>
    </w:p>
    <w:p w14:paraId="692063D7">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8.1.2承包人测设施工控制网的其他要求：</w:t>
      </w:r>
    </w:p>
    <w:p w14:paraId="0BB9F68B">
      <w:pPr>
        <w:adjustRightInd w:val="0"/>
        <w:snapToGrid w:val="0"/>
        <w:spacing w:line="360" w:lineRule="auto"/>
        <w:ind w:firstLine="420" w:firstLineChars="200"/>
        <w:jc w:val="left"/>
        <w:rPr>
          <w:rFonts w:ascii="宋体" w:hAnsi="宋体"/>
          <w:color w:val="auto"/>
          <w:szCs w:val="21"/>
        </w:rPr>
      </w:pPr>
      <w:r>
        <w:rPr>
          <w:rFonts w:hint="eastAsia" w:ascii="宋体" w:hAnsi="宋体" w:cs="宋体"/>
          <w:color w:val="auto"/>
          <w:u w:val="single"/>
        </w:rPr>
        <w:t>依据发包人通过监理人提供的测量基准点、基准线和水准点以及国家的工程测量验收规范和合同要求的工程精度，测设自己的施工控制网。</w:t>
      </w:r>
      <w:r>
        <w:rPr>
          <w:color w:val="auto"/>
        </w:rPr>
        <w:fldChar w:fldCharType="begin"/>
      </w:r>
      <w:r>
        <w:rPr>
          <w:color w:val="auto"/>
        </w:rPr>
        <w:instrText xml:space="preserve"> AUTOTEXT  input463 \* MERGEFORMAT </w:instrText>
      </w:r>
      <w:r>
        <w:rPr>
          <w:color w:val="auto"/>
        </w:rPr>
        <w:fldChar w:fldCharType="end"/>
      </w:r>
    </w:p>
    <w:p w14:paraId="13B28C54">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承包人将施工控制网资料报送监理人审批的期限：</w:t>
      </w:r>
      <w:r>
        <w:rPr>
          <w:rFonts w:hint="eastAsia" w:ascii="宋体" w:hAnsi="宋体" w:cs="宋体"/>
          <w:color w:val="auto"/>
          <w:u w:val="single"/>
        </w:rPr>
        <w:t>在收到监理人按照通用合同条款第11.1.1项发出的开工通知后7天内。</w:t>
      </w:r>
      <w:r>
        <w:rPr>
          <w:color w:val="auto"/>
        </w:rPr>
        <w:fldChar w:fldCharType="begin"/>
      </w:r>
      <w:r>
        <w:rPr>
          <w:color w:val="auto"/>
        </w:rPr>
        <w:instrText xml:space="preserve"> AUTOTEXT  input464 \* MERGEFORMAT </w:instrText>
      </w:r>
      <w:r>
        <w:rPr>
          <w:color w:val="auto"/>
        </w:rPr>
        <w:fldChar w:fldCharType="end"/>
      </w:r>
    </w:p>
    <w:p w14:paraId="5C3D088F">
      <w:pPr>
        <w:adjustRightInd w:val="0"/>
        <w:snapToGrid w:val="0"/>
        <w:spacing w:line="360" w:lineRule="auto"/>
        <w:outlineLvl w:val="1"/>
        <w:rPr>
          <w:rFonts w:ascii="宋体" w:hAnsi="宋体"/>
          <w:color w:val="auto"/>
          <w:sz w:val="28"/>
        </w:rPr>
      </w:pPr>
      <w:bookmarkStart w:id="1193" w:name="_Toc22851"/>
      <w:bookmarkStart w:id="1194" w:name="_Toc4835"/>
      <w:r>
        <w:rPr>
          <w:rFonts w:hint="eastAsia" w:ascii="宋体" w:hAnsi="宋体"/>
          <w:color w:val="auto"/>
          <w:sz w:val="28"/>
        </w:rPr>
        <w:t>9.施工安全、治安保卫和环境保护</w:t>
      </w:r>
      <w:bookmarkEnd w:id="1193"/>
      <w:bookmarkEnd w:id="1194"/>
    </w:p>
    <w:p w14:paraId="321A0003">
      <w:pPr>
        <w:adjustRightInd w:val="0"/>
        <w:snapToGrid w:val="0"/>
        <w:spacing w:line="360" w:lineRule="auto"/>
        <w:rPr>
          <w:rFonts w:ascii="宋体" w:hAnsi="宋体"/>
          <w:color w:val="auto"/>
          <w:sz w:val="24"/>
        </w:rPr>
      </w:pPr>
      <w:r>
        <w:rPr>
          <w:rFonts w:hint="eastAsia" w:ascii="宋体" w:hAnsi="宋体"/>
          <w:color w:val="auto"/>
          <w:sz w:val="24"/>
        </w:rPr>
        <w:t>9.2承包人的施工安全责任</w:t>
      </w:r>
    </w:p>
    <w:p w14:paraId="1DC7436B">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9.2.1承包人向监理人报送施工安全措施计划的期限：</w:t>
      </w:r>
      <w:r>
        <w:rPr>
          <w:rFonts w:hint="eastAsia" w:ascii="宋体" w:hAnsi="宋体" w:cs="宋体"/>
          <w:color w:val="auto"/>
          <w:u w:val="single"/>
        </w:rPr>
        <w:t>在收到监理人按照通用合同条款第11.1.1项发出的开工通知后7天内。</w:t>
      </w:r>
      <w:r>
        <w:rPr>
          <w:color w:val="auto"/>
        </w:rPr>
        <w:fldChar w:fldCharType="begin"/>
      </w:r>
      <w:r>
        <w:rPr>
          <w:color w:val="auto"/>
        </w:rPr>
        <w:instrText xml:space="preserve"> AUTOTEXT  input465 \* MERGEFORMAT </w:instrText>
      </w:r>
      <w:r>
        <w:rPr>
          <w:color w:val="auto"/>
        </w:rPr>
        <w:fldChar w:fldCharType="end"/>
      </w:r>
    </w:p>
    <w:p w14:paraId="650BBEED">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监理人收到承包人报送的施工安全措施计划后应当在</w:t>
      </w:r>
      <w:r>
        <w:rPr>
          <w:rFonts w:hint="eastAsia" w:ascii="宋体" w:hAnsi="宋体" w:cs="宋体"/>
          <w:color w:val="auto"/>
          <w:u w:val="single"/>
        </w:rPr>
        <w:t>7</w:t>
      </w:r>
      <w:r>
        <w:rPr>
          <w:color w:val="auto"/>
        </w:rPr>
        <w:fldChar w:fldCharType="begin"/>
      </w:r>
      <w:r>
        <w:rPr>
          <w:color w:val="auto"/>
        </w:rPr>
        <w:instrText xml:space="preserve"> AUTOTEXT  input466 \* MERGEFORMAT </w:instrText>
      </w:r>
      <w:r>
        <w:rPr>
          <w:color w:val="auto"/>
        </w:rPr>
        <w:fldChar w:fldCharType="end"/>
      </w:r>
      <w:r>
        <w:rPr>
          <w:rFonts w:hint="eastAsia" w:ascii="宋体" w:hAnsi="宋体"/>
          <w:color w:val="auto"/>
          <w:szCs w:val="21"/>
        </w:rPr>
        <w:t>天内给予批复。</w:t>
      </w:r>
    </w:p>
    <w:p w14:paraId="1E4DBF9D">
      <w:pPr>
        <w:adjustRightInd w:val="0"/>
        <w:snapToGrid w:val="0"/>
        <w:spacing w:line="360" w:lineRule="auto"/>
        <w:rPr>
          <w:rFonts w:ascii="宋体" w:hAnsi="宋体"/>
          <w:color w:val="auto"/>
          <w:sz w:val="24"/>
        </w:rPr>
      </w:pPr>
      <w:r>
        <w:rPr>
          <w:rFonts w:hint="eastAsia" w:ascii="宋体" w:hAnsi="宋体"/>
          <w:color w:val="auto"/>
          <w:sz w:val="24"/>
        </w:rPr>
        <w:t>9.3治安保卫</w:t>
      </w:r>
    </w:p>
    <w:p w14:paraId="058773B8">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9.3.3制定施工场地治安管理计划和突发治安事件紧急预案的责任人：</w:t>
      </w:r>
      <w:r>
        <w:rPr>
          <w:rFonts w:hint="eastAsia" w:ascii="宋体" w:hAnsi="宋体" w:cs="宋体"/>
          <w:color w:val="auto"/>
          <w:u w:val="single"/>
        </w:rPr>
        <w:t>承包人</w:t>
      </w:r>
      <w:r>
        <w:rPr>
          <w:color w:val="auto"/>
        </w:rPr>
        <w:fldChar w:fldCharType="begin"/>
      </w:r>
      <w:r>
        <w:rPr>
          <w:color w:val="auto"/>
        </w:rPr>
        <w:instrText xml:space="preserve"> AUTOTEXT  input467 \* MERGEFORMAT </w:instrText>
      </w:r>
      <w:r>
        <w:rPr>
          <w:color w:val="auto"/>
        </w:rPr>
        <w:fldChar w:fldCharType="end"/>
      </w:r>
    </w:p>
    <w:p w14:paraId="6AF839A8">
      <w:pPr>
        <w:adjustRightInd w:val="0"/>
        <w:snapToGrid w:val="0"/>
        <w:spacing w:line="360" w:lineRule="auto"/>
        <w:rPr>
          <w:rFonts w:ascii="宋体" w:hAnsi="宋体"/>
          <w:color w:val="auto"/>
          <w:sz w:val="24"/>
        </w:rPr>
      </w:pPr>
      <w:r>
        <w:rPr>
          <w:rFonts w:hint="eastAsia" w:ascii="宋体" w:hAnsi="宋体"/>
          <w:color w:val="auto"/>
          <w:sz w:val="24"/>
        </w:rPr>
        <w:t>9.4环境保护</w:t>
      </w:r>
    </w:p>
    <w:p w14:paraId="30DE6A2A">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9.4.</w:t>
      </w:r>
      <w:r>
        <w:rPr>
          <w:rFonts w:ascii="宋体" w:hAnsi="宋体"/>
          <w:color w:val="auto"/>
          <w:szCs w:val="21"/>
        </w:rPr>
        <w:t>3</w:t>
      </w:r>
      <w:r>
        <w:rPr>
          <w:rFonts w:hint="eastAsia" w:ascii="宋体" w:hAnsi="宋体"/>
          <w:color w:val="auto"/>
          <w:szCs w:val="21"/>
        </w:rPr>
        <w:t>施工环保措施计划报送监理人审批的时间：</w:t>
      </w:r>
      <w:r>
        <w:rPr>
          <w:rFonts w:hint="eastAsia" w:ascii="宋体" w:hAnsi="宋体" w:cs="宋体"/>
          <w:color w:val="auto"/>
          <w:u w:val="single"/>
        </w:rPr>
        <w:t>签订合同后7天内</w:t>
      </w:r>
      <w:r>
        <w:rPr>
          <w:color w:val="auto"/>
        </w:rPr>
        <w:fldChar w:fldCharType="begin"/>
      </w:r>
      <w:r>
        <w:rPr>
          <w:color w:val="auto"/>
        </w:rPr>
        <w:instrText xml:space="preserve"> AUTOTEXT  input468 \* MERGEFORMAT </w:instrText>
      </w:r>
      <w:r>
        <w:rPr>
          <w:color w:val="auto"/>
        </w:rPr>
        <w:fldChar w:fldCharType="end"/>
      </w:r>
    </w:p>
    <w:p w14:paraId="79D7889A">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监理人收到承包人报送的施工环保措施计划后应当在</w:t>
      </w:r>
      <w:r>
        <w:rPr>
          <w:rFonts w:hint="eastAsia" w:ascii="宋体" w:hAnsi="宋体" w:cs="宋体"/>
          <w:color w:val="auto"/>
          <w:u w:val="single"/>
        </w:rPr>
        <w:t>7</w:t>
      </w:r>
      <w:r>
        <w:rPr>
          <w:color w:val="auto"/>
        </w:rPr>
        <w:fldChar w:fldCharType="begin"/>
      </w:r>
      <w:r>
        <w:rPr>
          <w:color w:val="auto"/>
        </w:rPr>
        <w:instrText xml:space="preserve"> AUTOTEXT  input469 \* MERGEFORMAT </w:instrText>
      </w:r>
      <w:r>
        <w:rPr>
          <w:color w:val="auto"/>
        </w:rPr>
        <w:fldChar w:fldCharType="end"/>
      </w:r>
      <w:r>
        <w:rPr>
          <w:rFonts w:hint="eastAsia" w:ascii="宋体" w:hAnsi="宋体"/>
          <w:color w:val="auto"/>
          <w:szCs w:val="21"/>
        </w:rPr>
        <w:t>天内给予批复。</w:t>
      </w:r>
    </w:p>
    <w:p w14:paraId="7914E7FF">
      <w:pPr>
        <w:adjustRightInd w:val="0"/>
        <w:snapToGrid w:val="0"/>
        <w:spacing w:line="360" w:lineRule="auto"/>
        <w:rPr>
          <w:rFonts w:ascii="宋体" w:hAnsi="宋体"/>
          <w:color w:val="auto"/>
          <w:sz w:val="24"/>
        </w:rPr>
      </w:pPr>
      <w:r>
        <w:rPr>
          <w:rFonts w:hint="eastAsia" w:ascii="宋体" w:hAnsi="宋体"/>
          <w:color w:val="auto"/>
          <w:sz w:val="24"/>
        </w:rPr>
        <w:t>9.6  施工现场安全生产标准化管理目标</w:t>
      </w:r>
    </w:p>
    <w:p w14:paraId="28E0B933">
      <w:pPr>
        <w:adjustRightInd w:val="0"/>
        <w:snapToGrid w:val="0"/>
        <w:spacing w:line="360" w:lineRule="auto"/>
        <w:ind w:firstLine="420" w:firstLineChars="200"/>
        <w:jc w:val="left"/>
        <w:rPr>
          <w:rFonts w:ascii="宋体" w:hAnsi="宋体" w:cs="宋体"/>
          <w:color w:val="auto"/>
          <w:u w:val="single"/>
        </w:rPr>
      </w:pPr>
      <w:r>
        <w:rPr>
          <w:rFonts w:hint="eastAsia" w:ascii="宋体" w:hAnsi="宋体"/>
          <w:color w:val="auto"/>
          <w:szCs w:val="21"/>
        </w:rPr>
        <w:t>9.6.</w:t>
      </w:r>
      <w:r>
        <w:rPr>
          <w:rFonts w:ascii="宋体" w:hAnsi="宋体"/>
          <w:color w:val="auto"/>
          <w:szCs w:val="21"/>
        </w:rPr>
        <w:t>1</w:t>
      </w:r>
      <w:r>
        <w:rPr>
          <w:rFonts w:hint="eastAsia" w:ascii="宋体" w:hAnsi="宋体"/>
          <w:color w:val="auto"/>
          <w:szCs w:val="21"/>
        </w:rPr>
        <w:t>未达到合同协议书中约定的安全生产标准化管理目标等级的违约金或损失赔偿金的金额或者计算方法：</w:t>
      </w:r>
      <w:r>
        <w:rPr>
          <w:rFonts w:hint="eastAsia" w:ascii="宋体" w:hAnsi="宋体" w:cs="宋体"/>
          <w:color w:val="auto"/>
          <w:u w:val="single"/>
        </w:rPr>
        <w:t>承包人支付的违约金或损失赔偿金不宜高于合同约定的标准化管理目标等级和实际考核评定、认定的目标等级之间所需投入费用的差额。</w:t>
      </w:r>
    </w:p>
    <w:p w14:paraId="0654BB83">
      <w:pPr>
        <w:adjustRightInd w:val="0"/>
        <w:snapToGrid w:val="0"/>
        <w:spacing w:line="360" w:lineRule="auto"/>
        <w:ind w:firstLine="420" w:firstLineChars="200"/>
        <w:jc w:val="left"/>
        <w:rPr>
          <w:rFonts w:ascii="宋体" w:hAnsi="宋体" w:cs="宋体"/>
          <w:color w:val="auto"/>
          <w:u w:val="single"/>
        </w:rPr>
      </w:pPr>
      <w:r>
        <w:rPr>
          <w:rFonts w:hint="eastAsia" w:ascii="宋体" w:hAnsi="宋体" w:cs="宋体"/>
          <w:color w:val="auto"/>
          <w:u w:val="single"/>
        </w:rPr>
        <w:t>发生时按下列公式计算： A=(1－K1÷K2)×F其中：A—计算的违约损失赔偿金</w:t>
      </w:r>
    </w:p>
    <w:p w14:paraId="6DC01C5E">
      <w:pPr>
        <w:adjustRightInd w:val="0"/>
        <w:snapToGrid w:val="0"/>
        <w:spacing w:line="360" w:lineRule="auto"/>
        <w:ind w:firstLine="420" w:firstLineChars="200"/>
        <w:jc w:val="left"/>
        <w:rPr>
          <w:rFonts w:ascii="宋体" w:hAnsi="宋体" w:cs="宋体"/>
          <w:color w:val="auto"/>
          <w:u w:val="single"/>
        </w:rPr>
      </w:pPr>
      <w:r>
        <w:rPr>
          <w:rFonts w:hint="eastAsia" w:ascii="宋体" w:hAnsi="宋体" w:cs="宋体"/>
          <w:color w:val="auto"/>
          <w:u w:val="single"/>
        </w:rPr>
        <w:t>K1—标准化考评认定等级对应“《北京市住房和城乡建设委员会关于明确安全文明施工费中常态化疫情防控措施费用标准的通知》（京建发〔2022〕190号）”规定的标准费率</w:t>
      </w:r>
    </w:p>
    <w:p w14:paraId="4205FB42">
      <w:pPr>
        <w:adjustRightInd w:val="0"/>
        <w:snapToGrid w:val="0"/>
        <w:spacing w:line="360" w:lineRule="auto"/>
        <w:ind w:firstLine="420" w:firstLineChars="200"/>
        <w:jc w:val="left"/>
        <w:rPr>
          <w:rFonts w:ascii="宋体" w:hAnsi="宋体" w:cs="宋体"/>
          <w:color w:val="auto"/>
          <w:u w:val="single"/>
        </w:rPr>
      </w:pPr>
      <w:r>
        <w:rPr>
          <w:rFonts w:hint="eastAsia" w:ascii="宋体" w:hAnsi="宋体" w:cs="宋体"/>
          <w:color w:val="auto"/>
          <w:u w:val="single"/>
        </w:rPr>
        <w:t>K2—合同约定的管理目标等级对应“《北京市住房和城乡建设委员会关于明确安全文明施工费中常态化疫情防控措施费用标准的通知》（京建发〔2022〕190号）”规定的标准费率</w:t>
      </w:r>
    </w:p>
    <w:p w14:paraId="3122E245">
      <w:pPr>
        <w:adjustRightInd w:val="0"/>
        <w:snapToGrid w:val="0"/>
        <w:spacing w:line="360" w:lineRule="auto"/>
        <w:ind w:firstLine="420" w:firstLineChars="200"/>
        <w:jc w:val="left"/>
        <w:rPr>
          <w:rFonts w:ascii="宋体" w:hAnsi="宋体"/>
          <w:color w:val="auto"/>
          <w:szCs w:val="21"/>
        </w:rPr>
      </w:pPr>
      <w:r>
        <w:rPr>
          <w:rFonts w:hint="eastAsia" w:ascii="宋体" w:hAnsi="宋体" w:cs="宋体"/>
          <w:color w:val="auto"/>
          <w:u w:val="single"/>
        </w:rPr>
        <w:t>F—合同中载明的安全生产标准化措施费总额</w:t>
      </w:r>
      <w:r>
        <w:rPr>
          <w:color w:val="auto"/>
        </w:rPr>
        <w:fldChar w:fldCharType="begin"/>
      </w:r>
      <w:r>
        <w:rPr>
          <w:color w:val="auto"/>
        </w:rPr>
        <w:instrText xml:space="preserve"> AUTOTEXT  input883 \* MERGEFORMAT </w:instrText>
      </w:r>
      <w:r>
        <w:rPr>
          <w:color w:val="auto"/>
        </w:rPr>
        <w:fldChar w:fldCharType="end"/>
      </w:r>
    </w:p>
    <w:p w14:paraId="6E884936">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9.6.</w:t>
      </w:r>
      <w:r>
        <w:rPr>
          <w:rFonts w:ascii="宋体" w:hAnsi="宋体"/>
          <w:color w:val="auto"/>
          <w:szCs w:val="21"/>
        </w:rPr>
        <w:t>2</w:t>
      </w:r>
      <w:r>
        <w:rPr>
          <w:rFonts w:hint="eastAsia" w:ascii="宋体" w:hAnsi="宋体"/>
          <w:color w:val="auto"/>
          <w:szCs w:val="21"/>
        </w:rPr>
        <w:t>发包人</w:t>
      </w:r>
      <w:r>
        <w:rPr>
          <w:rFonts w:hint="eastAsia" w:ascii="宋体" w:hAnsi="宋体" w:cs="宋体"/>
          <w:color w:val="auto"/>
          <w:u w:val="single"/>
        </w:rPr>
        <w:t>不给予</w:t>
      </w:r>
      <w:r>
        <w:rPr>
          <w:color w:val="auto"/>
        </w:rPr>
        <w:fldChar w:fldCharType="begin"/>
      </w:r>
      <w:r>
        <w:rPr>
          <w:color w:val="auto"/>
        </w:rPr>
        <w:instrText xml:space="preserve"> AUTOTEXT  input884 \* MERGEFORMAT </w:instrText>
      </w:r>
      <w:r>
        <w:rPr>
          <w:color w:val="auto"/>
        </w:rPr>
        <w:fldChar w:fldCharType="end"/>
      </w:r>
      <w:r>
        <w:rPr>
          <w:rFonts w:hint="eastAsia" w:ascii="宋体" w:hAnsi="宋体"/>
          <w:color w:val="auto"/>
          <w:szCs w:val="21"/>
        </w:rPr>
        <w:t>（给予/不给予）承包人创优奖励。发包人给予承包人创优奖励的，创优奖励金额或者计算方法：</w:t>
      </w:r>
      <w:r>
        <w:rPr>
          <w:rFonts w:ascii="宋体" w:hAnsi="宋体" w:cs="宋体"/>
          <w:color w:val="auto"/>
          <w:u w:val="single"/>
        </w:rPr>
        <w:t xml:space="preserve">  /  </w:t>
      </w:r>
      <w:r>
        <w:rPr>
          <w:color w:val="auto"/>
        </w:rPr>
        <w:fldChar w:fldCharType="begin"/>
      </w:r>
      <w:r>
        <w:rPr>
          <w:color w:val="auto"/>
        </w:rPr>
        <w:instrText xml:space="preserve"> AUTOTEXT  input888 \* MERGEFORMAT </w:instrText>
      </w:r>
      <w:r>
        <w:rPr>
          <w:color w:val="auto"/>
        </w:rPr>
        <w:fldChar w:fldCharType="end"/>
      </w:r>
    </w:p>
    <w:p w14:paraId="33F2F644">
      <w:pPr>
        <w:adjustRightInd w:val="0"/>
        <w:snapToGrid w:val="0"/>
        <w:spacing w:line="360" w:lineRule="auto"/>
        <w:rPr>
          <w:rFonts w:ascii="宋体" w:hAnsi="宋体"/>
          <w:color w:val="auto"/>
          <w:sz w:val="24"/>
        </w:rPr>
      </w:pPr>
      <w:r>
        <w:rPr>
          <w:rFonts w:hint="eastAsia" w:ascii="宋体" w:hAnsi="宋体"/>
          <w:color w:val="auto"/>
          <w:sz w:val="24"/>
        </w:rPr>
        <w:t>9.7 特殊</w:t>
      </w:r>
      <w:r>
        <w:rPr>
          <w:rFonts w:hint="eastAsia" w:ascii="宋体" w:hAnsi="宋体"/>
          <w:color w:val="auto"/>
          <w:sz w:val="24"/>
          <w:szCs w:val="24"/>
        </w:rPr>
        <w:t>安全生产标准化</w:t>
      </w:r>
    </w:p>
    <w:p w14:paraId="624903BF">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9.7.</w:t>
      </w:r>
      <w:r>
        <w:rPr>
          <w:rFonts w:ascii="宋体" w:hAnsi="宋体"/>
          <w:color w:val="auto"/>
          <w:szCs w:val="21"/>
        </w:rPr>
        <w:t>1</w:t>
      </w:r>
      <w:r>
        <w:rPr>
          <w:rFonts w:hint="eastAsia" w:ascii="宋体" w:hAnsi="宋体"/>
          <w:color w:val="auto"/>
          <w:szCs w:val="21"/>
        </w:rPr>
        <w:t xml:space="preserve"> 未达到合同约定的特殊安全生产标准化要求的违约金或损失赔偿金的金额或者计算方法：</w:t>
      </w:r>
    </w:p>
    <w:p w14:paraId="58D991C6">
      <w:pPr>
        <w:adjustRightInd w:val="0"/>
        <w:snapToGrid w:val="0"/>
        <w:spacing w:line="360" w:lineRule="auto"/>
        <w:ind w:firstLine="420" w:firstLineChars="200"/>
        <w:jc w:val="left"/>
        <w:rPr>
          <w:rFonts w:ascii="宋体" w:hAnsi="宋体"/>
          <w:color w:val="auto"/>
          <w:szCs w:val="21"/>
          <w:u w:val="single"/>
        </w:rPr>
      </w:pPr>
      <w:r>
        <w:rPr>
          <w:rFonts w:hint="eastAsia" w:ascii="宋体" w:hAnsi="宋体" w:cs="宋体"/>
          <w:color w:val="auto"/>
          <w:u w:val="single"/>
        </w:rPr>
        <w:t>另行协商</w:t>
      </w:r>
      <w:r>
        <w:rPr>
          <w:rFonts w:ascii="宋体" w:hAnsi="宋体" w:cs="宋体"/>
          <w:color w:val="auto"/>
          <w:u w:val="single"/>
        </w:rPr>
        <w:t>。</w:t>
      </w:r>
      <w:r>
        <w:rPr>
          <w:color w:val="auto"/>
        </w:rPr>
        <w:fldChar w:fldCharType="begin"/>
      </w:r>
      <w:r>
        <w:rPr>
          <w:color w:val="auto"/>
        </w:rPr>
        <w:instrText xml:space="preserve"> AUTOTEXT  input885 \* MERGEFORMAT </w:instrText>
      </w:r>
      <w:r>
        <w:rPr>
          <w:color w:val="auto"/>
        </w:rPr>
        <w:fldChar w:fldCharType="end"/>
      </w:r>
    </w:p>
    <w:p w14:paraId="13DBCAAF">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9.7.</w:t>
      </w:r>
      <w:r>
        <w:rPr>
          <w:rFonts w:ascii="宋体" w:hAnsi="宋体"/>
          <w:color w:val="auto"/>
          <w:szCs w:val="21"/>
        </w:rPr>
        <w:t>2</w:t>
      </w:r>
      <w:r>
        <w:rPr>
          <w:rFonts w:hint="eastAsia" w:ascii="宋体" w:hAnsi="宋体"/>
          <w:color w:val="auto"/>
          <w:szCs w:val="21"/>
        </w:rPr>
        <w:t xml:space="preserve">  发包人</w:t>
      </w:r>
      <w:r>
        <w:rPr>
          <w:rFonts w:hint="eastAsia" w:ascii="宋体" w:hAnsi="宋体" w:cs="宋体"/>
          <w:color w:val="auto"/>
          <w:u w:val="single"/>
        </w:rPr>
        <w:t>不给予</w:t>
      </w:r>
      <w:r>
        <w:rPr>
          <w:color w:val="auto"/>
        </w:rPr>
        <w:fldChar w:fldCharType="begin"/>
      </w:r>
      <w:r>
        <w:rPr>
          <w:color w:val="auto"/>
        </w:rPr>
        <w:instrText xml:space="preserve"> AUTOTEXT  input886 \* MERGEFORMAT </w:instrText>
      </w:r>
      <w:r>
        <w:rPr>
          <w:color w:val="auto"/>
        </w:rPr>
        <w:fldChar w:fldCharType="end"/>
      </w:r>
      <w:r>
        <w:rPr>
          <w:rFonts w:hint="eastAsia" w:ascii="宋体" w:hAnsi="宋体"/>
          <w:color w:val="auto"/>
          <w:szCs w:val="21"/>
        </w:rPr>
        <w:t>（给予/不给予）承包人创优奖励。发包人给予承包人创优奖励的，创优奖励金额或者计算方法：</w:t>
      </w:r>
      <w:r>
        <w:rPr>
          <w:rFonts w:ascii="宋体" w:hAnsi="宋体" w:cs="宋体"/>
          <w:color w:val="auto"/>
          <w:u w:val="single"/>
        </w:rPr>
        <w:t xml:space="preserve">  /  </w:t>
      </w:r>
      <w:r>
        <w:rPr>
          <w:color w:val="auto"/>
        </w:rPr>
        <w:fldChar w:fldCharType="begin"/>
      </w:r>
      <w:r>
        <w:rPr>
          <w:color w:val="auto"/>
        </w:rPr>
        <w:instrText xml:space="preserve"> AUTOTEXT  input887 \* MERGEFORMAT </w:instrText>
      </w:r>
      <w:r>
        <w:rPr>
          <w:color w:val="auto"/>
        </w:rPr>
        <w:fldChar w:fldCharType="end"/>
      </w:r>
    </w:p>
    <w:p w14:paraId="53081A8F">
      <w:pPr>
        <w:adjustRightInd w:val="0"/>
        <w:snapToGrid w:val="0"/>
        <w:spacing w:line="360" w:lineRule="auto"/>
        <w:outlineLvl w:val="1"/>
        <w:rPr>
          <w:rFonts w:ascii="宋体" w:hAnsi="宋体"/>
          <w:color w:val="auto"/>
          <w:sz w:val="28"/>
        </w:rPr>
      </w:pPr>
      <w:bookmarkStart w:id="1195" w:name="_Toc21496"/>
      <w:bookmarkStart w:id="1196" w:name="_Toc20947"/>
      <w:r>
        <w:rPr>
          <w:rFonts w:hint="eastAsia" w:ascii="宋体" w:hAnsi="宋体"/>
          <w:color w:val="auto"/>
          <w:sz w:val="28"/>
        </w:rPr>
        <w:t>10.进度计划</w:t>
      </w:r>
      <w:bookmarkEnd w:id="1195"/>
      <w:bookmarkEnd w:id="1196"/>
    </w:p>
    <w:p w14:paraId="420470B6">
      <w:pPr>
        <w:adjustRightInd w:val="0"/>
        <w:snapToGrid w:val="0"/>
        <w:spacing w:line="360" w:lineRule="auto"/>
        <w:rPr>
          <w:rFonts w:ascii="宋体" w:hAnsi="宋体"/>
          <w:color w:val="auto"/>
          <w:sz w:val="24"/>
        </w:rPr>
      </w:pPr>
      <w:r>
        <w:rPr>
          <w:rFonts w:hint="eastAsia" w:ascii="宋体" w:hAnsi="宋体"/>
          <w:color w:val="auto"/>
          <w:sz w:val="24"/>
        </w:rPr>
        <w:t>10.1合同进度计划</w:t>
      </w:r>
    </w:p>
    <w:p w14:paraId="1C12911F">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10.1.1承包人编制施工进度计划和施工方案说明的内容：</w:t>
      </w:r>
    </w:p>
    <w:p w14:paraId="31309EFD">
      <w:pPr>
        <w:adjustRightInd w:val="0"/>
        <w:snapToGrid w:val="0"/>
        <w:spacing w:line="360" w:lineRule="auto"/>
        <w:ind w:firstLine="420" w:firstLineChars="200"/>
        <w:jc w:val="left"/>
        <w:rPr>
          <w:rFonts w:ascii="宋体" w:hAnsi="宋体"/>
          <w:color w:val="auto"/>
          <w:szCs w:val="21"/>
        </w:rPr>
      </w:pPr>
      <w:r>
        <w:rPr>
          <w:rFonts w:hint="eastAsia" w:ascii="宋体" w:hAnsi="宋体" w:cs="宋体"/>
          <w:color w:val="auto"/>
          <w:u w:val="single"/>
        </w:rPr>
        <w:t>承包人在投标文件中提交的施工进度计划和施工方案的基础上，按照投标阶段承诺的总进度计划关键线路目标以及施工顺序和方法要点，结合现场和项目实际情况进行优化和细化。其中进度计划必须同时包括能够有效反映施工关键线路的甘特图与网络图形式，施工总进度计划的内容包括：编制说明，施工总进度计划表，分期分批工程的开工日期、完工日期及工期一览表，资源需要量及供应平衡表等，施工进度计划中还应载明要求发包人组织设计人进行阶段性工程设计交底的时间。</w:t>
      </w:r>
      <w:r>
        <w:rPr>
          <w:color w:val="auto"/>
        </w:rPr>
        <w:fldChar w:fldCharType="begin"/>
      </w:r>
      <w:r>
        <w:rPr>
          <w:color w:val="auto"/>
        </w:rPr>
        <w:instrText xml:space="preserve"> AUTOTEXT  input470 \* MERGEFORMAT </w:instrText>
      </w:r>
      <w:r>
        <w:rPr>
          <w:color w:val="auto"/>
        </w:rPr>
        <w:fldChar w:fldCharType="end"/>
      </w:r>
    </w:p>
    <w:p w14:paraId="5C87679B">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10.1.2</w:t>
      </w:r>
      <w:r>
        <w:rPr>
          <w:rFonts w:ascii="宋体" w:hAnsi="宋体"/>
          <w:color w:val="auto"/>
          <w:szCs w:val="21"/>
        </w:rPr>
        <w:t>承包</w:t>
      </w:r>
      <w:r>
        <w:rPr>
          <w:rFonts w:hint="eastAsia" w:ascii="宋体" w:hAnsi="宋体"/>
          <w:color w:val="auto"/>
          <w:szCs w:val="21"/>
        </w:rPr>
        <w:t>人编制</w:t>
      </w:r>
      <w:r>
        <w:rPr>
          <w:rFonts w:ascii="宋体" w:hAnsi="宋体"/>
          <w:color w:val="auto"/>
          <w:szCs w:val="21"/>
        </w:rPr>
        <w:t>分阶段或分项</w:t>
      </w:r>
      <w:r>
        <w:rPr>
          <w:rFonts w:hint="eastAsia" w:ascii="宋体" w:hAnsi="宋体"/>
          <w:color w:val="auto"/>
          <w:szCs w:val="21"/>
        </w:rPr>
        <w:t>施工</w:t>
      </w:r>
      <w:r>
        <w:rPr>
          <w:rFonts w:ascii="宋体" w:hAnsi="宋体"/>
          <w:color w:val="auto"/>
          <w:szCs w:val="21"/>
        </w:rPr>
        <w:t>进度计划</w:t>
      </w:r>
      <w:r>
        <w:rPr>
          <w:rFonts w:hint="eastAsia" w:ascii="宋体" w:hAnsi="宋体"/>
          <w:color w:val="auto"/>
          <w:szCs w:val="21"/>
        </w:rPr>
        <w:t>和施工方案说明</w:t>
      </w:r>
      <w:r>
        <w:rPr>
          <w:rFonts w:ascii="宋体" w:hAnsi="宋体"/>
          <w:color w:val="auto"/>
          <w:szCs w:val="21"/>
        </w:rPr>
        <w:t>的内容</w:t>
      </w:r>
      <w:r>
        <w:rPr>
          <w:rFonts w:hint="eastAsia" w:ascii="宋体" w:hAnsi="宋体"/>
          <w:color w:val="auto"/>
          <w:szCs w:val="21"/>
        </w:rPr>
        <w:t>及时限要求：</w:t>
      </w:r>
    </w:p>
    <w:p w14:paraId="767A25DF">
      <w:pPr>
        <w:adjustRightInd w:val="0"/>
        <w:snapToGrid w:val="0"/>
        <w:spacing w:line="360" w:lineRule="auto"/>
        <w:ind w:firstLine="420" w:firstLineChars="200"/>
        <w:jc w:val="left"/>
        <w:rPr>
          <w:rFonts w:ascii="宋体" w:hAnsi="宋体"/>
          <w:color w:val="auto"/>
          <w:szCs w:val="21"/>
        </w:rPr>
      </w:pPr>
      <w:r>
        <w:rPr>
          <w:rFonts w:hint="eastAsia" w:ascii="宋体" w:hAnsi="宋体" w:cs="宋体"/>
          <w:color w:val="auto"/>
          <w:u w:val="single"/>
        </w:rPr>
        <w:t>监理人可以要求承包人在合同进度计划的基础上编制更为详细的分阶段和分项目的进度计划，特别是在合同进度计划关键线路上的单位工程或分部工程。监理人也可以要求承包人编制专项施工方案，对达到一定规模的危险性较大的分部分项工程编制专项施工方案，承包人应当附有安全验算结果。承包人应在监理人要求的时限内完成编制。</w:t>
      </w:r>
      <w:r>
        <w:rPr>
          <w:color w:val="auto"/>
        </w:rPr>
        <w:fldChar w:fldCharType="begin"/>
      </w:r>
      <w:r>
        <w:rPr>
          <w:color w:val="auto"/>
        </w:rPr>
        <w:instrText xml:space="preserve"> AUTOTEXT  input471 \* MERGEFORMAT </w:instrText>
      </w:r>
      <w:r>
        <w:rPr>
          <w:color w:val="auto"/>
        </w:rPr>
        <w:fldChar w:fldCharType="end"/>
      </w:r>
    </w:p>
    <w:p w14:paraId="07F24658">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10.1.3群体工程中有关编制进度计划和施工方案说明的要求：</w:t>
      </w:r>
    </w:p>
    <w:p w14:paraId="334BCC0A">
      <w:pPr>
        <w:adjustRightInd w:val="0"/>
        <w:snapToGrid w:val="0"/>
        <w:spacing w:line="360" w:lineRule="auto"/>
        <w:ind w:firstLine="420" w:firstLineChars="200"/>
        <w:jc w:val="left"/>
        <w:rPr>
          <w:rFonts w:ascii="宋体" w:hAnsi="宋体"/>
          <w:color w:val="auto"/>
          <w:szCs w:val="21"/>
        </w:rPr>
      </w:pPr>
      <w:r>
        <w:rPr>
          <w:rFonts w:ascii="宋体" w:hAnsi="宋体" w:cs="宋体"/>
          <w:color w:val="auto"/>
          <w:u w:val="single"/>
        </w:rPr>
        <w:t xml:space="preserve">  /  </w:t>
      </w:r>
      <w:r>
        <w:rPr>
          <w:color w:val="auto"/>
        </w:rPr>
        <w:fldChar w:fldCharType="begin"/>
      </w:r>
      <w:r>
        <w:rPr>
          <w:color w:val="auto"/>
        </w:rPr>
        <w:instrText xml:space="preserve"> AUTOTEXT  input473 \* MERGEFORMAT </w:instrText>
      </w:r>
      <w:r>
        <w:rPr>
          <w:color w:val="auto"/>
        </w:rPr>
        <w:fldChar w:fldCharType="end"/>
      </w:r>
    </w:p>
    <w:p w14:paraId="78B16711">
      <w:pPr>
        <w:adjustRightInd w:val="0"/>
        <w:snapToGrid w:val="0"/>
        <w:spacing w:line="360" w:lineRule="auto"/>
        <w:rPr>
          <w:rFonts w:ascii="宋体" w:hAnsi="宋体"/>
          <w:color w:val="auto"/>
          <w:sz w:val="24"/>
        </w:rPr>
      </w:pPr>
      <w:r>
        <w:rPr>
          <w:rFonts w:hint="eastAsia" w:ascii="宋体" w:hAnsi="宋体"/>
          <w:color w:val="auto"/>
          <w:sz w:val="24"/>
        </w:rPr>
        <w:t>10.2合同进度计划的修订</w:t>
      </w:r>
    </w:p>
    <w:p w14:paraId="11366586">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10.2.1承包人报送修订合同进度计划申请报告和相关资料的期限：</w:t>
      </w:r>
      <w:r>
        <w:rPr>
          <w:rFonts w:hint="eastAsia" w:ascii="宋体" w:hAnsi="宋体" w:cs="宋体"/>
          <w:color w:val="auto"/>
          <w:u w:val="single"/>
        </w:rPr>
        <w:t>合同</w:t>
      </w:r>
      <w:r>
        <w:rPr>
          <w:rFonts w:hint="default" w:ascii="宋体" w:hAnsi="宋体" w:cs="宋体"/>
          <w:color w:val="auto"/>
          <w:u w:val="single"/>
          <w:lang w:val="en-US"/>
        </w:rPr>
        <w:t>进度出现延期</w:t>
      </w:r>
      <w:r>
        <w:rPr>
          <w:rFonts w:hint="eastAsia" w:ascii="宋体" w:hAnsi="宋体" w:cs="宋体"/>
          <w:color w:val="auto"/>
          <w:u w:val="single"/>
        </w:rPr>
        <w:t>后7天内</w:t>
      </w:r>
      <w:r>
        <w:rPr>
          <w:color w:val="auto"/>
        </w:rPr>
        <w:fldChar w:fldCharType="begin"/>
      </w:r>
      <w:r>
        <w:rPr>
          <w:color w:val="auto"/>
        </w:rPr>
        <w:instrText xml:space="preserve"> AUTOTEXT  input474 \* MERGEFORMAT </w:instrText>
      </w:r>
      <w:r>
        <w:rPr>
          <w:color w:val="auto"/>
        </w:rPr>
        <w:fldChar w:fldCharType="end"/>
      </w:r>
    </w:p>
    <w:p w14:paraId="17A771EB">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监理人批复修订合同进度计划申请报告的期限：</w:t>
      </w:r>
      <w:r>
        <w:rPr>
          <w:rFonts w:hint="eastAsia" w:ascii="宋体" w:hAnsi="宋体" w:cs="宋体"/>
          <w:color w:val="auto"/>
          <w:u w:val="single"/>
        </w:rPr>
        <w:t>收到承包人报送的修订合同进度计划申请报告和相关资料后7天内</w:t>
      </w:r>
      <w:r>
        <w:rPr>
          <w:color w:val="auto"/>
        </w:rPr>
        <w:fldChar w:fldCharType="begin"/>
      </w:r>
      <w:r>
        <w:rPr>
          <w:color w:val="auto"/>
        </w:rPr>
        <w:instrText xml:space="preserve"> AUTOTEXT  input475 \* MERGEFORMAT </w:instrText>
      </w:r>
      <w:r>
        <w:rPr>
          <w:color w:val="auto"/>
        </w:rPr>
        <w:fldChar w:fldCharType="end"/>
      </w:r>
    </w:p>
    <w:p w14:paraId="4E24C3A2">
      <w:pPr>
        <w:adjustRightInd w:val="0"/>
        <w:snapToGrid w:val="0"/>
        <w:spacing w:line="360" w:lineRule="auto"/>
        <w:ind w:firstLine="420" w:firstLineChars="200"/>
        <w:jc w:val="left"/>
        <w:rPr>
          <w:rFonts w:ascii="宋体" w:hAnsi="宋体"/>
          <w:color w:val="auto"/>
          <w:szCs w:val="21"/>
          <w:u w:val="single"/>
        </w:rPr>
      </w:pPr>
      <w:r>
        <w:rPr>
          <w:rFonts w:hint="eastAsia" w:ascii="宋体" w:hAnsi="宋体"/>
          <w:color w:val="auto"/>
          <w:szCs w:val="21"/>
        </w:rPr>
        <w:t>10.2.2监理人批复修订合同进度计划的期限：</w:t>
      </w:r>
      <w:r>
        <w:rPr>
          <w:rFonts w:hint="eastAsia" w:ascii="宋体" w:hAnsi="宋体" w:cs="宋体"/>
          <w:color w:val="auto"/>
          <w:u w:val="single"/>
        </w:rPr>
        <w:t>收到承包人报送的修订合同进度计划申请报告和相关资料后7天内</w:t>
      </w:r>
      <w:r>
        <w:rPr>
          <w:color w:val="auto"/>
        </w:rPr>
        <w:fldChar w:fldCharType="begin"/>
      </w:r>
      <w:r>
        <w:rPr>
          <w:color w:val="auto"/>
        </w:rPr>
        <w:instrText xml:space="preserve"> AUTOTEXT  input476 \* MERGEFORMAT </w:instrText>
      </w:r>
      <w:r>
        <w:rPr>
          <w:color w:val="auto"/>
        </w:rPr>
        <w:fldChar w:fldCharType="end"/>
      </w:r>
    </w:p>
    <w:p w14:paraId="5B20B391">
      <w:pPr>
        <w:adjustRightInd w:val="0"/>
        <w:snapToGrid w:val="0"/>
        <w:spacing w:line="360" w:lineRule="auto"/>
        <w:rPr>
          <w:rFonts w:ascii="宋体" w:hAnsi="宋体"/>
          <w:color w:val="auto"/>
          <w:sz w:val="24"/>
        </w:rPr>
      </w:pPr>
      <w:r>
        <w:rPr>
          <w:rFonts w:hint="eastAsia" w:ascii="宋体" w:hAnsi="宋体"/>
          <w:color w:val="auto"/>
          <w:sz w:val="24"/>
        </w:rPr>
        <w:t>10.3合同进度计划的其他要求</w:t>
      </w:r>
    </w:p>
    <w:p w14:paraId="6EED736E">
      <w:pPr>
        <w:adjustRightInd w:val="0"/>
        <w:snapToGrid w:val="0"/>
        <w:spacing w:line="360" w:lineRule="auto"/>
        <w:jc w:val="left"/>
        <w:rPr>
          <w:rFonts w:ascii="宋体" w:hAnsi="宋体"/>
          <w:color w:val="auto"/>
          <w:szCs w:val="21"/>
        </w:rPr>
      </w:pPr>
      <w:r>
        <w:rPr>
          <w:rFonts w:ascii="宋体" w:hAnsi="宋体"/>
          <w:color w:val="auto"/>
          <w:szCs w:val="21"/>
        </w:rPr>
        <w:tab/>
      </w:r>
      <w:r>
        <w:rPr>
          <w:rFonts w:hint="eastAsia" w:ascii="宋体" w:hAnsi="宋体"/>
          <w:color w:val="auto"/>
          <w:szCs w:val="21"/>
        </w:rPr>
        <w:t>10.3.2 施工进度计划管理的人员配置要求：</w:t>
      </w:r>
      <w:r>
        <w:rPr>
          <w:rFonts w:ascii="宋体" w:hAnsi="宋体" w:cs="宋体"/>
          <w:color w:val="auto"/>
          <w:u w:val="single"/>
        </w:rPr>
        <w:t xml:space="preserve">  /  </w:t>
      </w:r>
      <w:r>
        <w:rPr>
          <w:rFonts w:ascii="宋体" w:hAnsi="宋体"/>
          <w:color w:val="auto"/>
          <w:szCs w:val="21"/>
          <w:u w:val="single"/>
        </w:rPr>
        <w:fldChar w:fldCharType="begin"/>
      </w:r>
      <w:r>
        <w:rPr>
          <w:rFonts w:ascii="宋体" w:hAnsi="宋体"/>
          <w:color w:val="auto"/>
          <w:szCs w:val="21"/>
          <w:u w:val="single"/>
        </w:rPr>
        <w:instrText xml:space="preserve"> AUTOTEXT  input875 \* MERGEFORMAT </w:instrText>
      </w:r>
      <w:r>
        <w:rPr>
          <w:rFonts w:ascii="宋体" w:hAnsi="宋体"/>
          <w:color w:val="auto"/>
          <w:szCs w:val="21"/>
          <w:u w:val="single"/>
        </w:rPr>
        <w:fldChar w:fldCharType="end"/>
      </w:r>
    </w:p>
    <w:p w14:paraId="329DC910">
      <w:pPr>
        <w:adjustRightInd w:val="0"/>
        <w:snapToGrid w:val="0"/>
        <w:spacing w:line="360" w:lineRule="auto"/>
        <w:jc w:val="left"/>
        <w:rPr>
          <w:rFonts w:ascii="宋体" w:hAnsi="宋体"/>
          <w:color w:val="auto"/>
          <w:szCs w:val="21"/>
        </w:rPr>
      </w:pPr>
      <w:r>
        <w:rPr>
          <w:rFonts w:ascii="宋体" w:hAnsi="宋体"/>
          <w:color w:val="auto"/>
          <w:szCs w:val="21"/>
        </w:rPr>
        <w:tab/>
      </w:r>
      <w:r>
        <w:rPr>
          <w:rFonts w:hint="eastAsia" w:ascii="宋体" w:hAnsi="宋体"/>
          <w:color w:val="auto"/>
          <w:szCs w:val="21"/>
        </w:rPr>
        <w:t>10.3.3 施工进度计划的计算机应用软件要求：</w:t>
      </w:r>
      <w:r>
        <w:rPr>
          <w:rFonts w:ascii="宋体" w:hAnsi="宋体" w:cs="宋体"/>
          <w:color w:val="auto"/>
          <w:u w:val="single"/>
        </w:rPr>
        <w:t xml:space="preserve"> /  </w:t>
      </w:r>
      <w:r>
        <w:rPr>
          <w:rFonts w:ascii="宋体" w:hAnsi="宋体"/>
          <w:color w:val="auto"/>
          <w:szCs w:val="21"/>
          <w:u w:val="single"/>
        </w:rPr>
        <w:fldChar w:fldCharType="begin"/>
      </w:r>
      <w:r>
        <w:rPr>
          <w:rFonts w:ascii="宋体" w:hAnsi="宋体"/>
          <w:color w:val="auto"/>
          <w:szCs w:val="21"/>
          <w:u w:val="single"/>
        </w:rPr>
        <w:instrText xml:space="preserve"> AUTOTEXT  input876 \* MERGEFORMAT </w:instrText>
      </w:r>
      <w:r>
        <w:rPr>
          <w:rFonts w:ascii="宋体" w:hAnsi="宋体"/>
          <w:color w:val="auto"/>
          <w:szCs w:val="21"/>
          <w:u w:val="single"/>
        </w:rPr>
        <w:fldChar w:fldCharType="end"/>
      </w:r>
    </w:p>
    <w:p w14:paraId="6D3182C9">
      <w:pPr>
        <w:adjustRightInd w:val="0"/>
        <w:snapToGrid w:val="0"/>
        <w:spacing w:line="360" w:lineRule="auto"/>
        <w:outlineLvl w:val="1"/>
        <w:rPr>
          <w:rFonts w:ascii="宋体" w:hAnsi="宋体"/>
          <w:color w:val="auto"/>
          <w:sz w:val="28"/>
        </w:rPr>
      </w:pPr>
      <w:bookmarkStart w:id="1197" w:name="_Toc19975"/>
      <w:bookmarkStart w:id="1198" w:name="_Toc4050"/>
      <w:r>
        <w:rPr>
          <w:rFonts w:hint="eastAsia" w:ascii="宋体" w:hAnsi="宋体"/>
          <w:color w:val="auto"/>
          <w:sz w:val="28"/>
        </w:rPr>
        <w:t>11.开工和竣工</w:t>
      </w:r>
      <w:bookmarkEnd w:id="1197"/>
      <w:bookmarkEnd w:id="1198"/>
    </w:p>
    <w:p w14:paraId="4F684785">
      <w:pPr>
        <w:adjustRightInd w:val="0"/>
        <w:snapToGrid w:val="0"/>
        <w:spacing w:line="360" w:lineRule="auto"/>
        <w:rPr>
          <w:rFonts w:ascii="宋体" w:hAnsi="宋体"/>
          <w:color w:val="auto"/>
          <w:sz w:val="24"/>
        </w:rPr>
      </w:pPr>
      <w:r>
        <w:rPr>
          <w:rFonts w:hint="eastAsia" w:ascii="宋体" w:hAnsi="宋体"/>
          <w:color w:val="auto"/>
          <w:sz w:val="24"/>
        </w:rPr>
        <w:t>11.3发包人的工期延误</w:t>
      </w:r>
    </w:p>
    <w:p w14:paraId="3C242BEA">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(8)发包人造成工期延误的其他原因：</w:t>
      </w:r>
    </w:p>
    <w:p w14:paraId="7A4BD6B0">
      <w:pPr>
        <w:adjustRightInd w:val="0"/>
        <w:snapToGrid w:val="0"/>
        <w:spacing w:line="360" w:lineRule="auto"/>
        <w:ind w:firstLine="420" w:firstLineChars="200"/>
        <w:jc w:val="left"/>
        <w:rPr>
          <w:rFonts w:ascii="宋体" w:hAnsi="宋体"/>
          <w:color w:val="auto"/>
          <w:szCs w:val="21"/>
        </w:rPr>
      </w:pPr>
      <w:r>
        <w:rPr>
          <w:rFonts w:ascii="宋体" w:hAnsi="宋体" w:cs="宋体"/>
          <w:color w:val="auto"/>
          <w:u w:val="single"/>
        </w:rPr>
        <w:t xml:space="preserve">  /  </w:t>
      </w:r>
      <w:r>
        <w:rPr>
          <w:color w:val="auto"/>
        </w:rPr>
        <w:fldChar w:fldCharType="begin"/>
      </w:r>
      <w:r>
        <w:rPr>
          <w:color w:val="auto"/>
        </w:rPr>
        <w:instrText xml:space="preserve"> AUTOTEXT  input477 \* MERGEFORMAT </w:instrText>
      </w:r>
      <w:r>
        <w:rPr>
          <w:color w:val="auto"/>
        </w:rPr>
        <w:fldChar w:fldCharType="end"/>
      </w:r>
    </w:p>
    <w:p w14:paraId="56E03836">
      <w:pPr>
        <w:adjustRightInd w:val="0"/>
        <w:snapToGrid w:val="0"/>
        <w:spacing w:line="360" w:lineRule="auto"/>
        <w:rPr>
          <w:rFonts w:ascii="宋体" w:hAnsi="宋体"/>
          <w:color w:val="auto"/>
          <w:sz w:val="24"/>
        </w:rPr>
      </w:pPr>
      <w:r>
        <w:rPr>
          <w:rFonts w:hint="eastAsia" w:ascii="宋体" w:hAnsi="宋体"/>
          <w:color w:val="auto"/>
          <w:sz w:val="24"/>
        </w:rPr>
        <w:t>11.4异常恶劣的气候条件</w:t>
      </w:r>
    </w:p>
    <w:p w14:paraId="47021A84">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异常恶劣的气候条件的范围和标准：</w:t>
      </w:r>
    </w:p>
    <w:p w14:paraId="14E4A29D">
      <w:pPr>
        <w:adjustRightInd w:val="0"/>
        <w:snapToGrid w:val="0"/>
        <w:spacing w:line="360" w:lineRule="auto"/>
        <w:ind w:firstLine="420" w:firstLineChars="200"/>
        <w:jc w:val="left"/>
        <w:rPr>
          <w:rFonts w:ascii="宋体" w:hAnsi="宋体"/>
          <w:color w:val="auto"/>
          <w:szCs w:val="21"/>
        </w:rPr>
      </w:pPr>
      <w:r>
        <w:rPr>
          <w:rFonts w:hint="eastAsia" w:ascii="宋体" w:hAnsi="宋体" w:cs="宋体"/>
          <w:color w:val="auto"/>
          <w:u w:val="single"/>
        </w:rPr>
        <w:t>20年一遇的最大降水（雪）量、最高（低）温度均以北京市气象局发布的信息为准。7级（含）以上的大风、12小时内降雪量大于6mm以上降雪、24小时内降水量为100mm以上的暴雨、直径为100mm以上的冰雹。</w:t>
      </w:r>
      <w:r>
        <w:rPr>
          <w:color w:val="auto"/>
        </w:rPr>
        <w:fldChar w:fldCharType="begin"/>
      </w:r>
      <w:r>
        <w:rPr>
          <w:color w:val="auto"/>
        </w:rPr>
        <w:instrText xml:space="preserve"> AUTOTEXT  input478 \* MERGEFORMAT </w:instrText>
      </w:r>
      <w:r>
        <w:rPr>
          <w:color w:val="auto"/>
        </w:rPr>
        <w:fldChar w:fldCharType="end"/>
      </w:r>
    </w:p>
    <w:p w14:paraId="0F5C2D4D">
      <w:pPr>
        <w:adjustRightInd w:val="0"/>
        <w:snapToGrid w:val="0"/>
        <w:spacing w:line="360" w:lineRule="auto"/>
        <w:rPr>
          <w:rFonts w:ascii="宋体" w:hAnsi="宋体"/>
          <w:color w:val="auto"/>
          <w:sz w:val="24"/>
        </w:rPr>
      </w:pPr>
      <w:r>
        <w:rPr>
          <w:rFonts w:hint="eastAsia" w:ascii="宋体" w:hAnsi="宋体"/>
          <w:color w:val="auto"/>
          <w:sz w:val="24"/>
        </w:rPr>
        <w:t>11.5承包人的工期延误</w:t>
      </w:r>
    </w:p>
    <w:p w14:paraId="051878A7">
      <w:pPr>
        <w:adjustRightInd w:val="0"/>
        <w:snapToGrid w:val="0"/>
        <w:spacing w:line="360" w:lineRule="auto"/>
        <w:ind w:firstLine="420" w:firstLineChars="200"/>
        <w:jc w:val="left"/>
        <w:rPr>
          <w:rFonts w:ascii="宋体" w:hAnsi="宋体"/>
          <w:color w:val="auto"/>
          <w:szCs w:val="21"/>
        </w:rPr>
      </w:pPr>
      <w:r>
        <w:rPr>
          <w:rFonts w:ascii="宋体" w:hAnsi="宋体"/>
          <w:color w:val="auto"/>
          <w:szCs w:val="21"/>
        </w:rPr>
        <w:t>1</w:t>
      </w:r>
      <w:r>
        <w:rPr>
          <w:rFonts w:hint="eastAsia" w:ascii="宋体" w:hAnsi="宋体"/>
          <w:color w:val="auto"/>
          <w:szCs w:val="21"/>
        </w:rPr>
        <w:t>1.5.</w:t>
      </w:r>
      <w:r>
        <w:rPr>
          <w:rFonts w:ascii="宋体" w:hAnsi="宋体"/>
          <w:color w:val="auto"/>
          <w:szCs w:val="21"/>
        </w:rPr>
        <w:t>2</w:t>
      </w:r>
      <w:r>
        <w:rPr>
          <w:rFonts w:hint="eastAsia" w:ascii="宋体" w:hAnsi="宋体"/>
          <w:color w:val="auto"/>
          <w:szCs w:val="21"/>
        </w:rPr>
        <w:t>逾期竣工违约金的计算标准和计算方法：</w:t>
      </w:r>
      <w:r>
        <w:rPr>
          <w:rFonts w:hint="eastAsia" w:ascii="宋体" w:hAnsi="宋体" w:cs="宋体"/>
          <w:color w:val="auto"/>
          <w:u w:val="single"/>
        </w:rPr>
        <w:t>计算标准：结算价的万分之二/天，每逾期一天，承包人应当向发包人支付结算价的万分之二/天作为违约金，不足一天按一天计。计算方法：逾期天数×结算价的万分之二/天，其中：逾期天数=实际工期-合同工期-发包人同意延长的工期</w:t>
      </w:r>
      <w:r>
        <w:rPr>
          <w:color w:val="auto"/>
        </w:rPr>
        <w:fldChar w:fldCharType="begin"/>
      </w:r>
      <w:r>
        <w:rPr>
          <w:color w:val="auto"/>
        </w:rPr>
        <w:instrText xml:space="preserve"> AUTOTEXT  input479 \* MERGEFORMAT </w:instrText>
      </w:r>
      <w:r>
        <w:rPr>
          <w:color w:val="auto"/>
        </w:rPr>
        <w:fldChar w:fldCharType="end"/>
      </w:r>
    </w:p>
    <w:p w14:paraId="220430A2">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逾期竣工</w:t>
      </w:r>
      <w:r>
        <w:rPr>
          <w:rFonts w:ascii="宋体" w:hAnsi="宋体"/>
          <w:color w:val="auto"/>
          <w:szCs w:val="21"/>
        </w:rPr>
        <w:t>违约</w:t>
      </w:r>
      <w:r>
        <w:rPr>
          <w:rFonts w:hint="eastAsia" w:ascii="宋体" w:hAnsi="宋体"/>
          <w:color w:val="auto"/>
          <w:szCs w:val="21"/>
        </w:rPr>
        <w:t>金</w:t>
      </w:r>
      <w:r>
        <w:rPr>
          <w:rFonts w:ascii="宋体" w:hAnsi="宋体"/>
          <w:color w:val="auto"/>
          <w:szCs w:val="21"/>
        </w:rPr>
        <w:t>最高限额</w:t>
      </w:r>
      <w:r>
        <w:rPr>
          <w:rFonts w:hint="eastAsia" w:ascii="宋体" w:hAnsi="宋体"/>
          <w:color w:val="auto"/>
          <w:szCs w:val="21"/>
        </w:rPr>
        <w:t>：</w:t>
      </w:r>
      <w:r>
        <w:rPr>
          <w:rFonts w:hint="eastAsia" w:ascii="宋体" w:hAnsi="宋体" w:cs="宋体"/>
          <w:color w:val="auto"/>
          <w:u w:val="single"/>
        </w:rPr>
        <w:t>结算价款的百分之三</w:t>
      </w:r>
      <w:r>
        <w:rPr>
          <w:color w:val="auto"/>
        </w:rPr>
        <w:fldChar w:fldCharType="begin"/>
      </w:r>
      <w:r>
        <w:rPr>
          <w:color w:val="auto"/>
        </w:rPr>
        <w:instrText xml:space="preserve"> AUTOTEXT  input481 \* MERGEFORMAT </w:instrText>
      </w:r>
      <w:r>
        <w:rPr>
          <w:color w:val="auto"/>
        </w:rPr>
        <w:fldChar w:fldCharType="end"/>
      </w:r>
    </w:p>
    <w:p w14:paraId="3456DED0">
      <w:pPr>
        <w:adjustRightInd w:val="0"/>
        <w:snapToGrid w:val="0"/>
        <w:spacing w:line="360" w:lineRule="auto"/>
        <w:rPr>
          <w:rFonts w:ascii="宋体" w:hAnsi="宋体"/>
          <w:color w:val="auto"/>
          <w:sz w:val="24"/>
        </w:rPr>
      </w:pPr>
      <w:r>
        <w:rPr>
          <w:rFonts w:hint="eastAsia" w:ascii="宋体" w:hAnsi="宋体"/>
          <w:color w:val="auto"/>
          <w:sz w:val="24"/>
        </w:rPr>
        <w:t>11.6发承包双方原因导致的工期延误</w:t>
      </w:r>
    </w:p>
    <w:p w14:paraId="4088FDA4">
      <w:pPr>
        <w:adjustRightInd w:val="0"/>
        <w:snapToGrid w:val="0"/>
        <w:spacing w:line="360" w:lineRule="auto"/>
        <w:rPr>
          <w:rFonts w:ascii="宋体" w:hAnsi="宋体"/>
          <w:color w:val="auto"/>
          <w:sz w:val="24"/>
        </w:rPr>
      </w:pPr>
      <w:r>
        <w:rPr>
          <w:rFonts w:ascii="宋体" w:hAnsi="宋体"/>
          <w:color w:val="auto"/>
          <w:sz w:val="24"/>
        </w:rPr>
        <w:tab/>
      </w:r>
      <w:r>
        <w:rPr>
          <w:rFonts w:hint="eastAsia" w:ascii="宋体" w:hAnsi="宋体"/>
          <w:color w:val="auto"/>
          <w:sz w:val="24"/>
        </w:rPr>
        <w:t>发承包双方导致工期延误的原因：</w:t>
      </w:r>
      <w:r>
        <w:rPr>
          <w:rFonts w:ascii="宋体" w:hAnsi="宋体" w:cs="宋体"/>
          <w:color w:val="auto"/>
          <w:u w:val="single"/>
        </w:rPr>
        <w:t xml:space="preserve">  /  </w:t>
      </w:r>
      <w:r>
        <w:rPr>
          <w:rFonts w:ascii="宋体" w:hAnsi="宋体"/>
          <w:color w:val="auto"/>
          <w:szCs w:val="21"/>
          <w:u w:val="single"/>
        </w:rPr>
        <w:fldChar w:fldCharType="begin"/>
      </w:r>
      <w:r>
        <w:rPr>
          <w:rFonts w:ascii="宋体" w:hAnsi="宋体"/>
          <w:color w:val="auto"/>
          <w:szCs w:val="21"/>
          <w:u w:val="single"/>
        </w:rPr>
        <w:instrText xml:space="preserve"> AUTOTEXT  input877 \* MERGEFORMAT </w:instrText>
      </w:r>
      <w:r>
        <w:rPr>
          <w:rFonts w:ascii="宋体" w:hAnsi="宋体"/>
          <w:color w:val="auto"/>
          <w:szCs w:val="21"/>
          <w:u w:val="single"/>
        </w:rPr>
        <w:fldChar w:fldCharType="end"/>
      </w:r>
    </w:p>
    <w:p w14:paraId="3132F8B2">
      <w:pPr>
        <w:adjustRightInd w:val="0"/>
        <w:snapToGrid w:val="0"/>
        <w:spacing w:line="360" w:lineRule="auto"/>
        <w:rPr>
          <w:rFonts w:ascii="宋体" w:hAnsi="宋体"/>
          <w:color w:val="auto"/>
          <w:sz w:val="24"/>
        </w:rPr>
      </w:pPr>
      <w:r>
        <w:rPr>
          <w:rFonts w:hint="eastAsia" w:ascii="宋体" w:hAnsi="宋体"/>
          <w:color w:val="auto"/>
          <w:sz w:val="24"/>
        </w:rPr>
        <w:t>11.7非发承包双方原因导致的工期延误</w:t>
      </w:r>
    </w:p>
    <w:p w14:paraId="28144D09">
      <w:pPr>
        <w:adjustRightInd w:val="0"/>
        <w:snapToGrid w:val="0"/>
        <w:spacing w:line="360" w:lineRule="auto"/>
        <w:rPr>
          <w:rFonts w:ascii="宋体" w:hAnsi="宋体"/>
          <w:color w:val="auto"/>
          <w:sz w:val="24"/>
        </w:rPr>
      </w:pPr>
      <w:r>
        <w:rPr>
          <w:rFonts w:ascii="宋体" w:hAnsi="宋体"/>
          <w:color w:val="auto"/>
          <w:sz w:val="24"/>
        </w:rPr>
        <w:tab/>
      </w:r>
      <w:r>
        <w:rPr>
          <w:rFonts w:hint="eastAsia" w:ascii="宋体" w:hAnsi="宋体"/>
          <w:color w:val="auto"/>
          <w:sz w:val="24"/>
        </w:rPr>
        <w:t>非发承包双方导致工期延误的原因：</w:t>
      </w:r>
      <w:r>
        <w:rPr>
          <w:rFonts w:ascii="宋体" w:hAnsi="宋体" w:cs="宋体"/>
          <w:color w:val="auto"/>
          <w:u w:val="single"/>
        </w:rPr>
        <w:t xml:space="preserve">  /  </w:t>
      </w:r>
      <w:r>
        <w:rPr>
          <w:rFonts w:ascii="宋体" w:hAnsi="宋体"/>
          <w:color w:val="auto"/>
          <w:szCs w:val="21"/>
          <w:u w:val="single"/>
        </w:rPr>
        <w:fldChar w:fldCharType="begin"/>
      </w:r>
      <w:r>
        <w:rPr>
          <w:rFonts w:ascii="宋体" w:hAnsi="宋体"/>
          <w:color w:val="auto"/>
          <w:szCs w:val="21"/>
          <w:u w:val="single"/>
        </w:rPr>
        <w:instrText xml:space="preserve"> AUTOTEXT  input878 \* MERGEFORMAT </w:instrText>
      </w:r>
      <w:r>
        <w:rPr>
          <w:rFonts w:ascii="宋体" w:hAnsi="宋体"/>
          <w:color w:val="auto"/>
          <w:szCs w:val="21"/>
          <w:u w:val="single"/>
        </w:rPr>
        <w:fldChar w:fldCharType="end"/>
      </w:r>
    </w:p>
    <w:p w14:paraId="65994E6C">
      <w:pPr>
        <w:adjustRightInd w:val="0"/>
        <w:snapToGrid w:val="0"/>
        <w:spacing w:line="360" w:lineRule="auto"/>
        <w:rPr>
          <w:rFonts w:ascii="宋体" w:hAnsi="宋体"/>
          <w:color w:val="auto"/>
          <w:sz w:val="24"/>
        </w:rPr>
      </w:pPr>
      <w:r>
        <w:rPr>
          <w:rFonts w:hint="eastAsia" w:ascii="宋体" w:hAnsi="宋体"/>
          <w:color w:val="auto"/>
          <w:sz w:val="24"/>
        </w:rPr>
        <w:t>11.</w:t>
      </w:r>
      <w:r>
        <w:rPr>
          <w:rFonts w:ascii="宋体" w:hAnsi="宋体"/>
          <w:color w:val="auto"/>
          <w:sz w:val="24"/>
        </w:rPr>
        <w:t>8</w:t>
      </w:r>
      <w:r>
        <w:rPr>
          <w:rFonts w:hint="eastAsia" w:ascii="宋体" w:hAnsi="宋体"/>
          <w:color w:val="auto"/>
          <w:sz w:val="24"/>
        </w:rPr>
        <w:t>工期提前</w:t>
      </w:r>
    </w:p>
    <w:p w14:paraId="46E3361B">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提前竣工的奖励办法：</w:t>
      </w:r>
      <w:r>
        <w:rPr>
          <w:rFonts w:ascii="宋体" w:hAnsi="宋体" w:cs="宋体"/>
          <w:color w:val="auto"/>
          <w:u w:val="single"/>
        </w:rPr>
        <w:t xml:space="preserve">  /  </w:t>
      </w:r>
      <w:r>
        <w:rPr>
          <w:color w:val="auto"/>
        </w:rPr>
        <w:fldChar w:fldCharType="begin"/>
      </w:r>
      <w:r>
        <w:rPr>
          <w:color w:val="auto"/>
        </w:rPr>
        <w:instrText xml:space="preserve"> AUTOTEXT  input482 \* MERGEFORMAT </w:instrText>
      </w:r>
      <w:r>
        <w:rPr>
          <w:color w:val="auto"/>
        </w:rPr>
        <w:fldChar w:fldCharType="end"/>
      </w:r>
    </w:p>
    <w:p w14:paraId="023BD45B">
      <w:pPr>
        <w:adjustRightInd w:val="0"/>
        <w:snapToGrid w:val="0"/>
        <w:spacing w:line="360" w:lineRule="auto"/>
        <w:outlineLvl w:val="1"/>
        <w:rPr>
          <w:rFonts w:ascii="宋体" w:hAnsi="宋体"/>
          <w:color w:val="auto"/>
          <w:sz w:val="28"/>
        </w:rPr>
      </w:pPr>
      <w:bookmarkStart w:id="1199" w:name="_Toc3811"/>
      <w:bookmarkStart w:id="1200" w:name="_Toc27311"/>
      <w:r>
        <w:rPr>
          <w:rFonts w:hint="eastAsia" w:ascii="宋体" w:hAnsi="宋体"/>
          <w:color w:val="auto"/>
          <w:sz w:val="28"/>
        </w:rPr>
        <w:t>12.暂停施工</w:t>
      </w:r>
      <w:bookmarkEnd w:id="1199"/>
      <w:bookmarkEnd w:id="1200"/>
    </w:p>
    <w:p w14:paraId="58329C31">
      <w:pPr>
        <w:adjustRightInd w:val="0"/>
        <w:snapToGrid w:val="0"/>
        <w:spacing w:line="360" w:lineRule="auto"/>
        <w:rPr>
          <w:rFonts w:ascii="宋体" w:hAnsi="宋体"/>
          <w:color w:val="auto"/>
          <w:sz w:val="24"/>
        </w:rPr>
      </w:pPr>
      <w:r>
        <w:rPr>
          <w:rFonts w:hint="eastAsia" w:ascii="宋体" w:hAnsi="宋体"/>
          <w:color w:val="auto"/>
          <w:sz w:val="24"/>
        </w:rPr>
        <w:t>12.1承包人暂停施工的责任</w:t>
      </w:r>
    </w:p>
    <w:p w14:paraId="41C8BEC7">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(4)承包人承担暂停施工责任的其他情形：</w:t>
      </w:r>
    </w:p>
    <w:p w14:paraId="56BFBCAD">
      <w:pPr>
        <w:adjustRightInd w:val="0"/>
        <w:snapToGrid w:val="0"/>
        <w:spacing w:line="360" w:lineRule="auto"/>
        <w:ind w:firstLine="420" w:firstLineChars="200"/>
        <w:jc w:val="left"/>
        <w:rPr>
          <w:rFonts w:ascii="宋体" w:hAnsi="宋体" w:cs="宋体"/>
          <w:color w:val="auto"/>
          <w:u w:val="single"/>
        </w:rPr>
      </w:pPr>
      <w:r>
        <w:rPr>
          <w:rFonts w:hint="eastAsia" w:ascii="宋体" w:hAnsi="宋体" w:cs="宋体"/>
          <w:color w:val="auto"/>
          <w:u w:val="single"/>
        </w:rPr>
        <w:t>1）承包人未能按设计和招标文件要求采购、选用材料、设备及未按规范要求施工的；</w:t>
      </w:r>
    </w:p>
    <w:p w14:paraId="481A0E70">
      <w:pPr>
        <w:adjustRightInd w:val="0"/>
        <w:snapToGrid w:val="0"/>
        <w:spacing w:line="360" w:lineRule="auto"/>
        <w:ind w:firstLine="420" w:firstLineChars="200"/>
        <w:jc w:val="left"/>
        <w:rPr>
          <w:rFonts w:ascii="宋体" w:hAnsi="宋体" w:cs="宋体"/>
          <w:color w:val="auto"/>
          <w:u w:val="single"/>
        </w:rPr>
      </w:pPr>
      <w:r>
        <w:rPr>
          <w:rFonts w:hint="eastAsia" w:ascii="宋体" w:hAnsi="宋体" w:cs="宋体"/>
          <w:color w:val="auto"/>
          <w:u w:val="single"/>
        </w:rPr>
        <w:t>2）工程验收不合格发现存在质量问题或技术问题需要整改的；</w:t>
      </w:r>
    </w:p>
    <w:p w14:paraId="208BAFAF">
      <w:pPr>
        <w:adjustRightInd w:val="0"/>
        <w:snapToGrid w:val="0"/>
        <w:spacing w:line="360" w:lineRule="auto"/>
        <w:ind w:firstLine="420" w:firstLineChars="200"/>
        <w:jc w:val="left"/>
        <w:rPr>
          <w:rFonts w:ascii="宋体" w:hAnsi="宋体" w:cs="宋体"/>
          <w:color w:val="auto"/>
          <w:u w:val="single"/>
        </w:rPr>
      </w:pPr>
      <w:r>
        <w:rPr>
          <w:rFonts w:hint="eastAsia" w:ascii="宋体" w:hAnsi="宋体" w:cs="宋体"/>
          <w:color w:val="auto"/>
          <w:u w:val="single"/>
        </w:rPr>
        <w:t>3） 因承包人自身原因导致的待工待料的；</w:t>
      </w:r>
    </w:p>
    <w:p w14:paraId="07A25437">
      <w:pPr>
        <w:adjustRightInd w:val="0"/>
        <w:snapToGrid w:val="0"/>
        <w:spacing w:line="360" w:lineRule="auto"/>
        <w:ind w:firstLine="420" w:firstLineChars="200"/>
        <w:jc w:val="left"/>
        <w:rPr>
          <w:rFonts w:ascii="宋体" w:hAnsi="宋体" w:cs="宋体"/>
          <w:color w:val="auto"/>
          <w:u w:val="single"/>
        </w:rPr>
      </w:pPr>
      <w:r>
        <w:rPr>
          <w:rFonts w:hint="eastAsia" w:ascii="宋体" w:hAnsi="宋体" w:cs="宋体"/>
          <w:color w:val="auto"/>
          <w:u w:val="single"/>
        </w:rPr>
        <w:t>4）工程质量未达到等级标准要求，发包人要求承包人返工的；</w:t>
      </w:r>
    </w:p>
    <w:p w14:paraId="0ED64FB8">
      <w:pPr>
        <w:adjustRightInd w:val="0"/>
        <w:snapToGrid w:val="0"/>
        <w:spacing w:line="360" w:lineRule="auto"/>
        <w:ind w:firstLine="420" w:firstLineChars="200"/>
        <w:jc w:val="left"/>
        <w:rPr>
          <w:rFonts w:hint="eastAsia" w:ascii="宋体" w:hAnsi="宋体" w:cs="宋体"/>
          <w:color w:val="auto"/>
          <w:u w:val="single"/>
        </w:rPr>
      </w:pPr>
      <w:r>
        <w:rPr>
          <w:rFonts w:hint="eastAsia" w:ascii="宋体" w:hAnsi="宋体" w:cs="宋体"/>
          <w:color w:val="auto"/>
          <w:u w:val="single"/>
        </w:rPr>
        <w:t>5）质量事故、安全事故，以及因承包人原因引发发包人或监理人要求进行整改的停工。</w:t>
      </w:r>
    </w:p>
    <w:p w14:paraId="458EF316">
      <w:pPr>
        <w:adjustRightInd w:val="0"/>
        <w:snapToGrid w:val="0"/>
        <w:spacing w:line="360" w:lineRule="auto"/>
        <w:outlineLvl w:val="1"/>
        <w:rPr>
          <w:rFonts w:ascii="宋体" w:hAnsi="宋体"/>
          <w:color w:val="auto"/>
          <w:sz w:val="28"/>
        </w:rPr>
      </w:pPr>
      <w:bookmarkStart w:id="1201" w:name="_Toc22971"/>
      <w:bookmarkStart w:id="1202" w:name="_Toc19045"/>
      <w:r>
        <w:rPr>
          <w:rFonts w:hint="eastAsia" w:ascii="宋体" w:hAnsi="宋体"/>
          <w:color w:val="auto"/>
          <w:sz w:val="28"/>
        </w:rPr>
        <w:t>13.工程质量</w:t>
      </w:r>
      <w:bookmarkEnd w:id="1201"/>
      <w:bookmarkEnd w:id="1202"/>
    </w:p>
    <w:p w14:paraId="58837B31">
      <w:pPr>
        <w:adjustRightInd w:val="0"/>
        <w:snapToGrid w:val="0"/>
        <w:spacing w:line="360" w:lineRule="auto"/>
        <w:rPr>
          <w:rFonts w:ascii="宋体" w:hAnsi="宋体"/>
          <w:color w:val="auto"/>
          <w:sz w:val="24"/>
        </w:rPr>
      </w:pPr>
      <w:r>
        <w:rPr>
          <w:rFonts w:hint="eastAsia" w:ascii="宋体" w:hAnsi="宋体"/>
          <w:color w:val="auto"/>
          <w:sz w:val="24"/>
        </w:rPr>
        <w:t>13.2承包人的质量管理</w:t>
      </w:r>
    </w:p>
    <w:p w14:paraId="6B248564">
      <w:pPr>
        <w:adjustRightInd w:val="0"/>
        <w:snapToGrid w:val="0"/>
        <w:spacing w:line="360" w:lineRule="auto"/>
        <w:ind w:firstLine="420" w:firstLineChars="200"/>
        <w:jc w:val="left"/>
        <w:rPr>
          <w:rFonts w:ascii="宋体" w:hAnsi="宋体" w:cs="Arial"/>
          <w:color w:val="auto"/>
        </w:rPr>
      </w:pPr>
      <w:r>
        <w:rPr>
          <w:rFonts w:ascii="宋体" w:hAnsi="宋体"/>
          <w:color w:val="auto"/>
          <w:szCs w:val="21"/>
        </w:rPr>
        <w:t>1</w:t>
      </w:r>
      <w:r>
        <w:rPr>
          <w:rFonts w:hint="eastAsia" w:ascii="宋体" w:hAnsi="宋体"/>
          <w:color w:val="auto"/>
          <w:szCs w:val="21"/>
        </w:rPr>
        <w:t>3</w:t>
      </w:r>
      <w:r>
        <w:rPr>
          <w:rFonts w:ascii="宋体" w:hAnsi="宋体"/>
          <w:color w:val="auto"/>
          <w:szCs w:val="21"/>
        </w:rPr>
        <w:t>.</w:t>
      </w:r>
      <w:r>
        <w:rPr>
          <w:rFonts w:hint="eastAsia" w:ascii="宋体" w:hAnsi="宋体"/>
          <w:color w:val="auto"/>
          <w:szCs w:val="21"/>
        </w:rPr>
        <w:t>2</w:t>
      </w:r>
      <w:r>
        <w:rPr>
          <w:rFonts w:ascii="宋体" w:hAnsi="宋体"/>
          <w:color w:val="auto"/>
          <w:szCs w:val="21"/>
        </w:rPr>
        <w:t>.</w:t>
      </w:r>
      <w:r>
        <w:rPr>
          <w:rFonts w:hint="eastAsia" w:ascii="宋体" w:hAnsi="宋体"/>
          <w:color w:val="auto"/>
          <w:szCs w:val="21"/>
        </w:rPr>
        <w:t>1承包人向监理人提交工程质量保证措施文件的期限：</w:t>
      </w:r>
      <w:r>
        <w:rPr>
          <w:rFonts w:hint="eastAsia" w:ascii="宋体" w:hAnsi="宋体" w:cs="宋体"/>
          <w:color w:val="auto"/>
          <w:u w:val="single"/>
        </w:rPr>
        <w:t>签订合同后7日内</w:t>
      </w:r>
      <w:r>
        <w:rPr>
          <w:color w:val="auto"/>
        </w:rPr>
        <w:fldChar w:fldCharType="begin"/>
      </w:r>
      <w:r>
        <w:rPr>
          <w:color w:val="auto"/>
        </w:rPr>
        <w:instrText xml:space="preserve"> AUTOTEXT  input484 \* MERGEFORMAT </w:instrText>
      </w:r>
      <w:r>
        <w:rPr>
          <w:color w:val="auto"/>
        </w:rPr>
        <w:fldChar w:fldCharType="end"/>
      </w:r>
    </w:p>
    <w:p w14:paraId="2A3951C6">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监理人审批工程质量保证措施文件的期限：</w:t>
      </w:r>
      <w:r>
        <w:rPr>
          <w:rFonts w:hint="eastAsia" w:ascii="宋体" w:hAnsi="宋体" w:cs="宋体"/>
          <w:color w:val="auto"/>
          <w:u w:val="single"/>
        </w:rPr>
        <w:t>自收到工程质量保证措施文件后7天</w:t>
      </w:r>
      <w:r>
        <w:rPr>
          <w:color w:val="auto"/>
        </w:rPr>
        <w:fldChar w:fldCharType="begin"/>
      </w:r>
      <w:r>
        <w:rPr>
          <w:color w:val="auto"/>
        </w:rPr>
        <w:instrText xml:space="preserve"> AUTOTEXT  input485 \* MERGEFORMAT </w:instrText>
      </w:r>
      <w:r>
        <w:rPr>
          <w:color w:val="auto"/>
        </w:rPr>
        <w:fldChar w:fldCharType="end"/>
      </w:r>
    </w:p>
    <w:p w14:paraId="1C47456C">
      <w:pPr>
        <w:adjustRightInd w:val="0"/>
        <w:snapToGrid w:val="0"/>
        <w:spacing w:line="360" w:lineRule="auto"/>
        <w:rPr>
          <w:rFonts w:ascii="宋体" w:hAnsi="宋体"/>
          <w:color w:val="auto"/>
          <w:sz w:val="24"/>
        </w:rPr>
      </w:pPr>
      <w:r>
        <w:rPr>
          <w:rFonts w:hint="eastAsia" w:ascii="宋体" w:hAnsi="宋体"/>
          <w:color w:val="auto"/>
          <w:sz w:val="24"/>
        </w:rPr>
        <w:t>13.3承包人的质量检查</w:t>
      </w:r>
    </w:p>
    <w:p w14:paraId="7A7AAF62">
      <w:pPr>
        <w:adjustRightInd w:val="0"/>
        <w:snapToGrid w:val="0"/>
        <w:spacing w:line="360" w:lineRule="auto"/>
        <w:ind w:firstLine="420" w:firstLineChars="200"/>
        <w:jc w:val="left"/>
        <w:rPr>
          <w:rFonts w:ascii="宋体" w:hAnsi="宋体" w:cs="Arial"/>
          <w:color w:val="auto"/>
        </w:rPr>
      </w:pPr>
      <w:r>
        <w:rPr>
          <w:rFonts w:hint="eastAsia" w:ascii="宋体" w:hAnsi="宋体"/>
          <w:color w:val="auto"/>
          <w:szCs w:val="21"/>
        </w:rPr>
        <w:t>承包人向监理人报送工程质量报表的期限：</w:t>
      </w:r>
      <w:r>
        <w:rPr>
          <w:rFonts w:hint="eastAsia" w:ascii="宋体" w:hAnsi="宋体" w:cs="宋体"/>
          <w:color w:val="auto"/>
          <w:u w:val="single"/>
        </w:rPr>
        <w:t>各项验收前7天</w:t>
      </w:r>
      <w:r>
        <w:rPr>
          <w:color w:val="auto"/>
        </w:rPr>
        <w:fldChar w:fldCharType="begin"/>
      </w:r>
      <w:r>
        <w:rPr>
          <w:color w:val="auto"/>
        </w:rPr>
        <w:instrText xml:space="preserve"> AUTOTEXT  input486 \* MERGEFORMAT </w:instrText>
      </w:r>
      <w:r>
        <w:rPr>
          <w:color w:val="auto"/>
        </w:rPr>
        <w:fldChar w:fldCharType="end"/>
      </w:r>
    </w:p>
    <w:p w14:paraId="6F9B4E62">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承包人向监理人报送工程质量报表的要求：</w:t>
      </w:r>
      <w:r>
        <w:rPr>
          <w:rFonts w:hint="eastAsia" w:ascii="宋体" w:hAnsi="宋体" w:cs="宋体"/>
          <w:color w:val="auto"/>
          <w:u w:val="single"/>
        </w:rPr>
        <w:t>按监理人工程质量报表模板报送，内容详细、真实、准确。同时提交相应的质量控制措施，材料设备应提交材料设备的质检报告(产品合格证)等资料。</w:t>
      </w:r>
      <w:r>
        <w:rPr>
          <w:color w:val="auto"/>
        </w:rPr>
        <w:fldChar w:fldCharType="begin"/>
      </w:r>
      <w:r>
        <w:rPr>
          <w:color w:val="auto"/>
        </w:rPr>
        <w:instrText xml:space="preserve"> AUTOTEXT  input487 \* MERGEFORMAT </w:instrText>
      </w:r>
      <w:r>
        <w:rPr>
          <w:color w:val="auto"/>
        </w:rPr>
        <w:fldChar w:fldCharType="end"/>
      </w:r>
    </w:p>
    <w:p w14:paraId="39307614">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监理人审查工程质量报表的期限：</w:t>
      </w:r>
      <w:r>
        <w:rPr>
          <w:rFonts w:hint="eastAsia" w:ascii="宋体" w:hAnsi="宋体" w:cs="宋体"/>
          <w:color w:val="auto"/>
          <w:u w:val="single"/>
        </w:rPr>
        <w:t>收到工程质量报表后7日内</w:t>
      </w:r>
      <w:r>
        <w:rPr>
          <w:color w:val="auto"/>
        </w:rPr>
        <w:fldChar w:fldCharType="begin"/>
      </w:r>
      <w:r>
        <w:rPr>
          <w:color w:val="auto"/>
        </w:rPr>
        <w:instrText xml:space="preserve"> AUTOTEXT  input488 \* MERGEFORMAT </w:instrText>
      </w:r>
      <w:r>
        <w:rPr>
          <w:color w:val="auto"/>
        </w:rPr>
        <w:fldChar w:fldCharType="end"/>
      </w:r>
    </w:p>
    <w:p w14:paraId="6BF0A5CF">
      <w:pPr>
        <w:adjustRightInd w:val="0"/>
        <w:snapToGrid w:val="0"/>
        <w:spacing w:line="360" w:lineRule="auto"/>
        <w:rPr>
          <w:rFonts w:ascii="宋体" w:hAnsi="宋体"/>
          <w:color w:val="auto"/>
          <w:sz w:val="24"/>
        </w:rPr>
      </w:pPr>
      <w:r>
        <w:rPr>
          <w:rFonts w:hint="eastAsia" w:ascii="宋体" w:hAnsi="宋体"/>
          <w:color w:val="auto"/>
          <w:sz w:val="24"/>
        </w:rPr>
        <w:t>13.4监理人的质量检查</w:t>
      </w:r>
    </w:p>
    <w:p w14:paraId="3A1F38E1">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承包人应当为监理人的检查和检验提供方便，监理人可以进行察看和查阅施工原始记录的其他地方包括：</w:t>
      </w:r>
      <w:r>
        <w:rPr>
          <w:rFonts w:hint="eastAsia" w:ascii="宋体" w:hAnsi="宋体" w:cs="宋体"/>
          <w:color w:val="auto"/>
          <w:u w:val="single"/>
        </w:rPr>
        <w:t>施工场地、承包人的现场试验场所、承包人的预制构件制作车间等。</w:t>
      </w:r>
      <w:r>
        <w:rPr>
          <w:color w:val="auto"/>
        </w:rPr>
        <w:fldChar w:fldCharType="begin"/>
      </w:r>
      <w:r>
        <w:rPr>
          <w:color w:val="auto"/>
        </w:rPr>
        <w:instrText xml:space="preserve"> AUTOTEXT  input489 \* MERGEFORMAT </w:instrText>
      </w:r>
      <w:r>
        <w:rPr>
          <w:color w:val="auto"/>
        </w:rPr>
        <w:fldChar w:fldCharType="end"/>
      </w:r>
    </w:p>
    <w:p w14:paraId="5BE0DA30">
      <w:pPr>
        <w:adjustRightInd w:val="0"/>
        <w:snapToGrid w:val="0"/>
        <w:spacing w:line="360" w:lineRule="auto"/>
        <w:rPr>
          <w:rFonts w:ascii="宋体" w:hAnsi="宋体"/>
          <w:color w:val="auto"/>
          <w:sz w:val="24"/>
        </w:rPr>
      </w:pPr>
      <w:r>
        <w:rPr>
          <w:rFonts w:hint="eastAsia" w:ascii="宋体" w:hAnsi="宋体"/>
          <w:color w:val="auto"/>
          <w:sz w:val="24"/>
        </w:rPr>
        <w:t>13.5工程隐蔽部位覆盖前的检查</w:t>
      </w:r>
    </w:p>
    <w:p w14:paraId="1CFC7D4F">
      <w:pPr>
        <w:adjustRightInd w:val="0"/>
        <w:snapToGrid w:val="0"/>
        <w:spacing w:line="360" w:lineRule="auto"/>
        <w:ind w:firstLine="420" w:firstLineChars="200"/>
        <w:jc w:val="left"/>
        <w:rPr>
          <w:rFonts w:ascii="宋体" w:hAnsi="宋体" w:cs="Arial"/>
          <w:color w:val="auto"/>
        </w:rPr>
      </w:pPr>
      <w:r>
        <w:rPr>
          <w:rFonts w:ascii="宋体" w:hAnsi="宋体"/>
          <w:color w:val="auto"/>
          <w:szCs w:val="21"/>
        </w:rPr>
        <w:t>1</w:t>
      </w:r>
      <w:r>
        <w:rPr>
          <w:rFonts w:hint="eastAsia" w:ascii="宋体" w:hAnsi="宋体"/>
          <w:color w:val="auto"/>
          <w:szCs w:val="21"/>
        </w:rPr>
        <w:t>3</w:t>
      </w:r>
      <w:r>
        <w:rPr>
          <w:rFonts w:ascii="宋体" w:hAnsi="宋体"/>
          <w:color w:val="auto"/>
          <w:szCs w:val="21"/>
        </w:rPr>
        <w:t>.</w:t>
      </w:r>
      <w:r>
        <w:rPr>
          <w:rFonts w:hint="eastAsia" w:ascii="宋体" w:hAnsi="宋体"/>
          <w:color w:val="auto"/>
          <w:szCs w:val="21"/>
        </w:rPr>
        <w:t>5</w:t>
      </w:r>
      <w:r>
        <w:rPr>
          <w:rFonts w:ascii="宋体" w:hAnsi="宋体"/>
          <w:color w:val="auto"/>
          <w:szCs w:val="21"/>
        </w:rPr>
        <w:t>.</w:t>
      </w:r>
      <w:r>
        <w:rPr>
          <w:rFonts w:hint="eastAsia" w:ascii="宋体" w:hAnsi="宋体"/>
          <w:color w:val="auto"/>
          <w:szCs w:val="21"/>
        </w:rPr>
        <w:t>1监理人对工程隐蔽部位进行检查的期限：</w:t>
      </w:r>
      <w:r>
        <w:rPr>
          <w:rFonts w:hint="eastAsia" w:ascii="宋体" w:hAnsi="宋体" w:cs="宋体"/>
          <w:color w:val="auto"/>
          <w:u w:val="single"/>
        </w:rPr>
        <w:t>收到承包人的检查通知后工作日时间内12小时内</w:t>
      </w:r>
      <w:r>
        <w:rPr>
          <w:color w:val="auto"/>
        </w:rPr>
        <w:fldChar w:fldCharType="begin"/>
      </w:r>
      <w:r>
        <w:rPr>
          <w:color w:val="auto"/>
        </w:rPr>
        <w:instrText xml:space="preserve"> AUTOTEXT  input490 \* MERGEFORMAT </w:instrText>
      </w:r>
      <w:r>
        <w:rPr>
          <w:color w:val="auto"/>
        </w:rPr>
        <w:fldChar w:fldCharType="end"/>
      </w:r>
    </w:p>
    <w:p w14:paraId="0A870E44">
      <w:pPr>
        <w:adjustRightInd w:val="0"/>
        <w:snapToGrid w:val="0"/>
        <w:spacing w:line="360" w:lineRule="auto"/>
        <w:outlineLvl w:val="1"/>
        <w:rPr>
          <w:rFonts w:ascii="宋体" w:hAnsi="宋体"/>
          <w:color w:val="auto"/>
          <w:sz w:val="28"/>
        </w:rPr>
      </w:pPr>
      <w:bookmarkStart w:id="1203" w:name="_Toc24366"/>
      <w:bookmarkStart w:id="1204" w:name="_Toc4896"/>
      <w:r>
        <w:rPr>
          <w:rFonts w:hint="eastAsia" w:ascii="宋体" w:hAnsi="宋体"/>
          <w:color w:val="auto"/>
          <w:sz w:val="28"/>
        </w:rPr>
        <w:t>15.变更</w:t>
      </w:r>
      <w:bookmarkEnd w:id="1203"/>
      <w:bookmarkEnd w:id="1204"/>
    </w:p>
    <w:p w14:paraId="7C1506E0">
      <w:pPr>
        <w:adjustRightInd w:val="0"/>
        <w:snapToGrid w:val="0"/>
        <w:spacing w:line="360" w:lineRule="auto"/>
        <w:rPr>
          <w:rFonts w:ascii="宋体" w:hAnsi="宋体"/>
          <w:color w:val="auto"/>
          <w:sz w:val="24"/>
        </w:rPr>
      </w:pPr>
      <w:r>
        <w:rPr>
          <w:rFonts w:hint="eastAsia" w:ascii="宋体" w:hAnsi="宋体"/>
          <w:color w:val="auto"/>
          <w:sz w:val="24"/>
        </w:rPr>
        <w:t>15.1变更的范围和内容</w:t>
      </w:r>
    </w:p>
    <w:p w14:paraId="5156C844">
      <w:pPr>
        <w:adjustRightInd w:val="0"/>
        <w:snapToGrid w:val="0"/>
        <w:spacing w:line="360" w:lineRule="auto"/>
        <w:ind w:firstLine="420" w:firstLineChars="200"/>
        <w:jc w:val="left"/>
        <w:rPr>
          <w:rFonts w:ascii="宋体" w:hAnsi="宋体"/>
          <w:color w:val="auto"/>
        </w:rPr>
      </w:pPr>
      <w:r>
        <w:rPr>
          <w:rFonts w:hint="eastAsia" w:ascii="宋体" w:hAnsi="宋体"/>
          <w:color w:val="auto"/>
          <w:szCs w:val="21"/>
        </w:rPr>
        <w:t>15.1.1</w:t>
      </w:r>
      <w:r>
        <w:rPr>
          <w:rFonts w:hint="eastAsia" w:ascii="宋体" w:hAnsi="宋体"/>
          <w:color w:val="auto"/>
        </w:rPr>
        <w:t>在履行合同中发生以下情形之一，应按照本条规定进行变更。</w:t>
      </w:r>
    </w:p>
    <w:p w14:paraId="46E41B7A">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(6)变更的其他情形：</w:t>
      </w:r>
    </w:p>
    <w:p w14:paraId="292F02FD">
      <w:pPr>
        <w:adjustRightInd w:val="0"/>
        <w:snapToGrid w:val="0"/>
        <w:spacing w:line="360" w:lineRule="auto"/>
        <w:ind w:firstLine="420" w:firstLineChars="200"/>
        <w:jc w:val="left"/>
        <w:rPr>
          <w:rFonts w:ascii="宋体" w:hAnsi="宋体"/>
          <w:color w:val="auto"/>
          <w:szCs w:val="21"/>
        </w:rPr>
      </w:pPr>
      <w:r>
        <w:rPr>
          <w:rFonts w:ascii="宋体" w:hAnsi="宋体" w:cs="宋体"/>
          <w:color w:val="auto"/>
          <w:u w:val="single"/>
        </w:rPr>
        <w:t xml:space="preserve">  /  </w:t>
      </w:r>
      <w:r>
        <w:rPr>
          <w:color w:val="auto"/>
        </w:rPr>
        <w:fldChar w:fldCharType="begin"/>
      </w:r>
      <w:r>
        <w:rPr>
          <w:color w:val="auto"/>
        </w:rPr>
        <w:instrText xml:space="preserve"> AUTOTEXT  input491 \* MERGEFORMAT </w:instrText>
      </w:r>
      <w:r>
        <w:rPr>
          <w:color w:val="auto"/>
        </w:rPr>
        <w:fldChar w:fldCharType="end"/>
      </w:r>
    </w:p>
    <w:p w14:paraId="4E614B3B">
      <w:pPr>
        <w:adjustRightInd w:val="0"/>
        <w:snapToGrid w:val="0"/>
        <w:spacing w:line="360" w:lineRule="auto"/>
        <w:rPr>
          <w:rFonts w:ascii="宋体" w:hAnsi="宋体"/>
          <w:color w:val="auto"/>
          <w:sz w:val="24"/>
        </w:rPr>
      </w:pPr>
      <w:r>
        <w:rPr>
          <w:rFonts w:hint="eastAsia" w:ascii="宋体" w:hAnsi="宋体"/>
          <w:color w:val="auto"/>
          <w:sz w:val="24"/>
        </w:rPr>
        <w:t>15.3变更程序</w:t>
      </w:r>
    </w:p>
    <w:p w14:paraId="149EA717">
      <w:pPr>
        <w:adjustRightInd w:val="0"/>
        <w:snapToGrid w:val="0"/>
        <w:spacing w:line="360" w:lineRule="auto"/>
        <w:ind w:firstLine="420" w:firstLineChars="200"/>
        <w:jc w:val="left"/>
        <w:rPr>
          <w:rFonts w:ascii="宋体" w:hAnsi="宋体" w:cs="Arial"/>
          <w:color w:val="auto"/>
        </w:rPr>
      </w:pPr>
      <w:r>
        <w:rPr>
          <w:rFonts w:hint="eastAsia" w:ascii="宋体" w:hAnsi="宋体" w:cs="Arial"/>
          <w:color w:val="auto"/>
        </w:rPr>
        <w:t>15.3.2变更估价</w:t>
      </w:r>
    </w:p>
    <w:p w14:paraId="66533ADC">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(1)承包人提交变更报价书的期限：</w:t>
      </w:r>
      <w:r>
        <w:rPr>
          <w:rFonts w:hint="eastAsia" w:ascii="宋体" w:hAnsi="宋体" w:cs="宋体"/>
          <w:color w:val="auto"/>
          <w:u w:val="single"/>
        </w:rPr>
        <w:t>承包人收到变更指示或变更意向书后的14天内。</w:t>
      </w:r>
      <w:r>
        <w:rPr>
          <w:color w:val="auto"/>
        </w:rPr>
        <w:fldChar w:fldCharType="begin"/>
      </w:r>
      <w:r>
        <w:rPr>
          <w:color w:val="auto"/>
        </w:rPr>
        <w:instrText xml:space="preserve"> AUTOTEXT  input492 \* MERGEFORMAT </w:instrText>
      </w:r>
      <w:r>
        <w:rPr>
          <w:color w:val="auto"/>
        </w:rPr>
        <w:fldChar w:fldCharType="end"/>
      </w:r>
    </w:p>
    <w:p w14:paraId="41EF270E">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(3)监理人商定或确定变更价格的期限：</w:t>
      </w:r>
      <w:r>
        <w:rPr>
          <w:rFonts w:hint="eastAsia" w:ascii="宋体" w:hAnsi="宋体" w:cs="宋体"/>
          <w:color w:val="auto"/>
          <w:u w:val="single"/>
        </w:rPr>
        <w:t>监理人收到承包人变更报价书后的14天内。</w:t>
      </w:r>
      <w:r>
        <w:rPr>
          <w:color w:val="auto"/>
        </w:rPr>
        <w:fldChar w:fldCharType="begin"/>
      </w:r>
      <w:r>
        <w:rPr>
          <w:color w:val="auto"/>
        </w:rPr>
        <w:instrText xml:space="preserve"> AUTOTEXT  input493 \* MERGEFORMAT </w:instrText>
      </w:r>
      <w:r>
        <w:rPr>
          <w:color w:val="auto"/>
        </w:rPr>
        <w:fldChar w:fldCharType="end"/>
      </w:r>
    </w:p>
    <w:p w14:paraId="6EC2D6B0">
      <w:pPr>
        <w:adjustRightInd w:val="0"/>
        <w:snapToGrid w:val="0"/>
        <w:spacing w:line="360" w:lineRule="auto"/>
        <w:rPr>
          <w:rFonts w:ascii="宋体" w:hAnsi="宋体"/>
          <w:color w:val="auto"/>
          <w:sz w:val="24"/>
        </w:rPr>
      </w:pPr>
      <w:r>
        <w:rPr>
          <w:rFonts w:hint="eastAsia" w:ascii="宋体" w:hAnsi="宋体"/>
          <w:color w:val="auto"/>
          <w:sz w:val="24"/>
        </w:rPr>
        <w:t>15.4变更的估价原则</w:t>
      </w:r>
    </w:p>
    <w:p w14:paraId="01BD545D">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15.4.5合同协议书约定采用单价合同形式时，因非承包人原因引起已标价工程量清单中列明的工程量发生增减，且单个子目工程量变化幅度在</w:t>
      </w:r>
      <w:r>
        <w:rPr>
          <w:rFonts w:hint="eastAsia" w:ascii="宋体" w:hAnsi="宋体" w:cs="宋体"/>
          <w:color w:val="auto"/>
          <w:u w:val="single"/>
        </w:rPr>
        <w:t>±</w:t>
      </w:r>
      <w:r>
        <w:rPr>
          <w:rFonts w:ascii="宋体" w:hAnsi="宋体" w:cs="宋体"/>
          <w:color w:val="auto"/>
          <w:u w:val="single"/>
        </w:rPr>
        <w:t>15</w:t>
      </w:r>
      <w:r>
        <w:rPr>
          <w:color w:val="auto"/>
        </w:rPr>
        <w:fldChar w:fldCharType="begin"/>
      </w:r>
      <w:r>
        <w:rPr>
          <w:color w:val="auto"/>
        </w:rPr>
        <w:instrText xml:space="preserve"> AUTOTEXT  input494 \* MERGEFORMAT </w:instrText>
      </w:r>
      <w:r>
        <w:rPr>
          <w:color w:val="auto"/>
        </w:rPr>
        <w:fldChar w:fldCharType="end"/>
      </w:r>
      <w:r>
        <w:rPr>
          <w:rFonts w:hint="eastAsia" w:ascii="宋体" w:hAnsi="宋体"/>
          <w:color w:val="auto"/>
          <w:szCs w:val="21"/>
        </w:rPr>
        <w:t>%以内（含）时，应执行已标价工程量清单中列明的该子目的单价；单个子目工程量变化幅度在</w:t>
      </w:r>
      <w:r>
        <w:rPr>
          <w:rFonts w:hint="eastAsia" w:ascii="宋体" w:hAnsi="宋体" w:cs="宋体"/>
          <w:color w:val="auto"/>
          <w:u w:val="single"/>
        </w:rPr>
        <w:t>±</w:t>
      </w:r>
      <w:r>
        <w:rPr>
          <w:rFonts w:ascii="宋体" w:hAnsi="宋体" w:cs="宋体"/>
          <w:color w:val="auto"/>
          <w:u w:val="single"/>
        </w:rPr>
        <w:t>15</w:t>
      </w:r>
      <w:r>
        <w:rPr>
          <w:color w:val="auto"/>
        </w:rPr>
        <w:fldChar w:fldCharType="begin"/>
      </w:r>
      <w:r>
        <w:rPr>
          <w:color w:val="auto"/>
        </w:rPr>
        <w:instrText xml:space="preserve"> AUTOTEXT  input495 \* MERGEFORMAT </w:instrText>
      </w:r>
      <w:r>
        <w:rPr>
          <w:color w:val="auto"/>
        </w:rPr>
        <w:fldChar w:fldCharType="end"/>
      </w:r>
      <w:r>
        <w:rPr>
          <w:rFonts w:hint="eastAsia" w:ascii="宋体" w:hAnsi="宋体"/>
          <w:color w:val="auto"/>
          <w:szCs w:val="21"/>
        </w:rPr>
        <w:t>%以外（不含），且导致分部分项工程费总额变化幅度超过</w:t>
      </w:r>
      <w:r>
        <w:rPr>
          <w:rFonts w:hint="eastAsia" w:ascii="宋体" w:hAnsi="宋体" w:cs="宋体"/>
          <w:color w:val="auto"/>
          <w:u w:val="single"/>
        </w:rPr>
        <w:t>±1</w:t>
      </w:r>
      <w:r>
        <w:rPr>
          <w:color w:val="auto"/>
        </w:rPr>
        <w:fldChar w:fldCharType="begin"/>
      </w:r>
      <w:r>
        <w:rPr>
          <w:color w:val="auto"/>
        </w:rPr>
        <w:instrText xml:space="preserve"> AUTOTEXT  input496 \* MERGEFORMAT </w:instrText>
      </w:r>
      <w:r>
        <w:rPr>
          <w:color w:val="auto"/>
        </w:rPr>
        <w:fldChar w:fldCharType="end"/>
      </w:r>
      <w:r>
        <w:rPr>
          <w:rFonts w:hint="eastAsia" w:ascii="宋体" w:hAnsi="宋体"/>
          <w:color w:val="auto"/>
          <w:szCs w:val="21"/>
        </w:rPr>
        <w:t>%时，由承包人提出并由监理人报送发包人审核确认按第3.5款商定或确定新的单价，该子目按修正后的新的单价计价。</w:t>
      </w:r>
    </w:p>
    <w:p w14:paraId="74D692BA">
      <w:pPr>
        <w:adjustRightInd w:val="0"/>
        <w:snapToGrid w:val="0"/>
        <w:spacing w:line="360" w:lineRule="auto"/>
        <w:ind w:firstLine="420" w:firstLineChars="200"/>
        <w:jc w:val="left"/>
        <w:rPr>
          <w:rFonts w:ascii="宋体" w:hAnsi="宋体"/>
          <w:color w:val="auto"/>
          <w:szCs w:val="21"/>
        </w:rPr>
      </w:pPr>
      <w:r>
        <w:rPr>
          <w:rFonts w:ascii="宋体" w:hAnsi="宋体"/>
          <w:color w:val="auto"/>
          <w:szCs w:val="21"/>
        </w:rPr>
        <w:t>1</w:t>
      </w:r>
      <w:r>
        <w:rPr>
          <w:rFonts w:hint="eastAsia" w:ascii="宋体" w:hAnsi="宋体"/>
          <w:color w:val="auto"/>
          <w:szCs w:val="21"/>
        </w:rPr>
        <w:t>5.4.6因变更引起价格调整的其他处理方式：</w:t>
      </w:r>
    </w:p>
    <w:p w14:paraId="5148628D">
      <w:pPr>
        <w:adjustRightInd w:val="0"/>
        <w:snapToGrid w:val="0"/>
        <w:spacing w:line="360" w:lineRule="auto"/>
        <w:ind w:firstLine="420" w:firstLineChars="200"/>
        <w:jc w:val="left"/>
        <w:rPr>
          <w:rFonts w:ascii="宋体" w:hAnsi="宋体"/>
          <w:color w:val="auto"/>
          <w:szCs w:val="21"/>
        </w:rPr>
      </w:pPr>
      <w:r>
        <w:rPr>
          <w:rFonts w:hint="eastAsia" w:ascii="宋体" w:hAnsi="宋体" w:cs="宋体"/>
          <w:color w:val="auto"/>
          <w:u w:val="single"/>
        </w:rPr>
        <w:t>因变更引起价格调整的其他处理方式：新增项目的变更、洽商价款，由承包人组价上报给监理工程师，经发包人和监理工程师审核并批准后才可纳入到变更、洽商价款的结算中。</w:t>
      </w:r>
      <w:r>
        <w:rPr>
          <w:color w:val="auto"/>
        </w:rPr>
        <w:fldChar w:fldCharType="begin"/>
      </w:r>
      <w:r>
        <w:rPr>
          <w:color w:val="auto"/>
        </w:rPr>
        <w:instrText xml:space="preserve"> AUTOTEXT  input497 \* MERGEFORMAT </w:instrText>
      </w:r>
      <w:r>
        <w:rPr>
          <w:color w:val="auto"/>
        </w:rPr>
        <w:fldChar w:fldCharType="end"/>
      </w:r>
    </w:p>
    <w:p w14:paraId="201413E4">
      <w:pPr>
        <w:adjustRightInd w:val="0"/>
        <w:snapToGrid w:val="0"/>
        <w:spacing w:line="360" w:lineRule="auto"/>
        <w:rPr>
          <w:rFonts w:ascii="宋体" w:hAnsi="宋体"/>
          <w:color w:val="auto"/>
          <w:sz w:val="24"/>
        </w:rPr>
      </w:pPr>
      <w:r>
        <w:rPr>
          <w:rFonts w:hint="eastAsia" w:ascii="宋体" w:hAnsi="宋体"/>
          <w:color w:val="auto"/>
          <w:sz w:val="24"/>
        </w:rPr>
        <w:t>15.5承包人的合理化建议</w:t>
      </w:r>
    </w:p>
    <w:p w14:paraId="5C2C8711">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15.5.2对承包人提出合理化建议的奖励方法：</w:t>
      </w:r>
    </w:p>
    <w:p w14:paraId="52F30097">
      <w:pPr>
        <w:adjustRightInd w:val="0"/>
        <w:snapToGrid w:val="0"/>
        <w:spacing w:line="360" w:lineRule="auto"/>
        <w:ind w:firstLine="420" w:firstLineChars="200"/>
        <w:jc w:val="left"/>
        <w:rPr>
          <w:rFonts w:ascii="宋体" w:hAnsi="宋体"/>
          <w:color w:val="auto"/>
          <w:szCs w:val="21"/>
        </w:rPr>
      </w:pPr>
      <w:r>
        <w:rPr>
          <w:rFonts w:ascii="宋体" w:hAnsi="宋体" w:cs="宋体"/>
          <w:color w:val="auto"/>
          <w:u w:val="single"/>
        </w:rPr>
        <w:t xml:space="preserve">  /  </w:t>
      </w:r>
      <w:r>
        <w:rPr>
          <w:color w:val="auto"/>
        </w:rPr>
        <w:fldChar w:fldCharType="begin"/>
      </w:r>
      <w:r>
        <w:rPr>
          <w:color w:val="auto"/>
        </w:rPr>
        <w:instrText xml:space="preserve"> AUTOTEXT  input498 \* MERGEFORMAT </w:instrText>
      </w:r>
      <w:r>
        <w:rPr>
          <w:color w:val="auto"/>
        </w:rPr>
        <w:fldChar w:fldCharType="end"/>
      </w:r>
    </w:p>
    <w:p w14:paraId="459C4613">
      <w:pPr>
        <w:adjustRightInd w:val="0"/>
        <w:snapToGrid w:val="0"/>
        <w:spacing w:line="360" w:lineRule="auto"/>
        <w:rPr>
          <w:rFonts w:ascii="宋体" w:hAnsi="宋体"/>
          <w:color w:val="auto"/>
          <w:sz w:val="24"/>
        </w:rPr>
      </w:pPr>
      <w:r>
        <w:rPr>
          <w:rFonts w:hint="eastAsia" w:ascii="宋体" w:hAnsi="宋体"/>
          <w:color w:val="auto"/>
          <w:sz w:val="24"/>
        </w:rPr>
        <w:t>15.8暂估价</w:t>
      </w:r>
    </w:p>
    <w:p w14:paraId="28AF4AA6">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15.8.1按合同约定应当由发包人和承包人采用招标方式选择专项供应商或专业分包人的：</w:t>
      </w:r>
    </w:p>
    <w:p w14:paraId="66D53FFE">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(4)承包人报送招标计划期限：</w:t>
      </w:r>
      <w:r>
        <w:rPr>
          <w:rFonts w:hint="eastAsia" w:ascii="宋体" w:hAnsi="宋体" w:cs="宋体"/>
          <w:color w:val="auto"/>
          <w:u w:val="single"/>
        </w:rPr>
        <w:t>在任何招标工作启动前，承包人应当提前至少7天编制招标工作计划并通过监理人报请发包人审批。</w:t>
      </w:r>
      <w:r>
        <w:rPr>
          <w:color w:val="auto"/>
        </w:rPr>
        <w:fldChar w:fldCharType="begin"/>
      </w:r>
      <w:r>
        <w:rPr>
          <w:color w:val="auto"/>
        </w:rPr>
        <w:instrText xml:space="preserve"> AUTOTEXT  input839 \* MERGEFORMAT </w:instrText>
      </w:r>
      <w:r>
        <w:rPr>
          <w:color w:val="auto"/>
        </w:rPr>
        <w:fldChar w:fldCharType="end"/>
      </w:r>
    </w:p>
    <w:p w14:paraId="128BFEA7">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发包人审批招标工作计划时限：</w:t>
      </w:r>
      <w:r>
        <w:rPr>
          <w:rFonts w:hint="eastAsia" w:ascii="宋体" w:hAnsi="宋体" w:cs="宋体"/>
          <w:color w:val="auto"/>
          <w:u w:val="single"/>
        </w:rPr>
        <w:t>发包人应当在监理人收到承包人报送的招标工作计划后7天内给予批准或者提出修改意见。</w:t>
      </w:r>
      <w:r>
        <w:rPr>
          <w:color w:val="auto"/>
        </w:rPr>
        <w:fldChar w:fldCharType="begin"/>
      </w:r>
      <w:r>
        <w:rPr>
          <w:color w:val="auto"/>
        </w:rPr>
        <w:instrText xml:space="preserve"> AUTOTEXT  input840 \* MERGEFORMAT </w:instrText>
      </w:r>
      <w:r>
        <w:rPr>
          <w:color w:val="auto"/>
        </w:rPr>
        <w:fldChar w:fldCharType="end"/>
      </w:r>
    </w:p>
    <w:p w14:paraId="1200D5F2">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(5)承包人报送相关文件时限：</w:t>
      </w:r>
      <w:r>
        <w:rPr>
          <w:rFonts w:hint="eastAsia" w:ascii="宋体" w:hAnsi="宋体" w:cs="宋体"/>
          <w:color w:val="auto"/>
          <w:u w:val="single"/>
        </w:rPr>
        <w:t>承包人应当在发出招标公告（或者资格预审公告或者投标邀请书）、资格预审文件和招标文件前至少7天，分别将相关文件通过监理人报请发包人审批。</w:t>
      </w:r>
      <w:r>
        <w:rPr>
          <w:color w:val="auto"/>
        </w:rPr>
        <w:fldChar w:fldCharType="begin"/>
      </w:r>
      <w:r>
        <w:rPr>
          <w:color w:val="auto"/>
        </w:rPr>
        <w:instrText xml:space="preserve"> AUTOTEXT  input841 \* MERGEFORMAT </w:instrText>
      </w:r>
      <w:r>
        <w:rPr>
          <w:color w:val="auto"/>
        </w:rPr>
        <w:fldChar w:fldCharType="end"/>
      </w:r>
    </w:p>
    <w:p w14:paraId="08A930B2">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发包人审批相关文件时限：</w:t>
      </w:r>
      <w:r>
        <w:rPr>
          <w:rFonts w:hint="eastAsia" w:ascii="宋体" w:hAnsi="宋体" w:cs="宋体"/>
          <w:color w:val="auto"/>
          <w:u w:val="single"/>
        </w:rPr>
        <w:t>发包人应当在监理人收到承包人报送的相关文件后7天内给予批准或者提出修改意见。</w:t>
      </w:r>
      <w:r>
        <w:rPr>
          <w:color w:val="auto"/>
        </w:rPr>
        <w:fldChar w:fldCharType="begin"/>
      </w:r>
      <w:r>
        <w:rPr>
          <w:color w:val="auto"/>
        </w:rPr>
        <w:instrText xml:space="preserve"> AUTOTEXT  input842 \* MERGEFORMAT </w:instrText>
      </w:r>
      <w:r>
        <w:rPr>
          <w:color w:val="auto"/>
        </w:rPr>
        <w:fldChar w:fldCharType="end"/>
      </w:r>
    </w:p>
    <w:p w14:paraId="702972F4">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(10)承包人申报合同文件时限：</w:t>
      </w:r>
      <w:r>
        <w:rPr>
          <w:rFonts w:hint="eastAsia" w:ascii="宋体" w:hAnsi="宋体" w:cs="宋体"/>
          <w:color w:val="auto"/>
          <w:u w:val="single"/>
        </w:rPr>
        <w:t>承包人与专业分包人或者专项供应商订立合同前14天，应当将准备用于正式签订的合同文件通过监理人报发包人审核。</w:t>
      </w:r>
      <w:r>
        <w:rPr>
          <w:color w:val="auto"/>
        </w:rPr>
        <w:fldChar w:fldCharType="begin"/>
      </w:r>
      <w:r>
        <w:rPr>
          <w:color w:val="auto"/>
        </w:rPr>
        <w:instrText xml:space="preserve"> AUTOTEXT  input843 \* MERGEFORMAT </w:instrText>
      </w:r>
      <w:r>
        <w:rPr>
          <w:color w:val="auto"/>
        </w:rPr>
        <w:fldChar w:fldCharType="end"/>
      </w:r>
    </w:p>
    <w:p w14:paraId="20237093">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发包人审批合同文件时限：</w:t>
      </w:r>
      <w:r>
        <w:rPr>
          <w:rFonts w:hint="eastAsia" w:ascii="宋体" w:hAnsi="宋体" w:cs="宋体"/>
          <w:color w:val="auto"/>
          <w:u w:val="single"/>
        </w:rPr>
        <w:t>发包人应当在监理人收到相关文件后14天内给予批准或者提出修改意见。</w:t>
      </w:r>
      <w:r>
        <w:rPr>
          <w:color w:val="auto"/>
        </w:rPr>
        <w:fldChar w:fldCharType="begin"/>
      </w:r>
      <w:r>
        <w:rPr>
          <w:color w:val="auto"/>
        </w:rPr>
        <w:instrText xml:space="preserve"> AUTOTEXT  input844 \* MERGEFORMAT </w:instrText>
      </w:r>
      <w:r>
        <w:rPr>
          <w:color w:val="auto"/>
        </w:rPr>
        <w:fldChar w:fldCharType="end"/>
      </w:r>
    </w:p>
    <w:p w14:paraId="2394E05B">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承包人报送正式签订合同副本时限：</w:t>
      </w:r>
      <w:r>
        <w:rPr>
          <w:rFonts w:hint="eastAsia" w:ascii="宋体" w:hAnsi="宋体" w:cs="宋体"/>
          <w:color w:val="auto"/>
          <w:u w:val="single"/>
        </w:rPr>
        <w:t>合同订立后7天内，承包人应当将其中的两份副本报送监理人，其中一份由监理人报发包人留存。</w:t>
      </w:r>
      <w:r>
        <w:rPr>
          <w:color w:val="auto"/>
        </w:rPr>
        <w:fldChar w:fldCharType="begin"/>
      </w:r>
      <w:r>
        <w:rPr>
          <w:color w:val="auto"/>
        </w:rPr>
        <w:instrText xml:space="preserve"> AUTOTEXT  input845 \* MERGEFORMAT </w:instrText>
      </w:r>
      <w:r>
        <w:rPr>
          <w:color w:val="auto"/>
        </w:rPr>
        <w:fldChar w:fldCharType="end"/>
      </w:r>
    </w:p>
    <w:p w14:paraId="6BC7EB1F">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15.8.3发包人在工程量清单中给定暂估价的专业工程不属于依法必须招标的范围或者未达到依法必须招标的规模标准的，其最终价格的估价人为：</w:t>
      </w:r>
      <w:r>
        <w:rPr>
          <w:rFonts w:hint="eastAsia" w:ascii="宋体" w:hAnsi="宋体" w:cs="宋体"/>
          <w:color w:val="auto"/>
          <w:u w:val="single"/>
        </w:rPr>
        <w:t>发包人</w:t>
      </w:r>
      <w:r>
        <w:rPr>
          <w:color w:val="auto"/>
        </w:rPr>
        <w:fldChar w:fldCharType="begin"/>
      </w:r>
      <w:r>
        <w:rPr>
          <w:color w:val="auto"/>
        </w:rPr>
        <w:instrText xml:space="preserve"> AUTOTEXT  input506 \* MERGEFORMAT </w:instrText>
      </w:r>
      <w:r>
        <w:rPr>
          <w:color w:val="auto"/>
        </w:rPr>
        <w:fldChar w:fldCharType="end"/>
      </w:r>
      <w:r>
        <w:rPr>
          <w:rFonts w:hint="eastAsia" w:ascii="宋体" w:hAnsi="宋体"/>
          <w:color w:val="auto"/>
          <w:szCs w:val="21"/>
        </w:rPr>
        <w:t>或者按照下列约定：</w:t>
      </w:r>
      <w:r>
        <w:rPr>
          <w:rFonts w:hint="eastAsia" w:ascii="宋体" w:hAnsi="宋体" w:cs="宋体"/>
          <w:color w:val="auto"/>
          <w:u w:val="single"/>
        </w:rPr>
        <w:t>发包人委托的造价机构审核确认金额为准。</w:t>
      </w:r>
      <w:r>
        <w:rPr>
          <w:color w:val="auto"/>
        </w:rPr>
        <w:fldChar w:fldCharType="begin"/>
      </w:r>
      <w:r>
        <w:rPr>
          <w:color w:val="auto"/>
        </w:rPr>
        <w:instrText xml:space="preserve"> AUTOTEXT  input507 \* MERGEFORMAT </w:instrText>
      </w:r>
      <w:r>
        <w:rPr>
          <w:color w:val="auto"/>
        </w:rPr>
        <w:fldChar w:fldCharType="end"/>
      </w:r>
    </w:p>
    <w:p w14:paraId="1F4AB478">
      <w:pPr>
        <w:adjustRightInd w:val="0"/>
        <w:snapToGrid w:val="0"/>
        <w:spacing w:line="360" w:lineRule="auto"/>
        <w:outlineLvl w:val="1"/>
        <w:rPr>
          <w:rFonts w:ascii="宋体" w:hAnsi="宋体"/>
          <w:color w:val="auto"/>
          <w:sz w:val="28"/>
        </w:rPr>
      </w:pPr>
      <w:bookmarkStart w:id="1205" w:name="_Toc777"/>
      <w:bookmarkStart w:id="1206" w:name="_Toc8045"/>
      <w:r>
        <w:rPr>
          <w:rFonts w:hint="eastAsia" w:ascii="宋体" w:hAnsi="宋体"/>
          <w:color w:val="auto"/>
          <w:sz w:val="28"/>
        </w:rPr>
        <w:t>16.价格调整</w:t>
      </w:r>
      <w:bookmarkEnd w:id="1205"/>
      <w:bookmarkEnd w:id="1206"/>
    </w:p>
    <w:p w14:paraId="6B8F9BBB">
      <w:pPr>
        <w:adjustRightInd w:val="0"/>
        <w:snapToGrid w:val="0"/>
        <w:spacing w:line="360" w:lineRule="auto"/>
        <w:rPr>
          <w:rFonts w:ascii="宋体" w:hAnsi="宋体"/>
          <w:color w:val="auto"/>
          <w:sz w:val="24"/>
        </w:rPr>
      </w:pPr>
      <w:r>
        <w:rPr>
          <w:rFonts w:hint="eastAsia" w:ascii="宋体" w:hAnsi="宋体"/>
          <w:color w:val="auto"/>
          <w:sz w:val="24"/>
        </w:rPr>
        <w:t>16.1物价波动引起的价格调整</w:t>
      </w:r>
    </w:p>
    <w:p w14:paraId="12095212">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物价波动引起价格调整方法：</w:t>
      </w:r>
      <w:r>
        <w:rPr>
          <w:rFonts w:hint="eastAsia" w:ascii="宋体" w:hAnsi="宋体" w:cs="宋体"/>
          <w:color w:val="auto"/>
          <w:u w:val="single"/>
        </w:rPr>
        <w:t>采用造价信息调整价格差额法</w:t>
      </w:r>
      <w:r>
        <w:rPr>
          <w:color w:val="auto"/>
        </w:rPr>
        <w:fldChar w:fldCharType="begin"/>
      </w:r>
      <w:r>
        <w:rPr>
          <w:color w:val="auto"/>
        </w:rPr>
        <w:instrText xml:space="preserve"> AUTOTEXT  input508 \* MERGEFORMAT </w:instrText>
      </w:r>
      <w:r>
        <w:rPr>
          <w:color w:val="auto"/>
        </w:rPr>
        <w:fldChar w:fldCharType="end"/>
      </w:r>
    </w:p>
    <w:p w14:paraId="7DE3BFC1">
      <w:pPr>
        <w:adjustRightInd w:val="0"/>
        <w:snapToGrid w:val="0"/>
        <w:spacing w:line="360" w:lineRule="auto"/>
        <w:ind w:firstLine="420" w:firstLineChars="200"/>
        <w:jc w:val="left"/>
        <w:rPr>
          <w:rFonts w:ascii="宋体" w:hAnsi="宋体"/>
          <w:color w:val="auto"/>
        </w:rPr>
      </w:pPr>
      <w:r>
        <w:rPr>
          <w:rFonts w:hint="eastAsia" w:ascii="宋体" w:hAnsi="宋体"/>
          <w:color w:val="auto"/>
          <w:szCs w:val="21"/>
        </w:rPr>
        <w:t>16.1.</w:t>
      </w:r>
      <w:r>
        <w:rPr>
          <w:rFonts w:ascii="宋体" w:hAnsi="宋体"/>
          <w:color w:val="auto"/>
          <w:szCs w:val="21"/>
        </w:rPr>
        <w:t>2</w:t>
      </w:r>
      <w:r>
        <w:rPr>
          <w:rFonts w:hint="eastAsia" w:ascii="宋体" w:hAnsi="宋体"/>
          <w:color w:val="auto"/>
        </w:rPr>
        <w:t>采用造价信息调整价格差额</w:t>
      </w:r>
    </w:p>
    <w:p w14:paraId="4410496B">
      <w:pPr>
        <w:adjustRightInd w:val="0"/>
        <w:snapToGrid w:val="0"/>
        <w:spacing w:line="360" w:lineRule="auto"/>
        <w:ind w:firstLine="420" w:firstLineChars="200"/>
        <w:jc w:val="left"/>
        <w:rPr>
          <w:rFonts w:ascii="宋体" w:hAnsi="宋体"/>
          <w:color w:val="auto"/>
          <w:szCs w:val="21"/>
        </w:rPr>
      </w:pPr>
      <w:r>
        <w:rPr>
          <w:rFonts w:ascii="宋体" w:hAnsi="宋体"/>
          <w:color w:val="auto"/>
          <w:szCs w:val="21"/>
        </w:rPr>
        <w:t>16.1.2.1</w:t>
      </w:r>
      <w:r>
        <w:rPr>
          <w:rFonts w:ascii="宋体" w:hAnsi="宋体"/>
          <w:color w:val="auto"/>
        </w:rPr>
        <w:t>引起价格调整的</w:t>
      </w:r>
      <w:r>
        <w:rPr>
          <w:rFonts w:hint="eastAsia" w:ascii="宋体" w:hAnsi="宋体"/>
          <w:color w:val="auto"/>
        </w:rPr>
        <w:t>物价</w:t>
      </w:r>
      <w:r>
        <w:rPr>
          <w:rFonts w:ascii="宋体" w:hAnsi="宋体"/>
          <w:color w:val="auto"/>
        </w:rPr>
        <w:t>波动风险范围及幅度</w:t>
      </w:r>
    </w:p>
    <w:p w14:paraId="3834C060">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引起</w:t>
      </w:r>
      <w:r>
        <w:rPr>
          <w:rFonts w:ascii="宋体" w:hAnsi="宋体"/>
          <w:color w:val="auto"/>
        </w:rPr>
        <w:t>价格调整的</w:t>
      </w:r>
      <w:r>
        <w:rPr>
          <w:rFonts w:hint="eastAsia" w:ascii="宋体" w:hAnsi="宋体"/>
          <w:color w:val="auto"/>
          <w:szCs w:val="21"/>
        </w:rPr>
        <w:t>物价波动</w:t>
      </w:r>
      <w:r>
        <w:rPr>
          <w:rFonts w:hint="eastAsia" w:ascii="宋体" w:hAnsi="宋体"/>
          <w:color w:val="auto"/>
        </w:rPr>
        <w:t>风险范围</w:t>
      </w:r>
      <w:r>
        <w:rPr>
          <w:rFonts w:hint="eastAsia" w:ascii="宋体" w:hAnsi="宋体"/>
          <w:color w:val="auto"/>
          <w:szCs w:val="21"/>
        </w:rPr>
        <w:t>：</w:t>
      </w:r>
      <w:r>
        <w:rPr>
          <w:rFonts w:hint="eastAsia" w:ascii="仿宋_GB2312" w:hAnsi="仿宋_GB2312" w:eastAsia="仿宋_GB2312" w:cs="仿宋_GB2312"/>
          <w:bCs/>
          <w:color w:val="auto"/>
          <w:kern w:val="0"/>
          <w:sz w:val="32"/>
          <w:szCs w:val="32"/>
          <w:highlight w:val="none"/>
          <w:lang w:bidi="ar"/>
        </w:rPr>
        <w:t>人工价格涨跌幅超过（含）±5%时，对全部涨跌部分进行调差；钢筋、预拌混凝土、钢筋混凝土管涨跌幅超过±5%（含）时，对涨跌幅超过±5%（含）部分进行调差；机械、设备、其他材料等不调差。</w:t>
      </w:r>
      <w:r>
        <w:rPr>
          <w:color w:val="auto"/>
        </w:rPr>
        <w:fldChar w:fldCharType="begin"/>
      </w:r>
      <w:r>
        <w:rPr>
          <w:color w:val="auto"/>
        </w:rPr>
        <w:instrText xml:space="preserve"> AUTOTEXT  input846 \* MERGEFORMAT </w:instrText>
      </w:r>
      <w:r>
        <w:rPr>
          <w:color w:val="auto"/>
        </w:rPr>
        <w:fldChar w:fldCharType="end"/>
      </w:r>
    </w:p>
    <w:p w14:paraId="20BD7B2F">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引起</w:t>
      </w:r>
      <w:r>
        <w:rPr>
          <w:rFonts w:ascii="宋体" w:hAnsi="宋体"/>
          <w:color w:val="auto"/>
        </w:rPr>
        <w:t>价格调整的</w:t>
      </w:r>
      <w:r>
        <w:rPr>
          <w:rFonts w:hint="eastAsia" w:ascii="宋体" w:hAnsi="宋体"/>
          <w:color w:val="auto"/>
          <w:szCs w:val="21"/>
        </w:rPr>
        <w:t>物价波动</w:t>
      </w:r>
      <w:r>
        <w:rPr>
          <w:rFonts w:ascii="宋体" w:hAnsi="宋体"/>
          <w:color w:val="auto"/>
        </w:rPr>
        <w:t>风险幅度</w:t>
      </w:r>
      <w:r>
        <w:rPr>
          <w:rFonts w:hint="eastAsia" w:ascii="宋体" w:hAnsi="宋体"/>
          <w:color w:val="auto"/>
        </w:rPr>
        <w:t>：</w:t>
      </w:r>
      <w:r>
        <w:rPr>
          <w:rFonts w:hint="eastAsia" w:ascii="宋体" w:hAnsi="宋体" w:cs="宋体"/>
          <w:color w:val="auto"/>
          <w:u w:val="single"/>
        </w:rPr>
        <w:t>±</w:t>
      </w:r>
      <w:r>
        <w:rPr>
          <w:rFonts w:ascii="宋体" w:hAnsi="宋体" w:cs="宋体"/>
          <w:color w:val="auto"/>
          <w:u w:val="single"/>
        </w:rPr>
        <w:t>5%</w:t>
      </w:r>
      <w:r>
        <w:rPr>
          <w:color w:val="auto"/>
        </w:rPr>
        <w:fldChar w:fldCharType="begin"/>
      </w:r>
      <w:r>
        <w:rPr>
          <w:color w:val="auto"/>
        </w:rPr>
        <w:instrText xml:space="preserve"> AUTOTEXT  input847 \* MERGEFORMAT </w:instrText>
      </w:r>
      <w:r>
        <w:rPr>
          <w:color w:val="auto"/>
        </w:rPr>
        <w:fldChar w:fldCharType="end"/>
      </w:r>
    </w:p>
    <w:p w14:paraId="5E4DA8BE">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16.1.</w:t>
      </w:r>
      <w:r>
        <w:rPr>
          <w:rFonts w:ascii="宋体" w:hAnsi="宋体"/>
          <w:color w:val="auto"/>
          <w:szCs w:val="21"/>
        </w:rPr>
        <w:t>2</w:t>
      </w:r>
      <w:r>
        <w:rPr>
          <w:rFonts w:hint="eastAsia" w:ascii="宋体" w:hAnsi="宋体"/>
          <w:color w:val="auto"/>
          <w:szCs w:val="21"/>
        </w:rPr>
        <w:t>.</w:t>
      </w:r>
      <w:r>
        <w:rPr>
          <w:rFonts w:ascii="宋体" w:hAnsi="宋体"/>
          <w:color w:val="auto"/>
          <w:szCs w:val="21"/>
        </w:rPr>
        <w:t>2物价波动引起价格调整的</w:t>
      </w:r>
      <w:r>
        <w:rPr>
          <w:rFonts w:hint="eastAsia" w:ascii="宋体" w:hAnsi="宋体"/>
          <w:color w:val="auto"/>
          <w:szCs w:val="21"/>
        </w:rPr>
        <w:t>风险</w:t>
      </w:r>
      <w:r>
        <w:rPr>
          <w:rFonts w:ascii="宋体" w:hAnsi="宋体"/>
          <w:color w:val="auto"/>
          <w:szCs w:val="21"/>
        </w:rPr>
        <w:t>幅度的计算方法</w:t>
      </w:r>
    </w:p>
    <w:p w14:paraId="7AFF1B47">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(1)</w:t>
      </w:r>
      <w:r>
        <w:rPr>
          <w:rFonts w:ascii="宋体" w:hAnsi="宋体"/>
          <w:color w:val="auto"/>
          <w:szCs w:val="21"/>
        </w:rPr>
        <w:t>投标报价基准期</w:t>
      </w:r>
      <w:r>
        <w:rPr>
          <w:rFonts w:hint="eastAsia" w:ascii="宋体" w:hAnsi="宋体"/>
          <w:color w:val="auto"/>
          <w:szCs w:val="21"/>
        </w:rPr>
        <w:t>：</w:t>
      </w:r>
      <w:r>
        <w:rPr>
          <w:rFonts w:ascii="宋体" w:hAnsi="宋体" w:cs="宋体"/>
          <w:color w:val="auto"/>
          <w:u w:val="single"/>
        </w:rPr>
        <w:t>202</w:t>
      </w:r>
      <w:r>
        <w:rPr>
          <w:rFonts w:hint="eastAsia" w:ascii="宋体" w:hAnsi="宋体" w:cs="宋体"/>
          <w:color w:val="auto"/>
          <w:u w:val="single"/>
        </w:rPr>
        <w:t>5</w:t>
      </w:r>
      <w:r>
        <w:rPr>
          <w:color w:val="auto"/>
        </w:rPr>
        <w:fldChar w:fldCharType="begin"/>
      </w:r>
      <w:r>
        <w:rPr>
          <w:color w:val="auto"/>
        </w:rPr>
        <w:instrText xml:space="preserve"> AUTOTEXT  input848 \* MERGEFORMAT </w:instrText>
      </w:r>
      <w:r>
        <w:rPr>
          <w:color w:val="auto"/>
        </w:rPr>
        <w:fldChar w:fldCharType="end"/>
      </w:r>
      <w:r>
        <w:rPr>
          <w:rFonts w:hint="eastAsia" w:ascii="宋体" w:hAnsi="宋体"/>
          <w:color w:val="auto"/>
          <w:szCs w:val="21"/>
        </w:rPr>
        <w:t>年</w:t>
      </w:r>
      <w:r>
        <w:rPr>
          <w:rFonts w:hint="eastAsia" w:ascii="宋体" w:hAnsi="宋体" w:cs="宋体"/>
          <w:color w:val="auto"/>
          <w:u w:val="single"/>
        </w:rPr>
        <w:t xml:space="preserve"> </w:t>
      </w:r>
      <w:r>
        <w:rPr>
          <w:rFonts w:hint="eastAsia" w:ascii="宋体" w:hAnsi="宋体" w:cs="宋体"/>
          <w:color w:val="auto"/>
          <w:u w:val="single"/>
          <w:lang w:val="en-US" w:eastAsia="zh-CN"/>
        </w:rPr>
        <w:t>8</w:t>
      </w:r>
      <w:r>
        <w:rPr>
          <w:rFonts w:hint="eastAsia" w:ascii="宋体" w:hAnsi="宋体" w:cs="宋体"/>
          <w:color w:val="auto"/>
          <w:u w:val="single"/>
        </w:rPr>
        <w:t xml:space="preserve"> </w:t>
      </w:r>
      <w:r>
        <w:rPr>
          <w:color w:val="auto"/>
        </w:rPr>
        <w:fldChar w:fldCharType="begin"/>
      </w:r>
      <w:r>
        <w:rPr>
          <w:color w:val="auto"/>
        </w:rPr>
        <w:instrText xml:space="preserve"> AUTOTEXT  input849 \* MERGEFORMAT </w:instrText>
      </w:r>
      <w:r>
        <w:rPr>
          <w:color w:val="auto"/>
        </w:rPr>
        <w:fldChar w:fldCharType="end"/>
      </w:r>
      <w:r>
        <w:rPr>
          <w:rFonts w:hint="eastAsia" w:ascii="宋体" w:hAnsi="宋体"/>
          <w:color w:val="auto"/>
          <w:szCs w:val="21"/>
        </w:rPr>
        <w:t>月。</w:t>
      </w:r>
    </w:p>
    <w:p w14:paraId="0796D23E">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(2)《北京工程造价信息》中工程造价信息价没有的，基准价的确定方法：</w:t>
      </w:r>
      <w:r>
        <w:rPr>
          <w:rFonts w:hint="eastAsia" w:ascii="宋体" w:hAnsi="宋体" w:cs="宋体"/>
          <w:color w:val="auto"/>
          <w:u w:val="single"/>
        </w:rPr>
        <w:t>以发包人、承包人共同确认的市场价格为依据确定</w:t>
      </w:r>
      <w:r>
        <w:rPr>
          <w:color w:val="auto"/>
        </w:rPr>
        <w:fldChar w:fldCharType="begin"/>
      </w:r>
      <w:r>
        <w:rPr>
          <w:color w:val="auto"/>
        </w:rPr>
        <w:instrText xml:space="preserve"> AUTOTEXT  input850 \* MERGEFORMAT </w:instrText>
      </w:r>
      <w:r>
        <w:rPr>
          <w:color w:val="auto"/>
        </w:rPr>
        <w:fldChar w:fldCharType="end"/>
      </w:r>
    </w:p>
    <w:p w14:paraId="6FC31148">
      <w:pPr>
        <w:adjustRightInd w:val="0"/>
        <w:snapToGrid w:val="0"/>
        <w:spacing w:line="360" w:lineRule="auto"/>
        <w:ind w:firstLine="420" w:firstLineChars="200"/>
        <w:jc w:val="left"/>
        <w:rPr>
          <w:rFonts w:ascii="宋体" w:hAnsi="宋体"/>
          <w:color w:val="auto"/>
          <w:szCs w:val="21"/>
          <w:u w:val="single"/>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)合同履行期间价格的确定方法：</w:t>
      </w:r>
      <w:r>
        <w:rPr>
          <w:rFonts w:hint="eastAsia" w:ascii="宋体" w:hAnsi="宋体" w:cs="宋体"/>
          <w:color w:val="auto"/>
          <w:u w:val="single"/>
        </w:rPr>
        <w:t>按发包人、承包人共同确认的市场价格为准，若发承包双方未能就施工期市场价格达成一致，以北京市建设工程造价管理机构发布的《北京工程造价信息》施工期的市场信息价格(以下简称造价信息价格)为依据，造价信息价格中有上、下限的，以下限为准；如《北京工程造价信息》中无相关造价信息价格，应以发承包双方共同确认的市场价格为依据确定。</w:t>
      </w:r>
      <w:r>
        <w:rPr>
          <w:color w:val="auto"/>
        </w:rPr>
        <w:fldChar w:fldCharType="begin"/>
      </w:r>
      <w:r>
        <w:rPr>
          <w:color w:val="auto"/>
        </w:rPr>
        <w:instrText xml:space="preserve"> AUTOTEXT  input851 \* MERGEFORMAT </w:instrText>
      </w:r>
      <w:r>
        <w:rPr>
          <w:color w:val="auto"/>
        </w:rPr>
        <w:fldChar w:fldCharType="end"/>
      </w:r>
    </w:p>
    <w:p w14:paraId="2FDD0B65">
      <w:pPr>
        <w:adjustRightInd w:val="0"/>
        <w:snapToGrid w:val="0"/>
        <w:spacing w:line="360" w:lineRule="auto"/>
        <w:ind w:firstLine="420" w:firstLineChars="200"/>
        <w:jc w:val="left"/>
        <w:rPr>
          <w:rFonts w:ascii="宋体" w:hAnsi="宋体" w:cs="宋体"/>
          <w:color w:val="auto"/>
          <w:u w:val="single"/>
        </w:rPr>
      </w:pPr>
      <w:r>
        <w:rPr>
          <w:rFonts w:hint="eastAsia" w:ascii="宋体" w:hAnsi="宋体"/>
          <w:color w:val="auto"/>
          <w:szCs w:val="21"/>
        </w:rPr>
        <w:t>(4)风险幅度的计算方法：</w:t>
      </w:r>
      <w:r>
        <w:rPr>
          <w:rFonts w:hint="eastAsia" w:ascii="宋体" w:hAnsi="宋体" w:cs="宋体"/>
          <w:color w:val="auto"/>
          <w:u w:val="single"/>
        </w:rPr>
        <w:t>1）当承包人投标报价中的单价低于基准价时：</w:t>
      </w:r>
    </w:p>
    <w:p w14:paraId="25454832">
      <w:pPr>
        <w:adjustRightInd w:val="0"/>
        <w:snapToGrid w:val="0"/>
        <w:spacing w:line="360" w:lineRule="auto"/>
        <w:ind w:firstLine="420" w:firstLineChars="200"/>
        <w:jc w:val="left"/>
        <w:rPr>
          <w:rFonts w:ascii="宋体" w:hAnsi="宋体" w:cs="宋体"/>
          <w:color w:val="auto"/>
          <w:u w:val="single"/>
        </w:rPr>
      </w:pPr>
      <w:r>
        <w:rPr>
          <w:rFonts w:hint="eastAsia" w:ascii="宋体" w:hAnsi="宋体" w:cs="宋体"/>
          <w:color w:val="auto"/>
          <w:u w:val="single"/>
        </w:rPr>
        <w:t>物价波动变化幅度（涨幅）=（施工期市场价-基准价）/基准价×100%</w:t>
      </w:r>
    </w:p>
    <w:p w14:paraId="225AF912">
      <w:pPr>
        <w:adjustRightInd w:val="0"/>
        <w:snapToGrid w:val="0"/>
        <w:spacing w:line="360" w:lineRule="auto"/>
        <w:ind w:firstLine="420" w:firstLineChars="200"/>
        <w:jc w:val="left"/>
        <w:rPr>
          <w:rFonts w:ascii="宋体" w:hAnsi="宋体" w:cs="宋体"/>
          <w:color w:val="auto"/>
          <w:u w:val="single"/>
        </w:rPr>
      </w:pPr>
      <w:r>
        <w:rPr>
          <w:rFonts w:hint="eastAsia" w:ascii="宋体" w:hAnsi="宋体" w:cs="宋体"/>
          <w:color w:val="auto"/>
          <w:u w:val="single"/>
        </w:rPr>
        <w:t>物价波动变化幅度（跌幅）=（施工期市场价-投标单价）/投标单价×100%</w:t>
      </w:r>
    </w:p>
    <w:p w14:paraId="66BA096F">
      <w:pPr>
        <w:adjustRightInd w:val="0"/>
        <w:snapToGrid w:val="0"/>
        <w:spacing w:line="360" w:lineRule="auto"/>
        <w:ind w:firstLine="420" w:firstLineChars="200"/>
        <w:jc w:val="left"/>
        <w:rPr>
          <w:rFonts w:ascii="宋体" w:hAnsi="宋体" w:cs="宋体"/>
          <w:color w:val="auto"/>
          <w:u w:val="single"/>
        </w:rPr>
      </w:pPr>
      <w:r>
        <w:rPr>
          <w:rFonts w:hint="eastAsia" w:ascii="宋体" w:hAnsi="宋体" w:cs="宋体"/>
          <w:color w:val="auto"/>
          <w:u w:val="single"/>
        </w:rPr>
        <w:t>2）当承包人投标报价中的单价高于基准价时：</w:t>
      </w:r>
    </w:p>
    <w:p w14:paraId="59AD9092">
      <w:pPr>
        <w:adjustRightInd w:val="0"/>
        <w:snapToGrid w:val="0"/>
        <w:spacing w:line="360" w:lineRule="auto"/>
        <w:ind w:firstLine="420" w:firstLineChars="200"/>
        <w:jc w:val="left"/>
        <w:rPr>
          <w:rFonts w:ascii="宋体" w:hAnsi="宋体" w:cs="宋体"/>
          <w:color w:val="auto"/>
          <w:u w:val="single"/>
        </w:rPr>
      </w:pPr>
      <w:r>
        <w:rPr>
          <w:rFonts w:hint="eastAsia" w:ascii="宋体" w:hAnsi="宋体" w:cs="宋体"/>
          <w:color w:val="auto"/>
          <w:u w:val="single"/>
        </w:rPr>
        <w:t xml:space="preserve">物价波动变化幅度（涨幅）=（施工期市场价-投标单价）/投标单价×100% </w:t>
      </w:r>
    </w:p>
    <w:p w14:paraId="6494B366">
      <w:pPr>
        <w:adjustRightInd w:val="0"/>
        <w:snapToGrid w:val="0"/>
        <w:spacing w:line="360" w:lineRule="auto"/>
        <w:ind w:firstLine="420" w:firstLineChars="200"/>
        <w:jc w:val="left"/>
        <w:rPr>
          <w:rFonts w:ascii="宋体" w:hAnsi="宋体" w:cs="宋体"/>
          <w:color w:val="auto"/>
          <w:u w:val="single"/>
        </w:rPr>
      </w:pPr>
      <w:r>
        <w:rPr>
          <w:rFonts w:hint="eastAsia" w:ascii="宋体" w:hAnsi="宋体" w:cs="宋体"/>
          <w:color w:val="auto"/>
          <w:u w:val="single"/>
        </w:rPr>
        <w:t xml:space="preserve">物价波动变化幅度（跌幅）=（施工期市场价-基准价）/基准价×100%  </w:t>
      </w:r>
    </w:p>
    <w:p w14:paraId="51777778">
      <w:pPr>
        <w:adjustRightInd w:val="0"/>
        <w:snapToGrid w:val="0"/>
        <w:spacing w:line="360" w:lineRule="auto"/>
        <w:ind w:firstLine="420" w:firstLineChars="200"/>
        <w:jc w:val="left"/>
        <w:rPr>
          <w:rFonts w:ascii="宋体" w:hAnsi="宋体" w:cs="宋体"/>
          <w:color w:val="auto"/>
          <w:u w:val="single"/>
        </w:rPr>
      </w:pPr>
      <w:r>
        <w:rPr>
          <w:rFonts w:hint="eastAsia" w:ascii="宋体" w:hAnsi="宋体" w:cs="宋体"/>
          <w:color w:val="auto"/>
          <w:u w:val="single"/>
        </w:rPr>
        <w:t>3）当承包人投标报价中的单价等于基准价时：</w:t>
      </w:r>
    </w:p>
    <w:p w14:paraId="4D7B1EEA">
      <w:pPr>
        <w:adjustRightInd w:val="0"/>
        <w:snapToGrid w:val="0"/>
        <w:spacing w:line="360" w:lineRule="auto"/>
        <w:ind w:firstLine="420" w:firstLineChars="200"/>
        <w:jc w:val="left"/>
        <w:rPr>
          <w:rFonts w:ascii="宋体" w:hAnsi="宋体" w:cs="宋体"/>
          <w:color w:val="auto"/>
          <w:u w:val="single"/>
        </w:rPr>
      </w:pPr>
      <w:r>
        <w:rPr>
          <w:rFonts w:hint="eastAsia" w:ascii="宋体" w:hAnsi="宋体" w:cs="宋体"/>
          <w:color w:val="auto"/>
          <w:u w:val="single"/>
        </w:rPr>
        <w:t>物价波动变化幅度=（施工期市场价-基准价）/基准价×100%</w:t>
      </w:r>
    </w:p>
    <w:p w14:paraId="57508749">
      <w:pPr>
        <w:adjustRightInd w:val="0"/>
        <w:snapToGrid w:val="0"/>
        <w:spacing w:line="360" w:lineRule="auto"/>
        <w:ind w:firstLine="420" w:firstLineChars="200"/>
        <w:jc w:val="left"/>
        <w:rPr>
          <w:rFonts w:ascii="宋体" w:hAnsi="宋体"/>
          <w:color w:val="auto"/>
          <w:szCs w:val="21"/>
        </w:rPr>
      </w:pPr>
      <w:r>
        <w:rPr>
          <w:rFonts w:hint="eastAsia" w:ascii="宋体" w:hAnsi="宋体" w:cs="宋体"/>
          <w:color w:val="auto"/>
          <w:u w:val="single"/>
        </w:rPr>
        <w:t>4）承包人在已标价工程量清单或预算书中未载明单价的，合同履行期间价格的涨（跌）幅度以基准价格为基础确定。</w:t>
      </w:r>
      <w:r>
        <w:rPr>
          <w:rFonts w:ascii="宋体" w:hAnsi="宋体"/>
          <w:color w:val="auto"/>
          <w:szCs w:val="21"/>
          <w:u w:val="single"/>
        </w:rPr>
        <w:fldChar w:fldCharType="begin"/>
      </w:r>
      <w:r>
        <w:rPr>
          <w:rFonts w:ascii="宋体" w:hAnsi="宋体"/>
          <w:color w:val="auto"/>
          <w:szCs w:val="21"/>
          <w:u w:val="single"/>
        </w:rPr>
        <w:instrText xml:space="preserve"> AUTOTEXT  input857 \* MERGEFORMAT </w:instrText>
      </w:r>
      <w:r>
        <w:rPr>
          <w:rFonts w:ascii="宋体" w:hAnsi="宋体"/>
          <w:color w:val="auto"/>
          <w:szCs w:val="21"/>
          <w:u w:val="single"/>
        </w:rPr>
        <w:fldChar w:fldCharType="end"/>
      </w:r>
    </w:p>
    <w:p w14:paraId="20817DF4">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16.1.</w:t>
      </w:r>
      <w:r>
        <w:rPr>
          <w:rFonts w:ascii="宋体" w:hAnsi="宋体"/>
          <w:color w:val="auto"/>
          <w:szCs w:val="21"/>
        </w:rPr>
        <w:t>2</w:t>
      </w:r>
      <w:r>
        <w:rPr>
          <w:rFonts w:hint="eastAsia" w:ascii="宋体" w:hAnsi="宋体"/>
          <w:color w:val="auto"/>
          <w:szCs w:val="21"/>
        </w:rPr>
        <w:t>.</w:t>
      </w:r>
      <w:r>
        <w:rPr>
          <w:rFonts w:ascii="宋体" w:hAnsi="宋体"/>
          <w:color w:val="auto"/>
          <w:szCs w:val="21"/>
        </w:rPr>
        <w:t>3</w:t>
      </w:r>
      <w:r>
        <w:rPr>
          <w:rFonts w:hint="eastAsia" w:ascii="宋体" w:hAnsi="宋体"/>
          <w:color w:val="auto"/>
          <w:szCs w:val="21"/>
        </w:rPr>
        <w:t>物价</w:t>
      </w:r>
      <w:r>
        <w:rPr>
          <w:rFonts w:ascii="宋体" w:hAnsi="宋体"/>
          <w:color w:val="auto"/>
          <w:szCs w:val="21"/>
        </w:rPr>
        <w:t>波动引起价格调整的</w:t>
      </w:r>
      <w:r>
        <w:rPr>
          <w:rFonts w:hint="eastAsia" w:ascii="宋体" w:hAnsi="宋体"/>
          <w:color w:val="auto"/>
          <w:szCs w:val="21"/>
        </w:rPr>
        <w:t>方法</w:t>
      </w:r>
    </w:p>
    <w:p w14:paraId="3397A65F">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)价格调整方法</w:t>
      </w:r>
      <w:r>
        <w:rPr>
          <w:rFonts w:hint="eastAsia" w:ascii="宋体" w:hAnsi="宋体" w:cs="宋体"/>
          <w:color w:val="auto"/>
          <w:u w:val="single"/>
        </w:rPr>
        <w:t>加权平均法；首先依据本章第17.1.3项约定所确定的计量周期,以及本章专用部分第16.1.2.1 目约定的能够引起价格调整的物价波动风险和幅度,分门别类按照当期双方确认的每次采购数量和对应的价格,以及当期双方确认的采购次数确定相应加权平均价。计算后的差价仅计取税金。</w:t>
      </w:r>
      <w:r>
        <w:rPr>
          <w:color w:val="auto"/>
        </w:rPr>
        <w:fldChar w:fldCharType="begin"/>
      </w:r>
      <w:r>
        <w:rPr>
          <w:color w:val="auto"/>
        </w:rPr>
        <w:instrText xml:space="preserve"> AUTOTEXT  input852 \* MERGEFORMAT </w:instrText>
      </w:r>
      <w:r>
        <w:rPr>
          <w:color w:val="auto"/>
        </w:rPr>
        <w:fldChar w:fldCharType="end"/>
      </w:r>
    </w:p>
    <w:p w14:paraId="68F51A04">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16.1.</w:t>
      </w:r>
      <w:r>
        <w:rPr>
          <w:rFonts w:ascii="宋体" w:hAnsi="宋体"/>
          <w:color w:val="auto"/>
          <w:szCs w:val="21"/>
        </w:rPr>
        <w:t>2</w:t>
      </w:r>
      <w:r>
        <w:rPr>
          <w:rFonts w:hint="eastAsia" w:ascii="宋体" w:hAnsi="宋体"/>
          <w:color w:val="auto"/>
          <w:szCs w:val="21"/>
        </w:rPr>
        <w:t>.</w:t>
      </w:r>
      <w:r>
        <w:rPr>
          <w:rFonts w:ascii="宋体" w:hAnsi="宋体"/>
          <w:color w:val="auto"/>
          <w:szCs w:val="21"/>
        </w:rPr>
        <w:t>4</w:t>
      </w:r>
      <w:r>
        <w:rPr>
          <w:rFonts w:hint="eastAsia" w:ascii="宋体" w:hAnsi="宋体"/>
          <w:color w:val="auto"/>
          <w:szCs w:val="21"/>
        </w:rPr>
        <w:t>其他约定：</w:t>
      </w:r>
      <w:r>
        <w:rPr>
          <w:rFonts w:ascii="宋体" w:hAnsi="宋体" w:cs="宋体"/>
          <w:color w:val="auto"/>
          <w:u w:val="single"/>
        </w:rPr>
        <w:t xml:space="preserve"> </w:t>
      </w:r>
      <w:r>
        <w:rPr>
          <w:rFonts w:hint="eastAsia" w:ascii="宋体" w:hAnsi="宋体" w:cs="宋体"/>
          <w:color w:val="auto"/>
          <w:u w:val="single"/>
          <w:lang w:val="en-US" w:eastAsia="zh-CN"/>
        </w:rPr>
        <w:t>/</w:t>
      </w:r>
      <w:r>
        <w:rPr>
          <w:color w:val="auto"/>
        </w:rPr>
        <w:fldChar w:fldCharType="begin"/>
      </w:r>
      <w:r>
        <w:rPr>
          <w:color w:val="auto"/>
        </w:rPr>
        <w:instrText xml:space="preserve"> AUTOTEXT  input509 \* MERGEFORMAT </w:instrText>
      </w:r>
      <w:r>
        <w:rPr>
          <w:color w:val="auto"/>
        </w:rPr>
        <w:fldChar w:fldCharType="end"/>
      </w:r>
    </w:p>
    <w:p w14:paraId="68B90397">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16.1.</w:t>
      </w:r>
      <w:r>
        <w:rPr>
          <w:rFonts w:ascii="宋体" w:hAnsi="宋体"/>
          <w:color w:val="auto"/>
          <w:szCs w:val="21"/>
        </w:rPr>
        <w:t>3</w:t>
      </w:r>
      <w:r>
        <w:rPr>
          <w:rFonts w:hint="eastAsia" w:ascii="宋体" w:hAnsi="宋体"/>
          <w:color w:val="auto"/>
          <w:szCs w:val="21"/>
        </w:rPr>
        <w:t>其他价格调整方法</w:t>
      </w:r>
    </w:p>
    <w:p w14:paraId="0B0C0DB7">
      <w:pPr>
        <w:adjustRightInd w:val="0"/>
        <w:snapToGrid w:val="0"/>
        <w:spacing w:line="360" w:lineRule="auto"/>
        <w:ind w:firstLine="420" w:firstLineChars="200"/>
        <w:jc w:val="left"/>
        <w:rPr>
          <w:rFonts w:ascii="宋体" w:hAnsi="宋体"/>
          <w:color w:val="auto"/>
          <w:szCs w:val="21"/>
        </w:rPr>
      </w:pPr>
      <w:r>
        <w:rPr>
          <w:rFonts w:ascii="宋体" w:hAnsi="宋体" w:cs="宋体"/>
          <w:color w:val="auto"/>
          <w:u w:val="single"/>
        </w:rPr>
        <w:t xml:space="preserve">  /  </w:t>
      </w:r>
      <w:r>
        <w:rPr>
          <w:color w:val="auto"/>
        </w:rPr>
        <w:fldChar w:fldCharType="begin"/>
      </w:r>
      <w:r>
        <w:rPr>
          <w:color w:val="auto"/>
        </w:rPr>
        <w:instrText xml:space="preserve"> AUTOTEXT  input856 \* MERGEFORMAT </w:instrText>
      </w:r>
      <w:r>
        <w:rPr>
          <w:color w:val="auto"/>
        </w:rPr>
        <w:fldChar w:fldCharType="end"/>
      </w:r>
    </w:p>
    <w:p w14:paraId="44D2F3AB">
      <w:pPr>
        <w:adjustRightInd w:val="0"/>
        <w:snapToGrid w:val="0"/>
        <w:spacing w:line="360" w:lineRule="auto"/>
        <w:outlineLvl w:val="1"/>
        <w:rPr>
          <w:rFonts w:ascii="宋体" w:hAnsi="宋体"/>
          <w:color w:val="auto"/>
          <w:sz w:val="28"/>
        </w:rPr>
      </w:pPr>
      <w:bookmarkStart w:id="1207" w:name="_Toc32663"/>
      <w:bookmarkStart w:id="1208" w:name="_Toc4087"/>
      <w:r>
        <w:rPr>
          <w:rFonts w:hint="eastAsia" w:ascii="宋体" w:hAnsi="宋体"/>
          <w:color w:val="auto"/>
          <w:sz w:val="28"/>
        </w:rPr>
        <w:t>17.计量与支付</w:t>
      </w:r>
      <w:bookmarkEnd w:id="1207"/>
      <w:bookmarkEnd w:id="1208"/>
    </w:p>
    <w:p w14:paraId="379ABC38">
      <w:pPr>
        <w:adjustRightInd w:val="0"/>
        <w:snapToGrid w:val="0"/>
        <w:spacing w:line="360" w:lineRule="auto"/>
        <w:rPr>
          <w:rFonts w:ascii="宋体" w:hAnsi="宋体"/>
          <w:color w:val="auto"/>
          <w:sz w:val="24"/>
        </w:rPr>
      </w:pPr>
      <w:r>
        <w:rPr>
          <w:rFonts w:hint="eastAsia" w:ascii="宋体" w:hAnsi="宋体"/>
          <w:color w:val="auto"/>
          <w:sz w:val="24"/>
        </w:rPr>
        <w:t>17.1计量</w:t>
      </w:r>
    </w:p>
    <w:p w14:paraId="1C197ABE">
      <w:pPr>
        <w:adjustRightInd w:val="0"/>
        <w:snapToGrid w:val="0"/>
        <w:spacing w:line="360" w:lineRule="auto"/>
        <w:ind w:firstLine="420" w:firstLineChars="200"/>
        <w:jc w:val="left"/>
        <w:rPr>
          <w:rFonts w:ascii="宋体" w:hAnsi="宋体" w:cs="Arial"/>
          <w:color w:val="auto"/>
        </w:rPr>
      </w:pPr>
      <w:r>
        <w:rPr>
          <w:rFonts w:hint="eastAsia" w:ascii="宋体" w:hAnsi="宋体" w:cs="Arial"/>
          <w:color w:val="auto"/>
        </w:rPr>
        <w:t>17.1.3计量周期</w:t>
      </w:r>
    </w:p>
    <w:p w14:paraId="3608C9D0">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(1)每月</w:t>
      </w:r>
      <w:r>
        <w:rPr>
          <w:rFonts w:hint="eastAsia" w:ascii="宋体" w:hAnsi="宋体" w:cs="宋体"/>
          <w:color w:val="auto"/>
          <w:u w:val="single"/>
        </w:rPr>
        <w:t>20</w:t>
      </w:r>
      <w:r>
        <w:rPr>
          <w:color w:val="auto"/>
        </w:rPr>
        <w:fldChar w:fldCharType="begin"/>
      </w:r>
      <w:r>
        <w:rPr>
          <w:color w:val="auto"/>
        </w:rPr>
        <w:instrText xml:space="preserve"> AUTOTEXT  input510 \* MERGEFORMAT </w:instrText>
      </w:r>
      <w:r>
        <w:rPr>
          <w:color w:val="auto"/>
        </w:rPr>
        <w:fldChar w:fldCharType="end"/>
      </w:r>
      <w:r>
        <w:rPr>
          <w:rFonts w:hint="eastAsia" w:ascii="宋体" w:hAnsi="宋体"/>
          <w:color w:val="auto"/>
          <w:szCs w:val="21"/>
        </w:rPr>
        <w:t>日为当月计量截止日期（不含当日）和下月计量起始日期（含当日）。</w:t>
      </w:r>
    </w:p>
    <w:p w14:paraId="5D71CDB3">
      <w:pPr>
        <w:adjustRightInd w:val="0"/>
        <w:snapToGrid w:val="0"/>
        <w:spacing w:line="360" w:lineRule="auto"/>
        <w:ind w:firstLine="420" w:firstLineChars="200"/>
        <w:jc w:val="left"/>
        <w:rPr>
          <w:rFonts w:ascii="宋体" w:hAnsi="宋体" w:cs="Arial"/>
          <w:color w:val="auto"/>
        </w:rPr>
      </w:pPr>
      <w:r>
        <w:rPr>
          <w:rFonts w:hint="eastAsia" w:ascii="宋体" w:hAnsi="宋体" w:cs="Arial"/>
          <w:color w:val="auto"/>
        </w:rPr>
        <w:t>(2)本合同</w:t>
      </w:r>
      <w:r>
        <w:rPr>
          <w:rFonts w:hint="eastAsia" w:ascii="宋体" w:hAnsi="宋体" w:cs="宋体"/>
          <w:color w:val="auto"/>
          <w:u w:val="single"/>
        </w:rPr>
        <w:t>执行</w:t>
      </w:r>
      <w:r>
        <w:rPr>
          <w:color w:val="auto"/>
        </w:rPr>
        <w:fldChar w:fldCharType="begin"/>
      </w:r>
      <w:r>
        <w:rPr>
          <w:color w:val="auto"/>
        </w:rPr>
        <w:instrText xml:space="preserve"> AUTOTEXT  input511 \* MERGEFORMAT </w:instrText>
      </w:r>
      <w:r>
        <w:rPr>
          <w:color w:val="auto"/>
        </w:rPr>
        <w:fldChar w:fldCharType="end"/>
      </w:r>
      <w:r>
        <w:rPr>
          <w:rFonts w:hint="eastAsia" w:ascii="宋体" w:hAnsi="宋体" w:cs="Arial"/>
          <w:color w:val="auto"/>
        </w:rPr>
        <w:t>（执行（采用单价合同形式时）/不执行（采用总价合同形式时））</w:t>
      </w:r>
      <w:r>
        <w:rPr>
          <w:rFonts w:hint="eastAsia" w:ascii="宋体" w:hAnsi="宋体"/>
          <w:color w:val="auto"/>
        </w:rPr>
        <w:t>单价子目已完成工程量按月计量</w:t>
      </w:r>
      <w:r>
        <w:rPr>
          <w:rFonts w:hint="eastAsia" w:ascii="宋体" w:hAnsi="宋体" w:cs="Arial"/>
          <w:color w:val="auto"/>
        </w:rPr>
        <w:t>。</w:t>
      </w:r>
    </w:p>
    <w:p w14:paraId="14962975">
      <w:pPr>
        <w:adjustRightInd w:val="0"/>
        <w:snapToGrid w:val="0"/>
        <w:spacing w:line="360" w:lineRule="auto"/>
        <w:ind w:firstLine="420" w:firstLineChars="200"/>
        <w:jc w:val="left"/>
        <w:rPr>
          <w:rFonts w:ascii="宋体" w:hAnsi="宋体" w:cs="Arial"/>
          <w:color w:val="auto"/>
        </w:rPr>
      </w:pPr>
      <w:r>
        <w:rPr>
          <w:rFonts w:hint="eastAsia" w:ascii="宋体" w:hAnsi="宋体" w:cs="Arial"/>
          <w:color w:val="auto"/>
        </w:rPr>
        <w:t>(3)</w:t>
      </w:r>
      <w:r>
        <w:rPr>
          <w:rFonts w:hint="eastAsia" w:ascii="宋体" w:hAnsi="宋体"/>
          <w:color w:val="auto"/>
          <w:szCs w:val="21"/>
        </w:rPr>
        <w:t>总价子目计量方式采用</w:t>
      </w:r>
      <w:r>
        <w:rPr>
          <w:rFonts w:hint="eastAsia" w:ascii="宋体" w:hAnsi="宋体" w:cs="宋体"/>
          <w:color w:val="auto"/>
          <w:u w:val="single"/>
        </w:rPr>
        <w:t>按实际完成工程量计量</w:t>
      </w:r>
      <w:r>
        <w:rPr>
          <w:color w:val="auto"/>
        </w:rPr>
        <w:fldChar w:fldCharType="begin"/>
      </w:r>
      <w:r>
        <w:rPr>
          <w:color w:val="auto"/>
        </w:rPr>
        <w:instrText xml:space="preserve"> AUTOTEXT  input512 \* MERGEFORMAT </w:instrText>
      </w:r>
      <w:r>
        <w:rPr>
          <w:color w:val="auto"/>
        </w:rPr>
        <w:fldChar w:fldCharType="end"/>
      </w:r>
      <w:r>
        <w:rPr>
          <w:rFonts w:hint="eastAsia" w:ascii="宋体" w:hAnsi="宋体" w:cs="Arial"/>
          <w:color w:val="auto"/>
          <w:szCs w:val="21"/>
        </w:rPr>
        <w:t>（支付分解报告/按实际完成工程量计量）</w:t>
      </w:r>
      <w:r>
        <w:rPr>
          <w:rFonts w:hint="eastAsia" w:ascii="宋体" w:hAnsi="宋体" w:cs="Arial"/>
          <w:color w:val="auto"/>
        </w:rPr>
        <w:t>。</w:t>
      </w:r>
    </w:p>
    <w:p w14:paraId="001E6939">
      <w:pPr>
        <w:adjustRightInd w:val="0"/>
        <w:snapToGrid w:val="0"/>
        <w:spacing w:line="360" w:lineRule="auto"/>
        <w:ind w:firstLine="420" w:firstLineChars="200"/>
        <w:jc w:val="left"/>
        <w:rPr>
          <w:rFonts w:ascii="宋体" w:hAnsi="宋体"/>
          <w:color w:val="auto"/>
        </w:rPr>
      </w:pPr>
      <w:r>
        <w:rPr>
          <w:rFonts w:hint="eastAsia" w:ascii="宋体" w:hAnsi="宋体" w:cs="Arial"/>
          <w:color w:val="auto"/>
        </w:rPr>
        <w:t>17.1.5总价子目的计量</w:t>
      </w:r>
      <w:r>
        <w:rPr>
          <w:rFonts w:hint="eastAsia" w:ascii="宋体" w:hAnsi="宋体"/>
          <w:color w:val="auto"/>
        </w:rPr>
        <w:t>（适用于采用支付分解报告）</w:t>
      </w:r>
    </w:p>
    <w:p w14:paraId="3DED1F66">
      <w:pPr>
        <w:adjustRightInd w:val="0"/>
        <w:snapToGrid w:val="0"/>
        <w:spacing w:line="360" w:lineRule="auto"/>
        <w:ind w:firstLine="420" w:firstLineChars="200"/>
        <w:jc w:val="left"/>
        <w:rPr>
          <w:rFonts w:ascii="宋体" w:hAnsi="宋体" w:cs="Arial"/>
          <w:color w:val="auto"/>
        </w:rPr>
      </w:pPr>
      <w:r>
        <w:rPr>
          <w:rFonts w:hint="eastAsia" w:ascii="宋体" w:hAnsi="宋体" w:cs="Arial"/>
          <w:color w:val="auto"/>
        </w:rPr>
        <w:t>(</w:t>
      </w:r>
      <w:r>
        <w:rPr>
          <w:rFonts w:ascii="宋体" w:hAnsi="宋体" w:cs="Arial"/>
          <w:color w:val="auto"/>
        </w:rPr>
        <w:t>1</w:t>
      </w:r>
      <w:r>
        <w:rPr>
          <w:rFonts w:hint="eastAsia" w:ascii="宋体" w:hAnsi="宋体" w:cs="Arial"/>
          <w:color w:val="auto"/>
        </w:rPr>
        <w:t>)</w:t>
      </w:r>
      <w:r>
        <w:rPr>
          <w:rFonts w:hint="eastAsia" w:ascii="宋体" w:hAnsi="宋体"/>
          <w:color w:val="auto"/>
        </w:rPr>
        <w:t>采用支付分解报告计量方式的，</w:t>
      </w:r>
      <w:r>
        <w:rPr>
          <w:rFonts w:hint="eastAsia" w:ascii="宋体" w:hAnsi="宋体" w:cs="Arial"/>
          <w:color w:val="auto"/>
        </w:rPr>
        <w:t>总价</w:t>
      </w:r>
      <w:r>
        <w:rPr>
          <w:rFonts w:hint="eastAsia" w:ascii="宋体" w:hAnsi="宋体"/>
          <w:color w:val="auto"/>
          <w:szCs w:val="21"/>
        </w:rPr>
        <w:t>子目</w:t>
      </w:r>
      <w:r>
        <w:rPr>
          <w:rFonts w:hint="eastAsia" w:ascii="宋体" w:hAnsi="宋体" w:cs="Arial"/>
          <w:color w:val="auto"/>
        </w:rPr>
        <w:t>的价格调整方法：</w:t>
      </w:r>
    </w:p>
    <w:p w14:paraId="19F704D9">
      <w:pPr>
        <w:adjustRightInd w:val="0"/>
        <w:snapToGrid w:val="0"/>
        <w:spacing w:line="360" w:lineRule="auto"/>
        <w:ind w:firstLine="420" w:firstLineChars="200"/>
        <w:jc w:val="left"/>
        <w:rPr>
          <w:rFonts w:ascii="宋体" w:hAnsi="宋体" w:cs="Arial"/>
          <w:color w:val="auto"/>
        </w:rPr>
      </w:pPr>
      <w:r>
        <w:rPr>
          <w:rFonts w:ascii="宋体" w:hAnsi="宋体" w:cs="宋体"/>
          <w:color w:val="auto"/>
          <w:u w:val="single"/>
        </w:rPr>
        <w:t xml:space="preserve">  /  </w:t>
      </w:r>
      <w:r>
        <w:rPr>
          <w:color w:val="auto"/>
        </w:rPr>
        <w:fldChar w:fldCharType="begin"/>
      </w:r>
      <w:r>
        <w:rPr>
          <w:color w:val="auto"/>
        </w:rPr>
        <w:instrText xml:space="preserve"> AUTOTEXT  input513 \* MERGEFORMAT </w:instrText>
      </w:r>
      <w:r>
        <w:rPr>
          <w:color w:val="auto"/>
        </w:rPr>
        <w:fldChar w:fldCharType="end"/>
      </w:r>
    </w:p>
    <w:p w14:paraId="180AB12F">
      <w:pPr>
        <w:adjustRightInd w:val="0"/>
        <w:snapToGrid w:val="0"/>
        <w:spacing w:line="360" w:lineRule="auto"/>
        <w:ind w:firstLine="420" w:firstLineChars="200"/>
        <w:jc w:val="left"/>
        <w:rPr>
          <w:rFonts w:ascii="宋体" w:hAnsi="宋体" w:cs="Arial"/>
          <w:color w:val="auto"/>
        </w:rPr>
      </w:pPr>
      <w:r>
        <w:rPr>
          <w:rFonts w:hint="eastAsia" w:ascii="宋体" w:hAnsi="宋体" w:cs="Arial"/>
          <w:color w:val="auto"/>
        </w:rPr>
        <w:t>17.1.5总价</w:t>
      </w:r>
      <w:r>
        <w:rPr>
          <w:rFonts w:hint="eastAsia" w:ascii="宋体" w:hAnsi="宋体"/>
          <w:color w:val="auto"/>
          <w:szCs w:val="21"/>
        </w:rPr>
        <w:t>子目</w:t>
      </w:r>
      <w:r>
        <w:rPr>
          <w:rFonts w:hint="eastAsia" w:ascii="宋体" w:hAnsi="宋体" w:cs="Arial"/>
          <w:color w:val="auto"/>
        </w:rPr>
        <w:t>的计量（适用于采用按实际完成工程量计量）</w:t>
      </w:r>
    </w:p>
    <w:p w14:paraId="73B2577A">
      <w:pPr>
        <w:adjustRightInd w:val="0"/>
        <w:snapToGrid w:val="0"/>
        <w:spacing w:line="360" w:lineRule="auto"/>
        <w:ind w:firstLine="420" w:firstLineChars="200"/>
        <w:jc w:val="left"/>
        <w:rPr>
          <w:rFonts w:ascii="宋体" w:hAnsi="宋体" w:cs="Arial"/>
          <w:color w:val="auto"/>
        </w:rPr>
      </w:pPr>
      <w:r>
        <w:rPr>
          <w:rFonts w:hint="eastAsia" w:ascii="宋体" w:hAnsi="宋体" w:cs="Arial"/>
          <w:color w:val="auto"/>
        </w:rPr>
        <w:t>(1)采用按实际完成工程量计量方式的,总价</w:t>
      </w:r>
      <w:r>
        <w:rPr>
          <w:rFonts w:hint="eastAsia" w:ascii="宋体" w:hAnsi="宋体"/>
          <w:color w:val="auto"/>
          <w:szCs w:val="21"/>
        </w:rPr>
        <w:t>子目</w:t>
      </w:r>
      <w:r>
        <w:rPr>
          <w:rFonts w:hint="eastAsia" w:ascii="宋体" w:hAnsi="宋体" w:cs="Arial"/>
          <w:color w:val="auto"/>
        </w:rPr>
        <w:t>的价格调整方法：</w:t>
      </w:r>
    </w:p>
    <w:p w14:paraId="1B9FCF60">
      <w:pPr>
        <w:adjustRightInd w:val="0"/>
        <w:snapToGrid w:val="0"/>
        <w:spacing w:line="360" w:lineRule="auto"/>
        <w:ind w:firstLine="420" w:firstLineChars="200"/>
        <w:jc w:val="left"/>
        <w:rPr>
          <w:rFonts w:ascii="宋体" w:hAnsi="宋体" w:cs="Arial"/>
          <w:color w:val="auto"/>
        </w:rPr>
      </w:pPr>
      <w:r>
        <w:rPr>
          <w:rFonts w:hint="eastAsia" w:ascii="宋体" w:hAnsi="宋体" w:cs="宋体"/>
          <w:color w:val="auto"/>
          <w:u w:val="single"/>
        </w:rPr>
        <w:t>因非承包人原因引起已标价工程量清单中，某总价子目工程量变化幅度超过15%（不含），且该变化引起相关总价子目费用发生变化的，承包人应针对总价子目的变化提交调整实施方案及价格调整报告，由监理人核准确定需调整的项目价款。</w:t>
      </w:r>
      <w:r>
        <w:rPr>
          <w:color w:val="auto"/>
        </w:rPr>
        <w:fldChar w:fldCharType="begin"/>
      </w:r>
      <w:r>
        <w:rPr>
          <w:color w:val="auto"/>
        </w:rPr>
        <w:instrText xml:space="preserve"> AUTOTEXT  input514 \* MERGEFORMAT </w:instrText>
      </w:r>
      <w:r>
        <w:rPr>
          <w:color w:val="auto"/>
        </w:rPr>
        <w:fldChar w:fldCharType="end"/>
      </w:r>
    </w:p>
    <w:p w14:paraId="7E65CBCB">
      <w:pPr>
        <w:adjustRightInd w:val="0"/>
        <w:snapToGrid w:val="0"/>
        <w:spacing w:line="360" w:lineRule="auto"/>
        <w:rPr>
          <w:rFonts w:ascii="宋体" w:hAnsi="宋体"/>
          <w:color w:val="auto"/>
          <w:sz w:val="24"/>
        </w:rPr>
      </w:pPr>
      <w:r>
        <w:rPr>
          <w:rFonts w:hint="eastAsia" w:ascii="宋体" w:hAnsi="宋体"/>
          <w:color w:val="auto"/>
          <w:sz w:val="24"/>
        </w:rPr>
        <w:t>17.2预付款</w:t>
      </w:r>
    </w:p>
    <w:p w14:paraId="66F717A5">
      <w:pPr>
        <w:adjustRightInd w:val="0"/>
        <w:snapToGrid w:val="0"/>
        <w:spacing w:line="360" w:lineRule="auto"/>
        <w:ind w:firstLine="420" w:firstLineChars="200"/>
        <w:jc w:val="left"/>
        <w:rPr>
          <w:rFonts w:ascii="宋体" w:hAnsi="宋体" w:cs="Arial"/>
          <w:color w:val="auto"/>
        </w:rPr>
      </w:pPr>
      <w:r>
        <w:rPr>
          <w:rFonts w:hint="eastAsia" w:ascii="宋体" w:hAnsi="宋体" w:cs="Arial"/>
          <w:color w:val="auto"/>
        </w:rPr>
        <w:t>17.2.1预付款</w:t>
      </w:r>
    </w:p>
    <w:p w14:paraId="527B0BB6">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(1)预付款额度</w:t>
      </w:r>
    </w:p>
    <w:p w14:paraId="55E33D55">
      <w:pPr>
        <w:adjustRightInd w:val="0"/>
        <w:snapToGrid w:val="0"/>
        <w:spacing w:line="360" w:lineRule="auto"/>
        <w:ind w:firstLine="420" w:firstLineChars="200"/>
        <w:jc w:val="left"/>
        <w:rPr>
          <w:rFonts w:hint="eastAsia" w:ascii="宋体" w:hAnsi="宋体" w:cs="宋体"/>
          <w:color w:val="auto"/>
          <w:u w:val="single"/>
        </w:rPr>
      </w:pPr>
      <w:r>
        <w:rPr>
          <w:rFonts w:hint="eastAsia" w:ascii="宋体" w:hAnsi="宋体"/>
          <w:color w:val="auto"/>
          <w:szCs w:val="21"/>
        </w:rPr>
        <w:t>预付款额度：</w:t>
      </w:r>
      <w:r>
        <w:rPr>
          <w:rFonts w:hint="eastAsia" w:ascii="宋体" w:hAnsi="宋体" w:cs="宋体"/>
          <w:color w:val="auto"/>
          <w:u w:val="single"/>
        </w:rPr>
        <w:t>合同价款（扣除暂列金、安全生产标准化措施费、农民工工伤保险费）的</w:t>
      </w:r>
      <w:r>
        <w:rPr>
          <w:rFonts w:hint="eastAsia" w:ascii="宋体" w:hAnsi="宋体" w:cs="宋体"/>
          <w:color w:val="auto"/>
          <w:u w:val="single"/>
          <w:lang w:val="en-US" w:eastAsia="zh-CN"/>
        </w:rPr>
        <w:t>3</w:t>
      </w:r>
      <w:r>
        <w:rPr>
          <w:rFonts w:hint="eastAsia" w:ascii="宋体" w:hAnsi="宋体" w:cs="宋体"/>
          <w:color w:val="auto"/>
          <w:u w:val="single"/>
        </w:rPr>
        <w:t>0%</w:t>
      </w:r>
    </w:p>
    <w:p w14:paraId="078FC513">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其中：</w:t>
      </w:r>
      <w:r>
        <w:rPr>
          <w:rFonts w:hint="eastAsia" w:ascii="宋体" w:hAnsi="宋体" w:cs="宋体"/>
          <w:color w:val="auto"/>
          <w:u w:val="single"/>
        </w:rPr>
        <w:t>另外一次性支付全额农民工工伤保险费。</w:t>
      </w:r>
      <w:r>
        <w:rPr>
          <w:color w:val="auto"/>
        </w:rPr>
        <w:fldChar w:fldCharType="begin"/>
      </w:r>
      <w:r>
        <w:rPr>
          <w:color w:val="auto"/>
        </w:rPr>
        <w:instrText xml:space="preserve"> AUTOTEXT  input517 \* MERGEFORMAT </w:instrText>
      </w:r>
      <w:r>
        <w:rPr>
          <w:color w:val="auto"/>
        </w:rPr>
        <w:fldChar w:fldCharType="end"/>
      </w:r>
    </w:p>
    <w:p w14:paraId="2AC459B9">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(2)预付办法</w:t>
      </w:r>
    </w:p>
    <w:p w14:paraId="6E7902A7">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预付款预付办法：</w:t>
      </w:r>
      <w:r>
        <w:rPr>
          <w:rFonts w:hint="eastAsia" w:ascii="宋体" w:hAnsi="宋体" w:cs="宋体"/>
          <w:color w:val="auto"/>
          <w:u w:val="single"/>
        </w:rPr>
        <w:t>合同签订并备案，承包人提交付款申请、和相应款项合规发票后30日内，发包人一次性向承包人支付预付款。承包人不提供合规发票的，发包人有权相应顺延付款期限而无需承担违约责任。</w:t>
      </w:r>
      <w:r>
        <w:rPr>
          <w:color w:val="auto"/>
        </w:rPr>
        <w:fldChar w:fldCharType="begin"/>
      </w:r>
      <w:r>
        <w:rPr>
          <w:color w:val="auto"/>
        </w:rPr>
        <w:instrText xml:space="preserve"> AUTOTEXT  input518 \* MERGEFORMAT </w:instrText>
      </w:r>
      <w:r>
        <w:rPr>
          <w:color w:val="auto"/>
        </w:rPr>
        <w:fldChar w:fldCharType="end"/>
      </w:r>
    </w:p>
    <w:p w14:paraId="7C631EF6">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预付款的支付时间：</w:t>
      </w:r>
      <w:r>
        <w:rPr>
          <w:rFonts w:hint="eastAsia" w:ascii="宋体" w:hAnsi="宋体" w:cs="宋体"/>
          <w:color w:val="auto"/>
          <w:u w:val="single"/>
        </w:rPr>
        <w:t>本合同签订后，不迟于本项目约定的开工日期前7天内 ，但需满足上述预付办法约定的条件。</w:t>
      </w:r>
      <w:r>
        <w:rPr>
          <w:color w:val="auto"/>
        </w:rPr>
        <w:fldChar w:fldCharType="begin"/>
      </w:r>
      <w:r>
        <w:rPr>
          <w:color w:val="auto"/>
        </w:rPr>
        <w:instrText xml:space="preserve"> AUTOTEXT  input519 \* MERGEFORMAT </w:instrText>
      </w:r>
      <w:r>
        <w:rPr>
          <w:color w:val="auto"/>
        </w:rPr>
        <w:fldChar w:fldCharType="end"/>
      </w:r>
    </w:p>
    <w:p w14:paraId="01EA3B2C">
      <w:pPr>
        <w:adjustRightInd w:val="0"/>
        <w:snapToGrid w:val="0"/>
        <w:spacing w:line="360" w:lineRule="auto"/>
        <w:ind w:firstLine="420" w:firstLineChars="200"/>
        <w:jc w:val="left"/>
        <w:rPr>
          <w:rFonts w:ascii="宋体" w:hAnsi="宋体" w:cs="Arial"/>
          <w:color w:val="auto"/>
        </w:rPr>
      </w:pPr>
      <w:r>
        <w:rPr>
          <w:rFonts w:hint="eastAsia" w:ascii="宋体" w:hAnsi="宋体" w:cs="Arial"/>
          <w:color w:val="auto"/>
        </w:rPr>
        <w:t>（3）安全生产标准化措施费用预付额度及方式：</w:t>
      </w:r>
    </w:p>
    <w:p w14:paraId="0B4CE8F6">
      <w:pPr>
        <w:adjustRightInd w:val="0"/>
        <w:snapToGrid w:val="0"/>
        <w:spacing w:line="360" w:lineRule="auto"/>
        <w:ind w:firstLine="420" w:firstLineChars="200"/>
        <w:jc w:val="left"/>
        <w:rPr>
          <w:rFonts w:ascii="宋体" w:hAnsi="宋体" w:cs="Arial"/>
          <w:color w:val="auto"/>
        </w:rPr>
      </w:pPr>
      <w:r>
        <w:rPr>
          <w:rFonts w:hint="eastAsia" w:ascii="宋体" w:hAnsi="宋体" w:cs="Arial"/>
          <w:color w:val="auto"/>
        </w:rPr>
        <w:t>安全生产标准化措施费用的预付不受上述预付办法和支付时间约定的制约。安全生产标准化措施费用按以下时间节点和金额进行预付：</w:t>
      </w:r>
    </w:p>
    <w:p w14:paraId="5730F3BC">
      <w:pPr>
        <w:adjustRightInd w:val="0"/>
        <w:snapToGrid w:val="0"/>
        <w:spacing w:line="360" w:lineRule="auto"/>
        <w:ind w:firstLine="420" w:firstLineChars="200"/>
        <w:jc w:val="left"/>
        <w:rPr>
          <w:rFonts w:ascii="宋体" w:hAnsi="宋体" w:cs="Arial"/>
          <w:color w:val="auto"/>
        </w:rPr>
      </w:pPr>
      <w:r>
        <w:rPr>
          <w:rFonts w:hint="eastAsia" w:ascii="宋体" w:hAnsi="宋体" w:cs="Arial"/>
          <w:color w:val="auto"/>
        </w:rPr>
        <w:t>发包人应当在不迟于第11.1.1项约定的开工日期前的7天内，将签约合同价中载明的安全生产标准化措施费用总额的50%一次性预付给承包人。</w:t>
      </w:r>
    </w:p>
    <w:p w14:paraId="72D248E2">
      <w:pPr>
        <w:adjustRightInd w:val="0"/>
        <w:snapToGrid w:val="0"/>
        <w:spacing w:line="360" w:lineRule="auto"/>
        <w:ind w:firstLine="420" w:firstLineChars="200"/>
        <w:jc w:val="left"/>
        <w:rPr>
          <w:rFonts w:ascii="宋体" w:hAnsi="宋体" w:cs="Arial"/>
          <w:color w:val="auto"/>
        </w:rPr>
      </w:pPr>
      <w:r>
        <w:rPr>
          <w:rFonts w:hint="eastAsia" w:ascii="宋体" w:hAnsi="宋体" w:cs="Arial"/>
          <w:color w:val="auto"/>
        </w:rPr>
        <w:t>发包人应当在±0.00以下主体结构施工完成或签约合同价中分部分项工程项目的完成价款比例达到30%（两者中以条件先满足的为准）7天内，预付至签约合同价中载明的安全生产标准化措施费用总额的70%。</w:t>
      </w:r>
    </w:p>
    <w:p w14:paraId="587BE74E">
      <w:pPr>
        <w:adjustRightInd w:val="0"/>
        <w:snapToGrid w:val="0"/>
        <w:spacing w:line="360" w:lineRule="auto"/>
        <w:ind w:firstLine="420" w:firstLineChars="200"/>
        <w:jc w:val="left"/>
        <w:rPr>
          <w:rFonts w:ascii="宋体" w:hAnsi="宋体" w:cs="Arial"/>
          <w:color w:val="auto"/>
        </w:rPr>
      </w:pPr>
      <w:r>
        <w:rPr>
          <w:rFonts w:hint="eastAsia" w:ascii="宋体" w:hAnsi="宋体" w:cs="Arial"/>
          <w:color w:val="auto"/>
        </w:rPr>
        <w:t>发包人应当在安全生产标准化考评、评定达到（含整改后达到）或超过合同约定的安全生产标准化管理目标之日起7天内，预付至签约合同价中载明的安全生产标准化措施费用总额的90%。</w:t>
      </w:r>
    </w:p>
    <w:p w14:paraId="4D2AAD4B">
      <w:pPr>
        <w:adjustRightInd w:val="0"/>
        <w:snapToGrid w:val="0"/>
        <w:spacing w:line="360" w:lineRule="auto"/>
        <w:ind w:firstLine="420" w:firstLineChars="200"/>
        <w:jc w:val="left"/>
        <w:rPr>
          <w:rFonts w:ascii="宋体" w:hAnsi="宋体" w:cs="Arial"/>
          <w:color w:val="auto"/>
        </w:rPr>
      </w:pPr>
      <w:r>
        <w:rPr>
          <w:rFonts w:hint="eastAsia" w:ascii="宋体" w:hAnsi="宋体" w:cs="Arial"/>
          <w:color w:val="auto"/>
        </w:rPr>
        <w:t>发包人应当在工程竣工后，安全生产标准化考评、认定达到或超过合同约定安全生产标准化管理目标并颁发考评证书之日起的7天内，预付至签约合同价中载明的安全生产标准化措施费用总额的100%。</w:t>
      </w:r>
    </w:p>
    <w:p w14:paraId="32332D7E">
      <w:pPr>
        <w:adjustRightInd w:val="0"/>
        <w:snapToGrid w:val="0"/>
        <w:spacing w:line="360" w:lineRule="auto"/>
        <w:ind w:firstLine="420" w:firstLineChars="200"/>
        <w:jc w:val="left"/>
        <w:rPr>
          <w:rFonts w:ascii="宋体" w:hAnsi="宋体" w:cs="Arial"/>
          <w:color w:val="auto"/>
        </w:rPr>
      </w:pPr>
      <w:r>
        <w:rPr>
          <w:rFonts w:hint="eastAsia" w:ascii="宋体" w:hAnsi="宋体" w:cs="Arial"/>
          <w:color w:val="auto"/>
        </w:rPr>
        <w:t>安全生产标准化措施的预付不抵扣。</w:t>
      </w:r>
    </w:p>
    <w:p w14:paraId="3E44FC9A">
      <w:pPr>
        <w:adjustRightInd w:val="0"/>
        <w:snapToGrid w:val="0"/>
        <w:spacing w:line="360" w:lineRule="auto"/>
        <w:ind w:firstLine="420" w:firstLineChars="200"/>
        <w:jc w:val="left"/>
        <w:rPr>
          <w:rFonts w:ascii="宋体" w:hAnsi="宋体" w:cs="Arial"/>
          <w:color w:val="auto"/>
        </w:rPr>
      </w:pPr>
      <w:r>
        <w:rPr>
          <w:rFonts w:hint="eastAsia" w:ascii="宋体" w:hAnsi="宋体" w:cs="Arial"/>
          <w:color w:val="auto"/>
        </w:rPr>
        <w:t>17.2.</w:t>
      </w:r>
      <w:r>
        <w:rPr>
          <w:rFonts w:ascii="宋体" w:hAnsi="宋体" w:cs="Arial"/>
          <w:color w:val="auto"/>
        </w:rPr>
        <w:t>2</w:t>
      </w:r>
      <w:r>
        <w:rPr>
          <w:rFonts w:hint="eastAsia" w:ascii="宋体" w:hAnsi="宋体" w:cs="Arial"/>
          <w:color w:val="auto"/>
        </w:rPr>
        <w:t>预付款的扣回与还清</w:t>
      </w:r>
    </w:p>
    <w:p w14:paraId="30464F71">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预付款的扣回办法：</w:t>
      </w:r>
      <w:r>
        <w:rPr>
          <w:rFonts w:hint="eastAsia" w:ascii="宋体" w:hAnsi="宋体" w:eastAsia="宋体" w:cs="宋体"/>
          <w:color w:val="auto"/>
          <w:u w:val="single"/>
        </w:rPr>
        <w:t>从完成签约合同价款的</w:t>
      </w:r>
      <w:r>
        <w:rPr>
          <w:rFonts w:hint="eastAsia" w:ascii="宋体" w:hAnsi="宋体" w:cs="宋体"/>
          <w:color w:val="auto"/>
          <w:u w:val="single"/>
          <w:lang w:val="en-US" w:eastAsia="zh-CN"/>
        </w:rPr>
        <w:t>3</w:t>
      </w:r>
      <w:r>
        <w:rPr>
          <w:rFonts w:hint="eastAsia" w:ascii="宋体" w:hAnsi="宋体" w:eastAsia="宋体" w:cs="宋体"/>
          <w:color w:val="auto"/>
          <w:u w:val="single"/>
        </w:rPr>
        <w:t>0%时开始，每次抵扣应付进度款的50%，直至抵扣完毕</w:t>
      </w:r>
      <w:r>
        <w:rPr>
          <w:rFonts w:hint="eastAsia" w:ascii="宋体" w:hAnsi="宋体" w:eastAsia="宋体" w:cs="宋体"/>
          <w:color w:val="auto"/>
          <w:u w:val="single"/>
          <w:lang w:eastAsia="zh-CN"/>
        </w:rPr>
        <w:t>。</w:t>
      </w:r>
      <w:r>
        <w:rPr>
          <w:color w:val="auto"/>
        </w:rPr>
        <w:fldChar w:fldCharType="begin"/>
      </w:r>
      <w:r>
        <w:rPr>
          <w:color w:val="auto"/>
        </w:rPr>
        <w:instrText xml:space="preserve"> AUTOTEXT  input521 \* MERGEFORMAT </w:instrText>
      </w:r>
      <w:r>
        <w:rPr>
          <w:color w:val="auto"/>
        </w:rPr>
        <w:fldChar w:fldCharType="end"/>
      </w:r>
    </w:p>
    <w:p w14:paraId="2CB88B0D">
      <w:pPr>
        <w:adjustRightInd w:val="0"/>
        <w:snapToGrid w:val="0"/>
        <w:spacing w:line="360" w:lineRule="auto"/>
        <w:rPr>
          <w:rFonts w:ascii="宋体"/>
          <w:color w:val="auto"/>
        </w:rPr>
      </w:pPr>
      <w:r>
        <w:rPr>
          <w:rFonts w:hint="eastAsia" w:ascii="宋体" w:hAnsi="宋体"/>
          <w:color w:val="auto"/>
          <w:sz w:val="24"/>
        </w:rPr>
        <w:t>17.3工程进度付款</w:t>
      </w:r>
    </w:p>
    <w:p w14:paraId="501EAEA5">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17.3.2进度付款申请单</w:t>
      </w:r>
    </w:p>
    <w:p w14:paraId="28664E82">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进度付款申请单的份数：</w:t>
      </w:r>
      <w:r>
        <w:rPr>
          <w:rFonts w:hint="eastAsia" w:ascii="宋体" w:hAnsi="宋体" w:cs="宋体"/>
          <w:color w:val="auto"/>
          <w:u w:val="single"/>
        </w:rPr>
        <w:t>一式陆份，先提交监理人审核，后由监理人发发包人审查。</w:t>
      </w:r>
      <w:r>
        <w:rPr>
          <w:color w:val="auto"/>
        </w:rPr>
        <w:fldChar w:fldCharType="begin"/>
      </w:r>
      <w:r>
        <w:rPr>
          <w:color w:val="auto"/>
        </w:rPr>
        <w:instrText xml:space="preserve"> AUTOTEXT  input522 \* MERGEFORMAT </w:instrText>
      </w:r>
      <w:r>
        <w:rPr>
          <w:color w:val="auto"/>
        </w:rPr>
        <w:fldChar w:fldCharType="end"/>
      </w:r>
    </w:p>
    <w:p w14:paraId="5523F72F">
      <w:pPr>
        <w:adjustRightInd w:val="0"/>
        <w:snapToGrid w:val="0"/>
        <w:spacing w:line="360" w:lineRule="auto"/>
        <w:ind w:firstLine="420" w:firstLineChars="200"/>
        <w:jc w:val="left"/>
        <w:rPr>
          <w:rFonts w:ascii="宋体" w:hAnsi="宋体"/>
          <w:color w:val="auto"/>
        </w:rPr>
      </w:pPr>
      <w:r>
        <w:rPr>
          <w:rFonts w:hint="eastAsia" w:ascii="宋体" w:hAnsi="宋体"/>
          <w:color w:val="auto"/>
        </w:rPr>
        <w:t>承包人报送监理人的进度付款申请单应包括下列内容：</w:t>
      </w:r>
    </w:p>
    <w:p w14:paraId="47A288F2">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w:t>
      </w:r>
      <w:r>
        <w:rPr>
          <w:rFonts w:ascii="宋体" w:hAnsi="宋体"/>
          <w:color w:val="auto"/>
          <w:szCs w:val="21"/>
        </w:rPr>
        <w:t>6</w:t>
      </w:r>
      <w:r>
        <w:rPr>
          <w:rFonts w:hint="eastAsia" w:ascii="宋体" w:hAnsi="宋体"/>
          <w:color w:val="auto"/>
          <w:szCs w:val="21"/>
        </w:rPr>
        <w:t>)</w:t>
      </w:r>
      <w:r>
        <w:rPr>
          <w:rFonts w:hint="eastAsia" w:ascii="宋体" w:hAnsi="宋体"/>
          <w:color w:val="auto"/>
        </w:rPr>
        <w:t>根据合同应增加和（或）扣减的其他内容金额</w:t>
      </w:r>
      <w:r>
        <w:rPr>
          <w:rFonts w:hint="eastAsia" w:ascii="宋体" w:hAnsi="宋体"/>
          <w:color w:val="auto"/>
          <w:szCs w:val="21"/>
        </w:rPr>
        <w:t>：</w:t>
      </w:r>
    </w:p>
    <w:p w14:paraId="7AC067FD">
      <w:pPr>
        <w:adjustRightInd w:val="0"/>
        <w:snapToGrid w:val="0"/>
        <w:spacing w:line="360" w:lineRule="auto"/>
        <w:ind w:firstLine="420" w:firstLineChars="200"/>
        <w:jc w:val="left"/>
        <w:rPr>
          <w:rFonts w:ascii="宋体" w:hAnsi="宋体"/>
          <w:color w:val="auto"/>
          <w:szCs w:val="21"/>
          <w:u w:val="single"/>
        </w:rPr>
      </w:pPr>
      <w:r>
        <w:rPr>
          <w:rFonts w:hint="eastAsia" w:ascii="宋体" w:hAnsi="宋体" w:cs="宋体"/>
          <w:color w:val="auto"/>
          <w:u w:val="single"/>
        </w:rPr>
        <w:t>（1）付款次数或编号；（2）截至本次付款周期末已实施工程的价款；（3）经发包人确认的变更金额；（4）经发包人确认的索赔金额；（5）本次应支付的预付款和（或）应扣减的返还预付款；（6）本次扣减的质量保证金；（7）根据合同应增加和扣减的其他金额。进度款支付申请单中，价款存在争议部分可延迟至下月支付。</w:t>
      </w:r>
      <w:r>
        <w:rPr>
          <w:color w:val="auto"/>
        </w:rPr>
        <w:fldChar w:fldCharType="begin"/>
      </w:r>
      <w:r>
        <w:rPr>
          <w:color w:val="auto"/>
        </w:rPr>
        <w:instrText xml:space="preserve"> AUTOTEXT  input858 \* MERGEFORMAT </w:instrText>
      </w:r>
      <w:r>
        <w:rPr>
          <w:color w:val="auto"/>
        </w:rPr>
        <w:fldChar w:fldCharType="end"/>
      </w:r>
    </w:p>
    <w:p w14:paraId="090770CE">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(7)本次应付进度款：</w:t>
      </w:r>
      <w:r>
        <w:rPr>
          <w:rFonts w:ascii="宋体" w:hAnsi="宋体"/>
          <w:color w:val="auto"/>
          <w:szCs w:val="21"/>
        </w:rPr>
        <w:t xml:space="preserve"> </w:t>
      </w:r>
    </w:p>
    <w:p w14:paraId="24662842">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17.3.3进度付款证书和支付时间</w:t>
      </w:r>
    </w:p>
    <w:p w14:paraId="12EEA304">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(2)逾期付款违约金的计算标准：</w:t>
      </w:r>
      <w:r>
        <w:rPr>
          <w:rFonts w:hint="eastAsia" w:ascii="宋体" w:hAnsi="宋体" w:cs="宋体"/>
          <w:color w:val="auto"/>
          <w:u w:val="single"/>
        </w:rPr>
        <w:t>按照中国人民银行授权的全国银行间同业拆借中心公布的同期一年期贷款市场报价利率计算</w:t>
      </w:r>
      <w:r>
        <w:rPr>
          <w:color w:val="auto"/>
        </w:rPr>
        <w:fldChar w:fldCharType="begin"/>
      </w:r>
      <w:r>
        <w:rPr>
          <w:color w:val="auto"/>
        </w:rPr>
        <w:instrText xml:space="preserve"> AUTOTEXT  input524 \* MERGEFORMAT </w:instrText>
      </w:r>
      <w:r>
        <w:rPr>
          <w:color w:val="auto"/>
        </w:rPr>
        <w:fldChar w:fldCharType="end"/>
      </w:r>
    </w:p>
    <w:p w14:paraId="2D6FA88B">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逾期付款违约金的计算方法：</w:t>
      </w:r>
    </w:p>
    <w:p w14:paraId="0DDF62C3">
      <w:pPr>
        <w:adjustRightInd w:val="0"/>
        <w:snapToGrid w:val="0"/>
        <w:spacing w:line="360" w:lineRule="auto"/>
        <w:ind w:firstLine="420" w:firstLineChars="200"/>
        <w:jc w:val="left"/>
        <w:rPr>
          <w:rFonts w:ascii="宋体" w:hAnsi="宋体"/>
          <w:color w:val="auto"/>
          <w:szCs w:val="21"/>
        </w:rPr>
      </w:pPr>
      <w:r>
        <w:rPr>
          <w:rFonts w:hint="eastAsia" w:ascii="宋体" w:hAnsi="宋体" w:cs="宋体"/>
          <w:color w:val="auto"/>
          <w:u w:val="single"/>
        </w:rPr>
        <w:t>逾期付款项总额×中国人民银行授权的全国银行间同业拆借中心公布的同期一年期贷款市场报价利率×逾期付款时间</w:t>
      </w:r>
      <w:r>
        <w:rPr>
          <w:color w:val="auto"/>
        </w:rPr>
        <w:fldChar w:fldCharType="begin"/>
      </w:r>
      <w:r>
        <w:rPr>
          <w:color w:val="auto"/>
        </w:rPr>
        <w:instrText xml:space="preserve"> AUTOTEXT  input525 \* MERGEFORMAT </w:instrText>
      </w:r>
      <w:r>
        <w:rPr>
          <w:color w:val="auto"/>
        </w:rPr>
        <w:fldChar w:fldCharType="end"/>
      </w:r>
    </w:p>
    <w:p w14:paraId="73C0A0EE">
      <w:pPr>
        <w:pStyle w:val="249"/>
        <w:numPr>
          <w:ilvl w:val="255"/>
          <w:numId w:val="0"/>
        </w:numPr>
        <w:spacing w:line="560" w:lineRule="exact"/>
        <w:ind w:firstLine="480" w:firstLineChars="200"/>
        <w:rPr>
          <w:rFonts w:ascii="宋体" w:hAnsi="宋体"/>
          <w:color w:val="auto"/>
          <w:szCs w:val="21"/>
        </w:rPr>
      </w:pPr>
      <w:r>
        <w:rPr>
          <w:rFonts w:hint="eastAsia" w:ascii="宋体" w:hAnsi="宋体"/>
          <w:color w:val="auto"/>
          <w:szCs w:val="21"/>
        </w:rPr>
        <w:t>(4)进度付款涉及政府性资金的支付方法：</w:t>
      </w:r>
      <w:r>
        <w:rPr>
          <w:rFonts w:hint="eastAsia" w:ascii="宋体" w:hAnsi="宋体" w:cs="宋体"/>
          <w:color w:val="auto"/>
          <w:kern w:val="2"/>
          <w:sz w:val="21"/>
          <w:szCs w:val="24"/>
          <w:u w:val="single"/>
        </w:rPr>
        <w:t>工程启动后拨付30%，工程竣工验收合格后拨付30%建设资金。剩余40%建设资金待结算审计后拨付，工程款以审计单位审计结果为准</w:t>
      </w:r>
      <w:r>
        <w:rPr>
          <w:rFonts w:hint="eastAsia" w:ascii="宋体" w:hAnsi="宋体" w:cs="宋体"/>
          <w:color w:val="auto"/>
          <w:kern w:val="2"/>
          <w:sz w:val="21"/>
          <w:szCs w:val="24"/>
          <w:u w:val="single"/>
          <w:lang w:eastAsia="zh-CN"/>
        </w:rPr>
        <w:t>；</w:t>
      </w:r>
      <w:r>
        <w:rPr>
          <w:rFonts w:hint="eastAsia" w:ascii="宋体" w:hAnsi="宋体" w:cs="宋体"/>
          <w:color w:val="auto"/>
          <w:kern w:val="2"/>
          <w:sz w:val="21"/>
          <w:szCs w:val="24"/>
          <w:u w:val="single"/>
        </w:rPr>
        <w:t>以上工程进度款以财政拨款时间为准支</w:t>
      </w:r>
      <w:r>
        <w:rPr>
          <w:rFonts w:hint="eastAsia" w:ascii="宋体" w:hAnsi="宋体" w:cs="宋体"/>
          <w:color w:val="auto"/>
          <w:kern w:val="2"/>
          <w:sz w:val="21"/>
          <w:szCs w:val="24"/>
          <w:u w:val="single"/>
          <w:lang w:val="en-US" w:eastAsia="zh-CN"/>
        </w:rPr>
        <w:t>付。</w:t>
      </w:r>
      <w:r>
        <w:rPr>
          <w:rFonts w:hint="eastAsia" w:ascii="宋体" w:hAnsi="宋体" w:cs="宋体"/>
          <w:color w:val="auto"/>
          <w:kern w:val="2"/>
          <w:sz w:val="21"/>
          <w:szCs w:val="24"/>
          <w:u w:val="single"/>
        </w:rPr>
        <w:t>甲方向乙方拨付到结算金额的97%</w:t>
      </w:r>
      <w:r>
        <w:rPr>
          <w:rFonts w:hint="eastAsia" w:ascii="宋体" w:hAnsi="宋体" w:cs="宋体"/>
          <w:color w:val="auto"/>
          <w:kern w:val="2"/>
          <w:sz w:val="21"/>
          <w:szCs w:val="24"/>
          <w:u w:val="single"/>
          <w:lang w:eastAsia="zh-CN"/>
        </w:rPr>
        <w:t>，</w:t>
      </w:r>
      <w:r>
        <w:rPr>
          <w:rFonts w:hint="eastAsia" w:ascii="宋体" w:hAnsi="宋体" w:cs="宋体"/>
          <w:color w:val="auto"/>
          <w:kern w:val="2"/>
          <w:sz w:val="21"/>
          <w:szCs w:val="24"/>
          <w:u w:val="single"/>
        </w:rPr>
        <w:t>剩余3%作为质量保证金，在两年缺陷责任期满后一次性无息支付。</w:t>
      </w:r>
      <w:r>
        <w:rPr>
          <w:color w:val="auto"/>
        </w:rPr>
        <w:fldChar w:fldCharType="begin"/>
      </w:r>
      <w:r>
        <w:rPr>
          <w:color w:val="auto"/>
        </w:rPr>
        <w:instrText xml:space="preserve"> AUTOTEXT  input526 \* MERGEFORMAT </w:instrText>
      </w:r>
      <w:r>
        <w:rPr>
          <w:color w:val="auto"/>
        </w:rPr>
        <w:fldChar w:fldCharType="end"/>
      </w:r>
    </w:p>
    <w:p w14:paraId="507B7CC9">
      <w:pPr>
        <w:adjustRightInd w:val="0"/>
        <w:snapToGrid w:val="0"/>
        <w:spacing w:line="360" w:lineRule="auto"/>
        <w:ind w:firstLine="480" w:firstLineChars="200"/>
        <w:jc w:val="left"/>
        <w:rPr>
          <w:rFonts w:ascii="宋体" w:hAnsi="宋体"/>
          <w:color w:val="auto"/>
          <w:sz w:val="24"/>
        </w:rPr>
      </w:pPr>
      <w:r>
        <w:rPr>
          <w:rFonts w:hint="eastAsia" w:ascii="宋体" w:hAnsi="宋体"/>
          <w:color w:val="auto"/>
          <w:sz w:val="24"/>
        </w:rPr>
        <w:t>17.</w:t>
      </w:r>
      <w:r>
        <w:rPr>
          <w:rFonts w:ascii="宋体" w:hAnsi="宋体"/>
          <w:color w:val="auto"/>
          <w:sz w:val="24"/>
        </w:rPr>
        <w:t>4</w:t>
      </w:r>
      <w:r>
        <w:rPr>
          <w:rFonts w:hint="eastAsia" w:ascii="宋体" w:hAnsi="宋体"/>
          <w:color w:val="auto"/>
          <w:sz w:val="24"/>
        </w:rPr>
        <w:t>质量保证金</w:t>
      </w:r>
    </w:p>
    <w:p w14:paraId="6D2AA0A2">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17.</w:t>
      </w:r>
      <w:r>
        <w:rPr>
          <w:rFonts w:ascii="宋体" w:hAnsi="宋体"/>
          <w:color w:val="auto"/>
          <w:szCs w:val="21"/>
        </w:rPr>
        <w:t>4</w:t>
      </w:r>
      <w:r>
        <w:rPr>
          <w:rFonts w:hint="eastAsia" w:ascii="宋体" w:hAnsi="宋体"/>
          <w:color w:val="auto"/>
          <w:szCs w:val="21"/>
        </w:rPr>
        <w:t>.</w:t>
      </w:r>
      <w:r>
        <w:rPr>
          <w:rFonts w:ascii="宋体" w:hAnsi="宋体"/>
          <w:color w:val="auto"/>
          <w:szCs w:val="21"/>
        </w:rPr>
        <w:t>1</w:t>
      </w:r>
      <w:r>
        <w:rPr>
          <w:rFonts w:hint="eastAsia" w:ascii="宋体" w:hAnsi="宋体"/>
          <w:color w:val="auto"/>
          <w:szCs w:val="21"/>
        </w:rPr>
        <w:t>质量保证金处理</w:t>
      </w:r>
    </w:p>
    <w:p w14:paraId="156D6810">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(3)质量保证金形式：</w:t>
      </w:r>
      <w:r>
        <w:rPr>
          <w:rFonts w:hint="eastAsia" w:ascii="宋体" w:hAnsi="宋体" w:cs="宋体"/>
          <w:color w:val="auto"/>
          <w:u w:val="single"/>
        </w:rPr>
        <w:t>采用扣留质量保证金</w:t>
      </w:r>
      <w:r>
        <w:rPr>
          <w:color w:val="auto"/>
        </w:rPr>
        <w:fldChar w:fldCharType="begin"/>
      </w:r>
      <w:r>
        <w:rPr>
          <w:color w:val="auto"/>
        </w:rPr>
        <w:instrText xml:space="preserve"> AUTOTEXT  input859 \* MERGEFORMAT </w:instrText>
      </w:r>
      <w:r>
        <w:rPr>
          <w:color w:val="auto"/>
        </w:rPr>
        <w:fldChar w:fldCharType="end"/>
      </w:r>
      <w:r>
        <w:rPr>
          <w:rFonts w:hint="eastAsia" w:ascii="宋体" w:hAnsi="宋体"/>
          <w:color w:val="auto"/>
          <w:szCs w:val="21"/>
        </w:rPr>
        <w:t>（采用银行保函担保或其他保函担保形式╱采用扣留质量保证金）。</w:t>
      </w:r>
    </w:p>
    <w:p w14:paraId="642F6A71">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质量保证金约定比例：</w:t>
      </w:r>
      <w:r>
        <w:rPr>
          <w:rFonts w:hint="eastAsia" w:ascii="宋体" w:hAnsi="宋体" w:cs="宋体"/>
          <w:color w:val="auto"/>
          <w:u w:val="single"/>
        </w:rPr>
        <w:t>3</w:t>
      </w:r>
      <w:r>
        <w:rPr>
          <w:color w:val="auto"/>
        </w:rPr>
        <w:fldChar w:fldCharType="begin"/>
      </w:r>
      <w:r>
        <w:rPr>
          <w:color w:val="auto"/>
        </w:rPr>
        <w:instrText xml:space="preserve"> AUTOTEXT  input860 \* MERGEFORMAT </w:instrText>
      </w:r>
      <w:r>
        <w:rPr>
          <w:color w:val="auto"/>
        </w:rPr>
        <w:fldChar w:fldCharType="end"/>
      </w:r>
      <w:r>
        <w:rPr>
          <w:rFonts w:hint="eastAsia" w:ascii="宋体" w:hAnsi="宋体"/>
          <w:color w:val="auto"/>
          <w:szCs w:val="21"/>
        </w:rPr>
        <w:t>%</w:t>
      </w:r>
    </w:p>
    <w:p w14:paraId="33587CD8">
      <w:pPr>
        <w:adjustRightInd w:val="0"/>
        <w:snapToGrid w:val="0"/>
        <w:spacing w:line="360" w:lineRule="auto"/>
        <w:rPr>
          <w:rFonts w:ascii="宋体" w:hAnsi="宋体"/>
          <w:color w:val="auto"/>
          <w:sz w:val="24"/>
        </w:rPr>
      </w:pPr>
      <w:r>
        <w:rPr>
          <w:rFonts w:hint="eastAsia" w:ascii="宋体" w:hAnsi="宋体"/>
          <w:color w:val="auto"/>
          <w:sz w:val="24"/>
        </w:rPr>
        <w:t>17.</w:t>
      </w:r>
      <w:r>
        <w:rPr>
          <w:rFonts w:ascii="宋体" w:hAnsi="宋体"/>
          <w:color w:val="auto"/>
          <w:sz w:val="24"/>
        </w:rPr>
        <w:t>5</w:t>
      </w:r>
      <w:r>
        <w:rPr>
          <w:rFonts w:hint="eastAsia" w:ascii="宋体" w:hAnsi="宋体"/>
          <w:color w:val="auto"/>
          <w:sz w:val="24"/>
        </w:rPr>
        <w:t>竣工结算</w:t>
      </w:r>
    </w:p>
    <w:p w14:paraId="585CC1FB">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17.</w:t>
      </w:r>
      <w:r>
        <w:rPr>
          <w:rFonts w:ascii="宋体" w:hAnsi="宋体"/>
          <w:color w:val="auto"/>
          <w:szCs w:val="21"/>
        </w:rPr>
        <w:t>5</w:t>
      </w:r>
      <w:r>
        <w:rPr>
          <w:rFonts w:hint="eastAsia" w:ascii="宋体" w:hAnsi="宋体"/>
          <w:color w:val="auto"/>
          <w:szCs w:val="21"/>
        </w:rPr>
        <w:t>.1过程结算</w:t>
      </w:r>
    </w:p>
    <w:p w14:paraId="03E10BC3">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本工程</w:t>
      </w:r>
      <w:r>
        <w:rPr>
          <w:rFonts w:hint="eastAsia" w:ascii="宋体" w:hAnsi="宋体" w:cs="宋体"/>
          <w:color w:val="auto"/>
          <w:u w:val="single"/>
        </w:rPr>
        <w:t>不进行</w:t>
      </w:r>
      <w:r>
        <w:rPr>
          <w:rFonts w:ascii="宋体" w:hAnsi="宋体"/>
          <w:color w:val="auto"/>
          <w:szCs w:val="21"/>
          <w:u w:val="single"/>
        </w:rPr>
        <w:fldChar w:fldCharType="begin"/>
      </w:r>
      <w:r>
        <w:rPr>
          <w:rFonts w:ascii="宋体" w:hAnsi="宋体"/>
          <w:color w:val="auto"/>
          <w:szCs w:val="21"/>
          <w:u w:val="single"/>
        </w:rPr>
        <w:instrText xml:space="preserve"> AUTOTEXT  input874 \* MERGEFORMAT </w:instrText>
      </w:r>
      <w:r>
        <w:rPr>
          <w:rFonts w:ascii="宋体" w:hAnsi="宋体"/>
          <w:color w:val="auto"/>
          <w:szCs w:val="21"/>
          <w:u w:val="single"/>
        </w:rPr>
        <w:fldChar w:fldCharType="end"/>
      </w:r>
      <w:r>
        <w:rPr>
          <w:rFonts w:hint="eastAsia" w:ascii="宋体" w:hAnsi="宋体"/>
          <w:color w:val="auto"/>
          <w:szCs w:val="21"/>
        </w:rPr>
        <w:t>（进行/不进行）过程结算。过程结算的相关要求：</w:t>
      </w:r>
      <w:r>
        <w:rPr>
          <w:rFonts w:ascii="宋体" w:hAnsi="宋体" w:cs="宋体"/>
          <w:color w:val="auto"/>
          <w:u w:val="single"/>
        </w:rPr>
        <w:t xml:space="preserve">  /  </w:t>
      </w:r>
      <w:r>
        <w:rPr>
          <w:rFonts w:ascii="宋体" w:hAnsi="宋体"/>
          <w:color w:val="auto"/>
          <w:szCs w:val="21"/>
          <w:u w:val="single"/>
        </w:rPr>
        <w:fldChar w:fldCharType="begin"/>
      </w:r>
      <w:r>
        <w:rPr>
          <w:rFonts w:ascii="宋体" w:hAnsi="宋体"/>
          <w:color w:val="auto"/>
          <w:szCs w:val="21"/>
          <w:u w:val="single"/>
        </w:rPr>
        <w:instrText xml:space="preserve"> AUTOTEXT  input879 \* MERGEFORMAT </w:instrText>
      </w:r>
      <w:r>
        <w:rPr>
          <w:rFonts w:ascii="宋体" w:hAnsi="宋体"/>
          <w:color w:val="auto"/>
          <w:szCs w:val="21"/>
          <w:u w:val="single"/>
        </w:rPr>
        <w:fldChar w:fldCharType="end"/>
      </w:r>
    </w:p>
    <w:p w14:paraId="2B8BC17B">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17.</w:t>
      </w:r>
      <w:r>
        <w:rPr>
          <w:rFonts w:ascii="宋体" w:hAnsi="宋体"/>
          <w:color w:val="auto"/>
          <w:szCs w:val="21"/>
        </w:rPr>
        <w:t>5</w:t>
      </w:r>
      <w:r>
        <w:rPr>
          <w:rFonts w:hint="eastAsia" w:ascii="宋体" w:hAnsi="宋体"/>
          <w:color w:val="auto"/>
          <w:szCs w:val="21"/>
        </w:rPr>
        <w:t>.</w:t>
      </w:r>
      <w:r>
        <w:rPr>
          <w:rFonts w:ascii="宋体" w:hAnsi="宋体"/>
          <w:color w:val="auto"/>
          <w:szCs w:val="21"/>
        </w:rPr>
        <w:t>2</w:t>
      </w:r>
      <w:r>
        <w:rPr>
          <w:rFonts w:hint="eastAsia" w:ascii="宋体" w:hAnsi="宋体"/>
          <w:color w:val="auto"/>
          <w:szCs w:val="21"/>
        </w:rPr>
        <w:t>竣工付款申请单</w:t>
      </w:r>
    </w:p>
    <w:p w14:paraId="7BBBAEBA">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(1)承包人提交竣工付款申请单的份数：</w:t>
      </w:r>
      <w:r>
        <w:rPr>
          <w:rFonts w:hint="eastAsia" w:ascii="宋体" w:hAnsi="宋体" w:cs="宋体"/>
          <w:color w:val="auto"/>
          <w:u w:val="single"/>
        </w:rPr>
        <w:t>一式六份</w:t>
      </w:r>
      <w:r>
        <w:rPr>
          <w:color w:val="auto"/>
        </w:rPr>
        <w:fldChar w:fldCharType="begin"/>
      </w:r>
      <w:r>
        <w:rPr>
          <w:color w:val="auto"/>
        </w:rPr>
        <w:instrText xml:space="preserve"> AUTOTEXT  input527 \* MERGEFORMAT </w:instrText>
      </w:r>
      <w:r>
        <w:rPr>
          <w:color w:val="auto"/>
        </w:rPr>
        <w:fldChar w:fldCharType="end"/>
      </w:r>
    </w:p>
    <w:p w14:paraId="20EE5673">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承包人提交竣工付款申请单的期限：</w:t>
      </w:r>
      <w:r>
        <w:rPr>
          <w:rFonts w:hint="eastAsia" w:ascii="宋体" w:hAnsi="宋体" w:cs="宋体"/>
          <w:color w:val="auto"/>
          <w:u w:val="single"/>
        </w:rPr>
        <w:t>全部工程完成，竣工验收合格并办理完竣工结算手续后28天内。</w:t>
      </w:r>
      <w:r>
        <w:rPr>
          <w:color w:val="auto"/>
        </w:rPr>
        <w:fldChar w:fldCharType="begin"/>
      </w:r>
      <w:r>
        <w:rPr>
          <w:color w:val="auto"/>
        </w:rPr>
        <w:instrText xml:space="preserve"> AUTOTEXT  input528 \* MERGEFORMAT </w:instrText>
      </w:r>
      <w:r>
        <w:rPr>
          <w:color w:val="auto"/>
        </w:rPr>
        <w:fldChar w:fldCharType="end"/>
      </w:r>
    </w:p>
    <w:p w14:paraId="7BCBA369">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(2)竣工付款申请单的其他内容：</w:t>
      </w:r>
      <w:r>
        <w:rPr>
          <w:rFonts w:hint="eastAsia" w:ascii="宋体" w:hAnsi="宋体" w:cs="宋体"/>
          <w:color w:val="auto"/>
          <w:u w:val="single"/>
        </w:rPr>
        <w:t>按照发包人规定的格式和内容填写，应包括但不限于竣工结算合同总价、已支付的工程价款、应扣回的预付款、应扣留的质量保证金、应支付的竣工付款金额等。承包人未按本项约定的期限和内容提交竣工付款申请单或者未按通用合同条款第17.5.2(3)目约定提交修正后的竣工付款申请单,经发包人催促后14天内仍未提交或者没有明确答复的，发包人有权根据已有资料进行审查，审查确定的竣工结算合同总价和竣工付款金额视同是经承包人认可的工程竣工结算合同总价和竣工付款金额。政府投资或者以政府投资为主的建设项目纳入审计项目计划的，发包人和承包人均负有配合、接受审计机关审计的义务，竣工结算应当依据审计结论，办清竣工结算和竣工付款的时间按照相关规定执行。</w:t>
      </w:r>
      <w:r>
        <w:rPr>
          <w:color w:val="auto"/>
        </w:rPr>
        <w:fldChar w:fldCharType="begin"/>
      </w:r>
      <w:r>
        <w:rPr>
          <w:color w:val="auto"/>
        </w:rPr>
        <w:instrText xml:space="preserve"> AUTOTEXT  input529 \* MERGEFORMAT </w:instrText>
      </w:r>
      <w:r>
        <w:rPr>
          <w:color w:val="auto"/>
        </w:rPr>
        <w:fldChar w:fldCharType="end"/>
      </w:r>
    </w:p>
    <w:p w14:paraId="7C486307">
      <w:pPr>
        <w:adjustRightInd w:val="0"/>
        <w:snapToGrid w:val="0"/>
        <w:spacing w:line="360" w:lineRule="auto"/>
        <w:rPr>
          <w:rFonts w:ascii="宋体" w:hAnsi="宋体"/>
          <w:color w:val="auto"/>
          <w:sz w:val="24"/>
        </w:rPr>
      </w:pPr>
      <w:r>
        <w:rPr>
          <w:rFonts w:hint="eastAsia" w:ascii="宋体" w:hAnsi="宋体"/>
          <w:color w:val="auto"/>
          <w:sz w:val="24"/>
        </w:rPr>
        <w:t>17.</w:t>
      </w:r>
      <w:r>
        <w:rPr>
          <w:rFonts w:ascii="宋体" w:hAnsi="宋体"/>
          <w:color w:val="auto"/>
          <w:sz w:val="24"/>
        </w:rPr>
        <w:t>6</w:t>
      </w:r>
      <w:r>
        <w:rPr>
          <w:rFonts w:hint="eastAsia" w:ascii="宋体" w:hAnsi="宋体"/>
          <w:color w:val="auto"/>
          <w:sz w:val="24"/>
        </w:rPr>
        <w:t>最终结清</w:t>
      </w:r>
    </w:p>
    <w:p w14:paraId="2A1A56A2">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17.</w:t>
      </w:r>
      <w:r>
        <w:rPr>
          <w:rFonts w:ascii="宋体" w:hAnsi="宋体"/>
          <w:color w:val="auto"/>
          <w:szCs w:val="21"/>
        </w:rPr>
        <w:t>6</w:t>
      </w:r>
      <w:r>
        <w:rPr>
          <w:rFonts w:hint="eastAsia" w:ascii="宋体" w:hAnsi="宋体"/>
          <w:color w:val="auto"/>
          <w:szCs w:val="21"/>
        </w:rPr>
        <w:t>.1最终结清申请单</w:t>
      </w:r>
    </w:p>
    <w:p w14:paraId="17A3DCD0">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(1)承包人提交最终结清申请单的份数：</w:t>
      </w:r>
      <w:r>
        <w:rPr>
          <w:rFonts w:hint="eastAsia" w:ascii="宋体" w:hAnsi="宋体" w:cs="宋体"/>
          <w:color w:val="auto"/>
          <w:u w:val="single"/>
        </w:rPr>
        <w:t>一式十份</w:t>
      </w:r>
      <w:r>
        <w:rPr>
          <w:color w:val="auto"/>
        </w:rPr>
        <w:fldChar w:fldCharType="begin"/>
      </w:r>
      <w:r>
        <w:rPr>
          <w:color w:val="auto"/>
        </w:rPr>
        <w:instrText xml:space="preserve"> AUTOTEXT  input530 \* MERGEFORMAT </w:instrText>
      </w:r>
      <w:r>
        <w:rPr>
          <w:color w:val="auto"/>
        </w:rPr>
        <w:fldChar w:fldCharType="end"/>
      </w:r>
    </w:p>
    <w:p w14:paraId="10385632">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承包人提交最终结清申请单的期限：</w:t>
      </w:r>
      <w:r>
        <w:rPr>
          <w:rFonts w:hint="eastAsia" w:ascii="宋体" w:hAnsi="宋体" w:cs="宋体"/>
          <w:color w:val="auto"/>
          <w:u w:val="single"/>
        </w:rPr>
        <w:t>在缺陷责任期终止证书颁发后28天内</w:t>
      </w:r>
      <w:r>
        <w:rPr>
          <w:color w:val="auto"/>
        </w:rPr>
        <w:fldChar w:fldCharType="begin"/>
      </w:r>
      <w:r>
        <w:rPr>
          <w:color w:val="auto"/>
        </w:rPr>
        <w:instrText xml:space="preserve"> AUTOTEXT  input531 \* MERGEFORMAT </w:instrText>
      </w:r>
      <w:r>
        <w:rPr>
          <w:color w:val="auto"/>
        </w:rPr>
        <w:fldChar w:fldCharType="end"/>
      </w:r>
    </w:p>
    <w:p w14:paraId="30F9913B">
      <w:pPr>
        <w:adjustRightInd w:val="0"/>
        <w:snapToGrid w:val="0"/>
        <w:spacing w:line="360" w:lineRule="auto"/>
        <w:ind w:firstLine="420" w:firstLineChars="200"/>
        <w:jc w:val="left"/>
        <w:rPr>
          <w:rFonts w:ascii="宋体" w:hAnsi="宋体"/>
          <w:color w:val="auto"/>
        </w:rPr>
      </w:pPr>
      <w:r>
        <w:rPr>
          <w:rFonts w:hint="eastAsia" w:ascii="宋体" w:hAnsi="宋体"/>
          <w:color w:val="auto"/>
        </w:rPr>
        <w:t>发包人向承包人</w:t>
      </w:r>
      <w:r>
        <w:rPr>
          <w:rFonts w:hint="eastAsia" w:ascii="宋体" w:hAnsi="宋体" w:cs="宋体"/>
          <w:color w:val="auto"/>
          <w:u w:val="single"/>
        </w:rPr>
        <w:t>不支付</w:t>
      </w:r>
      <w:r>
        <w:rPr>
          <w:color w:val="auto"/>
        </w:rPr>
        <w:fldChar w:fldCharType="begin"/>
      </w:r>
      <w:r>
        <w:rPr>
          <w:color w:val="auto"/>
        </w:rPr>
        <w:instrText xml:space="preserve"> AUTOTEXT  input861 \* MERGEFORMAT </w:instrText>
      </w:r>
      <w:r>
        <w:rPr>
          <w:color w:val="auto"/>
        </w:rPr>
        <w:fldChar w:fldCharType="end"/>
      </w:r>
      <w:r>
        <w:rPr>
          <w:rFonts w:hint="eastAsia" w:ascii="宋体" w:hAnsi="宋体"/>
          <w:color w:val="auto"/>
        </w:rPr>
        <w:t>（支付/不支付）质量保证金利息。</w:t>
      </w:r>
    </w:p>
    <w:p w14:paraId="314395A0">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rPr>
        <w:t>发包人向承包人支付质量保证金利息的，利息计算方法：</w:t>
      </w:r>
      <w:r>
        <w:rPr>
          <w:rFonts w:ascii="宋体" w:hAnsi="宋体" w:cs="宋体"/>
          <w:color w:val="auto"/>
          <w:u w:val="single"/>
        </w:rPr>
        <w:t xml:space="preserve">  /  </w:t>
      </w:r>
      <w:r>
        <w:rPr>
          <w:color w:val="auto"/>
        </w:rPr>
        <w:fldChar w:fldCharType="begin"/>
      </w:r>
      <w:r>
        <w:rPr>
          <w:color w:val="auto"/>
        </w:rPr>
        <w:instrText xml:space="preserve"> AUTOTEXT  input862 \* MERGEFORMAT </w:instrText>
      </w:r>
      <w:r>
        <w:rPr>
          <w:color w:val="auto"/>
        </w:rPr>
        <w:fldChar w:fldCharType="end"/>
      </w:r>
    </w:p>
    <w:p w14:paraId="6EB740DF">
      <w:pPr>
        <w:adjustRightInd w:val="0"/>
        <w:snapToGrid w:val="0"/>
        <w:spacing w:line="360" w:lineRule="auto"/>
        <w:outlineLvl w:val="1"/>
        <w:rPr>
          <w:rFonts w:ascii="宋体" w:hAnsi="宋体"/>
          <w:color w:val="auto"/>
          <w:sz w:val="28"/>
        </w:rPr>
      </w:pPr>
      <w:bookmarkStart w:id="1209" w:name="_Toc96"/>
      <w:bookmarkStart w:id="1210" w:name="_Toc13431"/>
      <w:r>
        <w:rPr>
          <w:rFonts w:hint="eastAsia" w:ascii="宋体" w:hAnsi="宋体"/>
          <w:color w:val="auto"/>
          <w:sz w:val="28"/>
        </w:rPr>
        <w:t>18.竣工验收</w:t>
      </w:r>
      <w:bookmarkEnd w:id="1209"/>
      <w:bookmarkEnd w:id="1210"/>
    </w:p>
    <w:p w14:paraId="0A1B8F45">
      <w:pPr>
        <w:adjustRightInd w:val="0"/>
        <w:snapToGrid w:val="0"/>
        <w:spacing w:line="360" w:lineRule="auto"/>
        <w:rPr>
          <w:rFonts w:ascii="宋体" w:hAnsi="宋体"/>
          <w:color w:val="auto"/>
          <w:sz w:val="24"/>
        </w:rPr>
      </w:pPr>
      <w:r>
        <w:rPr>
          <w:rFonts w:hint="eastAsia" w:ascii="宋体" w:hAnsi="宋体"/>
          <w:color w:val="auto"/>
          <w:sz w:val="24"/>
        </w:rPr>
        <w:t>18.2竣工验收申请报告</w:t>
      </w:r>
    </w:p>
    <w:p w14:paraId="6019873B">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(2)承包人负责整理和提交的竣工验收资料具体内容：</w:t>
      </w:r>
    </w:p>
    <w:p w14:paraId="31E4C004">
      <w:pPr>
        <w:adjustRightInd w:val="0"/>
        <w:snapToGrid w:val="0"/>
        <w:spacing w:line="360" w:lineRule="auto"/>
        <w:ind w:firstLine="420" w:firstLineChars="200"/>
        <w:jc w:val="left"/>
        <w:rPr>
          <w:rFonts w:ascii="宋体" w:hAnsi="宋体" w:cs="宋体"/>
          <w:color w:val="auto"/>
          <w:u w:val="single"/>
        </w:rPr>
      </w:pPr>
      <w:r>
        <w:rPr>
          <w:rFonts w:hint="eastAsia" w:ascii="宋体" w:hAnsi="宋体" w:cs="宋体"/>
          <w:color w:val="auto"/>
          <w:u w:val="single"/>
        </w:rPr>
        <w:t>1）按照《建筑工程资料管理规程》及北京市住建委和北京市档案馆公布的有关工程竣工资料归档的要求、竣工备案及发包人要求执行。</w:t>
      </w:r>
    </w:p>
    <w:p w14:paraId="5571A9B0">
      <w:pPr>
        <w:adjustRightInd w:val="0"/>
        <w:snapToGrid w:val="0"/>
        <w:spacing w:line="360" w:lineRule="auto"/>
        <w:ind w:firstLine="420" w:firstLineChars="200"/>
        <w:jc w:val="left"/>
        <w:rPr>
          <w:rFonts w:ascii="宋体" w:hAnsi="宋体"/>
          <w:color w:val="auto"/>
          <w:szCs w:val="21"/>
        </w:rPr>
      </w:pPr>
      <w:r>
        <w:rPr>
          <w:rFonts w:hint="eastAsia" w:ascii="宋体" w:hAnsi="宋体" w:cs="宋体"/>
          <w:color w:val="auto"/>
          <w:u w:val="single"/>
        </w:rPr>
        <w:t>2）文件封面应具有工程名称、开竣工日期、编制单位、卷册编号、单位技术负责人和法定代表人或授权委托人签字并加盖单位公章。</w:t>
      </w:r>
      <w:r>
        <w:rPr>
          <w:color w:val="auto"/>
        </w:rPr>
        <w:fldChar w:fldCharType="begin"/>
      </w:r>
      <w:r>
        <w:rPr>
          <w:color w:val="auto"/>
        </w:rPr>
        <w:instrText xml:space="preserve"> AUTOTEXT  input532 \* MERGEFORMAT </w:instrText>
      </w:r>
      <w:r>
        <w:rPr>
          <w:color w:val="auto"/>
        </w:rPr>
        <w:fldChar w:fldCharType="end"/>
      </w:r>
    </w:p>
    <w:p w14:paraId="33593848">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竣工验收资料的份数：</w:t>
      </w:r>
      <w:r>
        <w:rPr>
          <w:rFonts w:hint="eastAsia" w:ascii="宋体" w:hAnsi="宋体" w:cs="宋体"/>
          <w:color w:val="auto"/>
          <w:u w:val="single"/>
        </w:rPr>
        <w:t>纸质版6套，电子版2套。</w:t>
      </w:r>
      <w:r>
        <w:rPr>
          <w:color w:val="auto"/>
        </w:rPr>
        <w:fldChar w:fldCharType="begin"/>
      </w:r>
      <w:r>
        <w:rPr>
          <w:color w:val="auto"/>
        </w:rPr>
        <w:instrText xml:space="preserve"> AUTOTEXT  input533 \* MERGEFORMAT </w:instrText>
      </w:r>
      <w:r>
        <w:rPr>
          <w:color w:val="auto"/>
        </w:rPr>
        <w:fldChar w:fldCharType="end"/>
      </w:r>
    </w:p>
    <w:p w14:paraId="5427B047">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竣工验收资料的费用支付方式：</w:t>
      </w:r>
      <w:r>
        <w:rPr>
          <w:rFonts w:hint="eastAsia" w:ascii="宋体" w:hAnsi="宋体" w:cs="宋体"/>
          <w:color w:val="auto"/>
          <w:u w:val="single"/>
        </w:rPr>
        <w:t>由承包人承担，包含在投标总价中，如需加印相关资料的承包人应当免费提供。</w:t>
      </w:r>
      <w:r>
        <w:rPr>
          <w:color w:val="auto"/>
        </w:rPr>
        <w:fldChar w:fldCharType="begin"/>
      </w:r>
      <w:r>
        <w:rPr>
          <w:color w:val="auto"/>
        </w:rPr>
        <w:instrText xml:space="preserve"> AUTOTEXT  input534 \* MERGEFORMAT </w:instrText>
      </w:r>
      <w:r>
        <w:rPr>
          <w:color w:val="auto"/>
        </w:rPr>
        <w:fldChar w:fldCharType="end"/>
      </w:r>
    </w:p>
    <w:p w14:paraId="0FEB721E">
      <w:pPr>
        <w:adjustRightInd w:val="0"/>
        <w:snapToGrid w:val="0"/>
        <w:spacing w:line="360" w:lineRule="auto"/>
        <w:rPr>
          <w:rFonts w:ascii="宋体" w:hAnsi="宋体"/>
          <w:color w:val="auto"/>
          <w:sz w:val="24"/>
        </w:rPr>
      </w:pPr>
      <w:r>
        <w:rPr>
          <w:rFonts w:hint="eastAsia" w:ascii="宋体" w:hAnsi="宋体"/>
          <w:color w:val="auto"/>
          <w:sz w:val="24"/>
        </w:rPr>
        <w:t>18.5施工期运行</w:t>
      </w:r>
    </w:p>
    <w:p w14:paraId="0F4888FB">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18.5.1需要施工期运行的单位工程或设备安装工程：</w:t>
      </w:r>
      <w:r>
        <w:rPr>
          <w:rFonts w:hint="eastAsia" w:ascii="宋体" w:hAnsi="宋体" w:cs="宋体"/>
          <w:color w:val="auto"/>
          <w:u w:val="single"/>
        </w:rPr>
        <w:t>根据发包人及监理人要求确定</w:t>
      </w:r>
      <w:r>
        <w:rPr>
          <w:color w:val="auto"/>
        </w:rPr>
        <w:fldChar w:fldCharType="begin"/>
      </w:r>
      <w:r>
        <w:rPr>
          <w:color w:val="auto"/>
        </w:rPr>
        <w:instrText xml:space="preserve"> AUTOTEXT  input535 \* MERGEFORMAT </w:instrText>
      </w:r>
      <w:r>
        <w:rPr>
          <w:color w:val="auto"/>
        </w:rPr>
        <w:fldChar w:fldCharType="end"/>
      </w:r>
    </w:p>
    <w:p w14:paraId="7258B6D4">
      <w:pPr>
        <w:adjustRightInd w:val="0"/>
        <w:snapToGrid w:val="0"/>
        <w:spacing w:line="360" w:lineRule="auto"/>
        <w:rPr>
          <w:rFonts w:ascii="宋体" w:hAnsi="宋体"/>
          <w:color w:val="auto"/>
          <w:sz w:val="24"/>
        </w:rPr>
      </w:pPr>
      <w:r>
        <w:rPr>
          <w:rFonts w:hint="eastAsia" w:ascii="宋体" w:hAnsi="宋体"/>
          <w:color w:val="auto"/>
          <w:sz w:val="24"/>
        </w:rPr>
        <w:t>18.8施工队伍的撤离</w:t>
      </w:r>
    </w:p>
    <w:p w14:paraId="54F450CA">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18.8.3缺陷责任期满时，承包人在施工场地保留的人员和施工设备最终撤离的期限：</w:t>
      </w:r>
    </w:p>
    <w:p w14:paraId="262A27AE">
      <w:pPr>
        <w:adjustRightInd w:val="0"/>
        <w:snapToGrid w:val="0"/>
        <w:spacing w:line="360" w:lineRule="auto"/>
        <w:ind w:firstLine="420" w:firstLineChars="200"/>
        <w:jc w:val="left"/>
        <w:rPr>
          <w:rFonts w:ascii="宋体" w:hAnsi="宋体"/>
          <w:color w:val="auto"/>
          <w:szCs w:val="21"/>
        </w:rPr>
      </w:pPr>
      <w:r>
        <w:rPr>
          <w:rFonts w:hint="eastAsia" w:ascii="宋体" w:hAnsi="宋体" w:cs="宋体"/>
          <w:color w:val="auto"/>
          <w:u w:val="single"/>
        </w:rPr>
        <w:t>缺陷责任期满后10天内，延后撤离造成发包人增加的费用，由承包人承担。</w:t>
      </w:r>
      <w:r>
        <w:rPr>
          <w:color w:val="auto"/>
        </w:rPr>
        <w:fldChar w:fldCharType="begin"/>
      </w:r>
      <w:r>
        <w:rPr>
          <w:color w:val="auto"/>
        </w:rPr>
        <w:instrText xml:space="preserve"> AUTOTEXT  input536 \* MERGEFORMAT </w:instrText>
      </w:r>
      <w:r>
        <w:rPr>
          <w:color w:val="auto"/>
        </w:rPr>
        <w:fldChar w:fldCharType="end"/>
      </w:r>
    </w:p>
    <w:p w14:paraId="6FD98606">
      <w:pPr>
        <w:adjustRightInd w:val="0"/>
        <w:snapToGrid w:val="0"/>
        <w:spacing w:line="360" w:lineRule="auto"/>
        <w:rPr>
          <w:rFonts w:ascii="宋体" w:hAnsi="宋体"/>
          <w:color w:val="auto"/>
          <w:sz w:val="24"/>
        </w:rPr>
      </w:pPr>
      <w:r>
        <w:rPr>
          <w:rFonts w:hint="eastAsia" w:ascii="宋体" w:hAnsi="宋体"/>
          <w:color w:val="auto"/>
          <w:sz w:val="24"/>
        </w:rPr>
        <w:t>18.9中间验收</w:t>
      </w:r>
    </w:p>
    <w:p w14:paraId="2EFDA555">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18.9.1本工程需要进行中间验收的部位：</w:t>
      </w:r>
    </w:p>
    <w:p w14:paraId="57CB65FB">
      <w:pPr>
        <w:adjustRightInd w:val="0"/>
        <w:snapToGrid w:val="0"/>
        <w:spacing w:line="360" w:lineRule="auto"/>
        <w:ind w:firstLine="420" w:firstLineChars="200"/>
        <w:jc w:val="left"/>
        <w:rPr>
          <w:rFonts w:ascii="宋体" w:hAnsi="宋体"/>
          <w:color w:val="auto"/>
          <w:szCs w:val="21"/>
        </w:rPr>
      </w:pPr>
      <w:r>
        <w:rPr>
          <w:rFonts w:hint="eastAsia" w:ascii="宋体" w:hAnsi="宋体" w:cs="宋体"/>
          <w:color w:val="auto"/>
          <w:u w:val="single"/>
        </w:rPr>
        <w:t>根据发包人及监理人要求确定</w:t>
      </w:r>
      <w:r>
        <w:rPr>
          <w:color w:val="auto"/>
        </w:rPr>
        <w:fldChar w:fldCharType="begin"/>
      </w:r>
      <w:r>
        <w:rPr>
          <w:color w:val="auto"/>
        </w:rPr>
        <w:instrText xml:space="preserve"> AUTOTEXT  input537 \* MERGEFORMAT </w:instrText>
      </w:r>
      <w:r>
        <w:rPr>
          <w:color w:val="auto"/>
        </w:rPr>
        <w:fldChar w:fldCharType="end"/>
      </w:r>
    </w:p>
    <w:p w14:paraId="4C37D45D">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18.9.2验收不合格的，承包人在</w:t>
      </w:r>
      <w:r>
        <w:rPr>
          <w:rFonts w:hint="eastAsia" w:ascii="宋体" w:hAnsi="宋体" w:cs="宋体"/>
          <w:color w:val="auto"/>
          <w:u w:val="single"/>
        </w:rPr>
        <w:t>7天</w:t>
      </w:r>
      <w:r>
        <w:rPr>
          <w:color w:val="auto"/>
        </w:rPr>
        <w:fldChar w:fldCharType="begin"/>
      </w:r>
      <w:r>
        <w:rPr>
          <w:color w:val="auto"/>
        </w:rPr>
        <w:instrText xml:space="preserve"> AUTOTEXT  input538 \* MERGEFORMAT </w:instrText>
      </w:r>
      <w:r>
        <w:rPr>
          <w:color w:val="auto"/>
        </w:rPr>
        <w:fldChar w:fldCharType="end"/>
      </w:r>
      <w:r>
        <w:rPr>
          <w:rFonts w:hint="eastAsia" w:ascii="宋体" w:hAnsi="宋体"/>
          <w:color w:val="auto"/>
          <w:szCs w:val="21"/>
        </w:rPr>
        <w:t>期限内进行修改后重新验收。</w:t>
      </w:r>
    </w:p>
    <w:p w14:paraId="32DDE486">
      <w:pPr>
        <w:adjustRightInd w:val="0"/>
        <w:snapToGrid w:val="0"/>
        <w:spacing w:line="360" w:lineRule="auto"/>
        <w:outlineLvl w:val="1"/>
        <w:rPr>
          <w:rFonts w:ascii="宋体" w:hAnsi="宋体"/>
          <w:color w:val="auto"/>
          <w:sz w:val="28"/>
        </w:rPr>
      </w:pPr>
      <w:bookmarkStart w:id="1211" w:name="_Toc29747"/>
      <w:bookmarkStart w:id="1212" w:name="_Toc8699"/>
      <w:r>
        <w:rPr>
          <w:rFonts w:hint="eastAsia" w:ascii="宋体" w:hAnsi="宋体"/>
          <w:color w:val="auto"/>
          <w:sz w:val="28"/>
        </w:rPr>
        <w:t>19.缺陷责任与保修责任</w:t>
      </w:r>
      <w:bookmarkEnd w:id="1211"/>
      <w:bookmarkEnd w:id="1212"/>
    </w:p>
    <w:p w14:paraId="6F66B79B">
      <w:pPr>
        <w:adjustRightInd w:val="0"/>
        <w:snapToGrid w:val="0"/>
        <w:spacing w:line="360" w:lineRule="auto"/>
        <w:rPr>
          <w:rFonts w:ascii="宋体" w:hAnsi="宋体"/>
          <w:color w:val="auto"/>
          <w:sz w:val="24"/>
        </w:rPr>
      </w:pPr>
      <w:r>
        <w:rPr>
          <w:rFonts w:hint="eastAsia" w:ascii="宋体" w:hAnsi="宋体"/>
          <w:color w:val="auto"/>
          <w:sz w:val="24"/>
        </w:rPr>
        <w:t>19.7保修责任</w:t>
      </w:r>
    </w:p>
    <w:p w14:paraId="6C17299D">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19.7.1工程质量保修范围：</w:t>
      </w:r>
      <w:r>
        <w:rPr>
          <w:rFonts w:hint="eastAsia" w:ascii="宋体" w:hAnsi="宋体" w:cs="宋体"/>
          <w:color w:val="auto"/>
          <w:u w:val="single"/>
        </w:rPr>
        <w:t>本合同约定的永久工程，执行《建设工程质量管理条例》（国务院令第279号）及《民用建筑节能条例》的规定。</w:t>
      </w:r>
      <w:r>
        <w:rPr>
          <w:color w:val="auto"/>
        </w:rPr>
        <w:fldChar w:fldCharType="begin"/>
      </w:r>
      <w:r>
        <w:rPr>
          <w:color w:val="auto"/>
        </w:rPr>
        <w:instrText xml:space="preserve"> AUTOTEXT  input539 \* MERGEFORMAT </w:instrText>
      </w:r>
      <w:r>
        <w:rPr>
          <w:color w:val="auto"/>
        </w:rPr>
        <w:fldChar w:fldCharType="end"/>
      </w:r>
    </w:p>
    <w:p w14:paraId="2E497017">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工程质量保修期限：</w:t>
      </w:r>
      <w:r>
        <w:rPr>
          <w:rFonts w:hint="eastAsia" w:ascii="宋体" w:hAnsi="宋体" w:cs="宋体"/>
          <w:color w:val="auto"/>
          <w:u w:val="single"/>
        </w:rPr>
        <w:t>执行《建设工程质量管理条例》（国务院令第279号）及《民用建筑节能条例》二十三条规定标准。对其中未做规定的其他项目，保修期约定为2年。</w:t>
      </w:r>
      <w:r>
        <w:rPr>
          <w:color w:val="auto"/>
        </w:rPr>
        <w:fldChar w:fldCharType="begin"/>
      </w:r>
      <w:r>
        <w:rPr>
          <w:color w:val="auto"/>
        </w:rPr>
        <w:instrText xml:space="preserve"> AUTOTEXT  input540 \* MERGEFORMAT </w:instrText>
      </w:r>
      <w:r>
        <w:rPr>
          <w:color w:val="auto"/>
        </w:rPr>
        <w:fldChar w:fldCharType="end"/>
      </w:r>
    </w:p>
    <w:p w14:paraId="06B0B4F7">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工程质量保修责任：</w:t>
      </w:r>
      <w:r>
        <w:rPr>
          <w:rFonts w:hint="eastAsia" w:ascii="宋体" w:hAnsi="宋体" w:cs="宋体"/>
          <w:color w:val="auto"/>
          <w:u w:val="single"/>
        </w:rPr>
        <w:t>①执行《建设工程质量管理条例》（国务院令第279号）及《民用建筑节能条例》的规定。②属于保修范围、内容的项目，承包人应当在接到保修通知之日起3天内派人保修。承包人不在约定期限内派人保修的，发包人可以委托他人修理，且维修费用以发包人确定费用为准，由承包人承担维修费用、等额违约金、并对造成的相关损失承担赔偿责任。③发生紧急抢修事故的，承包人在接到事故通知后，应当1小时内到达事故现场抢修。④质量保修完成后，由发包人及监理单位共同组织验收。</w:t>
      </w:r>
      <w:r>
        <w:rPr>
          <w:color w:val="auto"/>
        </w:rPr>
        <w:fldChar w:fldCharType="begin"/>
      </w:r>
      <w:r>
        <w:rPr>
          <w:color w:val="auto"/>
        </w:rPr>
        <w:instrText xml:space="preserve"> AUTOTEXT  input541 \* MERGEFORMAT </w:instrText>
      </w:r>
      <w:r>
        <w:rPr>
          <w:color w:val="auto"/>
        </w:rPr>
        <w:fldChar w:fldCharType="end"/>
      </w:r>
    </w:p>
    <w:p w14:paraId="259CB8D5">
      <w:pPr>
        <w:adjustRightInd w:val="0"/>
        <w:snapToGrid w:val="0"/>
        <w:spacing w:line="360" w:lineRule="auto"/>
        <w:ind w:firstLine="0" w:firstLineChars="0"/>
        <w:jc w:val="left"/>
        <w:outlineLvl w:val="9"/>
        <w:rPr>
          <w:rFonts w:ascii="宋体" w:hAnsi="宋体"/>
          <w:color w:val="auto"/>
          <w:sz w:val="28"/>
        </w:rPr>
      </w:pPr>
      <w:r>
        <w:rPr>
          <w:rFonts w:hint="eastAsia" w:ascii="宋体" w:hAnsi="宋体"/>
          <w:color w:val="auto"/>
          <w:sz w:val="28"/>
        </w:rPr>
        <w:t>20.保险</w:t>
      </w:r>
    </w:p>
    <w:p w14:paraId="11A38CB9">
      <w:pPr>
        <w:adjustRightInd w:val="0"/>
        <w:snapToGrid w:val="0"/>
        <w:spacing w:line="360" w:lineRule="auto"/>
        <w:rPr>
          <w:rFonts w:ascii="宋体" w:hAnsi="宋体"/>
          <w:color w:val="auto"/>
          <w:sz w:val="24"/>
        </w:rPr>
      </w:pPr>
      <w:r>
        <w:rPr>
          <w:rFonts w:hint="eastAsia" w:ascii="宋体" w:hAnsi="宋体"/>
          <w:color w:val="auto"/>
          <w:sz w:val="24"/>
        </w:rPr>
        <w:t>20.1工程保险</w:t>
      </w:r>
    </w:p>
    <w:p w14:paraId="18F79657">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本工程</w:t>
      </w:r>
      <w:r>
        <w:rPr>
          <w:rFonts w:hint="eastAsia" w:ascii="宋体" w:hAnsi="宋体" w:cs="宋体"/>
          <w:color w:val="auto"/>
          <w:u w:val="single"/>
        </w:rPr>
        <w:t>不投保</w:t>
      </w:r>
      <w:r>
        <w:rPr>
          <w:color w:val="auto"/>
        </w:rPr>
        <w:fldChar w:fldCharType="begin"/>
      </w:r>
      <w:r>
        <w:rPr>
          <w:color w:val="auto"/>
        </w:rPr>
        <w:instrText xml:space="preserve"> AUTOTEXT  input542 \* MERGEFORMAT </w:instrText>
      </w:r>
      <w:r>
        <w:rPr>
          <w:color w:val="auto"/>
        </w:rPr>
        <w:fldChar w:fldCharType="end"/>
      </w:r>
      <w:r>
        <w:rPr>
          <w:rFonts w:hint="eastAsia" w:ascii="宋体" w:hAnsi="宋体"/>
          <w:color w:val="auto"/>
          <w:szCs w:val="21"/>
        </w:rPr>
        <w:t>(投保/不投保)工程保险。投保工程保险时，险种为：</w:t>
      </w:r>
      <w:r>
        <w:rPr>
          <w:rFonts w:ascii="宋体" w:hAnsi="宋体" w:cs="宋体"/>
          <w:color w:val="auto"/>
          <w:u w:val="single"/>
        </w:rPr>
        <w:t xml:space="preserve">  /  </w:t>
      </w:r>
      <w:r>
        <w:rPr>
          <w:color w:val="auto"/>
        </w:rPr>
        <w:fldChar w:fldCharType="begin"/>
      </w:r>
      <w:r>
        <w:rPr>
          <w:color w:val="auto"/>
        </w:rPr>
        <w:instrText xml:space="preserve"> AUTOTEXT  input543 \* MERGEFORMAT </w:instrText>
      </w:r>
      <w:r>
        <w:rPr>
          <w:color w:val="auto"/>
        </w:rPr>
        <w:fldChar w:fldCharType="end"/>
      </w:r>
      <w:r>
        <w:rPr>
          <w:rFonts w:hint="eastAsia" w:ascii="宋体" w:hAnsi="宋体"/>
          <w:color w:val="auto"/>
          <w:szCs w:val="21"/>
        </w:rPr>
        <w:t>，并符合以下约定：</w:t>
      </w:r>
    </w:p>
    <w:p w14:paraId="0340D4B0">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(1)投保人：</w:t>
      </w:r>
      <w:r>
        <w:rPr>
          <w:rFonts w:ascii="宋体" w:hAnsi="宋体" w:cs="宋体"/>
          <w:color w:val="auto"/>
          <w:u w:val="single"/>
        </w:rPr>
        <w:t xml:space="preserve">  /  </w:t>
      </w:r>
      <w:r>
        <w:rPr>
          <w:color w:val="auto"/>
        </w:rPr>
        <w:fldChar w:fldCharType="begin"/>
      </w:r>
      <w:r>
        <w:rPr>
          <w:color w:val="auto"/>
        </w:rPr>
        <w:instrText xml:space="preserve"> AUTOTEXT  input544 \* MERGEFORMAT </w:instrText>
      </w:r>
      <w:r>
        <w:rPr>
          <w:color w:val="auto"/>
        </w:rPr>
        <w:fldChar w:fldCharType="end"/>
      </w:r>
    </w:p>
    <w:p w14:paraId="3C980EF2">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(2)投保内容：</w:t>
      </w:r>
      <w:r>
        <w:rPr>
          <w:rFonts w:ascii="宋体" w:hAnsi="宋体" w:cs="宋体"/>
          <w:color w:val="auto"/>
          <w:u w:val="single"/>
        </w:rPr>
        <w:t xml:space="preserve">  /  </w:t>
      </w:r>
      <w:r>
        <w:rPr>
          <w:color w:val="auto"/>
        </w:rPr>
        <w:fldChar w:fldCharType="begin"/>
      </w:r>
      <w:r>
        <w:rPr>
          <w:color w:val="auto"/>
        </w:rPr>
        <w:instrText xml:space="preserve"> AUTOTEXT  input545 \* MERGEFORMAT </w:instrText>
      </w:r>
      <w:r>
        <w:rPr>
          <w:color w:val="auto"/>
        </w:rPr>
        <w:fldChar w:fldCharType="end"/>
      </w:r>
    </w:p>
    <w:p w14:paraId="38C17E12">
      <w:pPr>
        <w:adjustRightInd w:val="0"/>
        <w:snapToGrid w:val="0"/>
        <w:spacing w:line="360" w:lineRule="auto"/>
        <w:ind w:firstLine="420" w:firstLineChars="200"/>
        <w:jc w:val="left"/>
        <w:rPr>
          <w:rFonts w:ascii="宋体" w:hAnsi="宋体" w:cs="Arial"/>
          <w:color w:val="auto"/>
        </w:rPr>
      </w:pPr>
      <w:r>
        <w:rPr>
          <w:rFonts w:hint="eastAsia" w:ascii="宋体" w:hAnsi="宋体"/>
          <w:color w:val="auto"/>
          <w:szCs w:val="21"/>
        </w:rPr>
        <w:t>(3)保险费率：由投保人与合同双方同意的保险人商定</w:t>
      </w:r>
      <w:r>
        <w:rPr>
          <w:rFonts w:hint="eastAsia" w:ascii="宋体" w:hAnsi="宋体" w:cs="Arial"/>
          <w:color w:val="auto"/>
        </w:rPr>
        <w:t>。</w:t>
      </w:r>
    </w:p>
    <w:p w14:paraId="14B3BEAD">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(4)保险金额：</w:t>
      </w:r>
      <w:r>
        <w:rPr>
          <w:rFonts w:ascii="宋体" w:hAnsi="宋体" w:cs="宋体"/>
          <w:color w:val="auto"/>
          <w:u w:val="single"/>
        </w:rPr>
        <w:t xml:space="preserve">  /  </w:t>
      </w:r>
      <w:r>
        <w:rPr>
          <w:color w:val="auto"/>
        </w:rPr>
        <w:fldChar w:fldCharType="begin"/>
      </w:r>
      <w:r>
        <w:rPr>
          <w:color w:val="auto"/>
        </w:rPr>
        <w:instrText xml:space="preserve"> AUTOTEXT  input546 \* MERGEFORMAT </w:instrText>
      </w:r>
      <w:r>
        <w:rPr>
          <w:color w:val="auto"/>
        </w:rPr>
        <w:fldChar w:fldCharType="end"/>
      </w:r>
    </w:p>
    <w:p w14:paraId="2E0F6215">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(5)保险期限：</w:t>
      </w:r>
      <w:r>
        <w:rPr>
          <w:rFonts w:ascii="宋体" w:hAnsi="宋体" w:cs="宋体"/>
          <w:color w:val="auto"/>
          <w:u w:val="single"/>
        </w:rPr>
        <w:t xml:space="preserve">  /  </w:t>
      </w:r>
      <w:r>
        <w:rPr>
          <w:color w:val="auto"/>
        </w:rPr>
        <w:fldChar w:fldCharType="begin"/>
      </w:r>
      <w:r>
        <w:rPr>
          <w:color w:val="auto"/>
        </w:rPr>
        <w:instrText xml:space="preserve"> AUTOTEXT  input547 \* MERGEFORMAT </w:instrText>
      </w:r>
      <w:r>
        <w:rPr>
          <w:color w:val="auto"/>
        </w:rPr>
        <w:fldChar w:fldCharType="end"/>
      </w:r>
    </w:p>
    <w:p w14:paraId="5220D74E">
      <w:pPr>
        <w:adjustRightInd w:val="0"/>
        <w:snapToGrid w:val="0"/>
        <w:spacing w:line="360" w:lineRule="auto"/>
        <w:rPr>
          <w:rFonts w:ascii="宋体" w:hAnsi="宋体"/>
          <w:color w:val="auto"/>
          <w:sz w:val="24"/>
        </w:rPr>
      </w:pPr>
      <w:r>
        <w:rPr>
          <w:rFonts w:hint="eastAsia" w:ascii="宋体" w:hAnsi="宋体"/>
          <w:color w:val="auto"/>
          <w:sz w:val="24"/>
        </w:rPr>
        <w:t>20.4第三者责任险</w:t>
      </w:r>
    </w:p>
    <w:p w14:paraId="41F2511B">
      <w:pPr>
        <w:adjustRightInd w:val="0"/>
        <w:snapToGrid w:val="0"/>
        <w:spacing w:line="360" w:lineRule="auto"/>
        <w:ind w:firstLine="420" w:firstLineChars="200"/>
        <w:jc w:val="left"/>
        <w:rPr>
          <w:rFonts w:ascii="宋体" w:hAnsi="宋体" w:cs="Arial"/>
          <w:color w:val="auto"/>
        </w:rPr>
      </w:pPr>
      <w:r>
        <w:rPr>
          <w:rFonts w:hint="eastAsia" w:ascii="宋体" w:hAnsi="宋体"/>
          <w:color w:val="auto"/>
          <w:szCs w:val="21"/>
        </w:rPr>
        <w:t>20.4.2保险金额：</w:t>
      </w:r>
      <w:r>
        <w:rPr>
          <w:rFonts w:hint="eastAsia" w:ascii="宋体" w:hAnsi="宋体" w:cs="宋体"/>
          <w:color w:val="auto"/>
          <w:u w:val="single"/>
        </w:rPr>
        <w:t>承包人自行确定</w:t>
      </w:r>
      <w:r>
        <w:rPr>
          <w:color w:val="auto"/>
        </w:rPr>
        <w:fldChar w:fldCharType="begin"/>
      </w:r>
      <w:r>
        <w:rPr>
          <w:color w:val="auto"/>
        </w:rPr>
        <w:instrText xml:space="preserve"> AUTOTEXT  input548 \* MERGEFORMAT </w:instrText>
      </w:r>
      <w:r>
        <w:rPr>
          <w:color w:val="auto"/>
        </w:rPr>
        <w:fldChar w:fldCharType="end"/>
      </w:r>
      <w:r>
        <w:rPr>
          <w:rFonts w:hint="eastAsia" w:ascii="宋体" w:hAnsi="宋体" w:cs="Arial"/>
          <w:color w:val="auto"/>
        </w:rPr>
        <w:t>，</w:t>
      </w:r>
      <w:r>
        <w:rPr>
          <w:rFonts w:hint="eastAsia" w:ascii="宋体" w:hAnsi="宋体"/>
          <w:color w:val="auto"/>
          <w:szCs w:val="21"/>
        </w:rPr>
        <w:t>保险费率由承包人与发包人同意的保险人商定，相关保险费由</w:t>
      </w:r>
      <w:r>
        <w:rPr>
          <w:rFonts w:hint="eastAsia" w:ascii="宋体" w:hAnsi="宋体" w:cs="宋体"/>
          <w:color w:val="auto"/>
          <w:u w:val="single"/>
        </w:rPr>
        <w:t>承包人</w:t>
      </w:r>
      <w:r>
        <w:rPr>
          <w:color w:val="auto"/>
        </w:rPr>
        <w:fldChar w:fldCharType="begin"/>
      </w:r>
      <w:r>
        <w:rPr>
          <w:color w:val="auto"/>
        </w:rPr>
        <w:instrText xml:space="preserve"> AUTOTEXT  input549 \* MERGEFORMAT </w:instrText>
      </w:r>
      <w:r>
        <w:rPr>
          <w:color w:val="auto"/>
        </w:rPr>
        <w:fldChar w:fldCharType="end"/>
      </w:r>
      <w:r>
        <w:rPr>
          <w:rFonts w:hint="eastAsia" w:ascii="宋体" w:hAnsi="宋体"/>
          <w:color w:val="auto"/>
          <w:szCs w:val="21"/>
        </w:rPr>
        <w:t>承担</w:t>
      </w:r>
      <w:r>
        <w:rPr>
          <w:rFonts w:hint="eastAsia" w:ascii="宋体" w:hAnsi="宋体" w:cs="Arial"/>
          <w:color w:val="auto"/>
        </w:rPr>
        <w:t>。</w:t>
      </w:r>
    </w:p>
    <w:p w14:paraId="06725983">
      <w:pPr>
        <w:adjustRightInd w:val="0"/>
        <w:snapToGrid w:val="0"/>
        <w:spacing w:line="360" w:lineRule="auto"/>
        <w:rPr>
          <w:rFonts w:ascii="宋体" w:hAnsi="宋体"/>
          <w:color w:val="auto"/>
          <w:sz w:val="24"/>
        </w:rPr>
      </w:pPr>
      <w:r>
        <w:rPr>
          <w:rFonts w:hint="eastAsia" w:ascii="宋体" w:hAnsi="宋体"/>
          <w:color w:val="auto"/>
          <w:sz w:val="24"/>
        </w:rPr>
        <w:t>20.5其他保险</w:t>
      </w:r>
    </w:p>
    <w:p w14:paraId="5B9DD890">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承包人应为其施工设备、进场材料等办理的保险：</w:t>
      </w:r>
    </w:p>
    <w:p w14:paraId="1A212A72">
      <w:pPr>
        <w:adjustRightInd w:val="0"/>
        <w:snapToGrid w:val="0"/>
        <w:spacing w:line="360" w:lineRule="auto"/>
        <w:ind w:firstLine="420" w:firstLineChars="200"/>
        <w:jc w:val="left"/>
        <w:rPr>
          <w:rFonts w:ascii="宋体" w:hAnsi="宋体"/>
          <w:color w:val="auto"/>
          <w:szCs w:val="21"/>
        </w:rPr>
      </w:pPr>
      <w:r>
        <w:rPr>
          <w:rFonts w:hint="eastAsia" w:ascii="宋体" w:hAnsi="宋体" w:cs="宋体"/>
          <w:color w:val="auto"/>
          <w:u w:val="single"/>
        </w:rPr>
        <w:t>按国家及北京市相关规定执行，承保人需要办理保险的相关设备、材料，由承包人承担全部费用。</w:t>
      </w:r>
      <w:r>
        <w:rPr>
          <w:color w:val="auto"/>
        </w:rPr>
        <w:fldChar w:fldCharType="begin"/>
      </w:r>
      <w:r>
        <w:rPr>
          <w:color w:val="auto"/>
        </w:rPr>
        <w:instrText xml:space="preserve"> AUTOTEXT  input550 \* MERGEFORMAT </w:instrText>
      </w:r>
      <w:r>
        <w:rPr>
          <w:color w:val="auto"/>
        </w:rPr>
        <w:fldChar w:fldCharType="end"/>
      </w:r>
    </w:p>
    <w:p w14:paraId="7485444E">
      <w:pPr>
        <w:adjustRightInd w:val="0"/>
        <w:snapToGrid w:val="0"/>
        <w:spacing w:line="360" w:lineRule="auto"/>
        <w:rPr>
          <w:rFonts w:ascii="宋体" w:hAnsi="宋体"/>
          <w:color w:val="auto"/>
          <w:sz w:val="24"/>
        </w:rPr>
      </w:pPr>
      <w:r>
        <w:rPr>
          <w:rFonts w:hint="eastAsia" w:ascii="宋体" w:hAnsi="宋体"/>
          <w:color w:val="auto"/>
          <w:sz w:val="24"/>
        </w:rPr>
        <w:t>20.6对各项保险的一般要求</w:t>
      </w:r>
    </w:p>
    <w:p w14:paraId="6DCC8F5C">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20.6.1保险凭证</w:t>
      </w:r>
    </w:p>
    <w:p w14:paraId="5B901189">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承包人向发包人提交各项保险生效的证据和保险单副本的期限：</w:t>
      </w:r>
    </w:p>
    <w:p w14:paraId="1C242585">
      <w:pPr>
        <w:adjustRightInd w:val="0"/>
        <w:snapToGrid w:val="0"/>
        <w:spacing w:line="360" w:lineRule="auto"/>
        <w:ind w:firstLine="420" w:firstLineChars="200"/>
        <w:jc w:val="left"/>
        <w:rPr>
          <w:rFonts w:ascii="宋体" w:hAnsi="宋体"/>
          <w:color w:val="auto"/>
          <w:szCs w:val="21"/>
        </w:rPr>
      </w:pPr>
      <w:r>
        <w:rPr>
          <w:rFonts w:hint="eastAsia" w:ascii="宋体" w:hAnsi="宋体" w:cs="宋体"/>
          <w:color w:val="auto"/>
          <w:u w:val="single"/>
        </w:rPr>
        <w:t>合同签订且网上登记后14日内。</w:t>
      </w:r>
      <w:r>
        <w:rPr>
          <w:color w:val="auto"/>
        </w:rPr>
        <w:fldChar w:fldCharType="begin"/>
      </w:r>
      <w:r>
        <w:rPr>
          <w:color w:val="auto"/>
        </w:rPr>
        <w:instrText xml:space="preserve"> AUTOTEXT  input551 \* MERGEFORMAT </w:instrText>
      </w:r>
      <w:r>
        <w:rPr>
          <w:color w:val="auto"/>
        </w:rPr>
        <w:fldChar w:fldCharType="end"/>
      </w:r>
    </w:p>
    <w:p w14:paraId="03260ACB">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20.6.4保险金不足的补偿</w:t>
      </w:r>
    </w:p>
    <w:p w14:paraId="44E807AA">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保险金不足以补偿损失时，承包人和发包人负责补偿的责任分摊：</w:t>
      </w:r>
    </w:p>
    <w:p w14:paraId="4B381A7A">
      <w:pPr>
        <w:adjustRightInd w:val="0"/>
        <w:snapToGrid w:val="0"/>
        <w:spacing w:line="360" w:lineRule="auto"/>
        <w:ind w:firstLine="420" w:firstLineChars="200"/>
        <w:jc w:val="left"/>
        <w:rPr>
          <w:rFonts w:ascii="宋体" w:hAnsi="宋体"/>
          <w:color w:val="auto"/>
          <w:szCs w:val="21"/>
        </w:rPr>
      </w:pPr>
      <w:r>
        <w:rPr>
          <w:rFonts w:hint="eastAsia" w:ascii="宋体" w:hAnsi="宋体" w:cs="宋体"/>
          <w:color w:val="auto"/>
          <w:u w:val="single"/>
        </w:rPr>
        <w:t>全部由承包人承担。</w:t>
      </w:r>
      <w:r>
        <w:rPr>
          <w:color w:val="auto"/>
        </w:rPr>
        <w:fldChar w:fldCharType="begin"/>
      </w:r>
      <w:r>
        <w:rPr>
          <w:color w:val="auto"/>
        </w:rPr>
        <w:instrText xml:space="preserve"> AUTOTEXT  input552 \* MERGEFORMAT </w:instrText>
      </w:r>
      <w:r>
        <w:rPr>
          <w:color w:val="auto"/>
        </w:rPr>
        <w:fldChar w:fldCharType="end"/>
      </w:r>
    </w:p>
    <w:p w14:paraId="51B2C31B">
      <w:pPr>
        <w:adjustRightInd w:val="0"/>
        <w:snapToGrid w:val="0"/>
        <w:spacing w:line="360" w:lineRule="auto"/>
        <w:outlineLvl w:val="1"/>
        <w:rPr>
          <w:rFonts w:ascii="宋体" w:hAnsi="宋体"/>
          <w:color w:val="auto"/>
          <w:sz w:val="28"/>
        </w:rPr>
      </w:pPr>
      <w:bookmarkStart w:id="1213" w:name="_Toc21272"/>
      <w:bookmarkStart w:id="1214" w:name="_Toc31576"/>
      <w:r>
        <w:rPr>
          <w:rFonts w:hint="eastAsia" w:ascii="宋体" w:hAnsi="宋体"/>
          <w:color w:val="auto"/>
          <w:sz w:val="28"/>
        </w:rPr>
        <w:t>21.不可抗力</w:t>
      </w:r>
      <w:bookmarkEnd w:id="1213"/>
      <w:bookmarkEnd w:id="1214"/>
    </w:p>
    <w:p w14:paraId="761C952F">
      <w:pPr>
        <w:adjustRightInd w:val="0"/>
        <w:snapToGrid w:val="0"/>
        <w:spacing w:line="360" w:lineRule="auto"/>
        <w:rPr>
          <w:rFonts w:ascii="宋体" w:hAnsi="宋体"/>
          <w:color w:val="auto"/>
          <w:sz w:val="24"/>
        </w:rPr>
      </w:pPr>
      <w:r>
        <w:rPr>
          <w:rFonts w:hint="eastAsia" w:ascii="宋体" w:hAnsi="宋体"/>
          <w:color w:val="auto"/>
          <w:sz w:val="24"/>
        </w:rPr>
        <w:t>21.1不可抗力的确认</w:t>
      </w:r>
    </w:p>
    <w:p w14:paraId="09585E55">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21.1.1合同条款通用部分第21.1.1项约定的不可抗力以外的其他情形：</w:t>
      </w:r>
    </w:p>
    <w:p w14:paraId="34B8F1E6">
      <w:pPr>
        <w:adjustRightInd w:val="0"/>
        <w:snapToGrid w:val="0"/>
        <w:spacing w:line="360" w:lineRule="auto"/>
        <w:ind w:firstLine="420" w:firstLineChars="200"/>
        <w:jc w:val="left"/>
        <w:rPr>
          <w:rFonts w:ascii="宋体" w:hAnsi="宋体"/>
          <w:color w:val="auto"/>
          <w:szCs w:val="21"/>
        </w:rPr>
      </w:pPr>
      <w:r>
        <w:rPr>
          <w:rFonts w:ascii="宋体" w:hAnsi="宋体" w:cs="宋体"/>
          <w:color w:val="auto"/>
          <w:u w:val="single"/>
        </w:rPr>
        <w:t xml:space="preserve">  /  </w:t>
      </w:r>
      <w:r>
        <w:rPr>
          <w:color w:val="auto"/>
        </w:rPr>
        <w:fldChar w:fldCharType="begin"/>
      </w:r>
      <w:r>
        <w:rPr>
          <w:color w:val="auto"/>
        </w:rPr>
        <w:instrText xml:space="preserve"> AUTOTEXT  input553 \* MERGEFORMAT </w:instrText>
      </w:r>
      <w:r>
        <w:rPr>
          <w:color w:val="auto"/>
        </w:rPr>
        <w:fldChar w:fldCharType="end"/>
      </w:r>
    </w:p>
    <w:p w14:paraId="3CC7DF80">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不可抗力的等级范围约定：</w:t>
      </w:r>
    </w:p>
    <w:p w14:paraId="06DA9AFC">
      <w:pPr>
        <w:adjustRightInd w:val="0"/>
        <w:snapToGrid w:val="0"/>
        <w:spacing w:line="360" w:lineRule="auto"/>
        <w:ind w:firstLine="420" w:firstLineChars="200"/>
        <w:jc w:val="left"/>
        <w:rPr>
          <w:rFonts w:hint="eastAsia" w:ascii="宋体" w:hAnsi="宋体" w:cs="宋体"/>
          <w:color w:val="auto"/>
          <w:u w:val="single"/>
        </w:rPr>
      </w:pPr>
      <w:r>
        <w:rPr>
          <w:rFonts w:hint="eastAsia" w:ascii="宋体" w:hAnsi="宋体" w:cs="宋体"/>
          <w:color w:val="auto"/>
          <w:u w:val="single"/>
        </w:rPr>
        <w:t>烈度7度（不含7度）以上地震，10级以上（不含10级）强热带风暴，日雨量60mm以上暴雨（以国家县（市）级以上气象局（台）等专门机构公布为准），以及县市级以上政府公告认定的不可抗力。</w:t>
      </w:r>
    </w:p>
    <w:p w14:paraId="2A967B7A">
      <w:pPr>
        <w:adjustRightInd w:val="0"/>
        <w:snapToGrid w:val="0"/>
        <w:spacing w:line="360" w:lineRule="auto"/>
        <w:ind w:firstLine="0" w:firstLineChars="0"/>
        <w:outlineLvl w:val="1"/>
        <w:rPr>
          <w:rFonts w:hint="eastAsia" w:ascii="宋体" w:hAnsi="宋体"/>
          <w:color w:val="auto"/>
          <w:sz w:val="28"/>
          <w:szCs w:val="24"/>
          <w:u w:val="none"/>
        </w:rPr>
      </w:pPr>
      <w:bookmarkStart w:id="1215" w:name="_Toc28812"/>
      <w:r>
        <w:rPr>
          <w:rFonts w:hint="eastAsia" w:ascii="宋体" w:hAnsi="宋体"/>
          <w:color w:val="auto"/>
          <w:sz w:val="28"/>
          <w:szCs w:val="24"/>
          <w:u w:val="none"/>
        </w:rPr>
        <w:t>22.违约</w:t>
      </w:r>
      <w:bookmarkEnd w:id="1215"/>
    </w:p>
    <w:p w14:paraId="04E094F2">
      <w:pPr>
        <w:spacing w:line="360" w:lineRule="auto"/>
        <w:ind w:firstLine="420" w:firstLineChars="200"/>
        <w:rPr>
          <w:rFonts w:hint="eastAsia" w:ascii="宋体" w:hAnsi="宋体"/>
          <w:szCs w:val="21"/>
          <w:u w:val="single"/>
        </w:rPr>
      </w:pPr>
      <w:r>
        <w:rPr>
          <w:rFonts w:hint="eastAsia" w:ascii="宋体" w:hAnsi="宋体"/>
          <w:szCs w:val="21"/>
          <w:u w:val="single"/>
        </w:rPr>
        <w:t>22.1除合同另有明确约定外，如果承包人具有下列情形的，发包人有权要求承包人整改，如果承包人拒不整改或者整改后仍不符合合同要求或者发包人认为没有整改必要的，发包人有权要求承包人承担相当于结算后合同价款总额【20】％的违约金，且有权要求解除合同：</w:t>
      </w:r>
    </w:p>
    <w:p w14:paraId="3B799A51">
      <w:pPr>
        <w:spacing w:line="360" w:lineRule="auto"/>
        <w:ind w:firstLine="420" w:firstLineChars="200"/>
        <w:rPr>
          <w:rFonts w:hint="eastAsia" w:ascii="宋体" w:hAnsi="宋体"/>
          <w:szCs w:val="21"/>
          <w:u w:val="single"/>
        </w:rPr>
      </w:pPr>
      <w:r>
        <w:rPr>
          <w:rFonts w:hint="eastAsia" w:ascii="宋体" w:hAnsi="宋体"/>
          <w:szCs w:val="21"/>
          <w:u w:val="single"/>
        </w:rPr>
        <w:t>（1）承包人私自将合同的全部或部分权利转让给其他人，或私自将合同的全部或部分义务转移给其他人；</w:t>
      </w:r>
    </w:p>
    <w:p w14:paraId="3EB64E33">
      <w:pPr>
        <w:spacing w:line="360" w:lineRule="auto"/>
        <w:ind w:firstLine="420" w:firstLineChars="200"/>
        <w:rPr>
          <w:rFonts w:hint="eastAsia" w:ascii="宋体" w:hAnsi="宋体"/>
          <w:szCs w:val="21"/>
          <w:u w:val="single"/>
        </w:rPr>
      </w:pPr>
      <w:r>
        <w:rPr>
          <w:rFonts w:hint="eastAsia" w:ascii="宋体" w:hAnsi="宋体"/>
          <w:szCs w:val="21"/>
          <w:u w:val="single"/>
        </w:rPr>
        <w:t>（2）未经发包人批准，私自将已按合同约定进入施工场地的施工设备、临时设施或材料撤离施工场地；</w:t>
      </w:r>
    </w:p>
    <w:p w14:paraId="6A91A88C">
      <w:pPr>
        <w:spacing w:line="360" w:lineRule="auto"/>
        <w:ind w:firstLine="420" w:firstLineChars="200"/>
        <w:rPr>
          <w:rFonts w:hint="eastAsia" w:ascii="宋体" w:hAnsi="宋体"/>
          <w:szCs w:val="21"/>
          <w:u w:val="single"/>
        </w:rPr>
      </w:pPr>
      <w:r>
        <w:rPr>
          <w:rFonts w:hint="eastAsia" w:ascii="宋体" w:hAnsi="宋体"/>
          <w:szCs w:val="21"/>
          <w:u w:val="single"/>
        </w:rPr>
        <w:t>（3）承包人使用了不合格材料，工程质量达不到标准要求，又拒绝清除不合格工程；</w:t>
      </w:r>
    </w:p>
    <w:p w14:paraId="5F39B3C7">
      <w:pPr>
        <w:spacing w:line="360" w:lineRule="auto"/>
        <w:ind w:firstLine="420" w:firstLineChars="200"/>
        <w:rPr>
          <w:rFonts w:hint="eastAsia" w:ascii="宋体" w:hAnsi="宋体"/>
          <w:szCs w:val="21"/>
          <w:u w:val="single"/>
        </w:rPr>
      </w:pPr>
      <w:r>
        <w:rPr>
          <w:rFonts w:hint="eastAsia" w:ascii="宋体" w:hAnsi="宋体"/>
          <w:szCs w:val="21"/>
          <w:u w:val="single"/>
        </w:rPr>
        <w:t>（4）承包人未能按合同进度计划及时完成合同约定的工作，已造成或预期造成工期延误；</w:t>
      </w:r>
    </w:p>
    <w:p w14:paraId="7478F7C8">
      <w:pPr>
        <w:spacing w:line="360" w:lineRule="auto"/>
        <w:ind w:firstLine="420" w:firstLineChars="200"/>
        <w:rPr>
          <w:rFonts w:hint="eastAsia" w:ascii="宋体" w:hAnsi="宋体"/>
          <w:szCs w:val="21"/>
          <w:u w:val="single"/>
        </w:rPr>
      </w:pPr>
      <w:r>
        <w:rPr>
          <w:rFonts w:hint="eastAsia" w:ascii="宋体" w:hAnsi="宋体"/>
          <w:szCs w:val="21"/>
          <w:u w:val="single"/>
        </w:rPr>
        <w:t>（5）承包人在缺陷责任期内，未能对工程接收证书所列的缺陷清单的内容或缺陷责任期内发生的缺陷进行修复，而又拒绝按监理人或发包人指示再进行修补；</w:t>
      </w:r>
    </w:p>
    <w:p w14:paraId="1D4040FD">
      <w:pPr>
        <w:spacing w:line="360" w:lineRule="auto"/>
        <w:ind w:firstLine="420" w:firstLineChars="200"/>
        <w:rPr>
          <w:rFonts w:hint="eastAsia" w:ascii="宋体" w:hAnsi="宋体"/>
          <w:szCs w:val="21"/>
          <w:u w:val="single"/>
        </w:rPr>
      </w:pPr>
      <w:r>
        <w:rPr>
          <w:rFonts w:hint="eastAsia" w:ascii="宋体" w:hAnsi="宋体"/>
          <w:szCs w:val="21"/>
          <w:u w:val="single"/>
        </w:rPr>
        <w:t>（6）承包人无法继续履行或明确表示不履行或实质上已停止履行合同；</w:t>
      </w:r>
    </w:p>
    <w:p w14:paraId="5C37506A">
      <w:pPr>
        <w:spacing w:line="360" w:lineRule="auto"/>
        <w:ind w:firstLine="420" w:firstLineChars="200"/>
        <w:rPr>
          <w:rFonts w:hint="eastAsia" w:ascii="宋体" w:hAnsi="宋体"/>
          <w:szCs w:val="21"/>
          <w:u w:val="single"/>
        </w:rPr>
      </w:pPr>
      <w:r>
        <w:rPr>
          <w:rFonts w:hint="eastAsia" w:ascii="宋体" w:hAnsi="宋体"/>
          <w:szCs w:val="21"/>
          <w:u w:val="single"/>
        </w:rPr>
        <w:t>（7）承包人不按合同约定履行义务的其他情况。</w:t>
      </w:r>
    </w:p>
    <w:p w14:paraId="57594A91">
      <w:pPr>
        <w:spacing w:line="360" w:lineRule="auto"/>
        <w:ind w:firstLine="420" w:firstLineChars="200"/>
        <w:rPr>
          <w:rFonts w:hint="eastAsia" w:ascii="宋体" w:hAnsi="宋体"/>
          <w:szCs w:val="21"/>
          <w:u w:val="single"/>
        </w:rPr>
      </w:pPr>
      <w:r>
        <w:rPr>
          <w:rFonts w:hint="eastAsia" w:ascii="宋体" w:hAnsi="宋体"/>
          <w:szCs w:val="21"/>
          <w:u w:val="single"/>
        </w:rPr>
        <w:t>如果合同约定的违约金不足以弥补承包人给发包人造成的损害的（包括但不限于直接损失、间接损失、律师费、诉讼费、保全费），承包人还应就不足部分承担赔偿责任。</w:t>
      </w:r>
    </w:p>
    <w:p w14:paraId="7D6B76E9">
      <w:pPr>
        <w:spacing w:line="360" w:lineRule="auto"/>
        <w:ind w:firstLine="420" w:firstLineChars="200"/>
        <w:rPr>
          <w:rFonts w:hint="eastAsia" w:ascii="宋体" w:hAnsi="宋体"/>
          <w:szCs w:val="21"/>
          <w:u w:val="single"/>
          <w:lang w:val="en-US" w:eastAsia="zh-CN"/>
        </w:rPr>
      </w:pPr>
      <w:r>
        <w:rPr>
          <w:rFonts w:hint="eastAsia" w:ascii="宋体" w:hAnsi="宋体"/>
          <w:szCs w:val="21"/>
          <w:u w:val="single"/>
          <w:lang w:val="en-US" w:eastAsia="zh-CN"/>
        </w:rPr>
        <w:t>22.2 由于承包人原因造成工期延误，承包人应按照合同约定逾期违约金计算方法和最高限额支付逾期违约金。承包人支付逾期违约金，不免除承包人完成工程及修补缺陷的义务。因承包人原因造成本工程项目的阶段性工期逾期10天或造成总工期逾期 15天及以上时，发包人有权单方面解除本合同，承包人应向发包人支付相当于</w:t>
      </w:r>
      <w:r>
        <w:rPr>
          <w:rFonts w:hint="eastAsia" w:ascii="宋体" w:hAnsi="宋体"/>
          <w:szCs w:val="21"/>
          <w:u w:val="single"/>
        </w:rPr>
        <w:t>结算后合同价款总额</w:t>
      </w:r>
      <w:r>
        <w:rPr>
          <w:rFonts w:hint="eastAsia" w:ascii="宋体" w:hAnsi="宋体"/>
          <w:szCs w:val="21"/>
          <w:u w:val="single"/>
          <w:lang w:val="en-US" w:eastAsia="zh-CN"/>
        </w:rPr>
        <w:t>10%的违约金。违约金不足以弥补发包人损失的，承包人还应赔偿发包人所遭受的损失。</w:t>
      </w:r>
    </w:p>
    <w:p w14:paraId="505B5729">
      <w:pPr>
        <w:spacing w:line="360" w:lineRule="auto"/>
        <w:ind w:firstLine="420" w:firstLineChars="200"/>
        <w:rPr>
          <w:rFonts w:hint="eastAsia" w:ascii="宋体" w:hAnsi="宋体"/>
          <w:szCs w:val="21"/>
          <w:u w:val="single"/>
          <w:lang w:val="en-US" w:eastAsia="zh-CN"/>
        </w:rPr>
      </w:pPr>
      <w:r>
        <w:rPr>
          <w:rFonts w:hint="eastAsia" w:ascii="宋体" w:hAnsi="宋体"/>
          <w:szCs w:val="21"/>
          <w:u w:val="single"/>
          <w:lang w:val="en-US" w:eastAsia="zh-CN"/>
        </w:rPr>
        <w:t>22.3 承包人施工工作不满足合同约定的质量标准，应在发包人要求的期限内负责整改，为此导致交付迟延的，除按照前款规定承担违约责任。还应承担修复、修理、继续施工等方式进行处理，直至工程达到约定的质量标准，经整改后，工程质量依然不合格的，发包人有权单方面解除本合同，承包人应按结算后合同价款总额的20%向发包人支付违约金，违约金不足以弥补发包人损失的，承包人还应当赔偿发包人因此造成的全部损失。</w:t>
      </w:r>
    </w:p>
    <w:p w14:paraId="2108F5A3">
      <w:pPr>
        <w:spacing w:line="360" w:lineRule="auto"/>
        <w:ind w:firstLine="420" w:firstLineChars="200"/>
        <w:rPr>
          <w:rFonts w:hint="default" w:ascii="宋体" w:hAnsi="宋体"/>
          <w:szCs w:val="21"/>
          <w:u w:val="single"/>
          <w:lang w:val="en-US" w:eastAsia="zh-CN"/>
        </w:rPr>
      </w:pPr>
      <w:r>
        <w:rPr>
          <w:rFonts w:hint="default" w:ascii="宋体" w:hAnsi="宋体"/>
          <w:szCs w:val="21"/>
          <w:u w:val="single"/>
          <w:lang w:val="en-US" w:eastAsia="zh-CN"/>
        </w:rPr>
        <w:t>22.</w:t>
      </w:r>
      <w:r>
        <w:rPr>
          <w:rFonts w:hint="eastAsia" w:ascii="宋体" w:hAnsi="宋体"/>
          <w:szCs w:val="21"/>
          <w:u w:val="single"/>
          <w:lang w:val="en-US" w:eastAsia="zh-CN"/>
        </w:rPr>
        <w:t>4</w:t>
      </w:r>
      <w:r>
        <w:rPr>
          <w:rFonts w:hint="default" w:ascii="宋体" w:hAnsi="宋体"/>
          <w:szCs w:val="21"/>
          <w:u w:val="single"/>
          <w:lang w:val="en-US" w:eastAsia="zh-CN"/>
        </w:rPr>
        <w:t>承包人因未与其聘用的员工签订劳动合同或未按期支付员工工资、交纳社会保险等原因或未支付农民工工资及保险费用引发劳资纠纷事件影响发包人工作和本工程项目正常进行的，发包人有权单方面解除本合同，承包人应当赔偿发包人因此遭受的其他损失，同时应向发包人支付相当于全部损失10%的违约金。</w:t>
      </w:r>
    </w:p>
    <w:p w14:paraId="2F648D75">
      <w:pPr>
        <w:spacing w:line="360" w:lineRule="auto"/>
        <w:ind w:firstLine="420" w:firstLineChars="200"/>
        <w:rPr>
          <w:rFonts w:hint="default" w:ascii="宋体" w:hAnsi="宋体"/>
          <w:szCs w:val="21"/>
          <w:u w:val="single"/>
          <w:lang w:val="en-US" w:eastAsia="zh-CN"/>
        </w:rPr>
      </w:pPr>
      <w:r>
        <w:rPr>
          <w:rFonts w:hint="default" w:ascii="宋体" w:hAnsi="宋体"/>
          <w:szCs w:val="21"/>
          <w:u w:val="single"/>
          <w:lang w:val="en-US" w:eastAsia="zh-CN"/>
        </w:rPr>
        <w:t>22.</w:t>
      </w:r>
      <w:r>
        <w:rPr>
          <w:rFonts w:hint="eastAsia" w:ascii="宋体" w:hAnsi="宋体"/>
          <w:szCs w:val="21"/>
          <w:u w:val="single"/>
          <w:lang w:val="en-US" w:eastAsia="zh-CN"/>
        </w:rPr>
        <w:t>5</w:t>
      </w:r>
      <w:r>
        <w:rPr>
          <w:rFonts w:hint="default" w:ascii="宋体" w:hAnsi="宋体"/>
          <w:szCs w:val="21"/>
          <w:u w:val="single"/>
          <w:lang w:val="en-US" w:eastAsia="zh-CN"/>
        </w:rPr>
        <w:t>在本合同履行过程中，因承包人与任意第三方之间的诉讼或仲裁纠纷致使发包人在合同中约定的工作内容无法完成或因承包人与任意第三方之间的诉讼或仲裁行为包括但不限于造成发包人的账户、财产或与本合同有关的合同款项被查封、冻结或被法院发出协助执行通知的，发包人有权立即单方面解除本合同，承包人应按照</w:t>
      </w:r>
      <w:r>
        <w:rPr>
          <w:rFonts w:hint="eastAsia" w:ascii="宋体" w:hAnsi="宋体"/>
          <w:szCs w:val="21"/>
          <w:u w:val="single"/>
          <w:lang w:val="en-US" w:eastAsia="zh-CN"/>
        </w:rPr>
        <w:t>结算后合同价款总额</w:t>
      </w:r>
      <w:r>
        <w:rPr>
          <w:rFonts w:hint="default" w:ascii="宋体" w:hAnsi="宋体"/>
          <w:szCs w:val="21"/>
          <w:u w:val="single"/>
          <w:lang w:val="en-US" w:eastAsia="zh-CN"/>
        </w:rPr>
        <w:t>的10%向发包人支付违约金，违约金不足以弥补发包人损失的，承包人还应赔偿发包人所遭受的损失。</w:t>
      </w:r>
    </w:p>
    <w:p w14:paraId="151D812D">
      <w:pPr>
        <w:spacing w:line="360" w:lineRule="auto"/>
        <w:ind w:firstLine="420" w:firstLineChars="200"/>
        <w:rPr>
          <w:rFonts w:hint="default" w:ascii="宋体" w:hAnsi="宋体"/>
          <w:szCs w:val="21"/>
          <w:u w:val="single"/>
          <w:lang w:val="en-US" w:eastAsia="zh-CN"/>
        </w:rPr>
      </w:pPr>
      <w:r>
        <w:rPr>
          <w:rFonts w:hint="default" w:ascii="宋体" w:hAnsi="宋体"/>
          <w:szCs w:val="21"/>
          <w:u w:val="single"/>
          <w:lang w:val="en-US" w:eastAsia="zh-CN"/>
        </w:rPr>
        <w:t>22.</w:t>
      </w:r>
      <w:r>
        <w:rPr>
          <w:rFonts w:hint="eastAsia" w:ascii="宋体" w:hAnsi="宋体"/>
          <w:szCs w:val="21"/>
          <w:u w:val="single"/>
          <w:lang w:val="en-US" w:eastAsia="zh-CN"/>
        </w:rPr>
        <w:t xml:space="preserve">6 </w:t>
      </w:r>
      <w:r>
        <w:rPr>
          <w:rFonts w:hint="default" w:ascii="宋体" w:hAnsi="宋体"/>
          <w:szCs w:val="21"/>
          <w:u w:val="single"/>
          <w:lang w:val="en-US" w:eastAsia="zh-CN"/>
        </w:rPr>
        <w:t>因承包人提供的工作成果侵犯第三方合法权益(包括但不限于知识产权在内的一切权利),发包人有权单方面解除本合同并按照</w:t>
      </w:r>
      <w:r>
        <w:rPr>
          <w:rFonts w:hint="eastAsia" w:ascii="宋体" w:hAnsi="宋体"/>
          <w:szCs w:val="21"/>
          <w:u w:val="single"/>
          <w:lang w:val="en-US" w:eastAsia="zh-CN"/>
        </w:rPr>
        <w:t>结算后合同价款总额</w:t>
      </w:r>
      <w:r>
        <w:rPr>
          <w:rFonts w:hint="default" w:ascii="宋体" w:hAnsi="宋体"/>
          <w:szCs w:val="21"/>
          <w:u w:val="single"/>
          <w:lang w:val="en-US" w:eastAsia="zh-CN"/>
        </w:rPr>
        <w:t>的10%向承包人收取违约金，违约金不足以弥补发包人损失的，承包人还应赔偿发包人所遭受的损失。</w:t>
      </w:r>
    </w:p>
    <w:p w14:paraId="6661C6AD">
      <w:pPr>
        <w:spacing w:line="360" w:lineRule="auto"/>
        <w:ind w:firstLine="420" w:firstLineChars="200"/>
        <w:rPr>
          <w:rFonts w:hint="eastAsia" w:ascii="宋体" w:hAnsi="宋体"/>
          <w:szCs w:val="21"/>
          <w:u w:val="single"/>
        </w:rPr>
      </w:pPr>
      <w:r>
        <w:rPr>
          <w:rFonts w:hint="eastAsia" w:ascii="宋体" w:hAnsi="宋体"/>
          <w:szCs w:val="21"/>
          <w:u w:val="single"/>
        </w:rPr>
        <w:t>22.</w:t>
      </w:r>
      <w:r>
        <w:rPr>
          <w:rFonts w:hint="eastAsia" w:ascii="宋体" w:hAnsi="宋体"/>
          <w:szCs w:val="21"/>
          <w:u w:val="single"/>
          <w:lang w:val="en-US" w:eastAsia="zh-CN"/>
        </w:rPr>
        <w:t>7</w:t>
      </w:r>
      <w:r>
        <w:rPr>
          <w:rFonts w:hint="eastAsia" w:ascii="宋体" w:hAnsi="宋体"/>
          <w:szCs w:val="21"/>
          <w:u w:val="single"/>
        </w:rPr>
        <w:t>发包人有权从任何一笔应付给承包人的款项中扣除承包人应支付的款项（包括但不限于违约金、赔偿金、因承包人未及时保修发包人聘请第三方维修产生的费用）且无须经过承包人同意。</w:t>
      </w:r>
    </w:p>
    <w:p w14:paraId="43CC5F9A">
      <w:pPr>
        <w:adjustRightInd/>
        <w:snapToGrid/>
        <w:spacing w:line="360" w:lineRule="auto"/>
        <w:ind w:firstLine="420" w:firstLineChars="200"/>
        <w:jc w:val="left"/>
        <w:rPr>
          <w:rFonts w:ascii="宋体" w:hAnsi="宋体" w:cs="宋体"/>
          <w:color w:val="auto"/>
          <w:u w:val="single"/>
        </w:rPr>
      </w:pPr>
      <w:r>
        <w:rPr>
          <w:rFonts w:hint="eastAsia" w:ascii="宋体" w:hAnsi="宋体"/>
          <w:szCs w:val="21"/>
          <w:u w:val="single"/>
        </w:rPr>
        <w:t>22.</w:t>
      </w:r>
      <w:r>
        <w:rPr>
          <w:rFonts w:hint="eastAsia" w:ascii="宋体" w:hAnsi="宋体"/>
          <w:szCs w:val="21"/>
          <w:u w:val="single"/>
          <w:lang w:val="en-US" w:eastAsia="zh-CN"/>
        </w:rPr>
        <w:t>8</w:t>
      </w:r>
      <w:r>
        <w:rPr>
          <w:rFonts w:hint="eastAsia" w:ascii="宋体" w:hAnsi="宋体"/>
          <w:szCs w:val="21"/>
          <w:u w:val="single"/>
        </w:rPr>
        <w:t>本合同项下约定的承包人义务、应支付的违约金、赔偿金若在适用上存在相互矛盾、不一致之处，以最严格的约定为适用依据；本合同项下承包人应支付的违约金、赔偿金，发包人有权从剩余应付款项中直接扣除，无需经承包人同意。如果本合同约定设计费发包人已全部支付完毕，发包人仍有权继续向承包人追讨。</w:t>
      </w:r>
      <w:r>
        <w:rPr>
          <w:rFonts w:ascii="宋体" w:hAnsi="宋体" w:cs="宋体"/>
          <w:color w:val="auto"/>
          <w:u w:val="single"/>
        </w:rPr>
        <w:fldChar w:fldCharType="begin"/>
      </w:r>
      <w:r>
        <w:rPr>
          <w:rFonts w:ascii="宋体" w:hAnsi="宋体" w:cs="宋体"/>
          <w:color w:val="auto"/>
          <w:u w:val="single"/>
        </w:rPr>
        <w:instrText xml:space="preserve"> AUTOTEXT  input554 \* MERGEFORMAT </w:instrText>
      </w:r>
      <w:r>
        <w:rPr>
          <w:rFonts w:ascii="宋体" w:hAnsi="宋体" w:cs="宋体"/>
          <w:color w:val="auto"/>
          <w:u w:val="single"/>
        </w:rPr>
        <w:fldChar w:fldCharType="end"/>
      </w:r>
    </w:p>
    <w:p w14:paraId="5D8D115D">
      <w:pPr>
        <w:adjustRightInd w:val="0"/>
        <w:snapToGrid w:val="0"/>
        <w:spacing w:line="360" w:lineRule="auto"/>
        <w:outlineLvl w:val="1"/>
        <w:rPr>
          <w:rFonts w:ascii="宋体" w:hAnsi="宋体"/>
          <w:color w:val="auto"/>
          <w:sz w:val="28"/>
        </w:rPr>
      </w:pPr>
      <w:bookmarkStart w:id="1216" w:name="_Toc27773"/>
      <w:bookmarkStart w:id="1217" w:name="_Toc9183"/>
      <w:r>
        <w:rPr>
          <w:rFonts w:hint="eastAsia" w:ascii="宋体" w:hAnsi="宋体"/>
          <w:color w:val="auto"/>
          <w:sz w:val="28"/>
        </w:rPr>
        <w:t>24.争议的解决</w:t>
      </w:r>
      <w:bookmarkEnd w:id="1216"/>
      <w:bookmarkEnd w:id="1217"/>
    </w:p>
    <w:p w14:paraId="6F6B9E2C">
      <w:pPr>
        <w:adjustRightInd w:val="0"/>
        <w:snapToGrid w:val="0"/>
        <w:spacing w:line="360" w:lineRule="auto"/>
        <w:rPr>
          <w:rFonts w:ascii="宋体" w:hAnsi="宋体"/>
          <w:color w:val="auto"/>
          <w:sz w:val="24"/>
        </w:rPr>
      </w:pPr>
      <w:r>
        <w:rPr>
          <w:rFonts w:hint="eastAsia" w:ascii="宋体" w:hAnsi="宋体"/>
          <w:color w:val="auto"/>
          <w:sz w:val="24"/>
        </w:rPr>
        <w:t>24.1争议的解决方式</w:t>
      </w:r>
    </w:p>
    <w:p w14:paraId="0CE0CDC9">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因本合同引起的或与本合同有关的任何争议，合同双方友好协商不成、不愿提请争议组评审或者不愿接受争议评审组意见的，选择下列第</w:t>
      </w:r>
      <w:r>
        <w:rPr>
          <w:rFonts w:hint="eastAsia" w:ascii="宋体" w:hAnsi="宋体" w:cs="宋体"/>
          <w:color w:val="auto"/>
          <w:u w:val="single"/>
        </w:rPr>
        <w:t>贰</w:t>
      </w:r>
      <w:r>
        <w:rPr>
          <w:color w:val="auto"/>
        </w:rPr>
        <w:fldChar w:fldCharType="begin"/>
      </w:r>
      <w:r>
        <w:rPr>
          <w:color w:val="auto"/>
        </w:rPr>
        <w:instrText xml:space="preserve"> AUTOTEXT  input555 \* MERGEFORMAT </w:instrText>
      </w:r>
      <w:r>
        <w:rPr>
          <w:color w:val="auto"/>
        </w:rPr>
        <w:fldChar w:fldCharType="end"/>
      </w:r>
      <w:r>
        <w:rPr>
          <w:rFonts w:hint="eastAsia" w:ascii="宋体" w:hAnsi="宋体"/>
          <w:color w:val="auto"/>
          <w:szCs w:val="21"/>
        </w:rPr>
        <w:t>种方式解决：</w:t>
      </w:r>
    </w:p>
    <w:p w14:paraId="497B325C">
      <w:pPr>
        <w:adjustRightInd w:val="0"/>
        <w:snapToGrid w:val="0"/>
        <w:spacing w:line="360" w:lineRule="auto"/>
        <w:ind w:firstLine="420" w:firstLineChars="200"/>
        <w:jc w:val="left"/>
        <w:rPr>
          <w:rFonts w:ascii="宋体" w:hAnsi="宋体"/>
          <w:color w:val="auto"/>
        </w:rPr>
      </w:pPr>
      <w:r>
        <w:rPr>
          <w:rFonts w:hint="eastAsia" w:ascii="宋体" w:hAnsi="宋体"/>
          <w:color w:val="auto"/>
          <w:u w:val="single"/>
        </w:rPr>
        <w:t>（壹）</w:t>
      </w:r>
      <w:r>
        <w:rPr>
          <w:rFonts w:hint="eastAsia" w:ascii="宋体" w:hAnsi="宋体"/>
          <w:color w:val="auto"/>
        </w:rPr>
        <w:t>提请</w:t>
      </w:r>
      <w:r>
        <w:rPr>
          <w:rFonts w:ascii="宋体" w:hAnsi="宋体" w:cs="宋体"/>
          <w:color w:val="auto"/>
          <w:u w:val="single"/>
        </w:rPr>
        <w:t xml:space="preserve">  /  </w:t>
      </w:r>
      <w:r>
        <w:rPr>
          <w:color w:val="auto"/>
        </w:rPr>
        <w:fldChar w:fldCharType="begin"/>
      </w:r>
      <w:r>
        <w:rPr>
          <w:color w:val="auto"/>
        </w:rPr>
        <w:instrText xml:space="preserve"> AUTOTEXT  input556 \* MERGEFORMAT </w:instrText>
      </w:r>
      <w:r>
        <w:rPr>
          <w:color w:val="auto"/>
        </w:rPr>
        <w:fldChar w:fldCharType="end"/>
      </w:r>
      <w:r>
        <w:rPr>
          <w:rFonts w:hint="eastAsia" w:ascii="宋体" w:hAnsi="宋体"/>
          <w:color w:val="auto"/>
        </w:rPr>
        <w:t>仲裁委员会按照该会仲裁规则进行仲裁，仲裁裁决是终局的，对合同双方均有约束力。</w:t>
      </w:r>
    </w:p>
    <w:p w14:paraId="20A7B719">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u w:val="single"/>
        </w:rPr>
        <w:t>（贰）</w:t>
      </w:r>
      <w:r>
        <w:rPr>
          <w:rFonts w:hint="eastAsia" w:ascii="宋体" w:hAnsi="宋体"/>
          <w:color w:val="auto"/>
          <w:szCs w:val="21"/>
        </w:rPr>
        <w:t>向工程所在地有管辖权的人民法院提起诉讼。</w:t>
      </w:r>
    </w:p>
    <w:p w14:paraId="2BD17A18">
      <w:pPr>
        <w:adjustRightInd w:val="0"/>
        <w:snapToGrid w:val="0"/>
        <w:spacing w:line="360" w:lineRule="auto"/>
        <w:rPr>
          <w:rFonts w:ascii="宋体" w:hAnsi="宋体"/>
          <w:color w:val="auto"/>
          <w:sz w:val="24"/>
        </w:rPr>
      </w:pPr>
      <w:r>
        <w:rPr>
          <w:rFonts w:hint="eastAsia" w:ascii="宋体" w:hAnsi="宋体"/>
          <w:color w:val="auto"/>
          <w:sz w:val="24"/>
        </w:rPr>
        <w:t>24.3争议评审</w:t>
      </w:r>
    </w:p>
    <w:p w14:paraId="464AE51C">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24.3.4争议评审组邀请合同双方代表人和有关人员举行调查会的期限：</w:t>
      </w:r>
      <w:r>
        <w:rPr>
          <w:rFonts w:ascii="宋体" w:hAnsi="宋体" w:cs="宋体"/>
          <w:color w:val="auto"/>
          <w:u w:val="single"/>
        </w:rPr>
        <w:t xml:space="preserve">  /  </w:t>
      </w:r>
      <w:r>
        <w:rPr>
          <w:color w:val="auto"/>
        </w:rPr>
        <w:fldChar w:fldCharType="begin"/>
      </w:r>
      <w:r>
        <w:rPr>
          <w:color w:val="auto"/>
        </w:rPr>
        <w:instrText xml:space="preserve"> AUTOTEXT  input557 \* MERGEFORMAT </w:instrText>
      </w:r>
      <w:r>
        <w:rPr>
          <w:color w:val="auto"/>
        </w:rPr>
        <w:fldChar w:fldCharType="end"/>
      </w:r>
    </w:p>
    <w:p w14:paraId="76D67F34">
      <w:pPr>
        <w:adjustRightInd w:val="0"/>
        <w:snapToGrid w:val="0"/>
        <w:spacing w:line="360" w:lineRule="auto"/>
        <w:ind w:firstLine="420" w:firstLineChars="200"/>
        <w:jc w:val="left"/>
        <w:rPr>
          <w:rFonts w:ascii="宋体" w:hAnsi="宋体" w:cs="宋体"/>
          <w:color w:val="auto"/>
          <w:u w:val="single"/>
        </w:rPr>
      </w:pPr>
      <w:r>
        <w:rPr>
          <w:rFonts w:hint="eastAsia" w:ascii="宋体" w:hAnsi="宋体"/>
          <w:color w:val="auto"/>
          <w:szCs w:val="21"/>
        </w:rPr>
        <w:t>24.3.5争议评审组在调查会后作出争议评审意见的期限：</w:t>
      </w:r>
      <w:r>
        <w:rPr>
          <w:rFonts w:ascii="宋体" w:hAnsi="宋体" w:cs="宋体"/>
          <w:color w:val="auto"/>
          <w:u w:val="single"/>
        </w:rPr>
        <w:t xml:space="preserve">  /  </w:t>
      </w:r>
    </w:p>
    <w:p w14:paraId="7C55ABCF">
      <w:pPr>
        <w:rPr>
          <w:color w:val="auto"/>
        </w:rPr>
      </w:pPr>
      <w:r>
        <w:rPr>
          <w:color w:val="auto"/>
        </w:rPr>
        <w:br w:type="page"/>
      </w:r>
    </w:p>
    <w:p w14:paraId="1E655108">
      <w:pPr>
        <w:adjustRightInd w:val="0"/>
        <w:snapToGrid w:val="0"/>
        <w:spacing w:line="360" w:lineRule="auto"/>
        <w:outlineLvl w:val="1"/>
        <w:rPr>
          <w:rFonts w:ascii="宋体" w:hAnsi="宋体"/>
          <w:color w:val="auto"/>
          <w:sz w:val="24"/>
        </w:rPr>
      </w:pPr>
      <w:bookmarkStart w:id="1218" w:name="_Toc26083"/>
      <w:bookmarkStart w:id="1219" w:name="_Toc13232"/>
      <w:r>
        <w:rPr>
          <w:rFonts w:hint="eastAsia" w:ascii="宋体" w:hAnsi="宋体"/>
          <w:color w:val="auto"/>
          <w:sz w:val="24"/>
        </w:rPr>
        <w:t>附件一：合同协议书</w:t>
      </w:r>
      <w:bookmarkEnd w:id="1218"/>
      <w:bookmarkEnd w:id="1219"/>
    </w:p>
    <w:p w14:paraId="70A56437">
      <w:pPr>
        <w:adjustRightInd w:val="0"/>
        <w:snapToGrid w:val="0"/>
        <w:spacing w:line="360" w:lineRule="auto"/>
        <w:jc w:val="center"/>
        <w:rPr>
          <w:rFonts w:ascii="宋体" w:hAnsi="宋体"/>
          <w:color w:val="auto"/>
          <w:sz w:val="28"/>
          <w:szCs w:val="28"/>
        </w:rPr>
      </w:pPr>
      <w:r>
        <w:rPr>
          <w:rFonts w:hint="eastAsia" w:ascii="宋体" w:hAnsi="宋体"/>
          <w:b/>
          <w:color w:val="auto"/>
          <w:sz w:val="28"/>
          <w:szCs w:val="28"/>
        </w:rPr>
        <w:t>合同协议书</w:t>
      </w:r>
    </w:p>
    <w:p w14:paraId="60C85334">
      <w:pPr>
        <w:adjustRightInd w:val="0"/>
        <w:snapToGrid w:val="0"/>
        <w:spacing w:line="360" w:lineRule="auto"/>
        <w:ind w:firstLine="5250" w:firstLineChars="2500"/>
        <w:jc w:val="left"/>
        <w:rPr>
          <w:rFonts w:ascii="宋体" w:hAnsi="宋体"/>
          <w:color w:val="auto"/>
        </w:rPr>
      </w:pPr>
      <w:r>
        <w:rPr>
          <w:rFonts w:hint="eastAsia" w:ascii="宋体" w:hAnsi="宋体"/>
          <w:color w:val="auto"/>
        </w:rPr>
        <w:t>编号：</w:t>
      </w:r>
      <w:r>
        <w:rPr>
          <w:rFonts w:ascii="宋体" w:hAnsi="宋体"/>
          <w:color w:val="auto"/>
          <w:u w:val="single"/>
        </w:rPr>
        <w:t>___________________</w:t>
      </w:r>
    </w:p>
    <w:p w14:paraId="34C5309F">
      <w:pPr>
        <w:adjustRightInd w:val="0"/>
        <w:snapToGrid w:val="0"/>
        <w:spacing w:line="360" w:lineRule="auto"/>
        <w:rPr>
          <w:rFonts w:ascii="宋体" w:hAnsi="宋体" w:cs="Arial"/>
          <w:color w:val="auto"/>
          <w:szCs w:val="21"/>
        </w:rPr>
      </w:pPr>
      <w:r>
        <w:rPr>
          <w:rFonts w:ascii="宋体" w:hAnsi="宋体" w:cs="Arial"/>
          <w:color w:val="auto"/>
          <w:szCs w:val="21"/>
        </w:rPr>
        <w:t>发包人</w:t>
      </w:r>
      <w:r>
        <w:rPr>
          <w:rFonts w:hint="eastAsia" w:ascii="宋体" w:hAnsi="宋体" w:cs="Arial"/>
          <w:color w:val="auto"/>
          <w:szCs w:val="21"/>
        </w:rPr>
        <w:t>（全称）</w:t>
      </w:r>
      <w:r>
        <w:rPr>
          <w:rFonts w:ascii="宋体" w:hAnsi="宋体" w:cs="Arial"/>
          <w:color w:val="auto"/>
          <w:szCs w:val="21"/>
        </w:rPr>
        <w:t>：</w:t>
      </w:r>
      <w:r>
        <w:rPr>
          <w:rFonts w:ascii="宋体" w:hAnsi="宋体" w:cs="Arial"/>
          <w:color w:val="auto"/>
          <w:szCs w:val="21"/>
          <w:u w:val="single"/>
        </w:rPr>
        <w:t>_____________________________________________________________</w:t>
      </w:r>
    </w:p>
    <w:p w14:paraId="1C3083EB">
      <w:pPr>
        <w:adjustRightInd w:val="0"/>
        <w:snapToGrid w:val="0"/>
        <w:spacing w:line="360" w:lineRule="auto"/>
        <w:rPr>
          <w:rFonts w:ascii="宋体" w:hAnsi="宋体"/>
          <w:color w:val="auto"/>
          <w:szCs w:val="21"/>
        </w:rPr>
      </w:pPr>
      <w:r>
        <w:rPr>
          <w:rFonts w:hint="eastAsia" w:ascii="宋体" w:hAnsi="宋体"/>
          <w:color w:val="auto"/>
          <w:szCs w:val="21"/>
        </w:rPr>
        <w:t>法 定 代 表 人：</w:t>
      </w:r>
      <w:r>
        <w:rPr>
          <w:rFonts w:ascii="宋体" w:hAnsi="宋体" w:cs="Arial"/>
          <w:color w:val="auto"/>
          <w:szCs w:val="21"/>
          <w:u w:val="single"/>
        </w:rPr>
        <w:t>_____________________________________________________________</w:t>
      </w:r>
    </w:p>
    <w:p w14:paraId="519C1A4F">
      <w:pPr>
        <w:adjustRightInd w:val="0"/>
        <w:snapToGrid w:val="0"/>
        <w:spacing w:line="360" w:lineRule="auto"/>
        <w:rPr>
          <w:rFonts w:ascii="宋体" w:hAnsi="宋体"/>
          <w:color w:val="auto"/>
          <w:szCs w:val="21"/>
        </w:rPr>
      </w:pPr>
      <w:r>
        <w:rPr>
          <w:rFonts w:hint="eastAsia" w:ascii="宋体" w:hAnsi="宋体"/>
          <w:color w:val="auto"/>
          <w:szCs w:val="21"/>
        </w:rPr>
        <w:t>法定注册地址：</w:t>
      </w:r>
      <w:r>
        <w:rPr>
          <w:rFonts w:ascii="宋体" w:hAnsi="宋体"/>
          <w:color w:val="auto"/>
          <w:szCs w:val="21"/>
          <w:u w:val="single"/>
        </w:rPr>
        <w:t>_______________________________________________________________</w:t>
      </w:r>
    </w:p>
    <w:p w14:paraId="649AD76E">
      <w:pPr>
        <w:adjustRightInd w:val="0"/>
        <w:snapToGrid w:val="0"/>
        <w:spacing w:line="360" w:lineRule="auto"/>
        <w:rPr>
          <w:rFonts w:ascii="宋体" w:hAnsi="宋体"/>
          <w:color w:val="auto"/>
          <w:szCs w:val="21"/>
        </w:rPr>
      </w:pPr>
      <w:r>
        <w:rPr>
          <w:rFonts w:hint="eastAsia" w:ascii="宋体" w:hAnsi="宋体"/>
          <w:color w:val="auto"/>
          <w:szCs w:val="21"/>
        </w:rPr>
        <w:t>承包人（全称）：</w:t>
      </w:r>
      <w:r>
        <w:rPr>
          <w:rFonts w:ascii="宋体" w:hAnsi="宋体"/>
          <w:color w:val="auto"/>
          <w:szCs w:val="21"/>
          <w:u w:val="single"/>
        </w:rPr>
        <w:t>______________________________________________________________</w:t>
      </w:r>
    </w:p>
    <w:p w14:paraId="7BC12E6A">
      <w:pPr>
        <w:adjustRightInd w:val="0"/>
        <w:snapToGrid w:val="0"/>
        <w:spacing w:line="360" w:lineRule="auto"/>
        <w:rPr>
          <w:rFonts w:ascii="宋体" w:hAnsi="宋体"/>
          <w:color w:val="auto"/>
          <w:szCs w:val="21"/>
        </w:rPr>
      </w:pPr>
      <w:r>
        <w:rPr>
          <w:rFonts w:hint="eastAsia" w:ascii="宋体" w:hAnsi="宋体"/>
          <w:color w:val="auto"/>
          <w:szCs w:val="21"/>
        </w:rPr>
        <w:t>法 定 代 表 人：</w:t>
      </w:r>
      <w:r>
        <w:rPr>
          <w:rFonts w:ascii="宋体" w:hAnsi="宋体" w:cs="Arial"/>
          <w:color w:val="auto"/>
          <w:szCs w:val="21"/>
          <w:u w:val="single"/>
        </w:rPr>
        <w:t>_____________________________________________________________</w:t>
      </w:r>
    </w:p>
    <w:p w14:paraId="127C6039">
      <w:pPr>
        <w:adjustRightInd w:val="0"/>
        <w:snapToGrid w:val="0"/>
        <w:spacing w:line="360" w:lineRule="auto"/>
        <w:rPr>
          <w:rFonts w:ascii="宋体" w:hAnsi="宋体"/>
          <w:color w:val="auto"/>
          <w:szCs w:val="21"/>
        </w:rPr>
      </w:pPr>
      <w:r>
        <w:rPr>
          <w:rFonts w:hint="eastAsia" w:ascii="宋体" w:hAnsi="宋体"/>
          <w:color w:val="auto"/>
          <w:szCs w:val="21"/>
        </w:rPr>
        <w:t>法定注册地址：</w:t>
      </w:r>
      <w:r>
        <w:rPr>
          <w:rFonts w:ascii="宋体" w:hAnsi="宋体"/>
          <w:color w:val="auto"/>
          <w:szCs w:val="21"/>
          <w:u w:val="single"/>
        </w:rPr>
        <w:t>_______________________________________________________________</w:t>
      </w:r>
    </w:p>
    <w:p w14:paraId="538579F2">
      <w:pPr>
        <w:adjustRightInd w:val="0"/>
        <w:snapToGrid w:val="0"/>
        <w:spacing w:line="360" w:lineRule="auto"/>
        <w:ind w:firstLine="420" w:firstLineChars="200"/>
        <w:jc w:val="left"/>
        <w:rPr>
          <w:rFonts w:ascii="宋体" w:hAnsi="宋体"/>
          <w:color w:val="auto"/>
        </w:rPr>
      </w:pPr>
    </w:p>
    <w:p w14:paraId="79B9554E">
      <w:pPr>
        <w:adjustRightInd w:val="0"/>
        <w:snapToGrid w:val="0"/>
        <w:spacing w:line="360" w:lineRule="auto"/>
        <w:ind w:firstLine="420" w:firstLineChars="200"/>
        <w:jc w:val="left"/>
        <w:rPr>
          <w:rFonts w:ascii="宋体" w:hAnsi="宋体"/>
          <w:color w:val="auto"/>
        </w:rPr>
      </w:pPr>
      <w:r>
        <w:rPr>
          <w:rFonts w:hint="eastAsia" w:ascii="宋体" w:hAnsi="宋体"/>
          <w:color w:val="auto"/>
          <w:szCs w:val="21"/>
        </w:rPr>
        <w:t>发包人为建设</w:t>
      </w:r>
      <w:r>
        <w:rPr>
          <w:rFonts w:ascii="宋体" w:hAnsi="宋体"/>
          <w:color w:val="auto"/>
          <w:u w:val="single"/>
        </w:rPr>
        <w:t>_______________________________</w:t>
      </w:r>
      <w:r>
        <w:rPr>
          <w:rFonts w:hint="eastAsia" w:ascii="宋体" w:hAnsi="宋体"/>
          <w:color w:val="auto"/>
          <w:szCs w:val="21"/>
        </w:rPr>
        <w:t>（以下简称“本工程”），已接受承包人提出的承担本工程的施工、竣工、交付并维修其任何缺陷的投标。</w:t>
      </w:r>
      <w:r>
        <w:rPr>
          <w:rFonts w:hint="eastAsia" w:ascii="宋体" w:hAnsi="宋体"/>
          <w:color w:val="auto"/>
        </w:rPr>
        <w:t>依照《中华人民共和国招标投标法》、《中华人民共和国民法典》、《中华人民共和国建筑法》、及其他有关法律、行政法规，遵循平等、自愿、公平和诚实信用的原则，双方共同达成并订立如下协议。</w:t>
      </w:r>
    </w:p>
    <w:p w14:paraId="226B052F">
      <w:pPr>
        <w:adjustRightInd w:val="0"/>
        <w:snapToGrid w:val="0"/>
        <w:spacing w:line="360" w:lineRule="auto"/>
        <w:ind w:firstLine="420" w:firstLineChars="200"/>
        <w:jc w:val="left"/>
        <w:rPr>
          <w:rFonts w:ascii="宋体" w:hAnsi="宋体"/>
          <w:color w:val="auto"/>
        </w:rPr>
      </w:pPr>
      <w:r>
        <w:rPr>
          <w:rFonts w:hint="eastAsia" w:ascii="宋体" w:hAnsi="宋体"/>
          <w:color w:val="auto"/>
        </w:rPr>
        <w:t>一、工程概况</w:t>
      </w:r>
    </w:p>
    <w:p w14:paraId="616585EE">
      <w:pPr>
        <w:adjustRightInd w:val="0"/>
        <w:snapToGrid w:val="0"/>
        <w:spacing w:line="360" w:lineRule="auto"/>
        <w:ind w:firstLine="420" w:firstLineChars="200"/>
        <w:jc w:val="left"/>
        <w:rPr>
          <w:rFonts w:ascii="宋体" w:hAnsi="宋体"/>
          <w:color w:val="auto"/>
        </w:rPr>
      </w:pPr>
      <w:r>
        <w:rPr>
          <w:rFonts w:hint="eastAsia" w:ascii="宋体" w:hAnsi="宋体"/>
          <w:color w:val="auto"/>
        </w:rPr>
        <w:t>工程名称：</w:t>
      </w:r>
      <w:r>
        <w:rPr>
          <w:rFonts w:ascii="宋体" w:hAnsi="宋体"/>
          <w:color w:val="auto"/>
          <w:u w:val="single"/>
        </w:rPr>
        <w:t>_________________________________________________________________</w:t>
      </w:r>
    </w:p>
    <w:p w14:paraId="56317F5B">
      <w:pPr>
        <w:adjustRightInd w:val="0"/>
        <w:snapToGrid w:val="0"/>
        <w:spacing w:line="360" w:lineRule="auto"/>
        <w:ind w:firstLine="420" w:firstLineChars="200"/>
        <w:jc w:val="left"/>
        <w:rPr>
          <w:rFonts w:ascii="宋体" w:hAnsi="宋体"/>
          <w:color w:val="auto"/>
        </w:rPr>
      </w:pPr>
      <w:r>
        <w:rPr>
          <w:rFonts w:hint="eastAsia" w:ascii="宋体" w:hAnsi="宋体"/>
          <w:color w:val="auto"/>
        </w:rPr>
        <w:t>工程地点：</w:t>
      </w:r>
      <w:r>
        <w:rPr>
          <w:rFonts w:ascii="宋体" w:hAnsi="宋体"/>
          <w:color w:val="auto"/>
          <w:u w:val="single"/>
        </w:rPr>
        <w:t>__________________________________________________________________</w:t>
      </w:r>
    </w:p>
    <w:p w14:paraId="12DB7CC4">
      <w:pPr>
        <w:adjustRightInd w:val="0"/>
        <w:snapToGrid w:val="0"/>
        <w:spacing w:line="360" w:lineRule="auto"/>
        <w:ind w:firstLine="420" w:firstLineChars="200"/>
        <w:jc w:val="left"/>
        <w:rPr>
          <w:rFonts w:ascii="宋体" w:hAnsi="宋体"/>
          <w:color w:val="auto"/>
        </w:rPr>
      </w:pPr>
      <w:r>
        <w:rPr>
          <w:rFonts w:hint="eastAsia" w:ascii="宋体" w:hAnsi="宋体"/>
          <w:color w:val="auto"/>
        </w:rPr>
        <w:t>工程内容：</w:t>
      </w:r>
      <w:r>
        <w:rPr>
          <w:rFonts w:ascii="宋体" w:hAnsi="宋体"/>
          <w:color w:val="auto"/>
          <w:u w:val="single"/>
        </w:rPr>
        <w:t>__________________________________________________________________</w:t>
      </w:r>
    </w:p>
    <w:p w14:paraId="3B131FC3">
      <w:pPr>
        <w:adjustRightInd w:val="0"/>
        <w:snapToGrid w:val="0"/>
        <w:spacing w:line="360" w:lineRule="auto"/>
        <w:ind w:firstLine="420" w:firstLineChars="200"/>
        <w:jc w:val="left"/>
        <w:rPr>
          <w:rFonts w:ascii="宋体" w:hAnsi="宋体"/>
          <w:color w:val="auto"/>
        </w:rPr>
      </w:pPr>
      <w:r>
        <w:rPr>
          <w:rFonts w:hint="eastAsia" w:ascii="宋体" w:hAnsi="宋体"/>
          <w:color w:val="auto"/>
        </w:rPr>
        <w:t>群体工程应附“承包人承揽工程项目一览表”（附件二）</w:t>
      </w:r>
    </w:p>
    <w:p w14:paraId="39255063">
      <w:pPr>
        <w:adjustRightInd w:val="0"/>
        <w:snapToGrid w:val="0"/>
        <w:spacing w:line="360" w:lineRule="auto"/>
        <w:ind w:firstLine="420" w:firstLineChars="200"/>
        <w:jc w:val="left"/>
        <w:rPr>
          <w:rFonts w:ascii="宋体" w:hAnsi="宋体"/>
          <w:color w:val="auto"/>
        </w:rPr>
      </w:pPr>
      <w:r>
        <w:rPr>
          <w:rFonts w:hint="eastAsia" w:ascii="宋体" w:hAnsi="宋体"/>
          <w:color w:val="auto"/>
        </w:rPr>
        <w:t>工程立项批准文号：</w:t>
      </w:r>
      <w:r>
        <w:rPr>
          <w:rFonts w:ascii="宋体" w:hAnsi="宋体"/>
          <w:color w:val="auto"/>
          <w:u w:val="single"/>
        </w:rPr>
        <w:t>_________________________________________________________</w:t>
      </w:r>
    </w:p>
    <w:p w14:paraId="74E9F2DC">
      <w:pPr>
        <w:adjustRightInd w:val="0"/>
        <w:snapToGrid w:val="0"/>
        <w:spacing w:line="360" w:lineRule="auto"/>
        <w:ind w:firstLine="420" w:firstLineChars="200"/>
        <w:jc w:val="left"/>
        <w:rPr>
          <w:rFonts w:ascii="宋体" w:hAnsi="宋体"/>
          <w:color w:val="auto"/>
        </w:rPr>
      </w:pPr>
      <w:r>
        <w:rPr>
          <w:rFonts w:hint="eastAsia" w:ascii="宋体" w:hAnsi="宋体"/>
          <w:color w:val="auto"/>
        </w:rPr>
        <w:t>资金来源：</w:t>
      </w:r>
      <w:r>
        <w:rPr>
          <w:rFonts w:ascii="宋体" w:hAnsi="宋体"/>
          <w:color w:val="auto"/>
          <w:u w:val="single"/>
        </w:rPr>
        <w:t>_________________________________________________________________</w:t>
      </w:r>
    </w:p>
    <w:p w14:paraId="08D9D617">
      <w:pPr>
        <w:adjustRightInd w:val="0"/>
        <w:snapToGrid w:val="0"/>
        <w:spacing w:line="360" w:lineRule="auto"/>
        <w:ind w:firstLine="420" w:firstLineChars="200"/>
        <w:jc w:val="left"/>
        <w:rPr>
          <w:rFonts w:ascii="宋体" w:hAnsi="宋体"/>
          <w:color w:val="auto"/>
        </w:rPr>
      </w:pPr>
      <w:r>
        <w:rPr>
          <w:rFonts w:hint="eastAsia" w:ascii="宋体" w:hAnsi="宋体"/>
          <w:color w:val="auto"/>
        </w:rPr>
        <w:t>二、工程承包范围</w:t>
      </w:r>
    </w:p>
    <w:p w14:paraId="7CFCFE59">
      <w:pPr>
        <w:adjustRightInd w:val="0"/>
        <w:snapToGrid w:val="0"/>
        <w:spacing w:line="360" w:lineRule="auto"/>
        <w:ind w:firstLine="420" w:firstLineChars="200"/>
        <w:jc w:val="left"/>
        <w:rPr>
          <w:rFonts w:ascii="宋体" w:hAnsi="宋体"/>
          <w:color w:val="auto"/>
        </w:rPr>
      </w:pPr>
      <w:r>
        <w:rPr>
          <w:rFonts w:hint="eastAsia" w:ascii="宋体" w:hAnsi="宋体"/>
          <w:color w:val="auto"/>
        </w:rPr>
        <w:t>承包范围：</w:t>
      </w:r>
      <w:r>
        <w:rPr>
          <w:rFonts w:ascii="宋体" w:hAnsi="宋体"/>
          <w:color w:val="auto"/>
          <w:u w:val="single"/>
        </w:rPr>
        <w:t>_________________________________________________________________</w:t>
      </w:r>
    </w:p>
    <w:p w14:paraId="0493A703">
      <w:pPr>
        <w:adjustRightInd w:val="0"/>
        <w:snapToGrid w:val="0"/>
        <w:spacing w:line="360" w:lineRule="auto"/>
        <w:ind w:firstLine="420" w:firstLineChars="200"/>
        <w:jc w:val="left"/>
        <w:rPr>
          <w:rFonts w:ascii="宋体" w:hAnsi="宋体"/>
          <w:color w:val="auto"/>
        </w:rPr>
      </w:pPr>
      <w:r>
        <w:rPr>
          <w:rFonts w:hint="eastAsia" w:ascii="宋体" w:hAnsi="宋体"/>
          <w:color w:val="auto"/>
        </w:rPr>
        <w:t>详细承包范围见第五章“技术标准和要求”。</w:t>
      </w:r>
    </w:p>
    <w:p w14:paraId="3802446E">
      <w:pPr>
        <w:adjustRightInd w:val="0"/>
        <w:snapToGrid w:val="0"/>
        <w:spacing w:line="360" w:lineRule="auto"/>
        <w:ind w:firstLine="420" w:firstLineChars="200"/>
        <w:jc w:val="left"/>
        <w:rPr>
          <w:rFonts w:ascii="宋体" w:hAnsi="宋体"/>
          <w:color w:val="auto"/>
        </w:rPr>
      </w:pPr>
      <w:r>
        <w:rPr>
          <w:rFonts w:hint="eastAsia" w:ascii="宋体" w:hAnsi="宋体"/>
          <w:color w:val="auto"/>
        </w:rPr>
        <w:t>三、合同工期</w:t>
      </w:r>
    </w:p>
    <w:p w14:paraId="73E8B4E9">
      <w:pPr>
        <w:adjustRightInd w:val="0"/>
        <w:snapToGrid w:val="0"/>
        <w:spacing w:line="360" w:lineRule="auto"/>
        <w:ind w:firstLine="420" w:firstLineChars="200"/>
        <w:jc w:val="left"/>
        <w:rPr>
          <w:rFonts w:ascii="宋体" w:hAnsi="宋体"/>
          <w:color w:val="auto"/>
        </w:rPr>
      </w:pPr>
      <w:r>
        <w:rPr>
          <w:rFonts w:hint="eastAsia" w:ascii="宋体" w:hAnsi="宋体"/>
          <w:color w:val="auto"/>
        </w:rPr>
        <w:t>计划开工日期：</w:t>
      </w:r>
      <w:r>
        <w:rPr>
          <w:rFonts w:ascii="宋体" w:hAnsi="宋体"/>
          <w:color w:val="auto"/>
          <w:u w:val="single"/>
        </w:rPr>
        <w:t>________</w:t>
      </w:r>
      <w:r>
        <w:rPr>
          <w:rFonts w:hint="eastAsia" w:ascii="宋体" w:hAnsi="宋体"/>
          <w:color w:val="auto"/>
        </w:rPr>
        <w:t>年</w:t>
      </w:r>
      <w:r>
        <w:rPr>
          <w:rFonts w:ascii="宋体" w:hAnsi="宋体"/>
          <w:color w:val="auto"/>
          <w:u w:val="single"/>
        </w:rPr>
        <w:t>________</w:t>
      </w:r>
      <w:r>
        <w:rPr>
          <w:rFonts w:hint="eastAsia" w:ascii="宋体" w:hAnsi="宋体"/>
          <w:color w:val="auto"/>
        </w:rPr>
        <w:t>月</w:t>
      </w:r>
      <w:r>
        <w:rPr>
          <w:rFonts w:ascii="宋体" w:hAnsi="宋体"/>
          <w:color w:val="auto"/>
          <w:u w:val="single"/>
        </w:rPr>
        <w:t>________</w:t>
      </w:r>
      <w:r>
        <w:rPr>
          <w:rFonts w:hint="eastAsia" w:ascii="宋体" w:hAnsi="宋体"/>
          <w:color w:val="auto"/>
        </w:rPr>
        <w:t>日</w:t>
      </w:r>
    </w:p>
    <w:p w14:paraId="3CEA20BA">
      <w:pPr>
        <w:adjustRightInd w:val="0"/>
        <w:snapToGrid w:val="0"/>
        <w:spacing w:line="360" w:lineRule="auto"/>
        <w:ind w:firstLine="420" w:firstLineChars="200"/>
        <w:jc w:val="left"/>
        <w:rPr>
          <w:rFonts w:ascii="宋体" w:hAnsi="宋体"/>
          <w:color w:val="auto"/>
        </w:rPr>
      </w:pPr>
      <w:r>
        <w:rPr>
          <w:rFonts w:hint="eastAsia" w:ascii="宋体" w:hAnsi="宋体"/>
          <w:color w:val="auto"/>
        </w:rPr>
        <w:t>计划竣工日期：</w:t>
      </w:r>
      <w:r>
        <w:rPr>
          <w:rFonts w:ascii="宋体" w:hAnsi="宋体"/>
          <w:color w:val="auto"/>
          <w:u w:val="single"/>
        </w:rPr>
        <w:t>________</w:t>
      </w:r>
      <w:r>
        <w:rPr>
          <w:rFonts w:hint="eastAsia" w:ascii="宋体" w:hAnsi="宋体"/>
          <w:color w:val="auto"/>
        </w:rPr>
        <w:t>年</w:t>
      </w:r>
      <w:r>
        <w:rPr>
          <w:rFonts w:ascii="宋体" w:hAnsi="宋体"/>
          <w:color w:val="auto"/>
          <w:u w:val="single"/>
        </w:rPr>
        <w:t>________</w:t>
      </w:r>
      <w:r>
        <w:rPr>
          <w:rFonts w:hint="eastAsia" w:ascii="宋体" w:hAnsi="宋体"/>
          <w:color w:val="auto"/>
        </w:rPr>
        <w:t>月</w:t>
      </w:r>
      <w:r>
        <w:rPr>
          <w:rFonts w:ascii="宋体" w:hAnsi="宋体"/>
          <w:color w:val="auto"/>
          <w:u w:val="single"/>
        </w:rPr>
        <w:t>________</w:t>
      </w:r>
      <w:r>
        <w:rPr>
          <w:rFonts w:hint="eastAsia" w:ascii="宋体" w:hAnsi="宋体"/>
          <w:color w:val="auto"/>
        </w:rPr>
        <w:t>日</w:t>
      </w:r>
    </w:p>
    <w:p w14:paraId="74F85FC3">
      <w:pPr>
        <w:adjustRightInd w:val="0"/>
        <w:snapToGrid w:val="0"/>
        <w:spacing w:line="360" w:lineRule="auto"/>
        <w:ind w:firstLine="420" w:firstLineChars="200"/>
        <w:jc w:val="left"/>
        <w:rPr>
          <w:rFonts w:ascii="宋体" w:hAnsi="宋体"/>
          <w:color w:val="auto"/>
        </w:rPr>
      </w:pPr>
      <w:r>
        <w:rPr>
          <w:rFonts w:hint="eastAsia" w:ascii="宋体" w:hAnsi="宋体"/>
          <w:color w:val="auto"/>
        </w:rPr>
        <w:t>工期总日历天数</w:t>
      </w:r>
      <w:r>
        <w:rPr>
          <w:rFonts w:ascii="宋体" w:hAnsi="宋体"/>
          <w:color w:val="auto"/>
          <w:u w:val="single"/>
        </w:rPr>
        <w:t>________________________</w:t>
      </w:r>
      <w:r>
        <w:rPr>
          <w:rFonts w:hint="eastAsia" w:ascii="宋体" w:hAnsi="宋体"/>
          <w:color w:val="auto"/>
        </w:rPr>
        <w:t>天，自监理人发出的开工通知中载明的开工日期起算。</w:t>
      </w:r>
    </w:p>
    <w:p w14:paraId="1B6A1B1B">
      <w:pPr>
        <w:adjustRightInd w:val="0"/>
        <w:snapToGrid w:val="0"/>
        <w:spacing w:line="360" w:lineRule="auto"/>
        <w:ind w:firstLine="420" w:firstLineChars="200"/>
        <w:jc w:val="left"/>
        <w:rPr>
          <w:rFonts w:ascii="宋体" w:hAnsi="宋体"/>
          <w:color w:val="auto"/>
        </w:rPr>
      </w:pPr>
      <w:r>
        <w:rPr>
          <w:rFonts w:hint="eastAsia" w:ascii="宋体" w:hAnsi="宋体"/>
          <w:color w:val="auto"/>
        </w:rPr>
        <w:t>四、质量标准</w:t>
      </w:r>
    </w:p>
    <w:p w14:paraId="3B44160E">
      <w:pPr>
        <w:adjustRightInd w:val="0"/>
        <w:snapToGrid w:val="0"/>
        <w:spacing w:line="360" w:lineRule="auto"/>
        <w:ind w:firstLine="420" w:firstLineChars="200"/>
        <w:jc w:val="left"/>
        <w:rPr>
          <w:rFonts w:ascii="宋体" w:hAnsi="宋体"/>
          <w:color w:val="auto"/>
        </w:rPr>
      </w:pPr>
      <w:r>
        <w:rPr>
          <w:rFonts w:hint="eastAsia" w:ascii="宋体" w:hAnsi="宋体"/>
          <w:color w:val="auto"/>
        </w:rPr>
        <w:t>工程质量标准：</w:t>
      </w:r>
      <w:r>
        <w:rPr>
          <w:rFonts w:ascii="宋体" w:hAnsi="宋体"/>
          <w:color w:val="auto"/>
          <w:u w:val="single"/>
        </w:rPr>
        <w:t>_____________________________________________________________</w:t>
      </w:r>
    </w:p>
    <w:p w14:paraId="50D0DE4A">
      <w:pPr>
        <w:adjustRightInd w:val="0"/>
        <w:snapToGrid w:val="0"/>
        <w:spacing w:line="360" w:lineRule="auto"/>
        <w:ind w:firstLine="420" w:firstLineChars="200"/>
        <w:jc w:val="left"/>
        <w:rPr>
          <w:rFonts w:ascii="宋体" w:hAnsi="宋体"/>
          <w:color w:val="auto"/>
        </w:rPr>
      </w:pPr>
      <w:r>
        <w:rPr>
          <w:rFonts w:hint="eastAsia" w:ascii="宋体" w:hAnsi="宋体"/>
          <w:color w:val="auto"/>
        </w:rPr>
        <w:t>五、施工现场安全生产标准化管理目标等级要求</w:t>
      </w:r>
    </w:p>
    <w:p w14:paraId="294D405F">
      <w:pPr>
        <w:adjustRightInd w:val="0"/>
        <w:snapToGrid w:val="0"/>
        <w:spacing w:line="360" w:lineRule="auto"/>
        <w:ind w:firstLine="420" w:firstLineChars="200"/>
        <w:jc w:val="left"/>
        <w:rPr>
          <w:rFonts w:ascii="宋体" w:hAnsi="宋体"/>
          <w:color w:val="auto"/>
        </w:rPr>
      </w:pPr>
      <w:r>
        <w:rPr>
          <w:rFonts w:hint="eastAsia" w:ascii="宋体" w:hAnsi="宋体"/>
          <w:color w:val="auto"/>
        </w:rPr>
        <w:t>施工现场安全生产标准化管理目标等级：</w:t>
      </w:r>
      <w:r>
        <w:rPr>
          <w:rFonts w:ascii="宋体" w:hAnsi="宋体"/>
          <w:color w:val="auto"/>
          <w:u w:val="single"/>
        </w:rPr>
        <w:t>_________________________________________</w:t>
      </w:r>
    </w:p>
    <w:p w14:paraId="14FE4E17">
      <w:pPr>
        <w:adjustRightInd w:val="0"/>
        <w:snapToGrid w:val="0"/>
        <w:spacing w:line="360" w:lineRule="auto"/>
        <w:ind w:firstLine="420" w:firstLineChars="200"/>
        <w:jc w:val="left"/>
        <w:rPr>
          <w:rFonts w:ascii="宋体" w:hAnsi="宋体"/>
          <w:color w:val="auto"/>
        </w:rPr>
      </w:pPr>
      <w:r>
        <w:rPr>
          <w:rFonts w:hint="eastAsia" w:ascii="宋体" w:hAnsi="宋体"/>
          <w:color w:val="auto"/>
        </w:rPr>
        <w:t>六、合同形式</w:t>
      </w:r>
    </w:p>
    <w:p w14:paraId="53E943A1">
      <w:pPr>
        <w:adjustRightInd w:val="0"/>
        <w:snapToGrid w:val="0"/>
        <w:spacing w:line="360" w:lineRule="auto"/>
        <w:ind w:firstLine="420" w:firstLineChars="200"/>
        <w:jc w:val="left"/>
        <w:rPr>
          <w:rFonts w:ascii="宋体" w:hAnsi="宋体"/>
          <w:color w:val="auto"/>
        </w:rPr>
      </w:pPr>
      <w:r>
        <w:rPr>
          <w:rFonts w:hint="eastAsia" w:ascii="宋体" w:hAnsi="宋体"/>
          <w:color w:val="auto"/>
        </w:rPr>
        <w:t>本合同采用</w:t>
      </w:r>
      <w:r>
        <w:rPr>
          <w:rFonts w:ascii="宋体" w:hAnsi="宋体"/>
          <w:color w:val="auto"/>
          <w:u w:val="single"/>
        </w:rPr>
        <w:t>_______________________________________________________</w:t>
      </w:r>
      <w:r>
        <w:rPr>
          <w:rFonts w:hint="eastAsia" w:ascii="宋体" w:hAnsi="宋体"/>
          <w:color w:val="auto"/>
        </w:rPr>
        <w:t>合同形式</w:t>
      </w:r>
      <w:r>
        <w:rPr>
          <w:rFonts w:ascii="宋体" w:hAnsi="宋体"/>
          <w:color w:val="auto"/>
        </w:rPr>
        <w:t>。</w:t>
      </w:r>
    </w:p>
    <w:p w14:paraId="7FFD33F9">
      <w:pPr>
        <w:adjustRightInd w:val="0"/>
        <w:snapToGrid w:val="0"/>
        <w:spacing w:line="360" w:lineRule="auto"/>
        <w:ind w:firstLine="420" w:firstLineChars="200"/>
        <w:jc w:val="left"/>
        <w:rPr>
          <w:rFonts w:ascii="宋体" w:hAnsi="宋体"/>
          <w:bCs/>
          <w:color w:val="auto"/>
        </w:rPr>
      </w:pPr>
      <w:r>
        <w:rPr>
          <w:rFonts w:hint="eastAsia" w:ascii="宋体" w:hAnsi="宋体"/>
          <w:bCs/>
          <w:color w:val="auto"/>
        </w:rPr>
        <w:t>七、签约合同价</w:t>
      </w:r>
    </w:p>
    <w:p w14:paraId="15AF6C69">
      <w:pPr>
        <w:adjustRightInd w:val="0"/>
        <w:snapToGrid w:val="0"/>
        <w:spacing w:line="360" w:lineRule="auto"/>
        <w:ind w:firstLine="420" w:firstLineChars="200"/>
        <w:jc w:val="left"/>
        <w:rPr>
          <w:rFonts w:ascii="宋体" w:hAnsi="宋体"/>
          <w:color w:val="auto"/>
        </w:rPr>
      </w:pPr>
      <w:r>
        <w:rPr>
          <w:rFonts w:hint="eastAsia" w:ascii="宋体" w:hAnsi="宋体"/>
          <w:color w:val="auto"/>
        </w:rPr>
        <w:t>金额（大写）：</w:t>
      </w:r>
      <w:r>
        <w:rPr>
          <w:rFonts w:ascii="宋体" w:hAnsi="宋体"/>
          <w:color w:val="auto"/>
          <w:u w:val="single"/>
        </w:rPr>
        <w:t>______________________________________________________</w:t>
      </w:r>
      <w:r>
        <w:rPr>
          <w:rFonts w:hint="eastAsia" w:ascii="宋体" w:hAnsi="宋体"/>
          <w:color w:val="auto"/>
        </w:rPr>
        <w:t>（人民币）</w:t>
      </w:r>
    </w:p>
    <w:p w14:paraId="4CAB4692">
      <w:pPr>
        <w:adjustRightInd w:val="0"/>
        <w:snapToGrid w:val="0"/>
        <w:spacing w:line="360" w:lineRule="auto"/>
        <w:ind w:firstLine="420" w:firstLineChars="200"/>
        <w:jc w:val="left"/>
        <w:rPr>
          <w:rFonts w:ascii="宋体" w:hAnsi="宋体"/>
          <w:color w:val="auto"/>
        </w:rPr>
      </w:pPr>
      <w:r>
        <w:rPr>
          <w:rFonts w:hint="eastAsia" w:ascii="宋体" w:hAnsi="宋体"/>
          <w:color w:val="auto"/>
        </w:rPr>
        <w:t>（小写）</w:t>
      </w:r>
      <w:r>
        <w:rPr>
          <w:color w:val="auto"/>
        </w:rPr>
        <w:t>¥</w:t>
      </w:r>
      <w:r>
        <w:rPr>
          <w:rFonts w:hint="eastAsia" w:ascii="宋体" w:hAnsi="宋体"/>
          <w:color w:val="auto"/>
        </w:rPr>
        <w:t>：</w:t>
      </w:r>
      <w:r>
        <w:rPr>
          <w:rFonts w:ascii="宋体" w:hAnsi="宋体"/>
          <w:color w:val="auto"/>
          <w:u w:val="single"/>
        </w:rPr>
        <w:t>_____________________________________________________________</w:t>
      </w:r>
      <w:r>
        <w:rPr>
          <w:rFonts w:hint="eastAsia" w:ascii="宋体" w:hAnsi="宋体"/>
          <w:color w:val="auto"/>
        </w:rPr>
        <w:t>元</w:t>
      </w:r>
    </w:p>
    <w:p w14:paraId="4D719D97">
      <w:pPr>
        <w:adjustRightInd w:val="0"/>
        <w:snapToGrid w:val="0"/>
        <w:spacing w:line="360" w:lineRule="auto"/>
        <w:ind w:firstLine="420" w:firstLineChars="200"/>
        <w:jc w:val="left"/>
        <w:rPr>
          <w:rFonts w:ascii="宋体" w:hAnsi="宋体"/>
          <w:color w:val="auto"/>
        </w:rPr>
      </w:pPr>
      <w:r>
        <w:rPr>
          <w:rFonts w:hint="eastAsia" w:ascii="宋体" w:hAnsi="宋体"/>
          <w:color w:val="auto"/>
        </w:rPr>
        <w:t>其中：安全生产标准化措施费（含税）：</w:t>
      </w:r>
      <w:r>
        <w:rPr>
          <w:rFonts w:ascii="宋体" w:hAnsi="宋体"/>
          <w:color w:val="auto"/>
          <w:u w:val="single"/>
        </w:rPr>
        <w:t>____________________________________________</w:t>
      </w:r>
      <w:r>
        <w:rPr>
          <w:rFonts w:hint="eastAsia" w:ascii="宋体" w:hAnsi="宋体"/>
          <w:color w:val="auto"/>
        </w:rPr>
        <w:t>元</w:t>
      </w:r>
    </w:p>
    <w:p w14:paraId="66974B99">
      <w:pPr>
        <w:adjustRightInd w:val="0"/>
        <w:snapToGrid w:val="0"/>
        <w:spacing w:line="360" w:lineRule="auto"/>
        <w:ind w:firstLine="420" w:firstLineChars="200"/>
        <w:jc w:val="left"/>
        <w:rPr>
          <w:rFonts w:ascii="宋体" w:hAnsi="宋体"/>
          <w:color w:val="auto"/>
        </w:rPr>
      </w:pPr>
      <w:r>
        <w:rPr>
          <w:rFonts w:hint="eastAsia" w:ascii="宋体" w:hAnsi="宋体"/>
          <w:color w:val="auto"/>
        </w:rPr>
        <w:t>建筑垃圾运输处置费（含税）：</w:t>
      </w:r>
      <w:r>
        <w:rPr>
          <w:rFonts w:ascii="宋体" w:hAnsi="宋体"/>
          <w:color w:val="auto"/>
          <w:u w:val="single"/>
        </w:rPr>
        <w:t>_________________________________________________</w:t>
      </w:r>
      <w:r>
        <w:rPr>
          <w:rFonts w:hint="eastAsia" w:ascii="宋体" w:hAnsi="宋体"/>
          <w:color w:val="auto"/>
        </w:rPr>
        <w:t>元</w:t>
      </w:r>
    </w:p>
    <w:p w14:paraId="31FC2277">
      <w:pPr>
        <w:adjustRightInd w:val="0"/>
        <w:snapToGrid w:val="0"/>
        <w:spacing w:line="360" w:lineRule="auto"/>
        <w:ind w:firstLine="420" w:firstLineChars="200"/>
        <w:jc w:val="left"/>
        <w:rPr>
          <w:rFonts w:ascii="宋体" w:hAnsi="宋体"/>
          <w:color w:val="auto"/>
        </w:rPr>
      </w:pPr>
      <w:r>
        <w:rPr>
          <w:rFonts w:hint="eastAsia" w:ascii="宋体" w:hAnsi="宋体"/>
          <w:color w:val="auto"/>
        </w:rPr>
        <w:t>暂列金额（含税）：</w:t>
      </w:r>
      <w:r>
        <w:rPr>
          <w:rFonts w:ascii="宋体" w:hAnsi="宋体"/>
          <w:color w:val="auto"/>
          <w:u w:val="single"/>
        </w:rPr>
        <w:t>________________________________________________</w:t>
      </w:r>
      <w:r>
        <w:rPr>
          <w:rFonts w:hint="eastAsia" w:ascii="宋体" w:hAnsi="宋体"/>
          <w:color w:val="auto"/>
        </w:rPr>
        <w:t>元</w:t>
      </w:r>
    </w:p>
    <w:p w14:paraId="4194D173">
      <w:pPr>
        <w:adjustRightInd w:val="0"/>
        <w:snapToGrid w:val="0"/>
        <w:spacing w:line="360" w:lineRule="auto"/>
        <w:ind w:firstLine="420" w:firstLineChars="200"/>
        <w:jc w:val="left"/>
        <w:rPr>
          <w:rFonts w:ascii="宋体" w:hAnsi="宋体"/>
          <w:color w:val="auto"/>
        </w:rPr>
      </w:pPr>
      <w:r>
        <w:rPr>
          <w:rFonts w:hint="eastAsia" w:ascii="宋体" w:hAnsi="宋体"/>
          <w:bCs/>
          <w:color w:val="auto"/>
        </w:rPr>
        <w:t>专业工程暂估价</w:t>
      </w:r>
      <w:r>
        <w:rPr>
          <w:rFonts w:hint="eastAsia" w:ascii="宋体" w:hAnsi="宋体"/>
          <w:color w:val="auto"/>
        </w:rPr>
        <w:t>（含税）</w:t>
      </w:r>
      <w:r>
        <w:rPr>
          <w:rFonts w:hint="eastAsia" w:ascii="宋体" w:hAnsi="宋体"/>
          <w:bCs/>
          <w:color w:val="auto"/>
        </w:rPr>
        <w:t>：</w:t>
      </w:r>
      <w:r>
        <w:rPr>
          <w:rFonts w:ascii="宋体" w:hAnsi="宋体"/>
          <w:color w:val="auto"/>
          <w:u w:val="single"/>
        </w:rPr>
        <w:t>__________________________________________</w:t>
      </w:r>
      <w:r>
        <w:rPr>
          <w:rFonts w:hint="eastAsia" w:ascii="宋体" w:hAnsi="宋体"/>
          <w:color w:val="auto"/>
        </w:rPr>
        <w:t>元</w:t>
      </w:r>
    </w:p>
    <w:p w14:paraId="454791CA">
      <w:pPr>
        <w:adjustRightInd w:val="0"/>
        <w:snapToGrid w:val="0"/>
        <w:spacing w:line="360" w:lineRule="auto"/>
        <w:ind w:firstLine="420" w:firstLineChars="200"/>
        <w:jc w:val="left"/>
        <w:rPr>
          <w:rFonts w:hint="eastAsia" w:ascii="宋体" w:hAnsi="宋体"/>
          <w:color w:val="auto"/>
        </w:rPr>
      </w:pPr>
      <w:r>
        <w:rPr>
          <w:rFonts w:hint="eastAsia" w:ascii="宋体" w:hAnsi="宋体"/>
          <w:color w:val="auto"/>
        </w:rPr>
        <w:t>本合同金额为含税金额，其中：增值税税率为   %，不含税金额【      】元，大写        ，税额【       】元，大写         。</w:t>
      </w:r>
    </w:p>
    <w:p w14:paraId="7AEDEB78">
      <w:pPr>
        <w:adjustRightInd w:val="0"/>
        <w:snapToGrid w:val="0"/>
        <w:spacing w:line="360" w:lineRule="auto"/>
        <w:ind w:firstLine="420" w:firstLineChars="200"/>
        <w:jc w:val="left"/>
        <w:rPr>
          <w:rFonts w:hint="eastAsia" w:ascii="宋体" w:hAnsi="宋体"/>
          <w:color w:val="auto"/>
        </w:rPr>
      </w:pPr>
      <w:r>
        <w:rPr>
          <w:rFonts w:hint="eastAsia" w:ascii="宋体" w:hAnsi="宋体"/>
          <w:color w:val="auto"/>
        </w:rPr>
        <w:t>承包人申请结算时累计开具的发票总金额应为结算价含税总额。</w:t>
      </w:r>
    </w:p>
    <w:p w14:paraId="46824E72">
      <w:pPr>
        <w:adjustRightInd w:val="0"/>
        <w:snapToGrid w:val="0"/>
        <w:spacing w:line="360" w:lineRule="auto"/>
        <w:ind w:firstLine="420" w:firstLineChars="200"/>
        <w:jc w:val="left"/>
        <w:rPr>
          <w:rFonts w:hint="eastAsia" w:ascii="宋体" w:hAnsi="宋体"/>
          <w:color w:val="auto"/>
        </w:rPr>
      </w:pPr>
      <w:r>
        <w:rPr>
          <w:rFonts w:hint="eastAsia" w:ascii="宋体" w:hAnsi="宋体"/>
          <w:color w:val="auto"/>
        </w:rPr>
        <w:t>承包人应在发包人付款前向发包人提供等额的正式发票，否则，发包人有权拒绝付款并不承担迟延付款的违约责任。</w:t>
      </w:r>
    </w:p>
    <w:p w14:paraId="53CEC066">
      <w:pPr>
        <w:adjustRightInd w:val="0"/>
        <w:snapToGrid w:val="0"/>
        <w:spacing w:line="360" w:lineRule="auto"/>
        <w:ind w:firstLine="420" w:firstLineChars="200"/>
        <w:jc w:val="left"/>
        <w:rPr>
          <w:rFonts w:hint="eastAsia" w:ascii="宋体" w:hAnsi="宋体"/>
          <w:color w:val="auto"/>
        </w:rPr>
      </w:pPr>
      <w:r>
        <w:rPr>
          <w:rFonts w:hint="eastAsia" w:ascii="宋体" w:hAnsi="宋体"/>
          <w:color w:val="auto"/>
        </w:rPr>
        <w:t>上述付款需区财政资金向发包人支付到位后方可支付，承包人对于区财政资金迟延支付予以谅解，并不以此为由向发包人主张任何迟延付款的违约责任。</w:t>
      </w:r>
    </w:p>
    <w:p w14:paraId="248A3A61">
      <w:pPr>
        <w:adjustRightInd w:val="0"/>
        <w:snapToGrid w:val="0"/>
        <w:spacing w:line="360" w:lineRule="auto"/>
        <w:ind w:firstLine="420" w:firstLineChars="200"/>
        <w:jc w:val="left"/>
        <w:rPr>
          <w:rFonts w:ascii="宋体" w:hAnsi="宋体"/>
          <w:bCs/>
          <w:color w:val="auto"/>
        </w:rPr>
      </w:pPr>
      <w:r>
        <w:rPr>
          <w:rFonts w:hint="eastAsia" w:ascii="宋体" w:hAnsi="宋体"/>
          <w:bCs/>
          <w:color w:val="auto"/>
        </w:rPr>
        <w:t>八、承包人项目经理：</w:t>
      </w:r>
    </w:p>
    <w:p w14:paraId="5DFA8198">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姓名：</w:t>
      </w:r>
      <w:r>
        <w:rPr>
          <w:rFonts w:ascii="宋体" w:hAnsi="宋体"/>
          <w:color w:val="auto"/>
          <w:szCs w:val="21"/>
          <w:u w:val="single"/>
        </w:rPr>
        <w:t>___________________________</w:t>
      </w:r>
      <w:r>
        <w:rPr>
          <w:rFonts w:hint="eastAsia" w:ascii="宋体" w:hAnsi="宋体"/>
          <w:color w:val="auto"/>
          <w:szCs w:val="21"/>
        </w:rPr>
        <w:t>；      职称：</w:t>
      </w:r>
      <w:r>
        <w:rPr>
          <w:rFonts w:ascii="宋体" w:hAnsi="宋体"/>
          <w:color w:val="auto"/>
          <w:szCs w:val="21"/>
          <w:u w:val="single"/>
        </w:rPr>
        <w:t>__________________________</w:t>
      </w:r>
      <w:r>
        <w:rPr>
          <w:rFonts w:hint="eastAsia" w:ascii="宋体" w:hAnsi="宋体"/>
          <w:color w:val="auto"/>
          <w:szCs w:val="21"/>
        </w:rPr>
        <w:t>；</w:t>
      </w:r>
    </w:p>
    <w:p w14:paraId="464CB7A5">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身份证号：</w:t>
      </w:r>
      <w:r>
        <w:rPr>
          <w:rFonts w:ascii="宋体" w:hAnsi="宋体"/>
          <w:color w:val="auto"/>
          <w:szCs w:val="21"/>
          <w:u w:val="single"/>
        </w:rPr>
        <w:t>_______________________</w:t>
      </w:r>
      <w:r>
        <w:rPr>
          <w:rFonts w:hint="eastAsia" w:ascii="宋体" w:hAnsi="宋体"/>
          <w:color w:val="auto"/>
          <w:szCs w:val="21"/>
        </w:rPr>
        <w:t>；      建造师执业资格证书号：</w:t>
      </w:r>
      <w:r>
        <w:rPr>
          <w:rFonts w:ascii="宋体" w:hAnsi="宋体"/>
          <w:color w:val="auto"/>
          <w:szCs w:val="21"/>
          <w:u w:val="single"/>
        </w:rPr>
        <w:t>__________</w:t>
      </w:r>
      <w:r>
        <w:rPr>
          <w:rFonts w:hint="eastAsia" w:ascii="宋体" w:hAnsi="宋体"/>
          <w:color w:val="auto"/>
          <w:szCs w:val="21"/>
        </w:rPr>
        <w:t>；</w:t>
      </w:r>
    </w:p>
    <w:p w14:paraId="48BB7807">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建造师注册证书号：</w:t>
      </w:r>
      <w:r>
        <w:rPr>
          <w:rFonts w:ascii="宋体" w:hAnsi="宋体"/>
          <w:color w:val="auto"/>
          <w:szCs w:val="21"/>
          <w:u w:val="single"/>
        </w:rPr>
        <w:t>_______________________________________________________</w:t>
      </w:r>
      <w:r>
        <w:rPr>
          <w:rFonts w:hint="eastAsia" w:ascii="宋体" w:hAnsi="宋体"/>
          <w:color w:val="auto"/>
          <w:szCs w:val="21"/>
        </w:rPr>
        <w:t>。</w:t>
      </w:r>
    </w:p>
    <w:p w14:paraId="1C93A35C">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建造师执业印章号：</w:t>
      </w:r>
      <w:r>
        <w:rPr>
          <w:rFonts w:ascii="宋体" w:hAnsi="宋体"/>
          <w:color w:val="auto"/>
          <w:szCs w:val="21"/>
          <w:u w:val="single"/>
        </w:rPr>
        <w:t>_______________________________________________________</w:t>
      </w:r>
      <w:r>
        <w:rPr>
          <w:rFonts w:hint="eastAsia" w:ascii="宋体" w:hAnsi="宋体"/>
          <w:color w:val="auto"/>
          <w:szCs w:val="21"/>
        </w:rPr>
        <w:t>。</w:t>
      </w:r>
    </w:p>
    <w:p w14:paraId="4C36E891">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安全生产考核合格证书号：</w:t>
      </w:r>
      <w:r>
        <w:rPr>
          <w:rFonts w:ascii="宋体" w:hAnsi="宋体"/>
          <w:color w:val="auto"/>
          <w:szCs w:val="21"/>
          <w:u w:val="single"/>
        </w:rPr>
        <w:t>_________________________________________________</w:t>
      </w:r>
      <w:r>
        <w:rPr>
          <w:rFonts w:hint="eastAsia" w:ascii="宋体" w:hAnsi="宋体"/>
          <w:color w:val="auto"/>
          <w:szCs w:val="21"/>
        </w:rPr>
        <w:t>。</w:t>
      </w:r>
    </w:p>
    <w:p w14:paraId="52ED1DA7">
      <w:pPr>
        <w:adjustRightInd w:val="0"/>
        <w:snapToGrid w:val="0"/>
        <w:spacing w:line="360" w:lineRule="auto"/>
        <w:ind w:firstLine="420" w:firstLineChars="200"/>
        <w:jc w:val="left"/>
        <w:rPr>
          <w:rFonts w:ascii="宋体" w:hAnsi="宋体"/>
          <w:color w:val="auto"/>
        </w:rPr>
      </w:pPr>
      <w:r>
        <w:rPr>
          <w:rFonts w:hint="eastAsia" w:ascii="宋体" w:hAnsi="宋体"/>
          <w:color w:val="auto"/>
        </w:rPr>
        <w:t>九、合同文件的组成</w:t>
      </w:r>
    </w:p>
    <w:p w14:paraId="14084343">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下列文件共同构成合同文件：</w:t>
      </w:r>
    </w:p>
    <w:p w14:paraId="5193457E">
      <w:pPr>
        <w:adjustRightInd w:val="0"/>
        <w:snapToGrid w:val="0"/>
        <w:spacing w:line="360" w:lineRule="auto"/>
        <w:ind w:firstLine="420" w:firstLineChars="200"/>
        <w:jc w:val="left"/>
        <w:rPr>
          <w:rFonts w:ascii="宋体" w:hAnsi="宋体"/>
          <w:color w:val="auto"/>
        </w:rPr>
      </w:pPr>
      <w:r>
        <w:rPr>
          <w:rFonts w:hint="eastAsia" w:ascii="宋体" w:hAnsi="宋体"/>
          <w:color w:val="auto"/>
        </w:rPr>
        <w:t>1、本协议书；</w:t>
      </w:r>
    </w:p>
    <w:p w14:paraId="1C4F8CF9">
      <w:pPr>
        <w:adjustRightInd w:val="0"/>
        <w:snapToGrid w:val="0"/>
        <w:spacing w:line="360" w:lineRule="auto"/>
        <w:ind w:firstLine="420" w:firstLineChars="200"/>
        <w:jc w:val="left"/>
        <w:rPr>
          <w:rFonts w:ascii="宋体" w:hAnsi="宋体"/>
          <w:color w:val="auto"/>
        </w:rPr>
      </w:pPr>
      <w:r>
        <w:rPr>
          <w:rFonts w:hint="eastAsia" w:ascii="宋体" w:hAnsi="宋体"/>
          <w:color w:val="auto"/>
        </w:rPr>
        <w:t>2、中标通知书；</w:t>
      </w:r>
    </w:p>
    <w:p w14:paraId="66B04C8E">
      <w:pPr>
        <w:adjustRightInd w:val="0"/>
        <w:snapToGrid w:val="0"/>
        <w:spacing w:line="360" w:lineRule="auto"/>
        <w:ind w:firstLine="420" w:firstLineChars="200"/>
        <w:jc w:val="left"/>
        <w:rPr>
          <w:rFonts w:ascii="宋体" w:hAnsi="宋体"/>
          <w:color w:val="auto"/>
        </w:rPr>
      </w:pPr>
      <w:r>
        <w:rPr>
          <w:rFonts w:hint="eastAsia" w:ascii="宋体" w:hAnsi="宋体"/>
          <w:color w:val="auto"/>
        </w:rPr>
        <w:t>3、</w:t>
      </w:r>
      <w:r>
        <w:rPr>
          <w:rFonts w:hint="eastAsia" w:ascii="宋体" w:hAnsi="宋体"/>
          <w:color w:val="auto"/>
          <w:szCs w:val="21"/>
        </w:rPr>
        <w:t>投标函及投标函附录</w:t>
      </w:r>
      <w:r>
        <w:rPr>
          <w:rFonts w:hint="eastAsia" w:ascii="宋体" w:hAnsi="宋体"/>
          <w:color w:val="auto"/>
        </w:rPr>
        <w:t>；</w:t>
      </w:r>
    </w:p>
    <w:p w14:paraId="1C8D1839">
      <w:pPr>
        <w:adjustRightInd w:val="0"/>
        <w:snapToGrid w:val="0"/>
        <w:spacing w:line="360" w:lineRule="auto"/>
        <w:ind w:firstLine="420" w:firstLineChars="200"/>
        <w:jc w:val="left"/>
        <w:rPr>
          <w:rFonts w:ascii="宋体" w:hAnsi="宋体"/>
          <w:color w:val="auto"/>
        </w:rPr>
      </w:pPr>
      <w:r>
        <w:rPr>
          <w:rFonts w:hint="eastAsia" w:ascii="宋体" w:hAnsi="宋体"/>
          <w:color w:val="auto"/>
        </w:rPr>
        <w:t>4、合同条款专用部分；</w:t>
      </w:r>
    </w:p>
    <w:p w14:paraId="780C15D6">
      <w:pPr>
        <w:adjustRightInd w:val="0"/>
        <w:snapToGrid w:val="0"/>
        <w:spacing w:line="360" w:lineRule="auto"/>
        <w:ind w:firstLine="420" w:firstLineChars="200"/>
        <w:jc w:val="left"/>
        <w:rPr>
          <w:rFonts w:ascii="宋体" w:hAnsi="宋体"/>
          <w:color w:val="auto"/>
        </w:rPr>
      </w:pPr>
      <w:r>
        <w:rPr>
          <w:rFonts w:hint="eastAsia" w:ascii="宋体" w:hAnsi="宋体"/>
          <w:color w:val="auto"/>
        </w:rPr>
        <w:t>5、合同条款通用部分；</w:t>
      </w:r>
    </w:p>
    <w:p w14:paraId="6A3E9529">
      <w:pPr>
        <w:adjustRightInd w:val="0"/>
        <w:snapToGrid w:val="0"/>
        <w:spacing w:line="360" w:lineRule="auto"/>
        <w:ind w:firstLine="420" w:firstLineChars="200"/>
        <w:jc w:val="left"/>
        <w:rPr>
          <w:rFonts w:ascii="宋体" w:hAnsi="宋体"/>
          <w:color w:val="auto"/>
        </w:rPr>
      </w:pPr>
      <w:r>
        <w:rPr>
          <w:rFonts w:hint="eastAsia" w:ascii="宋体" w:hAnsi="宋体"/>
          <w:color w:val="auto"/>
        </w:rPr>
        <w:t>6、</w:t>
      </w:r>
      <w:r>
        <w:rPr>
          <w:rFonts w:hint="eastAsia" w:ascii="宋体" w:hAnsi="宋体"/>
          <w:color w:val="auto"/>
          <w:szCs w:val="21"/>
        </w:rPr>
        <w:t>技术标准和要求；</w:t>
      </w:r>
    </w:p>
    <w:p w14:paraId="7315341C">
      <w:pPr>
        <w:adjustRightInd w:val="0"/>
        <w:snapToGrid w:val="0"/>
        <w:spacing w:line="360" w:lineRule="auto"/>
        <w:ind w:firstLine="420" w:firstLineChars="200"/>
        <w:jc w:val="left"/>
        <w:rPr>
          <w:rFonts w:ascii="宋体" w:hAnsi="宋体"/>
          <w:color w:val="auto"/>
        </w:rPr>
      </w:pPr>
      <w:r>
        <w:rPr>
          <w:rFonts w:hint="eastAsia" w:ascii="宋体" w:hAnsi="宋体"/>
          <w:color w:val="auto"/>
        </w:rPr>
        <w:t>7、图纸；</w:t>
      </w:r>
    </w:p>
    <w:p w14:paraId="7DEA33EF">
      <w:pPr>
        <w:adjustRightInd w:val="0"/>
        <w:snapToGrid w:val="0"/>
        <w:spacing w:line="360" w:lineRule="auto"/>
        <w:ind w:firstLine="420" w:firstLineChars="200"/>
        <w:jc w:val="left"/>
        <w:rPr>
          <w:rFonts w:ascii="宋体" w:hAnsi="宋体"/>
          <w:color w:val="auto"/>
        </w:rPr>
      </w:pPr>
      <w:r>
        <w:rPr>
          <w:rFonts w:hint="eastAsia" w:ascii="宋体" w:hAnsi="宋体"/>
          <w:color w:val="auto"/>
        </w:rPr>
        <w:t>8、已标价工程量清单；</w:t>
      </w:r>
    </w:p>
    <w:p w14:paraId="759DBE60">
      <w:pPr>
        <w:adjustRightInd w:val="0"/>
        <w:snapToGrid w:val="0"/>
        <w:spacing w:line="360" w:lineRule="auto"/>
        <w:ind w:firstLine="420" w:firstLineChars="200"/>
        <w:jc w:val="left"/>
        <w:rPr>
          <w:rFonts w:ascii="宋体" w:hAnsi="宋体"/>
          <w:color w:val="auto"/>
        </w:rPr>
      </w:pPr>
      <w:r>
        <w:rPr>
          <w:rFonts w:hint="eastAsia" w:ascii="宋体" w:hAnsi="宋体"/>
          <w:color w:val="auto"/>
        </w:rPr>
        <w:t>9、其他合同文件。</w:t>
      </w:r>
    </w:p>
    <w:p w14:paraId="5408256C">
      <w:pPr>
        <w:adjustRightInd w:val="0"/>
        <w:snapToGrid w:val="0"/>
        <w:spacing w:line="360" w:lineRule="auto"/>
        <w:ind w:firstLine="420" w:firstLineChars="200"/>
        <w:jc w:val="left"/>
        <w:rPr>
          <w:rFonts w:ascii="宋体" w:hAnsi="宋体"/>
          <w:color w:val="auto"/>
          <w:szCs w:val="21"/>
        </w:rPr>
      </w:pPr>
      <w:r>
        <w:rPr>
          <w:rFonts w:ascii="宋体" w:hAnsi="宋体"/>
          <w:color w:val="auto"/>
          <w:szCs w:val="21"/>
        </w:rPr>
        <w:t>上述文件互相补充和解释，如有不明确或不一致之处，以合同约定次序在先者为准。</w:t>
      </w:r>
    </w:p>
    <w:p w14:paraId="3505B339">
      <w:pPr>
        <w:adjustRightInd w:val="0"/>
        <w:snapToGrid w:val="0"/>
        <w:spacing w:line="360" w:lineRule="auto"/>
        <w:ind w:firstLine="420" w:firstLineChars="200"/>
        <w:jc w:val="left"/>
        <w:rPr>
          <w:rFonts w:ascii="宋体" w:hAnsi="宋体"/>
          <w:color w:val="auto"/>
        </w:rPr>
      </w:pPr>
      <w:r>
        <w:rPr>
          <w:rFonts w:hint="eastAsia" w:ascii="宋体" w:hAnsi="宋体"/>
          <w:color w:val="auto"/>
        </w:rPr>
        <w:t>十、本协议书中有关词语定义与合同条款中的定义相同。</w:t>
      </w:r>
    </w:p>
    <w:p w14:paraId="0F828554">
      <w:pPr>
        <w:adjustRightInd w:val="0"/>
        <w:snapToGrid w:val="0"/>
        <w:spacing w:line="360" w:lineRule="auto"/>
        <w:ind w:firstLine="420" w:firstLineChars="200"/>
        <w:jc w:val="left"/>
        <w:rPr>
          <w:rFonts w:ascii="宋体" w:hAnsi="宋体"/>
          <w:color w:val="auto"/>
        </w:rPr>
      </w:pPr>
      <w:r>
        <w:rPr>
          <w:rFonts w:hint="eastAsia" w:ascii="宋体" w:hAnsi="宋体"/>
          <w:color w:val="auto"/>
        </w:rPr>
        <w:t>十一、承包人承诺按照合同约定进行施工、竣工、交付并承担质量缺陷保修责任。</w:t>
      </w:r>
    </w:p>
    <w:p w14:paraId="3A302DE0">
      <w:pPr>
        <w:adjustRightInd w:val="0"/>
        <w:snapToGrid w:val="0"/>
        <w:spacing w:line="360" w:lineRule="auto"/>
        <w:ind w:firstLine="420" w:firstLineChars="200"/>
        <w:jc w:val="left"/>
        <w:rPr>
          <w:rFonts w:ascii="宋体" w:hAnsi="宋体"/>
          <w:color w:val="auto"/>
        </w:rPr>
      </w:pPr>
      <w:r>
        <w:rPr>
          <w:rFonts w:hint="eastAsia" w:ascii="宋体" w:hAnsi="宋体"/>
          <w:color w:val="auto"/>
        </w:rPr>
        <w:t>十二、发包人承诺按照合同约定的条件、期限和方式向承包人支付合同价款。</w:t>
      </w:r>
    </w:p>
    <w:p w14:paraId="092B54FD">
      <w:pPr>
        <w:adjustRightInd w:val="0"/>
        <w:snapToGrid w:val="0"/>
        <w:spacing w:line="360" w:lineRule="auto"/>
        <w:ind w:firstLine="420" w:firstLineChars="200"/>
        <w:jc w:val="left"/>
        <w:rPr>
          <w:rFonts w:ascii="宋体" w:hAnsi="宋体"/>
          <w:color w:val="auto"/>
        </w:rPr>
      </w:pPr>
      <w:r>
        <w:rPr>
          <w:rFonts w:hint="eastAsia" w:ascii="宋体" w:hAnsi="宋体"/>
          <w:color w:val="auto"/>
        </w:rPr>
        <w:t>十三、本协议书连同其他合同文件正本一式两份，合同双方各执一份；副本一式</w:t>
      </w:r>
      <w:r>
        <w:rPr>
          <w:rFonts w:ascii="宋体" w:hAnsi="宋体"/>
          <w:color w:val="auto"/>
        </w:rPr>
        <w:t>____</w:t>
      </w:r>
      <w:r>
        <w:rPr>
          <w:rFonts w:hint="eastAsia" w:ascii="宋体" w:hAnsi="宋体"/>
          <w:color w:val="auto"/>
        </w:rPr>
        <w:t>份，双方各执    份。</w:t>
      </w:r>
    </w:p>
    <w:p w14:paraId="7E6B3E42">
      <w:pPr>
        <w:adjustRightInd w:val="0"/>
        <w:snapToGrid w:val="0"/>
        <w:spacing w:line="360" w:lineRule="auto"/>
        <w:ind w:firstLine="420" w:firstLineChars="200"/>
        <w:jc w:val="left"/>
        <w:rPr>
          <w:rFonts w:ascii="宋体" w:hAnsi="宋体"/>
          <w:color w:val="auto"/>
        </w:rPr>
      </w:pPr>
      <w:r>
        <w:rPr>
          <w:rFonts w:hint="eastAsia" w:ascii="宋体" w:hAnsi="宋体"/>
          <w:color w:val="auto"/>
        </w:rPr>
        <w:t>十四、合同未尽事宜，双方另行签订补充协议，但不得背离本协议第九条所约定的合同文件的实质性内容。补充协议是合同文件的组成部分</w:t>
      </w:r>
      <w:r>
        <w:rPr>
          <w:rFonts w:ascii="宋体" w:hAnsi="宋体"/>
          <w:color w:val="auto"/>
        </w:rPr>
        <w:t>。</w:t>
      </w:r>
    </w:p>
    <w:p w14:paraId="73B8D918">
      <w:pPr>
        <w:adjustRightInd w:val="0"/>
        <w:snapToGrid w:val="0"/>
        <w:spacing w:line="360" w:lineRule="auto"/>
        <w:ind w:firstLine="420" w:firstLineChars="200"/>
        <w:jc w:val="left"/>
        <w:rPr>
          <w:rFonts w:ascii="宋体" w:hAnsi="宋体"/>
          <w:color w:val="auto"/>
          <w:szCs w:val="21"/>
        </w:rPr>
      </w:pPr>
    </w:p>
    <w:p w14:paraId="33F6348F">
      <w:pPr>
        <w:adjustRightInd w:val="0"/>
        <w:snapToGrid w:val="0"/>
        <w:spacing w:line="360" w:lineRule="auto"/>
        <w:ind w:firstLine="420" w:firstLineChars="200"/>
        <w:jc w:val="left"/>
        <w:rPr>
          <w:rFonts w:ascii="宋体" w:hAnsi="宋体"/>
          <w:bCs/>
          <w:color w:val="auto"/>
          <w:szCs w:val="21"/>
        </w:rPr>
      </w:pPr>
    </w:p>
    <w:p w14:paraId="7DCD4961">
      <w:pPr>
        <w:adjustRightInd w:val="0"/>
        <w:snapToGrid w:val="0"/>
        <w:spacing w:line="360" w:lineRule="auto"/>
        <w:jc w:val="left"/>
        <w:rPr>
          <w:rFonts w:ascii="宋体" w:hAnsi="宋体"/>
          <w:color w:val="auto"/>
          <w:szCs w:val="21"/>
        </w:rPr>
      </w:pPr>
      <w:r>
        <w:rPr>
          <w:rFonts w:ascii="宋体" w:hAnsi="宋体"/>
          <w:bCs/>
          <w:color w:val="auto"/>
          <w:szCs w:val="21"/>
        </w:rPr>
        <w:t>发包人：</w:t>
      </w:r>
      <w:r>
        <w:rPr>
          <w:rFonts w:ascii="宋体" w:hAnsi="宋体"/>
          <w:color w:val="auto"/>
          <w:szCs w:val="21"/>
        </w:rPr>
        <w:t>____________________（盖单位章）</w:t>
      </w:r>
      <w:r>
        <w:rPr>
          <w:rFonts w:hint="eastAsia" w:ascii="宋体" w:hAnsi="宋体"/>
          <w:color w:val="auto"/>
          <w:szCs w:val="21"/>
        </w:rPr>
        <w:t xml:space="preserve"> </w:t>
      </w:r>
      <w:r>
        <w:rPr>
          <w:rFonts w:ascii="宋体" w:hAnsi="宋体"/>
          <w:color w:val="auto"/>
          <w:szCs w:val="21"/>
        </w:rPr>
        <w:t xml:space="preserve">    </w:t>
      </w:r>
      <w:r>
        <w:rPr>
          <w:rFonts w:ascii="宋体" w:hAnsi="宋体"/>
          <w:bCs/>
          <w:color w:val="auto"/>
          <w:szCs w:val="21"/>
        </w:rPr>
        <w:t>承包人：</w:t>
      </w:r>
      <w:r>
        <w:rPr>
          <w:rFonts w:ascii="宋体" w:hAnsi="宋体"/>
          <w:color w:val="auto"/>
          <w:szCs w:val="21"/>
        </w:rPr>
        <w:t>___________________（盖单位章）</w:t>
      </w:r>
    </w:p>
    <w:p w14:paraId="69EBAAED">
      <w:pPr>
        <w:adjustRightInd w:val="0"/>
        <w:snapToGrid w:val="0"/>
        <w:spacing w:line="360" w:lineRule="auto"/>
        <w:jc w:val="left"/>
        <w:rPr>
          <w:rFonts w:ascii="宋体" w:hAnsi="宋体"/>
          <w:color w:val="auto"/>
          <w:szCs w:val="21"/>
        </w:rPr>
      </w:pPr>
    </w:p>
    <w:p w14:paraId="7B0F1951">
      <w:pPr>
        <w:adjustRightInd w:val="0"/>
        <w:snapToGrid w:val="0"/>
        <w:spacing w:line="360" w:lineRule="auto"/>
        <w:jc w:val="left"/>
        <w:rPr>
          <w:rFonts w:ascii="宋体" w:hAnsi="宋体"/>
          <w:color w:val="auto"/>
          <w:szCs w:val="21"/>
        </w:rPr>
      </w:pPr>
      <w:r>
        <w:rPr>
          <w:rFonts w:ascii="宋体" w:hAnsi="宋体"/>
          <w:bCs/>
          <w:color w:val="auto"/>
          <w:szCs w:val="21"/>
        </w:rPr>
        <w:t>法定代表人或其</w:t>
      </w:r>
      <w:r>
        <w:rPr>
          <w:rFonts w:hint="eastAsia" w:ascii="宋体" w:hAnsi="宋体"/>
          <w:bCs/>
          <w:color w:val="auto"/>
          <w:szCs w:val="21"/>
        </w:rPr>
        <w:t xml:space="preserve"> </w:t>
      </w:r>
      <w:r>
        <w:rPr>
          <w:rFonts w:ascii="宋体" w:hAnsi="宋体"/>
          <w:bCs/>
          <w:color w:val="auto"/>
          <w:szCs w:val="21"/>
        </w:rPr>
        <w:t xml:space="preserve">                          法定代表人或其</w:t>
      </w:r>
    </w:p>
    <w:p w14:paraId="1DD1774F">
      <w:pPr>
        <w:adjustRightInd w:val="0"/>
        <w:snapToGrid w:val="0"/>
        <w:spacing w:line="360" w:lineRule="auto"/>
        <w:jc w:val="left"/>
        <w:rPr>
          <w:rFonts w:ascii="宋体" w:hAnsi="宋体"/>
          <w:color w:val="auto"/>
          <w:szCs w:val="21"/>
        </w:rPr>
      </w:pPr>
      <w:r>
        <w:rPr>
          <w:rFonts w:hint="eastAsia" w:ascii="宋体" w:hAnsi="宋体"/>
          <w:bCs/>
          <w:color w:val="auto"/>
          <w:szCs w:val="21"/>
        </w:rPr>
        <w:t>委托代理人</w:t>
      </w:r>
      <w:r>
        <w:rPr>
          <w:rFonts w:ascii="宋体" w:hAnsi="宋体"/>
          <w:bCs/>
          <w:color w:val="auto"/>
          <w:szCs w:val="21"/>
        </w:rPr>
        <w:t>：</w:t>
      </w:r>
      <w:r>
        <w:rPr>
          <w:rFonts w:ascii="宋体" w:hAnsi="宋体"/>
          <w:color w:val="auto"/>
          <w:szCs w:val="21"/>
        </w:rPr>
        <w:t>___________________（签字）</w:t>
      </w:r>
      <w:r>
        <w:rPr>
          <w:rFonts w:hint="eastAsia" w:ascii="宋体" w:hAnsi="宋体"/>
          <w:color w:val="auto"/>
          <w:szCs w:val="21"/>
        </w:rPr>
        <w:t xml:space="preserve"> </w:t>
      </w:r>
      <w:r>
        <w:rPr>
          <w:rFonts w:ascii="宋体" w:hAnsi="宋体"/>
          <w:color w:val="auto"/>
          <w:szCs w:val="21"/>
        </w:rPr>
        <w:t xml:space="preserve"> </w:t>
      </w:r>
      <w:r>
        <w:rPr>
          <w:rFonts w:hint="eastAsia" w:ascii="宋体" w:hAnsi="宋体"/>
          <w:bCs/>
          <w:color w:val="auto"/>
          <w:szCs w:val="21"/>
        </w:rPr>
        <w:t>委托代理人</w:t>
      </w:r>
      <w:r>
        <w:rPr>
          <w:rFonts w:ascii="宋体" w:hAnsi="宋体"/>
          <w:bCs/>
          <w:color w:val="auto"/>
          <w:szCs w:val="21"/>
        </w:rPr>
        <w:t>：</w:t>
      </w:r>
      <w:r>
        <w:rPr>
          <w:rFonts w:ascii="宋体" w:hAnsi="宋体"/>
          <w:color w:val="auto"/>
          <w:szCs w:val="21"/>
        </w:rPr>
        <w:t>___________________（签字）</w:t>
      </w:r>
    </w:p>
    <w:p w14:paraId="48E9B972">
      <w:pPr>
        <w:adjustRightInd w:val="0"/>
        <w:snapToGrid w:val="0"/>
        <w:spacing w:line="360" w:lineRule="auto"/>
        <w:jc w:val="left"/>
        <w:rPr>
          <w:rFonts w:ascii="宋体" w:hAnsi="宋体"/>
          <w:color w:val="auto"/>
          <w:szCs w:val="21"/>
        </w:rPr>
      </w:pPr>
    </w:p>
    <w:p w14:paraId="1B7B897F">
      <w:pPr>
        <w:adjustRightInd w:val="0"/>
        <w:snapToGrid w:val="0"/>
        <w:spacing w:line="360" w:lineRule="auto"/>
        <w:jc w:val="left"/>
        <w:rPr>
          <w:rFonts w:ascii="宋体" w:hAnsi="宋体"/>
          <w:color w:val="auto"/>
          <w:szCs w:val="21"/>
        </w:rPr>
      </w:pPr>
      <w:r>
        <w:rPr>
          <w:rFonts w:ascii="宋体" w:hAnsi="宋体"/>
          <w:color w:val="auto"/>
          <w:szCs w:val="21"/>
        </w:rPr>
        <w:t>__________年____月______日_________年____月_____日</w:t>
      </w:r>
    </w:p>
    <w:p w14:paraId="2ECE9635">
      <w:pPr>
        <w:adjustRightInd w:val="0"/>
        <w:snapToGrid w:val="0"/>
        <w:spacing w:line="360" w:lineRule="auto"/>
        <w:jc w:val="left"/>
        <w:rPr>
          <w:rFonts w:ascii="宋体" w:hAnsi="宋体"/>
          <w:color w:val="auto"/>
          <w:szCs w:val="21"/>
        </w:rPr>
      </w:pPr>
    </w:p>
    <w:p w14:paraId="00220C87">
      <w:pPr>
        <w:adjustRightInd w:val="0"/>
        <w:snapToGrid w:val="0"/>
        <w:spacing w:line="360" w:lineRule="auto"/>
        <w:jc w:val="left"/>
        <w:rPr>
          <w:rFonts w:ascii="宋体" w:hAnsi="宋体"/>
          <w:color w:val="auto"/>
          <w:szCs w:val="21"/>
        </w:rPr>
      </w:pPr>
      <w:r>
        <w:rPr>
          <w:rFonts w:hint="eastAsia" w:ascii="宋体" w:hAnsi="宋体"/>
          <w:color w:val="auto"/>
          <w:szCs w:val="21"/>
        </w:rPr>
        <w:t>签约地点：</w:t>
      </w:r>
      <w:r>
        <w:rPr>
          <w:rFonts w:ascii="宋体" w:hAnsi="宋体"/>
          <w:color w:val="auto"/>
          <w:szCs w:val="21"/>
        </w:rPr>
        <w:t>___</w:t>
      </w:r>
      <w:r>
        <w:rPr>
          <w:rFonts w:hint="eastAsia" w:ascii="宋体" w:hAnsi="宋体"/>
          <w:color w:val="auto"/>
          <w:szCs w:val="21"/>
        </w:rPr>
        <w:t>北京市昌平区</w:t>
      </w:r>
      <w:r>
        <w:rPr>
          <w:rFonts w:ascii="宋体" w:hAnsi="宋体"/>
          <w:color w:val="auto"/>
          <w:szCs w:val="21"/>
        </w:rPr>
        <w:t>________________________________</w:t>
      </w:r>
    </w:p>
    <w:p w14:paraId="6E14884E">
      <w:pPr>
        <w:rPr>
          <w:color w:val="auto"/>
        </w:rPr>
      </w:pPr>
      <w:r>
        <w:rPr>
          <w:color w:val="auto"/>
        </w:rPr>
        <w:br w:type="page"/>
      </w:r>
    </w:p>
    <w:p w14:paraId="71BFB133">
      <w:pPr>
        <w:adjustRightInd w:val="0"/>
        <w:snapToGrid w:val="0"/>
        <w:spacing w:line="360" w:lineRule="auto"/>
        <w:outlineLvl w:val="1"/>
        <w:rPr>
          <w:rFonts w:ascii="宋体" w:hAnsi="宋体"/>
          <w:color w:val="auto"/>
          <w:sz w:val="24"/>
        </w:rPr>
      </w:pPr>
      <w:bookmarkStart w:id="1220" w:name="_Toc17710"/>
      <w:bookmarkStart w:id="1221" w:name="_Toc11428"/>
      <w:r>
        <w:rPr>
          <w:rFonts w:hint="eastAsia" w:ascii="宋体" w:hAnsi="宋体"/>
          <w:color w:val="auto"/>
          <w:sz w:val="24"/>
        </w:rPr>
        <w:t>附件二：承包人承揽工程项目一览表</w:t>
      </w:r>
      <w:bookmarkEnd w:id="1220"/>
      <w:bookmarkEnd w:id="1221"/>
    </w:p>
    <w:p w14:paraId="3019C075">
      <w:pPr>
        <w:adjustRightInd w:val="0"/>
        <w:snapToGrid w:val="0"/>
        <w:spacing w:line="360" w:lineRule="auto"/>
        <w:jc w:val="center"/>
        <w:rPr>
          <w:rFonts w:ascii="宋体" w:hAnsi="宋体"/>
          <w:color w:val="auto"/>
          <w:sz w:val="28"/>
          <w:szCs w:val="28"/>
        </w:rPr>
      </w:pPr>
      <w:r>
        <w:rPr>
          <w:rFonts w:hint="eastAsia" w:ascii="宋体" w:hAnsi="宋体"/>
          <w:b/>
          <w:color w:val="auto"/>
          <w:sz w:val="28"/>
          <w:szCs w:val="28"/>
        </w:rPr>
        <w:t>承包人承揽工程项目一览表</w:t>
      </w:r>
    </w:p>
    <w:tbl>
      <w:tblPr>
        <w:tblStyle w:val="42"/>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9"/>
        <w:gridCol w:w="839"/>
        <w:gridCol w:w="1224"/>
        <w:gridCol w:w="555"/>
        <w:gridCol w:w="555"/>
        <w:gridCol w:w="776"/>
        <w:gridCol w:w="1222"/>
        <w:gridCol w:w="776"/>
        <w:gridCol w:w="776"/>
        <w:gridCol w:w="774"/>
      </w:tblGrid>
      <w:tr w14:paraId="45528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9" w:type="dxa"/>
            <w:shd w:val="clear" w:color="auto" w:fill="auto"/>
            <w:vAlign w:val="center"/>
          </w:tcPr>
          <w:p w14:paraId="09B5EF0F">
            <w:pPr>
              <w:adjustRightInd w:val="0"/>
              <w:snapToGrid w:val="0"/>
              <w:spacing w:line="360" w:lineRule="auto"/>
              <w:jc w:val="center"/>
              <w:rPr>
                <w:rFonts w:ascii="宋体" w:hAnsi="宋体"/>
                <w:color w:val="auto"/>
              </w:rPr>
            </w:pPr>
            <w:r>
              <w:rPr>
                <w:rFonts w:hint="eastAsia" w:ascii="宋体" w:hAnsi="宋体"/>
                <w:color w:val="auto"/>
              </w:rPr>
              <w:t>单位工程</w:t>
            </w:r>
          </w:p>
          <w:p w14:paraId="19DB58E7">
            <w:pPr>
              <w:adjustRightInd w:val="0"/>
              <w:snapToGrid w:val="0"/>
              <w:spacing w:line="360" w:lineRule="auto"/>
              <w:jc w:val="center"/>
              <w:rPr>
                <w:rFonts w:ascii="宋体" w:hAnsi="宋体"/>
                <w:color w:val="auto"/>
              </w:rPr>
            </w:pPr>
            <w:r>
              <w:rPr>
                <w:rFonts w:hint="eastAsia" w:ascii="宋体" w:hAnsi="宋体"/>
                <w:color w:val="auto"/>
              </w:rPr>
              <w:t>名称</w:t>
            </w:r>
          </w:p>
        </w:tc>
        <w:tc>
          <w:tcPr>
            <w:tcW w:w="839" w:type="dxa"/>
            <w:shd w:val="clear" w:color="auto" w:fill="auto"/>
            <w:vAlign w:val="center"/>
          </w:tcPr>
          <w:p w14:paraId="427BE749">
            <w:pPr>
              <w:adjustRightInd w:val="0"/>
              <w:snapToGrid w:val="0"/>
              <w:spacing w:line="360" w:lineRule="auto"/>
              <w:jc w:val="center"/>
              <w:rPr>
                <w:rFonts w:ascii="宋体" w:hAnsi="宋体"/>
                <w:color w:val="auto"/>
              </w:rPr>
            </w:pPr>
            <w:r>
              <w:rPr>
                <w:rFonts w:hint="eastAsia" w:ascii="宋体" w:hAnsi="宋体"/>
                <w:color w:val="auto"/>
              </w:rPr>
              <w:t>建设</w:t>
            </w:r>
          </w:p>
          <w:p w14:paraId="1C2C5A11">
            <w:pPr>
              <w:adjustRightInd w:val="0"/>
              <w:snapToGrid w:val="0"/>
              <w:spacing w:line="360" w:lineRule="auto"/>
              <w:jc w:val="center"/>
              <w:rPr>
                <w:rFonts w:ascii="宋体" w:hAnsi="宋体"/>
                <w:color w:val="auto"/>
              </w:rPr>
            </w:pPr>
            <w:r>
              <w:rPr>
                <w:rFonts w:hint="eastAsia" w:ascii="宋体" w:hAnsi="宋体"/>
                <w:color w:val="auto"/>
              </w:rPr>
              <w:t>规模</w:t>
            </w:r>
          </w:p>
        </w:tc>
        <w:tc>
          <w:tcPr>
            <w:tcW w:w="1224" w:type="dxa"/>
            <w:shd w:val="clear" w:color="auto" w:fill="auto"/>
            <w:vAlign w:val="center"/>
          </w:tcPr>
          <w:p w14:paraId="57B077A5">
            <w:pPr>
              <w:adjustRightInd w:val="0"/>
              <w:snapToGrid w:val="0"/>
              <w:spacing w:line="360" w:lineRule="auto"/>
              <w:jc w:val="center"/>
              <w:rPr>
                <w:rFonts w:ascii="宋体" w:hAnsi="宋体"/>
                <w:color w:val="auto"/>
              </w:rPr>
            </w:pPr>
            <w:r>
              <w:rPr>
                <w:rFonts w:hint="eastAsia" w:ascii="宋体" w:hAnsi="宋体"/>
                <w:color w:val="auto"/>
              </w:rPr>
              <w:t>建筑面积</w:t>
            </w:r>
          </w:p>
          <w:p w14:paraId="324BA383">
            <w:pPr>
              <w:adjustRightInd w:val="0"/>
              <w:snapToGrid w:val="0"/>
              <w:spacing w:line="360" w:lineRule="auto"/>
              <w:jc w:val="center"/>
              <w:rPr>
                <w:rFonts w:ascii="宋体" w:hAnsi="宋体"/>
                <w:color w:val="auto"/>
              </w:rPr>
            </w:pPr>
            <w:r>
              <w:rPr>
                <w:rFonts w:ascii="宋体" w:hAnsi="宋体"/>
                <w:color w:val="auto"/>
              </w:rPr>
              <w:t>(</w:t>
            </w:r>
            <w:r>
              <w:rPr>
                <w:rFonts w:hint="eastAsia" w:ascii="宋体" w:hAnsi="宋体"/>
                <w:color w:val="auto"/>
              </w:rPr>
              <w:t>平方米</w:t>
            </w:r>
            <w:r>
              <w:rPr>
                <w:rFonts w:ascii="宋体" w:hAnsi="宋体"/>
                <w:color w:val="auto"/>
              </w:rPr>
              <w:t>)</w:t>
            </w:r>
          </w:p>
        </w:tc>
        <w:tc>
          <w:tcPr>
            <w:tcW w:w="555" w:type="dxa"/>
            <w:shd w:val="clear" w:color="auto" w:fill="auto"/>
            <w:vAlign w:val="center"/>
          </w:tcPr>
          <w:p w14:paraId="117C7E6B">
            <w:pPr>
              <w:adjustRightInd w:val="0"/>
              <w:snapToGrid w:val="0"/>
              <w:spacing w:line="360" w:lineRule="auto"/>
              <w:jc w:val="center"/>
              <w:rPr>
                <w:rFonts w:ascii="宋体" w:hAnsi="宋体"/>
                <w:color w:val="auto"/>
              </w:rPr>
            </w:pPr>
            <w:r>
              <w:rPr>
                <w:rFonts w:hint="eastAsia" w:ascii="宋体" w:hAnsi="宋体"/>
                <w:color w:val="auto"/>
              </w:rPr>
              <w:t>结</w:t>
            </w:r>
          </w:p>
          <w:p w14:paraId="2A7806AA">
            <w:pPr>
              <w:adjustRightInd w:val="0"/>
              <w:snapToGrid w:val="0"/>
              <w:spacing w:line="360" w:lineRule="auto"/>
              <w:jc w:val="center"/>
              <w:rPr>
                <w:rFonts w:ascii="宋体" w:hAnsi="宋体"/>
                <w:color w:val="auto"/>
              </w:rPr>
            </w:pPr>
            <w:r>
              <w:rPr>
                <w:rFonts w:hint="eastAsia" w:ascii="宋体" w:hAnsi="宋体"/>
                <w:color w:val="auto"/>
              </w:rPr>
              <w:t>构</w:t>
            </w:r>
          </w:p>
        </w:tc>
        <w:tc>
          <w:tcPr>
            <w:tcW w:w="555" w:type="dxa"/>
            <w:shd w:val="clear" w:color="auto" w:fill="auto"/>
            <w:vAlign w:val="center"/>
          </w:tcPr>
          <w:p w14:paraId="61F8E917">
            <w:pPr>
              <w:adjustRightInd w:val="0"/>
              <w:snapToGrid w:val="0"/>
              <w:spacing w:line="360" w:lineRule="auto"/>
              <w:jc w:val="center"/>
              <w:rPr>
                <w:rFonts w:ascii="宋体" w:hAnsi="宋体"/>
                <w:color w:val="auto"/>
              </w:rPr>
            </w:pPr>
            <w:r>
              <w:rPr>
                <w:rFonts w:hint="eastAsia" w:ascii="宋体" w:hAnsi="宋体"/>
                <w:color w:val="auto"/>
              </w:rPr>
              <w:t>层</w:t>
            </w:r>
          </w:p>
          <w:p w14:paraId="571A4B2E">
            <w:pPr>
              <w:adjustRightInd w:val="0"/>
              <w:snapToGrid w:val="0"/>
              <w:spacing w:line="360" w:lineRule="auto"/>
              <w:jc w:val="center"/>
              <w:rPr>
                <w:rFonts w:ascii="宋体" w:hAnsi="宋体"/>
                <w:color w:val="auto"/>
              </w:rPr>
            </w:pPr>
            <w:r>
              <w:rPr>
                <w:rFonts w:hint="eastAsia" w:ascii="宋体" w:hAnsi="宋体"/>
                <w:color w:val="auto"/>
              </w:rPr>
              <w:t>数</w:t>
            </w:r>
          </w:p>
        </w:tc>
        <w:tc>
          <w:tcPr>
            <w:tcW w:w="776" w:type="dxa"/>
            <w:shd w:val="clear" w:color="auto" w:fill="auto"/>
            <w:vAlign w:val="center"/>
          </w:tcPr>
          <w:p w14:paraId="2D322393">
            <w:pPr>
              <w:adjustRightInd w:val="0"/>
              <w:snapToGrid w:val="0"/>
              <w:spacing w:line="360" w:lineRule="auto"/>
              <w:jc w:val="center"/>
              <w:rPr>
                <w:rFonts w:ascii="宋体" w:hAnsi="宋体"/>
                <w:color w:val="auto"/>
              </w:rPr>
            </w:pPr>
            <w:r>
              <w:rPr>
                <w:rFonts w:hint="eastAsia" w:ascii="宋体" w:hAnsi="宋体"/>
                <w:color w:val="auto"/>
              </w:rPr>
              <w:t>跨度</w:t>
            </w:r>
            <w:r>
              <w:rPr>
                <w:rFonts w:ascii="宋体" w:hAnsi="宋体"/>
                <w:color w:val="auto"/>
              </w:rPr>
              <w:t>(</w:t>
            </w:r>
            <w:r>
              <w:rPr>
                <w:rFonts w:hint="eastAsia" w:ascii="宋体" w:hAnsi="宋体"/>
                <w:color w:val="auto"/>
              </w:rPr>
              <w:t>米</w:t>
            </w:r>
            <w:r>
              <w:rPr>
                <w:rFonts w:ascii="宋体" w:hAnsi="宋体"/>
                <w:color w:val="auto"/>
              </w:rPr>
              <w:t>)</w:t>
            </w:r>
          </w:p>
        </w:tc>
        <w:tc>
          <w:tcPr>
            <w:tcW w:w="1222" w:type="dxa"/>
            <w:shd w:val="clear" w:color="auto" w:fill="auto"/>
            <w:vAlign w:val="center"/>
          </w:tcPr>
          <w:p w14:paraId="69046CC7">
            <w:pPr>
              <w:adjustRightInd w:val="0"/>
              <w:snapToGrid w:val="0"/>
              <w:spacing w:line="360" w:lineRule="auto"/>
              <w:jc w:val="center"/>
              <w:rPr>
                <w:rFonts w:ascii="宋体" w:hAnsi="宋体"/>
                <w:color w:val="auto"/>
              </w:rPr>
            </w:pPr>
            <w:r>
              <w:rPr>
                <w:rFonts w:hint="eastAsia" w:ascii="宋体" w:hAnsi="宋体"/>
                <w:color w:val="auto"/>
              </w:rPr>
              <w:t>设备安装</w:t>
            </w:r>
          </w:p>
          <w:p w14:paraId="0BFD2492">
            <w:pPr>
              <w:adjustRightInd w:val="0"/>
              <w:snapToGrid w:val="0"/>
              <w:spacing w:line="360" w:lineRule="auto"/>
              <w:jc w:val="center"/>
              <w:rPr>
                <w:rFonts w:ascii="宋体" w:hAnsi="宋体"/>
                <w:color w:val="auto"/>
              </w:rPr>
            </w:pPr>
            <w:r>
              <w:rPr>
                <w:rFonts w:hint="eastAsia" w:ascii="宋体" w:hAnsi="宋体"/>
                <w:color w:val="auto"/>
              </w:rPr>
              <w:t>内容</w:t>
            </w:r>
          </w:p>
        </w:tc>
        <w:tc>
          <w:tcPr>
            <w:tcW w:w="776" w:type="dxa"/>
            <w:shd w:val="clear" w:color="auto" w:fill="auto"/>
            <w:vAlign w:val="center"/>
          </w:tcPr>
          <w:p w14:paraId="3D4B2EFF">
            <w:pPr>
              <w:adjustRightInd w:val="0"/>
              <w:snapToGrid w:val="0"/>
              <w:spacing w:line="360" w:lineRule="auto"/>
              <w:jc w:val="center"/>
              <w:rPr>
                <w:rFonts w:ascii="宋体" w:hAnsi="宋体"/>
                <w:color w:val="auto"/>
              </w:rPr>
            </w:pPr>
            <w:r>
              <w:rPr>
                <w:rFonts w:hint="eastAsia" w:ascii="宋体" w:hAnsi="宋体"/>
                <w:color w:val="auto"/>
              </w:rPr>
              <w:t>工程造价</w:t>
            </w:r>
          </w:p>
          <w:p w14:paraId="3CB4AF4F">
            <w:pPr>
              <w:adjustRightInd w:val="0"/>
              <w:snapToGrid w:val="0"/>
              <w:spacing w:line="360" w:lineRule="auto"/>
              <w:jc w:val="center"/>
              <w:rPr>
                <w:rFonts w:ascii="宋体" w:hAnsi="宋体"/>
                <w:color w:val="auto"/>
              </w:rPr>
            </w:pPr>
            <w:r>
              <w:rPr>
                <w:rFonts w:ascii="宋体" w:hAnsi="宋体"/>
                <w:color w:val="auto"/>
              </w:rPr>
              <w:t>(</w:t>
            </w:r>
            <w:r>
              <w:rPr>
                <w:rFonts w:hint="eastAsia" w:ascii="宋体" w:hAnsi="宋体"/>
                <w:color w:val="auto"/>
              </w:rPr>
              <w:t>元</w:t>
            </w:r>
            <w:r>
              <w:rPr>
                <w:rFonts w:ascii="宋体" w:hAnsi="宋体"/>
                <w:color w:val="auto"/>
              </w:rPr>
              <w:t>)</w:t>
            </w:r>
          </w:p>
        </w:tc>
        <w:tc>
          <w:tcPr>
            <w:tcW w:w="776" w:type="dxa"/>
            <w:shd w:val="clear" w:color="auto" w:fill="auto"/>
            <w:vAlign w:val="center"/>
          </w:tcPr>
          <w:p w14:paraId="315B4328">
            <w:pPr>
              <w:adjustRightInd w:val="0"/>
              <w:snapToGrid w:val="0"/>
              <w:spacing w:line="360" w:lineRule="auto"/>
              <w:jc w:val="center"/>
              <w:rPr>
                <w:rFonts w:ascii="宋体" w:hAnsi="宋体"/>
                <w:color w:val="auto"/>
              </w:rPr>
            </w:pPr>
            <w:r>
              <w:rPr>
                <w:rFonts w:hint="eastAsia" w:ascii="宋体" w:hAnsi="宋体"/>
                <w:color w:val="auto"/>
              </w:rPr>
              <w:t>开工</w:t>
            </w:r>
          </w:p>
          <w:p w14:paraId="6B53EFEA">
            <w:pPr>
              <w:adjustRightInd w:val="0"/>
              <w:snapToGrid w:val="0"/>
              <w:spacing w:line="360" w:lineRule="auto"/>
              <w:jc w:val="center"/>
              <w:rPr>
                <w:rFonts w:ascii="宋体" w:hAnsi="宋体"/>
                <w:color w:val="auto"/>
              </w:rPr>
            </w:pPr>
            <w:r>
              <w:rPr>
                <w:rFonts w:hint="eastAsia" w:ascii="宋体" w:hAnsi="宋体"/>
                <w:color w:val="auto"/>
              </w:rPr>
              <w:t>日期</w:t>
            </w:r>
          </w:p>
        </w:tc>
        <w:tc>
          <w:tcPr>
            <w:tcW w:w="774" w:type="dxa"/>
            <w:shd w:val="clear" w:color="auto" w:fill="auto"/>
            <w:vAlign w:val="center"/>
          </w:tcPr>
          <w:p w14:paraId="5E2F7CC6">
            <w:pPr>
              <w:adjustRightInd w:val="0"/>
              <w:snapToGrid w:val="0"/>
              <w:spacing w:line="360" w:lineRule="auto"/>
              <w:jc w:val="center"/>
              <w:rPr>
                <w:rFonts w:ascii="宋体" w:hAnsi="宋体"/>
                <w:color w:val="auto"/>
              </w:rPr>
            </w:pPr>
            <w:r>
              <w:rPr>
                <w:rFonts w:hint="eastAsia" w:ascii="宋体" w:hAnsi="宋体"/>
                <w:color w:val="auto"/>
              </w:rPr>
              <w:t>竣工</w:t>
            </w:r>
          </w:p>
          <w:p w14:paraId="63547CE5">
            <w:pPr>
              <w:adjustRightInd w:val="0"/>
              <w:snapToGrid w:val="0"/>
              <w:spacing w:line="360" w:lineRule="auto"/>
              <w:jc w:val="center"/>
              <w:rPr>
                <w:rFonts w:ascii="宋体" w:hAnsi="宋体"/>
                <w:color w:val="auto"/>
              </w:rPr>
            </w:pPr>
            <w:r>
              <w:rPr>
                <w:rFonts w:hint="eastAsia" w:ascii="宋体" w:hAnsi="宋体"/>
                <w:color w:val="auto"/>
              </w:rPr>
              <w:t>日期</w:t>
            </w:r>
          </w:p>
        </w:tc>
      </w:tr>
      <w:tr w14:paraId="3EE2C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9" w:type="dxa"/>
            <w:shd w:val="clear" w:color="auto" w:fill="auto"/>
            <w:vAlign w:val="center"/>
          </w:tcPr>
          <w:p w14:paraId="4CDB5271">
            <w:pPr>
              <w:adjustRightInd w:val="0"/>
              <w:snapToGrid w:val="0"/>
              <w:spacing w:line="360" w:lineRule="auto"/>
              <w:jc w:val="center"/>
              <w:rPr>
                <w:rFonts w:ascii="宋体" w:hAnsi="宋体"/>
                <w:color w:val="auto"/>
              </w:rPr>
            </w:pPr>
            <w:r>
              <w:rPr>
                <w:rFonts w:hint="eastAsia" w:ascii="宋体" w:hAnsi="宋体"/>
                <w:color w:val="auto"/>
              </w:rPr>
              <w:t>　</w:t>
            </w:r>
          </w:p>
        </w:tc>
        <w:tc>
          <w:tcPr>
            <w:tcW w:w="839" w:type="dxa"/>
            <w:shd w:val="clear" w:color="auto" w:fill="auto"/>
            <w:vAlign w:val="center"/>
          </w:tcPr>
          <w:p w14:paraId="2CF6F60A">
            <w:pPr>
              <w:adjustRightInd w:val="0"/>
              <w:snapToGrid w:val="0"/>
              <w:spacing w:line="360" w:lineRule="auto"/>
              <w:jc w:val="center"/>
              <w:rPr>
                <w:rFonts w:ascii="宋体" w:hAnsi="宋体"/>
                <w:color w:val="auto"/>
              </w:rPr>
            </w:pPr>
          </w:p>
        </w:tc>
        <w:tc>
          <w:tcPr>
            <w:tcW w:w="1224" w:type="dxa"/>
            <w:shd w:val="clear" w:color="auto" w:fill="auto"/>
            <w:vAlign w:val="center"/>
          </w:tcPr>
          <w:p w14:paraId="0A8EB056">
            <w:pPr>
              <w:adjustRightInd w:val="0"/>
              <w:snapToGrid w:val="0"/>
              <w:spacing w:line="360" w:lineRule="auto"/>
              <w:jc w:val="center"/>
              <w:rPr>
                <w:rFonts w:ascii="宋体" w:hAnsi="宋体"/>
                <w:color w:val="auto"/>
              </w:rPr>
            </w:pPr>
          </w:p>
        </w:tc>
        <w:tc>
          <w:tcPr>
            <w:tcW w:w="555" w:type="dxa"/>
            <w:shd w:val="clear" w:color="auto" w:fill="auto"/>
            <w:vAlign w:val="center"/>
          </w:tcPr>
          <w:p w14:paraId="2961E674">
            <w:pPr>
              <w:adjustRightInd w:val="0"/>
              <w:snapToGrid w:val="0"/>
              <w:spacing w:line="360" w:lineRule="auto"/>
              <w:jc w:val="center"/>
              <w:rPr>
                <w:rFonts w:ascii="宋体" w:hAnsi="宋体"/>
                <w:color w:val="auto"/>
              </w:rPr>
            </w:pPr>
          </w:p>
        </w:tc>
        <w:tc>
          <w:tcPr>
            <w:tcW w:w="555" w:type="dxa"/>
            <w:shd w:val="clear" w:color="auto" w:fill="auto"/>
            <w:vAlign w:val="center"/>
          </w:tcPr>
          <w:p w14:paraId="4133696E">
            <w:pPr>
              <w:adjustRightInd w:val="0"/>
              <w:snapToGrid w:val="0"/>
              <w:spacing w:line="360" w:lineRule="auto"/>
              <w:jc w:val="center"/>
              <w:rPr>
                <w:rFonts w:ascii="宋体" w:hAnsi="宋体"/>
                <w:color w:val="auto"/>
              </w:rPr>
            </w:pPr>
          </w:p>
        </w:tc>
        <w:tc>
          <w:tcPr>
            <w:tcW w:w="776" w:type="dxa"/>
            <w:shd w:val="clear" w:color="auto" w:fill="auto"/>
            <w:vAlign w:val="center"/>
          </w:tcPr>
          <w:p w14:paraId="4D59D0D5">
            <w:pPr>
              <w:adjustRightInd w:val="0"/>
              <w:snapToGrid w:val="0"/>
              <w:spacing w:line="360" w:lineRule="auto"/>
              <w:jc w:val="center"/>
              <w:rPr>
                <w:rFonts w:ascii="宋体" w:hAnsi="宋体"/>
                <w:color w:val="auto"/>
              </w:rPr>
            </w:pPr>
          </w:p>
        </w:tc>
        <w:tc>
          <w:tcPr>
            <w:tcW w:w="1222" w:type="dxa"/>
            <w:shd w:val="clear" w:color="auto" w:fill="auto"/>
            <w:vAlign w:val="center"/>
          </w:tcPr>
          <w:p w14:paraId="36015FC6">
            <w:pPr>
              <w:adjustRightInd w:val="0"/>
              <w:snapToGrid w:val="0"/>
              <w:spacing w:line="360" w:lineRule="auto"/>
              <w:jc w:val="center"/>
              <w:rPr>
                <w:rFonts w:ascii="宋体" w:hAnsi="宋体"/>
                <w:color w:val="auto"/>
              </w:rPr>
            </w:pPr>
          </w:p>
        </w:tc>
        <w:tc>
          <w:tcPr>
            <w:tcW w:w="776" w:type="dxa"/>
            <w:shd w:val="clear" w:color="auto" w:fill="auto"/>
            <w:vAlign w:val="center"/>
          </w:tcPr>
          <w:p w14:paraId="558CE648">
            <w:pPr>
              <w:adjustRightInd w:val="0"/>
              <w:snapToGrid w:val="0"/>
              <w:spacing w:line="360" w:lineRule="auto"/>
              <w:jc w:val="center"/>
              <w:rPr>
                <w:rFonts w:ascii="宋体" w:hAnsi="宋体"/>
                <w:color w:val="auto"/>
              </w:rPr>
            </w:pPr>
          </w:p>
        </w:tc>
        <w:tc>
          <w:tcPr>
            <w:tcW w:w="776" w:type="dxa"/>
            <w:shd w:val="clear" w:color="auto" w:fill="auto"/>
            <w:vAlign w:val="center"/>
          </w:tcPr>
          <w:p w14:paraId="75A6828F">
            <w:pPr>
              <w:adjustRightInd w:val="0"/>
              <w:snapToGrid w:val="0"/>
              <w:spacing w:line="360" w:lineRule="auto"/>
              <w:jc w:val="center"/>
              <w:rPr>
                <w:rFonts w:ascii="宋体" w:hAnsi="宋体"/>
                <w:color w:val="auto"/>
              </w:rPr>
            </w:pPr>
          </w:p>
        </w:tc>
        <w:tc>
          <w:tcPr>
            <w:tcW w:w="774" w:type="dxa"/>
            <w:shd w:val="clear" w:color="auto" w:fill="auto"/>
            <w:vAlign w:val="center"/>
          </w:tcPr>
          <w:p w14:paraId="072EDD60">
            <w:pPr>
              <w:adjustRightInd w:val="0"/>
              <w:snapToGrid w:val="0"/>
              <w:spacing w:line="360" w:lineRule="auto"/>
              <w:jc w:val="center"/>
              <w:rPr>
                <w:rFonts w:ascii="宋体" w:hAnsi="宋体"/>
                <w:color w:val="auto"/>
              </w:rPr>
            </w:pPr>
          </w:p>
        </w:tc>
      </w:tr>
      <w:tr w14:paraId="340EC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9" w:type="dxa"/>
            <w:shd w:val="clear" w:color="auto" w:fill="auto"/>
            <w:vAlign w:val="center"/>
          </w:tcPr>
          <w:p w14:paraId="25727058">
            <w:pPr>
              <w:adjustRightInd w:val="0"/>
              <w:snapToGrid w:val="0"/>
              <w:spacing w:line="360" w:lineRule="auto"/>
              <w:jc w:val="center"/>
              <w:rPr>
                <w:rFonts w:ascii="宋体" w:hAnsi="宋体"/>
                <w:color w:val="auto"/>
              </w:rPr>
            </w:pPr>
            <w:r>
              <w:rPr>
                <w:rFonts w:hint="eastAsia" w:ascii="宋体" w:hAnsi="宋体"/>
                <w:color w:val="auto"/>
              </w:rPr>
              <w:t>　</w:t>
            </w:r>
          </w:p>
        </w:tc>
        <w:tc>
          <w:tcPr>
            <w:tcW w:w="839" w:type="dxa"/>
            <w:shd w:val="clear" w:color="auto" w:fill="auto"/>
            <w:vAlign w:val="center"/>
          </w:tcPr>
          <w:p w14:paraId="5A8E449C">
            <w:pPr>
              <w:adjustRightInd w:val="0"/>
              <w:snapToGrid w:val="0"/>
              <w:spacing w:line="360" w:lineRule="auto"/>
              <w:jc w:val="center"/>
              <w:rPr>
                <w:rFonts w:ascii="宋体" w:hAnsi="宋体"/>
                <w:color w:val="auto"/>
              </w:rPr>
            </w:pPr>
          </w:p>
        </w:tc>
        <w:tc>
          <w:tcPr>
            <w:tcW w:w="1224" w:type="dxa"/>
            <w:shd w:val="clear" w:color="auto" w:fill="auto"/>
            <w:vAlign w:val="center"/>
          </w:tcPr>
          <w:p w14:paraId="4F7A8D2D">
            <w:pPr>
              <w:adjustRightInd w:val="0"/>
              <w:snapToGrid w:val="0"/>
              <w:spacing w:line="360" w:lineRule="auto"/>
              <w:jc w:val="center"/>
              <w:rPr>
                <w:rFonts w:ascii="宋体" w:hAnsi="宋体"/>
                <w:color w:val="auto"/>
              </w:rPr>
            </w:pPr>
          </w:p>
        </w:tc>
        <w:tc>
          <w:tcPr>
            <w:tcW w:w="555" w:type="dxa"/>
            <w:shd w:val="clear" w:color="auto" w:fill="auto"/>
            <w:vAlign w:val="center"/>
          </w:tcPr>
          <w:p w14:paraId="368A18C2">
            <w:pPr>
              <w:adjustRightInd w:val="0"/>
              <w:snapToGrid w:val="0"/>
              <w:spacing w:line="360" w:lineRule="auto"/>
              <w:jc w:val="center"/>
              <w:rPr>
                <w:rFonts w:ascii="宋体" w:hAnsi="宋体"/>
                <w:color w:val="auto"/>
              </w:rPr>
            </w:pPr>
          </w:p>
        </w:tc>
        <w:tc>
          <w:tcPr>
            <w:tcW w:w="555" w:type="dxa"/>
            <w:shd w:val="clear" w:color="auto" w:fill="auto"/>
            <w:vAlign w:val="center"/>
          </w:tcPr>
          <w:p w14:paraId="116A5AEC">
            <w:pPr>
              <w:adjustRightInd w:val="0"/>
              <w:snapToGrid w:val="0"/>
              <w:spacing w:line="360" w:lineRule="auto"/>
              <w:jc w:val="center"/>
              <w:rPr>
                <w:rFonts w:ascii="宋体" w:hAnsi="宋体"/>
                <w:color w:val="auto"/>
              </w:rPr>
            </w:pPr>
          </w:p>
        </w:tc>
        <w:tc>
          <w:tcPr>
            <w:tcW w:w="776" w:type="dxa"/>
            <w:shd w:val="clear" w:color="auto" w:fill="auto"/>
            <w:vAlign w:val="center"/>
          </w:tcPr>
          <w:p w14:paraId="372BB5B1">
            <w:pPr>
              <w:adjustRightInd w:val="0"/>
              <w:snapToGrid w:val="0"/>
              <w:spacing w:line="360" w:lineRule="auto"/>
              <w:jc w:val="center"/>
              <w:rPr>
                <w:rFonts w:ascii="宋体" w:hAnsi="宋体"/>
                <w:color w:val="auto"/>
              </w:rPr>
            </w:pPr>
          </w:p>
        </w:tc>
        <w:tc>
          <w:tcPr>
            <w:tcW w:w="1222" w:type="dxa"/>
            <w:shd w:val="clear" w:color="auto" w:fill="auto"/>
            <w:vAlign w:val="center"/>
          </w:tcPr>
          <w:p w14:paraId="692C850D">
            <w:pPr>
              <w:adjustRightInd w:val="0"/>
              <w:snapToGrid w:val="0"/>
              <w:spacing w:line="360" w:lineRule="auto"/>
              <w:jc w:val="center"/>
              <w:rPr>
                <w:rFonts w:ascii="宋体" w:hAnsi="宋体"/>
                <w:color w:val="auto"/>
              </w:rPr>
            </w:pPr>
          </w:p>
        </w:tc>
        <w:tc>
          <w:tcPr>
            <w:tcW w:w="776" w:type="dxa"/>
            <w:shd w:val="clear" w:color="auto" w:fill="auto"/>
            <w:vAlign w:val="center"/>
          </w:tcPr>
          <w:p w14:paraId="66F9656A">
            <w:pPr>
              <w:adjustRightInd w:val="0"/>
              <w:snapToGrid w:val="0"/>
              <w:spacing w:line="360" w:lineRule="auto"/>
              <w:jc w:val="center"/>
              <w:rPr>
                <w:rFonts w:ascii="宋体" w:hAnsi="宋体"/>
                <w:color w:val="auto"/>
              </w:rPr>
            </w:pPr>
          </w:p>
        </w:tc>
        <w:tc>
          <w:tcPr>
            <w:tcW w:w="776" w:type="dxa"/>
            <w:shd w:val="clear" w:color="auto" w:fill="auto"/>
            <w:vAlign w:val="center"/>
          </w:tcPr>
          <w:p w14:paraId="36541A91">
            <w:pPr>
              <w:adjustRightInd w:val="0"/>
              <w:snapToGrid w:val="0"/>
              <w:spacing w:line="360" w:lineRule="auto"/>
              <w:jc w:val="center"/>
              <w:rPr>
                <w:rFonts w:ascii="宋体" w:hAnsi="宋体"/>
                <w:color w:val="auto"/>
              </w:rPr>
            </w:pPr>
          </w:p>
        </w:tc>
        <w:tc>
          <w:tcPr>
            <w:tcW w:w="774" w:type="dxa"/>
            <w:shd w:val="clear" w:color="auto" w:fill="auto"/>
            <w:vAlign w:val="center"/>
          </w:tcPr>
          <w:p w14:paraId="3F835DE3">
            <w:pPr>
              <w:adjustRightInd w:val="0"/>
              <w:snapToGrid w:val="0"/>
              <w:spacing w:line="360" w:lineRule="auto"/>
              <w:jc w:val="center"/>
              <w:rPr>
                <w:rFonts w:ascii="宋体" w:hAnsi="宋体"/>
                <w:color w:val="auto"/>
              </w:rPr>
            </w:pPr>
          </w:p>
        </w:tc>
      </w:tr>
      <w:tr w14:paraId="629A2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9" w:type="dxa"/>
            <w:shd w:val="clear" w:color="auto" w:fill="auto"/>
            <w:vAlign w:val="center"/>
          </w:tcPr>
          <w:p w14:paraId="42F850E5">
            <w:pPr>
              <w:adjustRightInd w:val="0"/>
              <w:snapToGrid w:val="0"/>
              <w:spacing w:line="360" w:lineRule="auto"/>
              <w:jc w:val="center"/>
              <w:rPr>
                <w:rFonts w:ascii="宋体" w:hAnsi="宋体"/>
                <w:color w:val="auto"/>
              </w:rPr>
            </w:pPr>
            <w:r>
              <w:rPr>
                <w:rFonts w:hint="eastAsia" w:ascii="宋体" w:hAnsi="宋体"/>
                <w:color w:val="auto"/>
              </w:rPr>
              <w:t>　</w:t>
            </w:r>
          </w:p>
        </w:tc>
        <w:tc>
          <w:tcPr>
            <w:tcW w:w="839" w:type="dxa"/>
            <w:shd w:val="clear" w:color="auto" w:fill="auto"/>
            <w:vAlign w:val="center"/>
          </w:tcPr>
          <w:p w14:paraId="0502EDB2">
            <w:pPr>
              <w:adjustRightInd w:val="0"/>
              <w:snapToGrid w:val="0"/>
              <w:spacing w:line="360" w:lineRule="auto"/>
              <w:jc w:val="center"/>
              <w:rPr>
                <w:rFonts w:ascii="宋体" w:hAnsi="宋体"/>
                <w:color w:val="auto"/>
              </w:rPr>
            </w:pPr>
          </w:p>
        </w:tc>
        <w:tc>
          <w:tcPr>
            <w:tcW w:w="1224" w:type="dxa"/>
            <w:shd w:val="clear" w:color="auto" w:fill="auto"/>
            <w:vAlign w:val="center"/>
          </w:tcPr>
          <w:p w14:paraId="2FE936AD">
            <w:pPr>
              <w:adjustRightInd w:val="0"/>
              <w:snapToGrid w:val="0"/>
              <w:spacing w:line="360" w:lineRule="auto"/>
              <w:jc w:val="center"/>
              <w:rPr>
                <w:rFonts w:ascii="宋体" w:hAnsi="宋体"/>
                <w:color w:val="auto"/>
              </w:rPr>
            </w:pPr>
          </w:p>
        </w:tc>
        <w:tc>
          <w:tcPr>
            <w:tcW w:w="555" w:type="dxa"/>
            <w:shd w:val="clear" w:color="auto" w:fill="auto"/>
            <w:vAlign w:val="center"/>
          </w:tcPr>
          <w:p w14:paraId="31E4BB6C">
            <w:pPr>
              <w:adjustRightInd w:val="0"/>
              <w:snapToGrid w:val="0"/>
              <w:spacing w:line="360" w:lineRule="auto"/>
              <w:jc w:val="center"/>
              <w:rPr>
                <w:rFonts w:ascii="宋体" w:hAnsi="宋体"/>
                <w:color w:val="auto"/>
              </w:rPr>
            </w:pPr>
          </w:p>
        </w:tc>
        <w:tc>
          <w:tcPr>
            <w:tcW w:w="555" w:type="dxa"/>
            <w:shd w:val="clear" w:color="auto" w:fill="auto"/>
            <w:vAlign w:val="center"/>
          </w:tcPr>
          <w:p w14:paraId="2A93C230">
            <w:pPr>
              <w:adjustRightInd w:val="0"/>
              <w:snapToGrid w:val="0"/>
              <w:spacing w:line="360" w:lineRule="auto"/>
              <w:jc w:val="center"/>
              <w:rPr>
                <w:rFonts w:ascii="宋体" w:hAnsi="宋体"/>
                <w:color w:val="auto"/>
              </w:rPr>
            </w:pPr>
          </w:p>
        </w:tc>
        <w:tc>
          <w:tcPr>
            <w:tcW w:w="776" w:type="dxa"/>
            <w:shd w:val="clear" w:color="auto" w:fill="auto"/>
            <w:vAlign w:val="center"/>
          </w:tcPr>
          <w:p w14:paraId="19A46DE5">
            <w:pPr>
              <w:adjustRightInd w:val="0"/>
              <w:snapToGrid w:val="0"/>
              <w:spacing w:line="360" w:lineRule="auto"/>
              <w:jc w:val="center"/>
              <w:rPr>
                <w:rFonts w:ascii="宋体" w:hAnsi="宋体"/>
                <w:color w:val="auto"/>
              </w:rPr>
            </w:pPr>
          </w:p>
        </w:tc>
        <w:tc>
          <w:tcPr>
            <w:tcW w:w="1222" w:type="dxa"/>
            <w:shd w:val="clear" w:color="auto" w:fill="auto"/>
            <w:vAlign w:val="center"/>
          </w:tcPr>
          <w:p w14:paraId="1E93E969">
            <w:pPr>
              <w:adjustRightInd w:val="0"/>
              <w:snapToGrid w:val="0"/>
              <w:spacing w:line="360" w:lineRule="auto"/>
              <w:jc w:val="center"/>
              <w:rPr>
                <w:rFonts w:ascii="宋体" w:hAnsi="宋体"/>
                <w:color w:val="auto"/>
              </w:rPr>
            </w:pPr>
          </w:p>
        </w:tc>
        <w:tc>
          <w:tcPr>
            <w:tcW w:w="776" w:type="dxa"/>
            <w:shd w:val="clear" w:color="auto" w:fill="auto"/>
            <w:vAlign w:val="center"/>
          </w:tcPr>
          <w:p w14:paraId="16432896">
            <w:pPr>
              <w:adjustRightInd w:val="0"/>
              <w:snapToGrid w:val="0"/>
              <w:spacing w:line="360" w:lineRule="auto"/>
              <w:jc w:val="center"/>
              <w:rPr>
                <w:rFonts w:ascii="宋体" w:hAnsi="宋体"/>
                <w:color w:val="auto"/>
              </w:rPr>
            </w:pPr>
          </w:p>
        </w:tc>
        <w:tc>
          <w:tcPr>
            <w:tcW w:w="776" w:type="dxa"/>
            <w:shd w:val="clear" w:color="auto" w:fill="auto"/>
            <w:vAlign w:val="center"/>
          </w:tcPr>
          <w:p w14:paraId="514FC140">
            <w:pPr>
              <w:adjustRightInd w:val="0"/>
              <w:snapToGrid w:val="0"/>
              <w:spacing w:line="360" w:lineRule="auto"/>
              <w:jc w:val="center"/>
              <w:rPr>
                <w:rFonts w:ascii="宋体" w:hAnsi="宋体"/>
                <w:color w:val="auto"/>
              </w:rPr>
            </w:pPr>
          </w:p>
        </w:tc>
        <w:tc>
          <w:tcPr>
            <w:tcW w:w="774" w:type="dxa"/>
            <w:shd w:val="clear" w:color="auto" w:fill="auto"/>
            <w:vAlign w:val="center"/>
          </w:tcPr>
          <w:p w14:paraId="7E0A0F69">
            <w:pPr>
              <w:adjustRightInd w:val="0"/>
              <w:snapToGrid w:val="0"/>
              <w:spacing w:line="360" w:lineRule="auto"/>
              <w:jc w:val="center"/>
              <w:rPr>
                <w:rFonts w:ascii="宋体" w:hAnsi="宋体"/>
                <w:color w:val="auto"/>
              </w:rPr>
            </w:pPr>
          </w:p>
        </w:tc>
      </w:tr>
      <w:tr w14:paraId="3BA61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9" w:type="dxa"/>
            <w:shd w:val="clear" w:color="auto" w:fill="auto"/>
            <w:vAlign w:val="center"/>
          </w:tcPr>
          <w:p w14:paraId="3CFB4C45">
            <w:pPr>
              <w:adjustRightInd w:val="0"/>
              <w:snapToGrid w:val="0"/>
              <w:spacing w:line="360" w:lineRule="auto"/>
              <w:jc w:val="center"/>
              <w:rPr>
                <w:rFonts w:ascii="宋体" w:hAnsi="宋体"/>
                <w:color w:val="auto"/>
              </w:rPr>
            </w:pPr>
            <w:r>
              <w:rPr>
                <w:rFonts w:hint="eastAsia" w:ascii="宋体" w:hAnsi="宋体"/>
                <w:color w:val="auto"/>
              </w:rPr>
              <w:t>　</w:t>
            </w:r>
          </w:p>
        </w:tc>
        <w:tc>
          <w:tcPr>
            <w:tcW w:w="839" w:type="dxa"/>
            <w:shd w:val="clear" w:color="auto" w:fill="auto"/>
            <w:vAlign w:val="center"/>
          </w:tcPr>
          <w:p w14:paraId="1A4FEF05">
            <w:pPr>
              <w:adjustRightInd w:val="0"/>
              <w:snapToGrid w:val="0"/>
              <w:spacing w:line="360" w:lineRule="auto"/>
              <w:jc w:val="center"/>
              <w:rPr>
                <w:rFonts w:ascii="宋体" w:hAnsi="宋体"/>
                <w:color w:val="auto"/>
              </w:rPr>
            </w:pPr>
          </w:p>
        </w:tc>
        <w:tc>
          <w:tcPr>
            <w:tcW w:w="1224" w:type="dxa"/>
            <w:shd w:val="clear" w:color="auto" w:fill="auto"/>
            <w:vAlign w:val="center"/>
          </w:tcPr>
          <w:p w14:paraId="4B396E68">
            <w:pPr>
              <w:adjustRightInd w:val="0"/>
              <w:snapToGrid w:val="0"/>
              <w:spacing w:line="360" w:lineRule="auto"/>
              <w:jc w:val="center"/>
              <w:rPr>
                <w:rFonts w:ascii="宋体" w:hAnsi="宋体"/>
                <w:color w:val="auto"/>
              </w:rPr>
            </w:pPr>
          </w:p>
        </w:tc>
        <w:tc>
          <w:tcPr>
            <w:tcW w:w="555" w:type="dxa"/>
            <w:shd w:val="clear" w:color="auto" w:fill="auto"/>
            <w:vAlign w:val="center"/>
          </w:tcPr>
          <w:p w14:paraId="208A6248">
            <w:pPr>
              <w:adjustRightInd w:val="0"/>
              <w:snapToGrid w:val="0"/>
              <w:spacing w:line="360" w:lineRule="auto"/>
              <w:jc w:val="center"/>
              <w:rPr>
                <w:rFonts w:ascii="宋体" w:hAnsi="宋体"/>
                <w:color w:val="auto"/>
              </w:rPr>
            </w:pPr>
          </w:p>
        </w:tc>
        <w:tc>
          <w:tcPr>
            <w:tcW w:w="555" w:type="dxa"/>
            <w:shd w:val="clear" w:color="auto" w:fill="auto"/>
            <w:vAlign w:val="center"/>
          </w:tcPr>
          <w:p w14:paraId="28E59D2D">
            <w:pPr>
              <w:adjustRightInd w:val="0"/>
              <w:snapToGrid w:val="0"/>
              <w:spacing w:line="360" w:lineRule="auto"/>
              <w:jc w:val="center"/>
              <w:rPr>
                <w:rFonts w:ascii="宋体" w:hAnsi="宋体"/>
                <w:color w:val="auto"/>
              </w:rPr>
            </w:pPr>
          </w:p>
        </w:tc>
        <w:tc>
          <w:tcPr>
            <w:tcW w:w="776" w:type="dxa"/>
            <w:shd w:val="clear" w:color="auto" w:fill="auto"/>
            <w:vAlign w:val="center"/>
          </w:tcPr>
          <w:p w14:paraId="70204C08">
            <w:pPr>
              <w:adjustRightInd w:val="0"/>
              <w:snapToGrid w:val="0"/>
              <w:spacing w:line="360" w:lineRule="auto"/>
              <w:jc w:val="center"/>
              <w:rPr>
                <w:rFonts w:ascii="宋体" w:hAnsi="宋体"/>
                <w:color w:val="auto"/>
              </w:rPr>
            </w:pPr>
          </w:p>
        </w:tc>
        <w:tc>
          <w:tcPr>
            <w:tcW w:w="1222" w:type="dxa"/>
            <w:shd w:val="clear" w:color="auto" w:fill="auto"/>
            <w:vAlign w:val="center"/>
          </w:tcPr>
          <w:p w14:paraId="65E6DB08">
            <w:pPr>
              <w:adjustRightInd w:val="0"/>
              <w:snapToGrid w:val="0"/>
              <w:spacing w:line="360" w:lineRule="auto"/>
              <w:jc w:val="center"/>
              <w:rPr>
                <w:rFonts w:ascii="宋体" w:hAnsi="宋体"/>
                <w:color w:val="auto"/>
              </w:rPr>
            </w:pPr>
          </w:p>
        </w:tc>
        <w:tc>
          <w:tcPr>
            <w:tcW w:w="776" w:type="dxa"/>
            <w:shd w:val="clear" w:color="auto" w:fill="auto"/>
            <w:vAlign w:val="center"/>
          </w:tcPr>
          <w:p w14:paraId="2DB15656">
            <w:pPr>
              <w:adjustRightInd w:val="0"/>
              <w:snapToGrid w:val="0"/>
              <w:spacing w:line="360" w:lineRule="auto"/>
              <w:jc w:val="center"/>
              <w:rPr>
                <w:rFonts w:ascii="宋体" w:hAnsi="宋体"/>
                <w:color w:val="auto"/>
              </w:rPr>
            </w:pPr>
          </w:p>
        </w:tc>
        <w:tc>
          <w:tcPr>
            <w:tcW w:w="776" w:type="dxa"/>
            <w:shd w:val="clear" w:color="auto" w:fill="auto"/>
            <w:vAlign w:val="center"/>
          </w:tcPr>
          <w:p w14:paraId="15CB56F7">
            <w:pPr>
              <w:adjustRightInd w:val="0"/>
              <w:snapToGrid w:val="0"/>
              <w:spacing w:line="360" w:lineRule="auto"/>
              <w:jc w:val="center"/>
              <w:rPr>
                <w:rFonts w:ascii="宋体" w:hAnsi="宋体"/>
                <w:color w:val="auto"/>
              </w:rPr>
            </w:pPr>
          </w:p>
        </w:tc>
        <w:tc>
          <w:tcPr>
            <w:tcW w:w="774" w:type="dxa"/>
            <w:shd w:val="clear" w:color="auto" w:fill="auto"/>
            <w:vAlign w:val="center"/>
          </w:tcPr>
          <w:p w14:paraId="120072C0">
            <w:pPr>
              <w:adjustRightInd w:val="0"/>
              <w:snapToGrid w:val="0"/>
              <w:spacing w:line="360" w:lineRule="auto"/>
              <w:jc w:val="center"/>
              <w:rPr>
                <w:rFonts w:ascii="宋体" w:hAnsi="宋体"/>
                <w:color w:val="auto"/>
              </w:rPr>
            </w:pPr>
          </w:p>
        </w:tc>
      </w:tr>
      <w:tr w14:paraId="40CFD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9" w:type="dxa"/>
            <w:shd w:val="clear" w:color="auto" w:fill="auto"/>
            <w:vAlign w:val="center"/>
          </w:tcPr>
          <w:p w14:paraId="74258ECE">
            <w:pPr>
              <w:adjustRightInd w:val="0"/>
              <w:snapToGrid w:val="0"/>
              <w:spacing w:line="360" w:lineRule="auto"/>
              <w:jc w:val="center"/>
              <w:rPr>
                <w:rFonts w:ascii="宋体" w:hAnsi="宋体"/>
                <w:color w:val="auto"/>
              </w:rPr>
            </w:pPr>
            <w:r>
              <w:rPr>
                <w:rFonts w:hint="eastAsia" w:ascii="宋体" w:hAnsi="宋体"/>
                <w:color w:val="auto"/>
              </w:rPr>
              <w:t>　</w:t>
            </w:r>
          </w:p>
        </w:tc>
        <w:tc>
          <w:tcPr>
            <w:tcW w:w="839" w:type="dxa"/>
            <w:shd w:val="clear" w:color="auto" w:fill="auto"/>
            <w:vAlign w:val="center"/>
          </w:tcPr>
          <w:p w14:paraId="61F749B0">
            <w:pPr>
              <w:adjustRightInd w:val="0"/>
              <w:snapToGrid w:val="0"/>
              <w:spacing w:line="360" w:lineRule="auto"/>
              <w:jc w:val="center"/>
              <w:rPr>
                <w:rFonts w:ascii="宋体" w:hAnsi="宋体"/>
                <w:color w:val="auto"/>
              </w:rPr>
            </w:pPr>
          </w:p>
        </w:tc>
        <w:tc>
          <w:tcPr>
            <w:tcW w:w="1224" w:type="dxa"/>
            <w:shd w:val="clear" w:color="auto" w:fill="auto"/>
            <w:vAlign w:val="center"/>
          </w:tcPr>
          <w:p w14:paraId="247F85F9">
            <w:pPr>
              <w:adjustRightInd w:val="0"/>
              <w:snapToGrid w:val="0"/>
              <w:spacing w:line="360" w:lineRule="auto"/>
              <w:jc w:val="center"/>
              <w:rPr>
                <w:rFonts w:ascii="宋体" w:hAnsi="宋体"/>
                <w:color w:val="auto"/>
              </w:rPr>
            </w:pPr>
          </w:p>
        </w:tc>
        <w:tc>
          <w:tcPr>
            <w:tcW w:w="555" w:type="dxa"/>
            <w:shd w:val="clear" w:color="auto" w:fill="auto"/>
            <w:vAlign w:val="center"/>
          </w:tcPr>
          <w:p w14:paraId="5023A7D5">
            <w:pPr>
              <w:adjustRightInd w:val="0"/>
              <w:snapToGrid w:val="0"/>
              <w:spacing w:line="360" w:lineRule="auto"/>
              <w:jc w:val="center"/>
              <w:rPr>
                <w:rFonts w:ascii="宋体" w:hAnsi="宋体"/>
                <w:color w:val="auto"/>
              </w:rPr>
            </w:pPr>
          </w:p>
        </w:tc>
        <w:tc>
          <w:tcPr>
            <w:tcW w:w="555" w:type="dxa"/>
            <w:shd w:val="clear" w:color="auto" w:fill="auto"/>
            <w:vAlign w:val="center"/>
          </w:tcPr>
          <w:p w14:paraId="1D8A42B9">
            <w:pPr>
              <w:adjustRightInd w:val="0"/>
              <w:snapToGrid w:val="0"/>
              <w:spacing w:line="360" w:lineRule="auto"/>
              <w:jc w:val="center"/>
              <w:rPr>
                <w:rFonts w:ascii="宋体" w:hAnsi="宋体"/>
                <w:color w:val="auto"/>
              </w:rPr>
            </w:pPr>
          </w:p>
        </w:tc>
        <w:tc>
          <w:tcPr>
            <w:tcW w:w="776" w:type="dxa"/>
            <w:shd w:val="clear" w:color="auto" w:fill="auto"/>
            <w:vAlign w:val="center"/>
          </w:tcPr>
          <w:p w14:paraId="0CD652EF">
            <w:pPr>
              <w:adjustRightInd w:val="0"/>
              <w:snapToGrid w:val="0"/>
              <w:spacing w:line="360" w:lineRule="auto"/>
              <w:jc w:val="center"/>
              <w:rPr>
                <w:rFonts w:ascii="宋体" w:hAnsi="宋体"/>
                <w:color w:val="auto"/>
              </w:rPr>
            </w:pPr>
          </w:p>
        </w:tc>
        <w:tc>
          <w:tcPr>
            <w:tcW w:w="1222" w:type="dxa"/>
            <w:shd w:val="clear" w:color="auto" w:fill="auto"/>
            <w:vAlign w:val="center"/>
          </w:tcPr>
          <w:p w14:paraId="0A3989EB">
            <w:pPr>
              <w:adjustRightInd w:val="0"/>
              <w:snapToGrid w:val="0"/>
              <w:spacing w:line="360" w:lineRule="auto"/>
              <w:jc w:val="center"/>
              <w:rPr>
                <w:rFonts w:ascii="宋体" w:hAnsi="宋体"/>
                <w:color w:val="auto"/>
              </w:rPr>
            </w:pPr>
          </w:p>
        </w:tc>
        <w:tc>
          <w:tcPr>
            <w:tcW w:w="776" w:type="dxa"/>
            <w:shd w:val="clear" w:color="auto" w:fill="auto"/>
            <w:vAlign w:val="center"/>
          </w:tcPr>
          <w:p w14:paraId="0CA81FC2">
            <w:pPr>
              <w:adjustRightInd w:val="0"/>
              <w:snapToGrid w:val="0"/>
              <w:spacing w:line="360" w:lineRule="auto"/>
              <w:jc w:val="center"/>
              <w:rPr>
                <w:rFonts w:ascii="宋体" w:hAnsi="宋体"/>
                <w:color w:val="auto"/>
              </w:rPr>
            </w:pPr>
          </w:p>
        </w:tc>
        <w:tc>
          <w:tcPr>
            <w:tcW w:w="776" w:type="dxa"/>
            <w:shd w:val="clear" w:color="auto" w:fill="auto"/>
            <w:vAlign w:val="center"/>
          </w:tcPr>
          <w:p w14:paraId="7F18B5AD">
            <w:pPr>
              <w:adjustRightInd w:val="0"/>
              <w:snapToGrid w:val="0"/>
              <w:spacing w:line="360" w:lineRule="auto"/>
              <w:jc w:val="center"/>
              <w:rPr>
                <w:rFonts w:ascii="宋体" w:hAnsi="宋体"/>
                <w:color w:val="auto"/>
              </w:rPr>
            </w:pPr>
          </w:p>
        </w:tc>
        <w:tc>
          <w:tcPr>
            <w:tcW w:w="774" w:type="dxa"/>
            <w:shd w:val="clear" w:color="auto" w:fill="auto"/>
            <w:vAlign w:val="center"/>
          </w:tcPr>
          <w:p w14:paraId="7A30C26B">
            <w:pPr>
              <w:adjustRightInd w:val="0"/>
              <w:snapToGrid w:val="0"/>
              <w:spacing w:line="360" w:lineRule="auto"/>
              <w:jc w:val="center"/>
              <w:rPr>
                <w:rFonts w:ascii="宋体" w:hAnsi="宋体"/>
                <w:color w:val="auto"/>
              </w:rPr>
            </w:pPr>
          </w:p>
        </w:tc>
      </w:tr>
      <w:tr w14:paraId="7D488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9" w:type="dxa"/>
            <w:shd w:val="clear" w:color="auto" w:fill="auto"/>
            <w:vAlign w:val="center"/>
          </w:tcPr>
          <w:p w14:paraId="7F75F4FE">
            <w:pPr>
              <w:adjustRightInd w:val="0"/>
              <w:snapToGrid w:val="0"/>
              <w:spacing w:line="360" w:lineRule="auto"/>
              <w:jc w:val="center"/>
              <w:rPr>
                <w:rFonts w:ascii="宋体" w:hAnsi="宋体"/>
                <w:color w:val="auto"/>
              </w:rPr>
            </w:pPr>
            <w:r>
              <w:rPr>
                <w:rFonts w:hint="eastAsia" w:ascii="宋体" w:hAnsi="宋体"/>
                <w:color w:val="auto"/>
              </w:rPr>
              <w:t>　</w:t>
            </w:r>
          </w:p>
        </w:tc>
        <w:tc>
          <w:tcPr>
            <w:tcW w:w="839" w:type="dxa"/>
            <w:shd w:val="clear" w:color="auto" w:fill="auto"/>
            <w:vAlign w:val="center"/>
          </w:tcPr>
          <w:p w14:paraId="0BA35DC4">
            <w:pPr>
              <w:adjustRightInd w:val="0"/>
              <w:snapToGrid w:val="0"/>
              <w:spacing w:line="360" w:lineRule="auto"/>
              <w:jc w:val="center"/>
              <w:rPr>
                <w:rFonts w:ascii="宋体" w:hAnsi="宋体"/>
                <w:color w:val="auto"/>
              </w:rPr>
            </w:pPr>
          </w:p>
        </w:tc>
        <w:tc>
          <w:tcPr>
            <w:tcW w:w="1224" w:type="dxa"/>
            <w:shd w:val="clear" w:color="auto" w:fill="auto"/>
            <w:vAlign w:val="center"/>
          </w:tcPr>
          <w:p w14:paraId="77B476D2">
            <w:pPr>
              <w:adjustRightInd w:val="0"/>
              <w:snapToGrid w:val="0"/>
              <w:spacing w:line="360" w:lineRule="auto"/>
              <w:jc w:val="center"/>
              <w:rPr>
                <w:rFonts w:ascii="宋体" w:hAnsi="宋体"/>
                <w:color w:val="auto"/>
              </w:rPr>
            </w:pPr>
          </w:p>
        </w:tc>
        <w:tc>
          <w:tcPr>
            <w:tcW w:w="555" w:type="dxa"/>
            <w:shd w:val="clear" w:color="auto" w:fill="auto"/>
            <w:vAlign w:val="center"/>
          </w:tcPr>
          <w:p w14:paraId="69C4CB14">
            <w:pPr>
              <w:adjustRightInd w:val="0"/>
              <w:snapToGrid w:val="0"/>
              <w:spacing w:line="360" w:lineRule="auto"/>
              <w:jc w:val="center"/>
              <w:rPr>
                <w:rFonts w:ascii="宋体" w:hAnsi="宋体"/>
                <w:color w:val="auto"/>
              </w:rPr>
            </w:pPr>
          </w:p>
        </w:tc>
        <w:tc>
          <w:tcPr>
            <w:tcW w:w="555" w:type="dxa"/>
            <w:shd w:val="clear" w:color="auto" w:fill="auto"/>
            <w:vAlign w:val="center"/>
          </w:tcPr>
          <w:p w14:paraId="3AB096B3">
            <w:pPr>
              <w:adjustRightInd w:val="0"/>
              <w:snapToGrid w:val="0"/>
              <w:spacing w:line="360" w:lineRule="auto"/>
              <w:jc w:val="center"/>
              <w:rPr>
                <w:rFonts w:ascii="宋体" w:hAnsi="宋体"/>
                <w:color w:val="auto"/>
              </w:rPr>
            </w:pPr>
          </w:p>
        </w:tc>
        <w:tc>
          <w:tcPr>
            <w:tcW w:w="776" w:type="dxa"/>
            <w:shd w:val="clear" w:color="auto" w:fill="auto"/>
            <w:vAlign w:val="center"/>
          </w:tcPr>
          <w:p w14:paraId="4059A730">
            <w:pPr>
              <w:adjustRightInd w:val="0"/>
              <w:snapToGrid w:val="0"/>
              <w:spacing w:line="360" w:lineRule="auto"/>
              <w:jc w:val="center"/>
              <w:rPr>
                <w:rFonts w:ascii="宋体" w:hAnsi="宋体"/>
                <w:color w:val="auto"/>
              </w:rPr>
            </w:pPr>
          </w:p>
        </w:tc>
        <w:tc>
          <w:tcPr>
            <w:tcW w:w="1222" w:type="dxa"/>
            <w:shd w:val="clear" w:color="auto" w:fill="auto"/>
            <w:vAlign w:val="center"/>
          </w:tcPr>
          <w:p w14:paraId="3D49DE1B">
            <w:pPr>
              <w:adjustRightInd w:val="0"/>
              <w:snapToGrid w:val="0"/>
              <w:spacing w:line="360" w:lineRule="auto"/>
              <w:jc w:val="center"/>
              <w:rPr>
                <w:rFonts w:ascii="宋体" w:hAnsi="宋体"/>
                <w:color w:val="auto"/>
              </w:rPr>
            </w:pPr>
          </w:p>
        </w:tc>
        <w:tc>
          <w:tcPr>
            <w:tcW w:w="776" w:type="dxa"/>
            <w:shd w:val="clear" w:color="auto" w:fill="auto"/>
            <w:vAlign w:val="center"/>
          </w:tcPr>
          <w:p w14:paraId="4F84B450">
            <w:pPr>
              <w:adjustRightInd w:val="0"/>
              <w:snapToGrid w:val="0"/>
              <w:spacing w:line="360" w:lineRule="auto"/>
              <w:jc w:val="center"/>
              <w:rPr>
                <w:rFonts w:ascii="宋体" w:hAnsi="宋体"/>
                <w:color w:val="auto"/>
              </w:rPr>
            </w:pPr>
          </w:p>
        </w:tc>
        <w:tc>
          <w:tcPr>
            <w:tcW w:w="776" w:type="dxa"/>
            <w:shd w:val="clear" w:color="auto" w:fill="auto"/>
            <w:vAlign w:val="center"/>
          </w:tcPr>
          <w:p w14:paraId="33AADB3E">
            <w:pPr>
              <w:adjustRightInd w:val="0"/>
              <w:snapToGrid w:val="0"/>
              <w:spacing w:line="360" w:lineRule="auto"/>
              <w:jc w:val="center"/>
              <w:rPr>
                <w:rFonts w:ascii="宋体" w:hAnsi="宋体"/>
                <w:color w:val="auto"/>
              </w:rPr>
            </w:pPr>
          </w:p>
        </w:tc>
        <w:tc>
          <w:tcPr>
            <w:tcW w:w="774" w:type="dxa"/>
            <w:shd w:val="clear" w:color="auto" w:fill="auto"/>
            <w:vAlign w:val="center"/>
          </w:tcPr>
          <w:p w14:paraId="3BA1ED81">
            <w:pPr>
              <w:adjustRightInd w:val="0"/>
              <w:snapToGrid w:val="0"/>
              <w:spacing w:line="360" w:lineRule="auto"/>
              <w:jc w:val="center"/>
              <w:rPr>
                <w:rFonts w:ascii="宋体" w:hAnsi="宋体"/>
                <w:color w:val="auto"/>
              </w:rPr>
            </w:pPr>
          </w:p>
        </w:tc>
      </w:tr>
      <w:tr w14:paraId="01453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9" w:type="dxa"/>
            <w:shd w:val="clear" w:color="auto" w:fill="auto"/>
            <w:vAlign w:val="center"/>
          </w:tcPr>
          <w:p w14:paraId="602334BC">
            <w:pPr>
              <w:adjustRightInd w:val="0"/>
              <w:snapToGrid w:val="0"/>
              <w:spacing w:line="360" w:lineRule="auto"/>
              <w:jc w:val="center"/>
              <w:rPr>
                <w:rFonts w:ascii="宋体" w:hAnsi="宋体"/>
                <w:color w:val="auto"/>
              </w:rPr>
            </w:pPr>
            <w:r>
              <w:rPr>
                <w:rFonts w:hint="eastAsia" w:ascii="宋体" w:hAnsi="宋体"/>
                <w:color w:val="auto"/>
              </w:rPr>
              <w:t>　</w:t>
            </w:r>
          </w:p>
        </w:tc>
        <w:tc>
          <w:tcPr>
            <w:tcW w:w="839" w:type="dxa"/>
            <w:shd w:val="clear" w:color="auto" w:fill="auto"/>
            <w:vAlign w:val="center"/>
          </w:tcPr>
          <w:p w14:paraId="7318AFFA">
            <w:pPr>
              <w:adjustRightInd w:val="0"/>
              <w:snapToGrid w:val="0"/>
              <w:spacing w:line="360" w:lineRule="auto"/>
              <w:jc w:val="center"/>
              <w:rPr>
                <w:rFonts w:ascii="宋体" w:hAnsi="宋体"/>
                <w:color w:val="auto"/>
              </w:rPr>
            </w:pPr>
          </w:p>
        </w:tc>
        <w:tc>
          <w:tcPr>
            <w:tcW w:w="1224" w:type="dxa"/>
            <w:shd w:val="clear" w:color="auto" w:fill="auto"/>
            <w:vAlign w:val="center"/>
          </w:tcPr>
          <w:p w14:paraId="097F8EFA">
            <w:pPr>
              <w:adjustRightInd w:val="0"/>
              <w:snapToGrid w:val="0"/>
              <w:spacing w:line="360" w:lineRule="auto"/>
              <w:jc w:val="center"/>
              <w:rPr>
                <w:rFonts w:ascii="宋体" w:hAnsi="宋体"/>
                <w:color w:val="auto"/>
              </w:rPr>
            </w:pPr>
          </w:p>
        </w:tc>
        <w:tc>
          <w:tcPr>
            <w:tcW w:w="555" w:type="dxa"/>
            <w:shd w:val="clear" w:color="auto" w:fill="auto"/>
            <w:vAlign w:val="center"/>
          </w:tcPr>
          <w:p w14:paraId="1CBB5869">
            <w:pPr>
              <w:adjustRightInd w:val="0"/>
              <w:snapToGrid w:val="0"/>
              <w:spacing w:line="360" w:lineRule="auto"/>
              <w:jc w:val="center"/>
              <w:rPr>
                <w:rFonts w:ascii="宋体" w:hAnsi="宋体"/>
                <w:color w:val="auto"/>
              </w:rPr>
            </w:pPr>
          </w:p>
        </w:tc>
        <w:tc>
          <w:tcPr>
            <w:tcW w:w="555" w:type="dxa"/>
            <w:shd w:val="clear" w:color="auto" w:fill="auto"/>
            <w:vAlign w:val="center"/>
          </w:tcPr>
          <w:p w14:paraId="355AB960">
            <w:pPr>
              <w:adjustRightInd w:val="0"/>
              <w:snapToGrid w:val="0"/>
              <w:spacing w:line="360" w:lineRule="auto"/>
              <w:jc w:val="center"/>
              <w:rPr>
                <w:rFonts w:ascii="宋体" w:hAnsi="宋体"/>
                <w:color w:val="auto"/>
              </w:rPr>
            </w:pPr>
          </w:p>
        </w:tc>
        <w:tc>
          <w:tcPr>
            <w:tcW w:w="776" w:type="dxa"/>
            <w:shd w:val="clear" w:color="auto" w:fill="auto"/>
            <w:vAlign w:val="center"/>
          </w:tcPr>
          <w:p w14:paraId="2C3053D9">
            <w:pPr>
              <w:adjustRightInd w:val="0"/>
              <w:snapToGrid w:val="0"/>
              <w:spacing w:line="360" w:lineRule="auto"/>
              <w:jc w:val="center"/>
              <w:rPr>
                <w:rFonts w:ascii="宋体" w:hAnsi="宋体"/>
                <w:color w:val="auto"/>
              </w:rPr>
            </w:pPr>
          </w:p>
        </w:tc>
        <w:tc>
          <w:tcPr>
            <w:tcW w:w="1222" w:type="dxa"/>
            <w:shd w:val="clear" w:color="auto" w:fill="auto"/>
            <w:vAlign w:val="center"/>
          </w:tcPr>
          <w:p w14:paraId="031B23BD">
            <w:pPr>
              <w:adjustRightInd w:val="0"/>
              <w:snapToGrid w:val="0"/>
              <w:spacing w:line="360" w:lineRule="auto"/>
              <w:jc w:val="center"/>
              <w:rPr>
                <w:rFonts w:ascii="宋体" w:hAnsi="宋体"/>
                <w:color w:val="auto"/>
              </w:rPr>
            </w:pPr>
          </w:p>
        </w:tc>
        <w:tc>
          <w:tcPr>
            <w:tcW w:w="776" w:type="dxa"/>
            <w:shd w:val="clear" w:color="auto" w:fill="auto"/>
            <w:vAlign w:val="center"/>
          </w:tcPr>
          <w:p w14:paraId="1AFE60C5">
            <w:pPr>
              <w:adjustRightInd w:val="0"/>
              <w:snapToGrid w:val="0"/>
              <w:spacing w:line="360" w:lineRule="auto"/>
              <w:jc w:val="center"/>
              <w:rPr>
                <w:rFonts w:ascii="宋体" w:hAnsi="宋体"/>
                <w:color w:val="auto"/>
              </w:rPr>
            </w:pPr>
          </w:p>
        </w:tc>
        <w:tc>
          <w:tcPr>
            <w:tcW w:w="776" w:type="dxa"/>
            <w:shd w:val="clear" w:color="auto" w:fill="auto"/>
            <w:vAlign w:val="center"/>
          </w:tcPr>
          <w:p w14:paraId="3335D2C5">
            <w:pPr>
              <w:adjustRightInd w:val="0"/>
              <w:snapToGrid w:val="0"/>
              <w:spacing w:line="360" w:lineRule="auto"/>
              <w:jc w:val="center"/>
              <w:rPr>
                <w:rFonts w:ascii="宋体" w:hAnsi="宋体"/>
                <w:color w:val="auto"/>
              </w:rPr>
            </w:pPr>
          </w:p>
        </w:tc>
        <w:tc>
          <w:tcPr>
            <w:tcW w:w="774" w:type="dxa"/>
            <w:shd w:val="clear" w:color="auto" w:fill="auto"/>
            <w:vAlign w:val="center"/>
          </w:tcPr>
          <w:p w14:paraId="4A9C2294">
            <w:pPr>
              <w:adjustRightInd w:val="0"/>
              <w:snapToGrid w:val="0"/>
              <w:spacing w:line="360" w:lineRule="auto"/>
              <w:jc w:val="center"/>
              <w:rPr>
                <w:rFonts w:ascii="宋体" w:hAnsi="宋体"/>
                <w:color w:val="auto"/>
              </w:rPr>
            </w:pPr>
          </w:p>
        </w:tc>
      </w:tr>
      <w:tr w14:paraId="4EFE3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9" w:type="dxa"/>
            <w:shd w:val="clear" w:color="auto" w:fill="auto"/>
            <w:vAlign w:val="center"/>
          </w:tcPr>
          <w:p w14:paraId="36EA7789">
            <w:pPr>
              <w:adjustRightInd w:val="0"/>
              <w:snapToGrid w:val="0"/>
              <w:spacing w:line="360" w:lineRule="auto"/>
              <w:jc w:val="center"/>
              <w:rPr>
                <w:rFonts w:ascii="宋体" w:hAnsi="宋体"/>
                <w:color w:val="auto"/>
              </w:rPr>
            </w:pPr>
            <w:r>
              <w:rPr>
                <w:rFonts w:hint="eastAsia" w:ascii="宋体" w:hAnsi="宋体"/>
                <w:color w:val="auto"/>
              </w:rPr>
              <w:t>　</w:t>
            </w:r>
          </w:p>
        </w:tc>
        <w:tc>
          <w:tcPr>
            <w:tcW w:w="839" w:type="dxa"/>
            <w:shd w:val="clear" w:color="auto" w:fill="auto"/>
            <w:vAlign w:val="center"/>
          </w:tcPr>
          <w:p w14:paraId="49137440">
            <w:pPr>
              <w:adjustRightInd w:val="0"/>
              <w:snapToGrid w:val="0"/>
              <w:spacing w:line="360" w:lineRule="auto"/>
              <w:jc w:val="center"/>
              <w:rPr>
                <w:rFonts w:ascii="宋体" w:hAnsi="宋体"/>
                <w:color w:val="auto"/>
              </w:rPr>
            </w:pPr>
          </w:p>
        </w:tc>
        <w:tc>
          <w:tcPr>
            <w:tcW w:w="1224" w:type="dxa"/>
            <w:shd w:val="clear" w:color="auto" w:fill="auto"/>
            <w:vAlign w:val="center"/>
          </w:tcPr>
          <w:p w14:paraId="2E117779">
            <w:pPr>
              <w:adjustRightInd w:val="0"/>
              <w:snapToGrid w:val="0"/>
              <w:spacing w:line="360" w:lineRule="auto"/>
              <w:jc w:val="center"/>
              <w:rPr>
                <w:rFonts w:ascii="宋体" w:hAnsi="宋体"/>
                <w:color w:val="auto"/>
              </w:rPr>
            </w:pPr>
          </w:p>
        </w:tc>
        <w:tc>
          <w:tcPr>
            <w:tcW w:w="555" w:type="dxa"/>
            <w:shd w:val="clear" w:color="auto" w:fill="auto"/>
            <w:vAlign w:val="center"/>
          </w:tcPr>
          <w:p w14:paraId="07BD56A0">
            <w:pPr>
              <w:adjustRightInd w:val="0"/>
              <w:snapToGrid w:val="0"/>
              <w:spacing w:line="360" w:lineRule="auto"/>
              <w:jc w:val="center"/>
              <w:rPr>
                <w:rFonts w:ascii="宋体" w:hAnsi="宋体"/>
                <w:color w:val="auto"/>
              </w:rPr>
            </w:pPr>
          </w:p>
        </w:tc>
        <w:tc>
          <w:tcPr>
            <w:tcW w:w="555" w:type="dxa"/>
            <w:shd w:val="clear" w:color="auto" w:fill="auto"/>
            <w:vAlign w:val="center"/>
          </w:tcPr>
          <w:p w14:paraId="68C9C1D3">
            <w:pPr>
              <w:adjustRightInd w:val="0"/>
              <w:snapToGrid w:val="0"/>
              <w:spacing w:line="360" w:lineRule="auto"/>
              <w:jc w:val="center"/>
              <w:rPr>
                <w:rFonts w:ascii="宋体" w:hAnsi="宋体"/>
                <w:color w:val="auto"/>
              </w:rPr>
            </w:pPr>
          </w:p>
        </w:tc>
        <w:tc>
          <w:tcPr>
            <w:tcW w:w="776" w:type="dxa"/>
            <w:shd w:val="clear" w:color="auto" w:fill="auto"/>
            <w:vAlign w:val="center"/>
          </w:tcPr>
          <w:p w14:paraId="2ECB0015">
            <w:pPr>
              <w:adjustRightInd w:val="0"/>
              <w:snapToGrid w:val="0"/>
              <w:spacing w:line="360" w:lineRule="auto"/>
              <w:jc w:val="center"/>
              <w:rPr>
                <w:rFonts w:ascii="宋体" w:hAnsi="宋体"/>
                <w:color w:val="auto"/>
              </w:rPr>
            </w:pPr>
          </w:p>
        </w:tc>
        <w:tc>
          <w:tcPr>
            <w:tcW w:w="1222" w:type="dxa"/>
            <w:shd w:val="clear" w:color="auto" w:fill="auto"/>
            <w:vAlign w:val="center"/>
          </w:tcPr>
          <w:p w14:paraId="285DFA60">
            <w:pPr>
              <w:adjustRightInd w:val="0"/>
              <w:snapToGrid w:val="0"/>
              <w:spacing w:line="360" w:lineRule="auto"/>
              <w:jc w:val="center"/>
              <w:rPr>
                <w:rFonts w:ascii="宋体" w:hAnsi="宋体"/>
                <w:color w:val="auto"/>
              </w:rPr>
            </w:pPr>
          </w:p>
        </w:tc>
        <w:tc>
          <w:tcPr>
            <w:tcW w:w="776" w:type="dxa"/>
            <w:shd w:val="clear" w:color="auto" w:fill="auto"/>
            <w:vAlign w:val="center"/>
          </w:tcPr>
          <w:p w14:paraId="27D70DEC">
            <w:pPr>
              <w:adjustRightInd w:val="0"/>
              <w:snapToGrid w:val="0"/>
              <w:spacing w:line="360" w:lineRule="auto"/>
              <w:jc w:val="center"/>
              <w:rPr>
                <w:rFonts w:ascii="宋体" w:hAnsi="宋体"/>
                <w:color w:val="auto"/>
              </w:rPr>
            </w:pPr>
          </w:p>
        </w:tc>
        <w:tc>
          <w:tcPr>
            <w:tcW w:w="776" w:type="dxa"/>
            <w:shd w:val="clear" w:color="auto" w:fill="auto"/>
            <w:vAlign w:val="center"/>
          </w:tcPr>
          <w:p w14:paraId="06E675DA">
            <w:pPr>
              <w:adjustRightInd w:val="0"/>
              <w:snapToGrid w:val="0"/>
              <w:spacing w:line="360" w:lineRule="auto"/>
              <w:jc w:val="center"/>
              <w:rPr>
                <w:rFonts w:ascii="宋体" w:hAnsi="宋体"/>
                <w:color w:val="auto"/>
              </w:rPr>
            </w:pPr>
          </w:p>
        </w:tc>
        <w:tc>
          <w:tcPr>
            <w:tcW w:w="774" w:type="dxa"/>
            <w:shd w:val="clear" w:color="auto" w:fill="auto"/>
            <w:vAlign w:val="center"/>
          </w:tcPr>
          <w:p w14:paraId="775D5D2D">
            <w:pPr>
              <w:adjustRightInd w:val="0"/>
              <w:snapToGrid w:val="0"/>
              <w:spacing w:line="360" w:lineRule="auto"/>
              <w:jc w:val="center"/>
              <w:rPr>
                <w:rFonts w:ascii="宋体" w:hAnsi="宋体"/>
                <w:color w:val="auto"/>
              </w:rPr>
            </w:pPr>
          </w:p>
        </w:tc>
      </w:tr>
      <w:tr w14:paraId="6F2C0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9" w:type="dxa"/>
            <w:shd w:val="clear" w:color="auto" w:fill="auto"/>
            <w:vAlign w:val="center"/>
          </w:tcPr>
          <w:p w14:paraId="4D7D7799">
            <w:pPr>
              <w:adjustRightInd w:val="0"/>
              <w:snapToGrid w:val="0"/>
              <w:spacing w:line="360" w:lineRule="auto"/>
              <w:jc w:val="center"/>
              <w:rPr>
                <w:rFonts w:ascii="宋体" w:hAnsi="宋体"/>
                <w:color w:val="auto"/>
              </w:rPr>
            </w:pPr>
            <w:r>
              <w:rPr>
                <w:rFonts w:hint="eastAsia" w:ascii="宋体" w:hAnsi="宋体"/>
                <w:color w:val="auto"/>
              </w:rPr>
              <w:t>　</w:t>
            </w:r>
          </w:p>
        </w:tc>
        <w:tc>
          <w:tcPr>
            <w:tcW w:w="839" w:type="dxa"/>
            <w:shd w:val="clear" w:color="auto" w:fill="auto"/>
            <w:vAlign w:val="center"/>
          </w:tcPr>
          <w:p w14:paraId="230FC8DD">
            <w:pPr>
              <w:adjustRightInd w:val="0"/>
              <w:snapToGrid w:val="0"/>
              <w:spacing w:line="360" w:lineRule="auto"/>
              <w:jc w:val="center"/>
              <w:rPr>
                <w:rFonts w:ascii="宋体" w:hAnsi="宋体"/>
                <w:color w:val="auto"/>
              </w:rPr>
            </w:pPr>
          </w:p>
        </w:tc>
        <w:tc>
          <w:tcPr>
            <w:tcW w:w="1224" w:type="dxa"/>
            <w:shd w:val="clear" w:color="auto" w:fill="auto"/>
            <w:vAlign w:val="center"/>
          </w:tcPr>
          <w:p w14:paraId="5714B580">
            <w:pPr>
              <w:adjustRightInd w:val="0"/>
              <w:snapToGrid w:val="0"/>
              <w:spacing w:line="360" w:lineRule="auto"/>
              <w:jc w:val="center"/>
              <w:rPr>
                <w:rFonts w:ascii="宋体" w:hAnsi="宋体"/>
                <w:color w:val="auto"/>
              </w:rPr>
            </w:pPr>
          </w:p>
        </w:tc>
        <w:tc>
          <w:tcPr>
            <w:tcW w:w="555" w:type="dxa"/>
            <w:shd w:val="clear" w:color="auto" w:fill="auto"/>
            <w:vAlign w:val="center"/>
          </w:tcPr>
          <w:p w14:paraId="3C2A3BD9">
            <w:pPr>
              <w:adjustRightInd w:val="0"/>
              <w:snapToGrid w:val="0"/>
              <w:spacing w:line="360" w:lineRule="auto"/>
              <w:jc w:val="center"/>
              <w:rPr>
                <w:rFonts w:ascii="宋体" w:hAnsi="宋体"/>
                <w:color w:val="auto"/>
              </w:rPr>
            </w:pPr>
          </w:p>
        </w:tc>
        <w:tc>
          <w:tcPr>
            <w:tcW w:w="555" w:type="dxa"/>
            <w:shd w:val="clear" w:color="auto" w:fill="auto"/>
            <w:vAlign w:val="center"/>
          </w:tcPr>
          <w:p w14:paraId="4D7D6D19">
            <w:pPr>
              <w:adjustRightInd w:val="0"/>
              <w:snapToGrid w:val="0"/>
              <w:spacing w:line="360" w:lineRule="auto"/>
              <w:jc w:val="center"/>
              <w:rPr>
                <w:rFonts w:ascii="宋体" w:hAnsi="宋体"/>
                <w:color w:val="auto"/>
              </w:rPr>
            </w:pPr>
          </w:p>
        </w:tc>
        <w:tc>
          <w:tcPr>
            <w:tcW w:w="776" w:type="dxa"/>
            <w:shd w:val="clear" w:color="auto" w:fill="auto"/>
            <w:vAlign w:val="center"/>
          </w:tcPr>
          <w:p w14:paraId="16450FA3">
            <w:pPr>
              <w:adjustRightInd w:val="0"/>
              <w:snapToGrid w:val="0"/>
              <w:spacing w:line="360" w:lineRule="auto"/>
              <w:jc w:val="center"/>
              <w:rPr>
                <w:rFonts w:ascii="宋体" w:hAnsi="宋体"/>
                <w:color w:val="auto"/>
              </w:rPr>
            </w:pPr>
          </w:p>
        </w:tc>
        <w:tc>
          <w:tcPr>
            <w:tcW w:w="1222" w:type="dxa"/>
            <w:shd w:val="clear" w:color="auto" w:fill="auto"/>
            <w:vAlign w:val="center"/>
          </w:tcPr>
          <w:p w14:paraId="53FB51A0">
            <w:pPr>
              <w:adjustRightInd w:val="0"/>
              <w:snapToGrid w:val="0"/>
              <w:spacing w:line="360" w:lineRule="auto"/>
              <w:jc w:val="center"/>
              <w:rPr>
                <w:rFonts w:ascii="宋体" w:hAnsi="宋体"/>
                <w:color w:val="auto"/>
              </w:rPr>
            </w:pPr>
          </w:p>
        </w:tc>
        <w:tc>
          <w:tcPr>
            <w:tcW w:w="776" w:type="dxa"/>
            <w:shd w:val="clear" w:color="auto" w:fill="auto"/>
            <w:vAlign w:val="center"/>
          </w:tcPr>
          <w:p w14:paraId="5A83FBAB">
            <w:pPr>
              <w:adjustRightInd w:val="0"/>
              <w:snapToGrid w:val="0"/>
              <w:spacing w:line="360" w:lineRule="auto"/>
              <w:jc w:val="center"/>
              <w:rPr>
                <w:rFonts w:ascii="宋体" w:hAnsi="宋体"/>
                <w:color w:val="auto"/>
              </w:rPr>
            </w:pPr>
          </w:p>
        </w:tc>
        <w:tc>
          <w:tcPr>
            <w:tcW w:w="776" w:type="dxa"/>
            <w:shd w:val="clear" w:color="auto" w:fill="auto"/>
            <w:vAlign w:val="center"/>
          </w:tcPr>
          <w:p w14:paraId="11764586">
            <w:pPr>
              <w:adjustRightInd w:val="0"/>
              <w:snapToGrid w:val="0"/>
              <w:spacing w:line="360" w:lineRule="auto"/>
              <w:jc w:val="center"/>
              <w:rPr>
                <w:rFonts w:ascii="宋体" w:hAnsi="宋体"/>
                <w:color w:val="auto"/>
              </w:rPr>
            </w:pPr>
          </w:p>
        </w:tc>
        <w:tc>
          <w:tcPr>
            <w:tcW w:w="774" w:type="dxa"/>
            <w:shd w:val="clear" w:color="auto" w:fill="auto"/>
            <w:vAlign w:val="center"/>
          </w:tcPr>
          <w:p w14:paraId="6B905092">
            <w:pPr>
              <w:adjustRightInd w:val="0"/>
              <w:snapToGrid w:val="0"/>
              <w:spacing w:line="360" w:lineRule="auto"/>
              <w:jc w:val="center"/>
              <w:rPr>
                <w:rFonts w:ascii="宋体" w:hAnsi="宋体"/>
                <w:color w:val="auto"/>
              </w:rPr>
            </w:pPr>
          </w:p>
        </w:tc>
      </w:tr>
      <w:tr w14:paraId="0C4B4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9" w:type="dxa"/>
            <w:shd w:val="clear" w:color="auto" w:fill="auto"/>
            <w:vAlign w:val="center"/>
          </w:tcPr>
          <w:p w14:paraId="09C09080">
            <w:pPr>
              <w:adjustRightInd w:val="0"/>
              <w:snapToGrid w:val="0"/>
              <w:spacing w:line="360" w:lineRule="auto"/>
              <w:jc w:val="center"/>
              <w:rPr>
                <w:rFonts w:ascii="宋体" w:hAnsi="宋体"/>
                <w:color w:val="auto"/>
              </w:rPr>
            </w:pPr>
            <w:r>
              <w:rPr>
                <w:rFonts w:hint="eastAsia" w:ascii="宋体" w:hAnsi="宋体"/>
                <w:color w:val="auto"/>
              </w:rPr>
              <w:t>　</w:t>
            </w:r>
          </w:p>
        </w:tc>
        <w:tc>
          <w:tcPr>
            <w:tcW w:w="839" w:type="dxa"/>
            <w:shd w:val="clear" w:color="auto" w:fill="auto"/>
            <w:vAlign w:val="center"/>
          </w:tcPr>
          <w:p w14:paraId="30D858C1">
            <w:pPr>
              <w:adjustRightInd w:val="0"/>
              <w:snapToGrid w:val="0"/>
              <w:spacing w:line="360" w:lineRule="auto"/>
              <w:jc w:val="center"/>
              <w:rPr>
                <w:rFonts w:ascii="宋体" w:hAnsi="宋体"/>
                <w:color w:val="auto"/>
              </w:rPr>
            </w:pPr>
          </w:p>
        </w:tc>
        <w:tc>
          <w:tcPr>
            <w:tcW w:w="1224" w:type="dxa"/>
            <w:shd w:val="clear" w:color="auto" w:fill="auto"/>
            <w:vAlign w:val="center"/>
          </w:tcPr>
          <w:p w14:paraId="474895BD">
            <w:pPr>
              <w:adjustRightInd w:val="0"/>
              <w:snapToGrid w:val="0"/>
              <w:spacing w:line="360" w:lineRule="auto"/>
              <w:jc w:val="center"/>
              <w:rPr>
                <w:rFonts w:ascii="宋体" w:hAnsi="宋体"/>
                <w:color w:val="auto"/>
              </w:rPr>
            </w:pPr>
          </w:p>
        </w:tc>
        <w:tc>
          <w:tcPr>
            <w:tcW w:w="555" w:type="dxa"/>
            <w:shd w:val="clear" w:color="auto" w:fill="auto"/>
            <w:vAlign w:val="center"/>
          </w:tcPr>
          <w:p w14:paraId="1B0077D8">
            <w:pPr>
              <w:adjustRightInd w:val="0"/>
              <w:snapToGrid w:val="0"/>
              <w:spacing w:line="360" w:lineRule="auto"/>
              <w:jc w:val="center"/>
              <w:rPr>
                <w:rFonts w:ascii="宋体" w:hAnsi="宋体"/>
                <w:color w:val="auto"/>
              </w:rPr>
            </w:pPr>
          </w:p>
        </w:tc>
        <w:tc>
          <w:tcPr>
            <w:tcW w:w="555" w:type="dxa"/>
            <w:shd w:val="clear" w:color="auto" w:fill="auto"/>
            <w:vAlign w:val="center"/>
          </w:tcPr>
          <w:p w14:paraId="2DA97225">
            <w:pPr>
              <w:adjustRightInd w:val="0"/>
              <w:snapToGrid w:val="0"/>
              <w:spacing w:line="360" w:lineRule="auto"/>
              <w:jc w:val="center"/>
              <w:rPr>
                <w:rFonts w:ascii="宋体" w:hAnsi="宋体"/>
                <w:color w:val="auto"/>
              </w:rPr>
            </w:pPr>
          </w:p>
        </w:tc>
        <w:tc>
          <w:tcPr>
            <w:tcW w:w="776" w:type="dxa"/>
            <w:shd w:val="clear" w:color="auto" w:fill="auto"/>
            <w:vAlign w:val="center"/>
          </w:tcPr>
          <w:p w14:paraId="5FF70D96">
            <w:pPr>
              <w:adjustRightInd w:val="0"/>
              <w:snapToGrid w:val="0"/>
              <w:spacing w:line="360" w:lineRule="auto"/>
              <w:jc w:val="center"/>
              <w:rPr>
                <w:rFonts w:ascii="宋体" w:hAnsi="宋体"/>
                <w:color w:val="auto"/>
              </w:rPr>
            </w:pPr>
          </w:p>
        </w:tc>
        <w:tc>
          <w:tcPr>
            <w:tcW w:w="1222" w:type="dxa"/>
            <w:shd w:val="clear" w:color="auto" w:fill="auto"/>
            <w:vAlign w:val="center"/>
          </w:tcPr>
          <w:p w14:paraId="7FA3E95F">
            <w:pPr>
              <w:adjustRightInd w:val="0"/>
              <w:snapToGrid w:val="0"/>
              <w:spacing w:line="360" w:lineRule="auto"/>
              <w:jc w:val="center"/>
              <w:rPr>
                <w:rFonts w:ascii="宋体" w:hAnsi="宋体"/>
                <w:color w:val="auto"/>
              </w:rPr>
            </w:pPr>
          </w:p>
        </w:tc>
        <w:tc>
          <w:tcPr>
            <w:tcW w:w="776" w:type="dxa"/>
            <w:shd w:val="clear" w:color="auto" w:fill="auto"/>
            <w:vAlign w:val="center"/>
          </w:tcPr>
          <w:p w14:paraId="6488834D">
            <w:pPr>
              <w:adjustRightInd w:val="0"/>
              <w:snapToGrid w:val="0"/>
              <w:spacing w:line="360" w:lineRule="auto"/>
              <w:jc w:val="center"/>
              <w:rPr>
                <w:rFonts w:ascii="宋体" w:hAnsi="宋体"/>
                <w:color w:val="auto"/>
              </w:rPr>
            </w:pPr>
          </w:p>
        </w:tc>
        <w:tc>
          <w:tcPr>
            <w:tcW w:w="776" w:type="dxa"/>
            <w:shd w:val="clear" w:color="auto" w:fill="auto"/>
            <w:vAlign w:val="center"/>
          </w:tcPr>
          <w:p w14:paraId="79F404F2">
            <w:pPr>
              <w:adjustRightInd w:val="0"/>
              <w:snapToGrid w:val="0"/>
              <w:spacing w:line="360" w:lineRule="auto"/>
              <w:jc w:val="center"/>
              <w:rPr>
                <w:rFonts w:ascii="宋体" w:hAnsi="宋体"/>
                <w:color w:val="auto"/>
              </w:rPr>
            </w:pPr>
          </w:p>
        </w:tc>
        <w:tc>
          <w:tcPr>
            <w:tcW w:w="774" w:type="dxa"/>
            <w:shd w:val="clear" w:color="auto" w:fill="auto"/>
            <w:vAlign w:val="center"/>
          </w:tcPr>
          <w:p w14:paraId="5DDCA6B2">
            <w:pPr>
              <w:adjustRightInd w:val="0"/>
              <w:snapToGrid w:val="0"/>
              <w:spacing w:line="360" w:lineRule="auto"/>
              <w:jc w:val="center"/>
              <w:rPr>
                <w:rFonts w:ascii="宋体" w:hAnsi="宋体"/>
                <w:color w:val="auto"/>
              </w:rPr>
            </w:pPr>
          </w:p>
        </w:tc>
      </w:tr>
      <w:tr w14:paraId="4CC63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9" w:type="dxa"/>
            <w:shd w:val="clear" w:color="auto" w:fill="auto"/>
            <w:vAlign w:val="center"/>
          </w:tcPr>
          <w:p w14:paraId="59251DC5">
            <w:pPr>
              <w:adjustRightInd w:val="0"/>
              <w:snapToGrid w:val="0"/>
              <w:spacing w:line="360" w:lineRule="auto"/>
              <w:jc w:val="center"/>
              <w:rPr>
                <w:rFonts w:ascii="宋体" w:hAnsi="宋体"/>
                <w:color w:val="auto"/>
              </w:rPr>
            </w:pPr>
            <w:r>
              <w:rPr>
                <w:rFonts w:hint="eastAsia" w:ascii="宋体" w:hAnsi="宋体"/>
                <w:color w:val="auto"/>
              </w:rPr>
              <w:t>　</w:t>
            </w:r>
          </w:p>
        </w:tc>
        <w:tc>
          <w:tcPr>
            <w:tcW w:w="839" w:type="dxa"/>
            <w:shd w:val="clear" w:color="auto" w:fill="auto"/>
            <w:vAlign w:val="center"/>
          </w:tcPr>
          <w:p w14:paraId="346482E8">
            <w:pPr>
              <w:adjustRightInd w:val="0"/>
              <w:snapToGrid w:val="0"/>
              <w:spacing w:line="360" w:lineRule="auto"/>
              <w:jc w:val="center"/>
              <w:rPr>
                <w:rFonts w:ascii="宋体" w:hAnsi="宋体"/>
                <w:color w:val="auto"/>
              </w:rPr>
            </w:pPr>
          </w:p>
        </w:tc>
        <w:tc>
          <w:tcPr>
            <w:tcW w:w="1224" w:type="dxa"/>
            <w:shd w:val="clear" w:color="auto" w:fill="auto"/>
            <w:vAlign w:val="center"/>
          </w:tcPr>
          <w:p w14:paraId="040A5F94">
            <w:pPr>
              <w:adjustRightInd w:val="0"/>
              <w:snapToGrid w:val="0"/>
              <w:spacing w:line="360" w:lineRule="auto"/>
              <w:jc w:val="center"/>
              <w:rPr>
                <w:rFonts w:ascii="宋体" w:hAnsi="宋体"/>
                <w:color w:val="auto"/>
              </w:rPr>
            </w:pPr>
          </w:p>
        </w:tc>
        <w:tc>
          <w:tcPr>
            <w:tcW w:w="555" w:type="dxa"/>
            <w:shd w:val="clear" w:color="auto" w:fill="auto"/>
            <w:vAlign w:val="center"/>
          </w:tcPr>
          <w:p w14:paraId="422BB8E4">
            <w:pPr>
              <w:adjustRightInd w:val="0"/>
              <w:snapToGrid w:val="0"/>
              <w:spacing w:line="360" w:lineRule="auto"/>
              <w:jc w:val="center"/>
              <w:rPr>
                <w:rFonts w:ascii="宋体" w:hAnsi="宋体"/>
                <w:color w:val="auto"/>
              </w:rPr>
            </w:pPr>
          </w:p>
        </w:tc>
        <w:tc>
          <w:tcPr>
            <w:tcW w:w="555" w:type="dxa"/>
            <w:shd w:val="clear" w:color="auto" w:fill="auto"/>
            <w:vAlign w:val="center"/>
          </w:tcPr>
          <w:p w14:paraId="6804E57E">
            <w:pPr>
              <w:adjustRightInd w:val="0"/>
              <w:snapToGrid w:val="0"/>
              <w:spacing w:line="360" w:lineRule="auto"/>
              <w:jc w:val="center"/>
              <w:rPr>
                <w:rFonts w:ascii="宋体" w:hAnsi="宋体"/>
                <w:color w:val="auto"/>
              </w:rPr>
            </w:pPr>
          </w:p>
        </w:tc>
        <w:tc>
          <w:tcPr>
            <w:tcW w:w="776" w:type="dxa"/>
            <w:shd w:val="clear" w:color="auto" w:fill="auto"/>
            <w:vAlign w:val="center"/>
          </w:tcPr>
          <w:p w14:paraId="1BE56172">
            <w:pPr>
              <w:adjustRightInd w:val="0"/>
              <w:snapToGrid w:val="0"/>
              <w:spacing w:line="360" w:lineRule="auto"/>
              <w:jc w:val="center"/>
              <w:rPr>
                <w:rFonts w:ascii="宋体" w:hAnsi="宋体"/>
                <w:color w:val="auto"/>
              </w:rPr>
            </w:pPr>
          </w:p>
        </w:tc>
        <w:tc>
          <w:tcPr>
            <w:tcW w:w="1222" w:type="dxa"/>
            <w:shd w:val="clear" w:color="auto" w:fill="auto"/>
            <w:vAlign w:val="center"/>
          </w:tcPr>
          <w:p w14:paraId="1694249C">
            <w:pPr>
              <w:adjustRightInd w:val="0"/>
              <w:snapToGrid w:val="0"/>
              <w:spacing w:line="360" w:lineRule="auto"/>
              <w:jc w:val="center"/>
              <w:rPr>
                <w:rFonts w:ascii="宋体" w:hAnsi="宋体"/>
                <w:color w:val="auto"/>
              </w:rPr>
            </w:pPr>
          </w:p>
        </w:tc>
        <w:tc>
          <w:tcPr>
            <w:tcW w:w="776" w:type="dxa"/>
            <w:shd w:val="clear" w:color="auto" w:fill="auto"/>
            <w:vAlign w:val="center"/>
          </w:tcPr>
          <w:p w14:paraId="4E5482FE">
            <w:pPr>
              <w:adjustRightInd w:val="0"/>
              <w:snapToGrid w:val="0"/>
              <w:spacing w:line="360" w:lineRule="auto"/>
              <w:jc w:val="center"/>
              <w:rPr>
                <w:rFonts w:ascii="宋体" w:hAnsi="宋体"/>
                <w:color w:val="auto"/>
              </w:rPr>
            </w:pPr>
          </w:p>
        </w:tc>
        <w:tc>
          <w:tcPr>
            <w:tcW w:w="776" w:type="dxa"/>
            <w:shd w:val="clear" w:color="auto" w:fill="auto"/>
            <w:vAlign w:val="center"/>
          </w:tcPr>
          <w:p w14:paraId="3B3186A6">
            <w:pPr>
              <w:adjustRightInd w:val="0"/>
              <w:snapToGrid w:val="0"/>
              <w:spacing w:line="360" w:lineRule="auto"/>
              <w:jc w:val="center"/>
              <w:rPr>
                <w:rFonts w:ascii="宋体" w:hAnsi="宋体"/>
                <w:color w:val="auto"/>
              </w:rPr>
            </w:pPr>
          </w:p>
        </w:tc>
        <w:tc>
          <w:tcPr>
            <w:tcW w:w="774" w:type="dxa"/>
            <w:shd w:val="clear" w:color="auto" w:fill="auto"/>
            <w:vAlign w:val="center"/>
          </w:tcPr>
          <w:p w14:paraId="4EB7E99B">
            <w:pPr>
              <w:adjustRightInd w:val="0"/>
              <w:snapToGrid w:val="0"/>
              <w:spacing w:line="360" w:lineRule="auto"/>
              <w:jc w:val="center"/>
              <w:rPr>
                <w:rFonts w:ascii="宋体" w:hAnsi="宋体"/>
                <w:color w:val="auto"/>
              </w:rPr>
            </w:pPr>
          </w:p>
        </w:tc>
      </w:tr>
      <w:tr w14:paraId="446D4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9" w:type="dxa"/>
            <w:shd w:val="clear" w:color="auto" w:fill="auto"/>
            <w:vAlign w:val="center"/>
          </w:tcPr>
          <w:p w14:paraId="5CD3D440">
            <w:pPr>
              <w:adjustRightInd w:val="0"/>
              <w:snapToGrid w:val="0"/>
              <w:spacing w:line="360" w:lineRule="auto"/>
              <w:jc w:val="center"/>
              <w:rPr>
                <w:rFonts w:ascii="宋体" w:hAnsi="宋体"/>
                <w:color w:val="auto"/>
              </w:rPr>
            </w:pPr>
            <w:r>
              <w:rPr>
                <w:rFonts w:hint="eastAsia" w:ascii="宋体" w:hAnsi="宋体"/>
                <w:color w:val="auto"/>
              </w:rPr>
              <w:t>　</w:t>
            </w:r>
          </w:p>
        </w:tc>
        <w:tc>
          <w:tcPr>
            <w:tcW w:w="839" w:type="dxa"/>
            <w:shd w:val="clear" w:color="auto" w:fill="auto"/>
            <w:vAlign w:val="center"/>
          </w:tcPr>
          <w:p w14:paraId="56AA5CED">
            <w:pPr>
              <w:adjustRightInd w:val="0"/>
              <w:snapToGrid w:val="0"/>
              <w:spacing w:line="360" w:lineRule="auto"/>
              <w:jc w:val="center"/>
              <w:rPr>
                <w:rFonts w:ascii="宋体" w:hAnsi="宋体"/>
                <w:color w:val="auto"/>
              </w:rPr>
            </w:pPr>
          </w:p>
        </w:tc>
        <w:tc>
          <w:tcPr>
            <w:tcW w:w="1224" w:type="dxa"/>
            <w:shd w:val="clear" w:color="auto" w:fill="auto"/>
            <w:vAlign w:val="center"/>
          </w:tcPr>
          <w:p w14:paraId="0B610786">
            <w:pPr>
              <w:adjustRightInd w:val="0"/>
              <w:snapToGrid w:val="0"/>
              <w:spacing w:line="360" w:lineRule="auto"/>
              <w:jc w:val="center"/>
              <w:rPr>
                <w:rFonts w:ascii="宋体" w:hAnsi="宋体"/>
                <w:color w:val="auto"/>
              </w:rPr>
            </w:pPr>
          </w:p>
        </w:tc>
        <w:tc>
          <w:tcPr>
            <w:tcW w:w="555" w:type="dxa"/>
            <w:shd w:val="clear" w:color="auto" w:fill="auto"/>
            <w:vAlign w:val="center"/>
          </w:tcPr>
          <w:p w14:paraId="583E53C8">
            <w:pPr>
              <w:adjustRightInd w:val="0"/>
              <w:snapToGrid w:val="0"/>
              <w:spacing w:line="360" w:lineRule="auto"/>
              <w:jc w:val="center"/>
              <w:rPr>
                <w:rFonts w:ascii="宋体" w:hAnsi="宋体"/>
                <w:color w:val="auto"/>
              </w:rPr>
            </w:pPr>
          </w:p>
        </w:tc>
        <w:tc>
          <w:tcPr>
            <w:tcW w:w="555" w:type="dxa"/>
            <w:shd w:val="clear" w:color="auto" w:fill="auto"/>
            <w:vAlign w:val="center"/>
          </w:tcPr>
          <w:p w14:paraId="2232DBC8">
            <w:pPr>
              <w:adjustRightInd w:val="0"/>
              <w:snapToGrid w:val="0"/>
              <w:spacing w:line="360" w:lineRule="auto"/>
              <w:jc w:val="center"/>
              <w:rPr>
                <w:rFonts w:ascii="宋体" w:hAnsi="宋体"/>
                <w:color w:val="auto"/>
              </w:rPr>
            </w:pPr>
          </w:p>
        </w:tc>
        <w:tc>
          <w:tcPr>
            <w:tcW w:w="776" w:type="dxa"/>
            <w:shd w:val="clear" w:color="auto" w:fill="auto"/>
            <w:vAlign w:val="center"/>
          </w:tcPr>
          <w:p w14:paraId="169E6A5B">
            <w:pPr>
              <w:adjustRightInd w:val="0"/>
              <w:snapToGrid w:val="0"/>
              <w:spacing w:line="360" w:lineRule="auto"/>
              <w:jc w:val="center"/>
              <w:rPr>
                <w:rFonts w:ascii="宋体" w:hAnsi="宋体"/>
                <w:color w:val="auto"/>
              </w:rPr>
            </w:pPr>
          </w:p>
        </w:tc>
        <w:tc>
          <w:tcPr>
            <w:tcW w:w="1222" w:type="dxa"/>
            <w:shd w:val="clear" w:color="auto" w:fill="auto"/>
            <w:vAlign w:val="center"/>
          </w:tcPr>
          <w:p w14:paraId="5F39B154">
            <w:pPr>
              <w:adjustRightInd w:val="0"/>
              <w:snapToGrid w:val="0"/>
              <w:spacing w:line="360" w:lineRule="auto"/>
              <w:jc w:val="center"/>
              <w:rPr>
                <w:rFonts w:ascii="宋体" w:hAnsi="宋体"/>
                <w:color w:val="auto"/>
              </w:rPr>
            </w:pPr>
          </w:p>
        </w:tc>
        <w:tc>
          <w:tcPr>
            <w:tcW w:w="776" w:type="dxa"/>
            <w:shd w:val="clear" w:color="auto" w:fill="auto"/>
            <w:vAlign w:val="center"/>
          </w:tcPr>
          <w:p w14:paraId="593E5527">
            <w:pPr>
              <w:adjustRightInd w:val="0"/>
              <w:snapToGrid w:val="0"/>
              <w:spacing w:line="360" w:lineRule="auto"/>
              <w:jc w:val="center"/>
              <w:rPr>
                <w:rFonts w:ascii="宋体" w:hAnsi="宋体"/>
                <w:color w:val="auto"/>
              </w:rPr>
            </w:pPr>
          </w:p>
        </w:tc>
        <w:tc>
          <w:tcPr>
            <w:tcW w:w="776" w:type="dxa"/>
            <w:shd w:val="clear" w:color="auto" w:fill="auto"/>
            <w:vAlign w:val="center"/>
          </w:tcPr>
          <w:p w14:paraId="2B983936">
            <w:pPr>
              <w:adjustRightInd w:val="0"/>
              <w:snapToGrid w:val="0"/>
              <w:spacing w:line="360" w:lineRule="auto"/>
              <w:jc w:val="center"/>
              <w:rPr>
                <w:rFonts w:ascii="宋体" w:hAnsi="宋体"/>
                <w:color w:val="auto"/>
              </w:rPr>
            </w:pPr>
          </w:p>
        </w:tc>
        <w:tc>
          <w:tcPr>
            <w:tcW w:w="774" w:type="dxa"/>
            <w:shd w:val="clear" w:color="auto" w:fill="auto"/>
            <w:vAlign w:val="center"/>
          </w:tcPr>
          <w:p w14:paraId="23CC703E">
            <w:pPr>
              <w:adjustRightInd w:val="0"/>
              <w:snapToGrid w:val="0"/>
              <w:spacing w:line="360" w:lineRule="auto"/>
              <w:jc w:val="center"/>
              <w:rPr>
                <w:rFonts w:ascii="宋体" w:hAnsi="宋体"/>
                <w:color w:val="auto"/>
              </w:rPr>
            </w:pPr>
          </w:p>
        </w:tc>
      </w:tr>
      <w:tr w14:paraId="7779A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9" w:type="dxa"/>
            <w:shd w:val="clear" w:color="auto" w:fill="auto"/>
            <w:vAlign w:val="center"/>
          </w:tcPr>
          <w:p w14:paraId="187347A5">
            <w:pPr>
              <w:adjustRightInd w:val="0"/>
              <w:snapToGrid w:val="0"/>
              <w:spacing w:line="360" w:lineRule="auto"/>
              <w:jc w:val="center"/>
              <w:rPr>
                <w:rFonts w:ascii="宋体" w:hAnsi="宋体"/>
                <w:color w:val="auto"/>
              </w:rPr>
            </w:pPr>
            <w:r>
              <w:rPr>
                <w:rFonts w:hint="eastAsia" w:ascii="宋体" w:hAnsi="宋体"/>
                <w:color w:val="auto"/>
              </w:rPr>
              <w:t>　</w:t>
            </w:r>
          </w:p>
        </w:tc>
        <w:tc>
          <w:tcPr>
            <w:tcW w:w="839" w:type="dxa"/>
            <w:shd w:val="clear" w:color="auto" w:fill="auto"/>
            <w:vAlign w:val="center"/>
          </w:tcPr>
          <w:p w14:paraId="2B06339B">
            <w:pPr>
              <w:adjustRightInd w:val="0"/>
              <w:snapToGrid w:val="0"/>
              <w:spacing w:line="360" w:lineRule="auto"/>
              <w:jc w:val="center"/>
              <w:rPr>
                <w:rFonts w:ascii="宋体" w:hAnsi="宋体"/>
                <w:color w:val="auto"/>
              </w:rPr>
            </w:pPr>
          </w:p>
        </w:tc>
        <w:tc>
          <w:tcPr>
            <w:tcW w:w="1224" w:type="dxa"/>
            <w:shd w:val="clear" w:color="auto" w:fill="auto"/>
            <w:vAlign w:val="center"/>
          </w:tcPr>
          <w:p w14:paraId="7B4AFE36">
            <w:pPr>
              <w:adjustRightInd w:val="0"/>
              <w:snapToGrid w:val="0"/>
              <w:spacing w:line="360" w:lineRule="auto"/>
              <w:jc w:val="center"/>
              <w:rPr>
                <w:rFonts w:ascii="宋体" w:hAnsi="宋体"/>
                <w:color w:val="auto"/>
              </w:rPr>
            </w:pPr>
          </w:p>
        </w:tc>
        <w:tc>
          <w:tcPr>
            <w:tcW w:w="555" w:type="dxa"/>
            <w:shd w:val="clear" w:color="auto" w:fill="auto"/>
            <w:vAlign w:val="center"/>
          </w:tcPr>
          <w:p w14:paraId="0990389A">
            <w:pPr>
              <w:adjustRightInd w:val="0"/>
              <w:snapToGrid w:val="0"/>
              <w:spacing w:line="360" w:lineRule="auto"/>
              <w:jc w:val="center"/>
              <w:rPr>
                <w:rFonts w:ascii="宋体" w:hAnsi="宋体"/>
                <w:color w:val="auto"/>
              </w:rPr>
            </w:pPr>
          </w:p>
        </w:tc>
        <w:tc>
          <w:tcPr>
            <w:tcW w:w="555" w:type="dxa"/>
            <w:shd w:val="clear" w:color="auto" w:fill="auto"/>
            <w:vAlign w:val="center"/>
          </w:tcPr>
          <w:p w14:paraId="24F620D1">
            <w:pPr>
              <w:adjustRightInd w:val="0"/>
              <w:snapToGrid w:val="0"/>
              <w:spacing w:line="360" w:lineRule="auto"/>
              <w:jc w:val="center"/>
              <w:rPr>
                <w:rFonts w:ascii="宋体" w:hAnsi="宋体"/>
                <w:color w:val="auto"/>
              </w:rPr>
            </w:pPr>
          </w:p>
        </w:tc>
        <w:tc>
          <w:tcPr>
            <w:tcW w:w="776" w:type="dxa"/>
            <w:shd w:val="clear" w:color="auto" w:fill="auto"/>
            <w:vAlign w:val="center"/>
          </w:tcPr>
          <w:p w14:paraId="6ADA69F2">
            <w:pPr>
              <w:adjustRightInd w:val="0"/>
              <w:snapToGrid w:val="0"/>
              <w:spacing w:line="360" w:lineRule="auto"/>
              <w:jc w:val="center"/>
              <w:rPr>
                <w:rFonts w:ascii="宋体" w:hAnsi="宋体"/>
                <w:color w:val="auto"/>
              </w:rPr>
            </w:pPr>
          </w:p>
        </w:tc>
        <w:tc>
          <w:tcPr>
            <w:tcW w:w="1222" w:type="dxa"/>
            <w:shd w:val="clear" w:color="auto" w:fill="auto"/>
            <w:vAlign w:val="center"/>
          </w:tcPr>
          <w:p w14:paraId="63350CBB">
            <w:pPr>
              <w:adjustRightInd w:val="0"/>
              <w:snapToGrid w:val="0"/>
              <w:spacing w:line="360" w:lineRule="auto"/>
              <w:jc w:val="center"/>
              <w:rPr>
                <w:rFonts w:ascii="宋体" w:hAnsi="宋体"/>
                <w:color w:val="auto"/>
              </w:rPr>
            </w:pPr>
          </w:p>
        </w:tc>
        <w:tc>
          <w:tcPr>
            <w:tcW w:w="776" w:type="dxa"/>
            <w:shd w:val="clear" w:color="auto" w:fill="auto"/>
            <w:vAlign w:val="center"/>
          </w:tcPr>
          <w:p w14:paraId="049233D6">
            <w:pPr>
              <w:adjustRightInd w:val="0"/>
              <w:snapToGrid w:val="0"/>
              <w:spacing w:line="360" w:lineRule="auto"/>
              <w:jc w:val="center"/>
              <w:rPr>
                <w:rFonts w:ascii="宋体" w:hAnsi="宋体"/>
                <w:color w:val="auto"/>
              </w:rPr>
            </w:pPr>
          </w:p>
        </w:tc>
        <w:tc>
          <w:tcPr>
            <w:tcW w:w="776" w:type="dxa"/>
            <w:shd w:val="clear" w:color="auto" w:fill="auto"/>
            <w:vAlign w:val="center"/>
          </w:tcPr>
          <w:p w14:paraId="23F7C8A5">
            <w:pPr>
              <w:adjustRightInd w:val="0"/>
              <w:snapToGrid w:val="0"/>
              <w:spacing w:line="360" w:lineRule="auto"/>
              <w:jc w:val="center"/>
              <w:rPr>
                <w:rFonts w:ascii="宋体" w:hAnsi="宋体"/>
                <w:color w:val="auto"/>
              </w:rPr>
            </w:pPr>
          </w:p>
        </w:tc>
        <w:tc>
          <w:tcPr>
            <w:tcW w:w="774" w:type="dxa"/>
            <w:shd w:val="clear" w:color="auto" w:fill="auto"/>
            <w:vAlign w:val="center"/>
          </w:tcPr>
          <w:p w14:paraId="652AF11C">
            <w:pPr>
              <w:adjustRightInd w:val="0"/>
              <w:snapToGrid w:val="0"/>
              <w:spacing w:line="360" w:lineRule="auto"/>
              <w:jc w:val="center"/>
              <w:rPr>
                <w:rFonts w:ascii="宋体" w:hAnsi="宋体"/>
                <w:color w:val="auto"/>
              </w:rPr>
            </w:pPr>
          </w:p>
        </w:tc>
      </w:tr>
      <w:tr w14:paraId="7B6CE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9" w:type="dxa"/>
            <w:shd w:val="clear" w:color="auto" w:fill="auto"/>
            <w:vAlign w:val="center"/>
          </w:tcPr>
          <w:p w14:paraId="7FCF4B66">
            <w:pPr>
              <w:adjustRightInd w:val="0"/>
              <w:snapToGrid w:val="0"/>
              <w:spacing w:line="360" w:lineRule="auto"/>
              <w:jc w:val="center"/>
              <w:rPr>
                <w:rFonts w:ascii="宋体" w:hAnsi="宋体"/>
                <w:color w:val="auto"/>
              </w:rPr>
            </w:pPr>
            <w:r>
              <w:rPr>
                <w:rFonts w:hint="eastAsia" w:ascii="宋体" w:hAnsi="宋体"/>
                <w:color w:val="auto"/>
              </w:rPr>
              <w:t>　</w:t>
            </w:r>
          </w:p>
        </w:tc>
        <w:tc>
          <w:tcPr>
            <w:tcW w:w="839" w:type="dxa"/>
            <w:shd w:val="clear" w:color="auto" w:fill="auto"/>
            <w:vAlign w:val="center"/>
          </w:tcPr>
          <w:p w14:paraId="132EC136">
            <w:pPr>
              <w:adjustRightInd w:val="0"/>
              <w:snapToGrid w:val="0"/>
              <w:spacing w:line="360" w:lineRule="auto"/>
              <w:jc w:val="center"/>
              <w:rPr>
                <w:rFonts w:ascii="宋体" w:hAnsi="宋体"/>
                <w:color w:val="auto"/>
              </w:rPr>
            </w:pPr>
          </w:p>
        </w:tc>
        <w:tc>
          <w:tcPr>
            <w:tcW w:w="1224" w:type="dxa"/>
            <w:shd w:val="clear" w:color="auto" w:fill="auto"/>
            <w:vAlign w:val="center"/>
          </w:tcPr>
          <w:p w14:paraId="637E8F47">
            <w:pPr>
              <w:adjustRightInd w:val="0"/>
              <w:snapToGrid w:val="0"/>
              <w:spacing w:line="360" w:lineRule="auto"/>
              <w:jc w:val="center"/>
              <w:rPr>
                <w:rFonts w:ascii="宋体" w:hAnsi="宋体"/>
                <w:color w:val="auto"/>
              </w:rPr>
            </w:pPr>
          </w:p>
        </w:tc>
        <w:tc>
          <w:tcPr>
            <w:tcW w:w="555" w:type="dxa"/>
            <w:shd w:val="clear" w:color="auto" w:fill="auto"/>
            <w:vAlign w:val="center"/>
          </w:tcPr>
          <w:p w14:paraId="2FBEBE55">
            <w:pPr>
              <w:adjustRightInd w:val="0"/>
              <w:snapToGrid w:val="0"/>
              <w:spacing w:line="360" w:lineRule="auto"/>
              <w:jc w:val="center"/>
              <w:rPr>
                <w:rFonts w:ascii="宋体" w:hAnsi="宋体"/>
                <w:color w:val="auto"/>
              </w:rPr>
            </w:pPr>
          </w:p>
        </w:tc>
        <w:tc>
          <w:tcPr>
            <w:tcW w:w="555" w:type="dxa"/>
            <w:shd w:val="clear" w:color="auto" w:fill="auto"/>
            <w:vAlign w:val="center"/>
          </w:tcPr>
          <w:p w14:paraId="06EBE104">
            <w:pPr>
              <w:adjustRightInd w:val="0"/>
              <w:snapToGrid w:val="0"/>
              <w:spacing w:line="360" w:lineRule="auto"/>
              <w:jc w:val="center"/>
              <w:rPr>
                <w:rFonts w:ascii="宋体" w:hAnsi="宋体"/>
                <w:color w:val="auto"/>
              </w:rPr>
            </w:pPr>
          </w:p>
        </w:tc>
        <w:tc>
          <w:tcPr>
            <w:tcW w:w="776" w:type="dxa"/>
            <w:shd w:val="clear" w:color="auto" w:fill="auto"/>
            <w:vAlign w:val="center"/>
          </w:tcPr>
          <w:p w14:paraId="104FE306">
            <w:pPr>
              <w:adjustRightInd w:val="0"/>
              <w:snapToGrid w:val="0"/>
              <w:spacing w:line="360" w:lineRule="auto"/>
              <w:jc w:val="center"/>
              <w:rPr>
                <w:rFonts w:ascii="宋体" w:hAnsi="宋体"/>
                <w:color w:val="auto"/>
              </w:rPr>
            </w:pPr>
          </w:p>
        </w:tc>
        <w:tc>
          <w:tcPr>
            <w:tcW w:w="1222" w:type="dxa"/>
            <w:shd w:val="clear" w:color="auto" w:fill="auto"/>
            <w:vAlign w:val="center"/>
          </w:tcPr>
          <w:p w14:paraId="74998461">
            <w:pPr>
              <w:adjustRightInd w:val="0"/>
              <w:snapToGrid w:val="0"/>
              <w:spacing w:line="360" w:lineRule="auto"/>
              <w:jc w:val="center"/>
              <w:rPr>
                <w:rFonts w:ascii="宋体" w:hAnsi="宋体"/>
                <w:color w:val="auto"/>
              </w:rPr>
            </w:pPr>
          </w:p>
        </w:tc>
        <w:tc>
          <w:tcPr>
            <w:tcW w:w="776" w:type="dxa"/>
            <w:shd w:val="clear" w:color="auto" w:fill="auto"/>
            <w:vAlign w:val="center"/>
          </w:tcPr>
          <w:p w14:paraId="16A1E8C2">
            <w:pPr>
              <w:adjustRightInd w:val="0"/>
              <w:snapToGrid w:val="0"/>
              <w:spacing w:line="360" w:lineRule="auto"/>
              <w:jc w:val="center"/>
              <w:rPr>
                <w:rFonts w:ascii="宋体" w:hAnsi="宋体"/>
                <w:color w:val="auto"/>
              </w:rPr>
            </w:pPr>
          </w:p>
        </w:tc>
        <w:tc>
          <w:tcPr>
            <w:tcW w:w="776" w:type="dxa"/>
            <w:shd w:val="clear" w:color="auto" w:fill="auto"/>
            <w:vAlign w:val="center"/>
          </w:tcPr>
          <w:p w14:paraId="3423D1B6">
            <w:pPr>
              <w:adjustRightInd w:val="0"/>
              <w:snapToGrid w:val="0"/>
              <w:spacing w:line="360" w:lineRule="auto"/>
              <w:jc w:val="center"/>
              <w:rPr>
                <w:rFonts w:ascii="宋体" w:hAnsi="宋体"/>
                <w:color w:val="auto"/>
              </w:rPr>
            </w:pPr>
          </w:p>
        </w:tc>
        <w:tc>
          <w:tcPr>
            <w:tcW w:w="774" w:type="dxa"/>
            <w:shd w:val="clear" w:color="auto" w:fill="auto"/>
            <w:vAlign w:val="center"/>
          </w:tcPr>
          <w:p w14:paraId="7DC53FDA">
            <w:pPr>
              <w:adjustRightInd w:val="0"/>
              <w:snapToGrid w:val="0"/>
              <w:spacing w:line="360" w:lineRule="auto"/>
              <w:jc w:val="center"/>
              <w:rPr>
                <w:rFonts w:ascii="宋体" w:hAnsi="宋体"/>
                <w:color w:val="auto"/>
              </w:rPr>
            </w:pPr>
          </w:p>
        </w:tc>
      </w:tr>
      <w:tr w14:paraId="32AF7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9" w:type="dxa"/>
            <w:shd w:val="clear" w:color="auto" w:fill="auto"/>
            <w:vAlign w:val="center"/>
          </w:tcPr>
          <w:p w14:paraId="66A117B5">
            <w:pPr>
              <w:adjustRightInd w:val="0"/>
              <w:snapToGrid w:val="0"/>
              <w:spacing w:line="360" w:lineRule="auto"/>
              <w:jc w:val="center"/>
              <w:rPr>
                <w:rFonts w:ascii="宋体" w:hAnsi="宋体"/>
                <w:color w:val="auto"/>
              </w:rPr>
            </w:pPr>
            <w:r>
              <w:rPr>
                <w:rFonts w:hint="eastAsia" w:ascii="宋体" w:hAnsi="宋体"/>
                <w:color w:val="auto"/>
              </w:rPr>
              <w:t>　</w:t>
            </w:r>
          </w:p>
        </w:tc>
        <w:tc>
          <w:tcPr>
            <w:tcW w:w="839" w:type="dxa"/>
            <w:shd w:val="clear" w:color="auto" w:fill="auto"/>
            <w:vAlign w:val="center"/>
          </w:tcPr>
          <w:p w14:paraId="769DECB7">
            <w:pPr>
              <w:adjustRightInd w:val="0"/>
              <w:snapToGrid w:val="0"/>
              <w:spacing w:line="360" w:lineRule="auto"/>
              <w:jc w:val="center"/>
              <w:rPr>
                <w:rFonts w:ascii="宋体" w:hAnsi="宋体"/>
                <w:color w:val="auto"/>
              </w:rPr>
            </w:pPr>
          </w:p>
        </w:tc>
        <w:tc>
          <w:tcPr>
            <w:tcW w:w="1224" w:type="dxa"/>
            <w:shd w:val="clear" w:color="auto" w:fill="auto"/>
            <w:vAlign w:val="center"/>
          </w:tcPr>
          <w:p w14:paraId="4D6D56D6">
            <w:pPr>
              <w:adjustRightInd w:val="0"/>
              <w:snapToGrid w:val="0"/>
              <w:spacing w:line="360" w:lineRule="auto"/>
              <w:jc w:val="center"/>
              <w:rPr>
                <w:rFonts w:ascii="宋体" w:hAnsi="宋体"/>
                <w:color w:val="auto"/>
              </w:rPr>
            </w:pPr>
          </w:p>
        </w:tc>
        <w:tc>
          <w:tcPr>
            <w:tcW w:w="555" w:type="dxa"/>
            <w:shd w:val="clear" w:color="auto" w:fill="auto"/>
            <w:vAlign w:val="center"/>
          </w:tcPr>
          <w:p w14:paraId="0A47F70D">
            <w:pPr>
              <w:adjustRightInd w:val="0"/>
              <w:snapToGrid w:val="0"/>
              <w:spacing w:line="360" w:lineRule="auto"/>
              <w:jc w:val="center"/>
              <w:rPr>
                <w:rFonts w:ascii="宋体" w:hAnsi="宋体"/>
                <w:color w:val="auto"/>
              </w:rPr>
            </w:pPr>
          </w:p>
        </w:tc>
        <w:tc>
          <w:tcPr>
            <w:tcW w:w="555" w:type="dxa"/>
            <w:shd w:val="clear" w:color="auto" w:fill="auto"/>
            <w:vAlign w:val="center"/>
          </w:tcPr>
          <w:p w14:paraId="70C2D271">
            <w:pPr>
              <w:adjustRightInd w:val="0"/>
              <w:snapToGrid w:val="0"/>
              <w:spacing w:line="360" w:lineRule="auto"/>
              <w:jc w:val="center"/>
              <w:rPr>
                <w:rFonts w:ascii="宋体" w:hAnsi="宋体"/>
                <w:color w:val="auto"/>
              </w:rPr>
            </w:pPr>
          </w:p>
        </w:tc>
        <w:tc>
          <w:tcPr>
            <w:tcW w:w="776" w:type="dxa"/>
            <w:shd w:val="clear" w:color="auto" w:fill="auto"/>
            <w:vAlign w:val="center"/>
          </w:tcPr>
          <w:p w14:paraId="5E5E6F71">
            <w:pPr>
              <w:adjustRightInd w:val="0"/>
              <w:snapToGrid w:val="0"/>
              <w:spacing w:line="360" w:lineRule="auto"/>
              <w:jc w:val="center"/>
              <w:rPr>
                <w:rFonts w:ascii="宋体" w:hAnsi="宋体"/>
                <w:color w:val="auto"/>
              </w:rPr>
            </w:pPr>
          </w:p>
        </w:tc>
        <w:tc>
          <w:tcPr>
            <w:tcW w:w="1222" w:type="dxa"/>
            <w:shd w:val="clear" w:color="auto" w:fill="auto"/>
            <w:vAlign w:val="center"/>
          </w:tcPr>
          <w:p w14:paraId="1EC5F8A6">
            <w:pPr>
              <w:adjustRightInd w:val="0"/>
              <w:snapToGrid w:val="0"/>
              <w:spacing w:line="360" w:lineRule="auto"/>
              <w:jc w:val="center"/>
              <w:rPr>
                <w:rFonts w:ascii="宋体" w:hAnsi="宋体"/>
                <w:color w:val="auto"/>
              </w:rPr>
            </w:pPr>
          </w:p>
        </w:tc>
        <w:tc>
          <w:tcPr>
            <w:tcW w:w="776" w:type="dxa"/>
            <w:shd w:val="clear" w:color="auto" w:fill="auto"/>
            <w:vAlign w:val="center"/>
          </w:tcPr>
          <w:p w14:paraId="6FACB2E6">
            <w:pPr>
              <w:adjustRightInd w:val="0"/>
              <w:snapToGrid w:val="0"/>
              <w:spacing w:line="360" w:lineRule="auto"/>
              <w:jc w:val="center"/>
              <w:rPr>
                <w:rFonts w:ascii="宋体" w:hAnsi="宋体"/>
                <w:color w:val="auto"/>
              </w:rPr>
            </w:pPr>
          </w:p>
        </w:tc>
        <w:tc>
          <w:tcPr>
            <w:tcW w:w="776" w:type="dxa"/>
            <w:shd w:val="clear" w:color="auto" w:fill="auto"/>
            <w:vAlign w:val="center"/>
          </w:tcPr>
          <w:p w14:paraId="4104DC36">
            <w:pPr>
              <w:adjustRightInd w:val="0"/>
              <w:snapToGrid w:val="0"/>
              <w:spacing w:line="360" w:lineRule="auto"/>
              <w:jc w:val="center"/>
              <w:rPr>
                <w:rFonts w:ascii="宋体" w:hAnsi="宋体"/>
                <w:color w:val="auto"/>
              </w:rPr>
            </w:pPr>
          </w:p>
        </w:tc>
        <w:tc>
          <w:tcPr>
            <w:tcW w:w="774" w:type="dxa"/>
            <w:shd w:val="clear" w:color="auto" w:fill="auto"/>
            <w:vAlign w:val="center"/>
          </w:tcPr>
          <w:p w14:paraId="1E4C262D">
            <w:pPr>
              <w:adjustRightInd w:val="0"/>
              <w:snapToGrid w:val="0"/>
              <w:spacing w:line="360" w:lineRule="auto"/>
              <w:jc w:val="center"/>
              <w:rPr>
                <w:rFonts w:ascii="宋体" w:hAnsi="宋体"/>
                <w:color w:val="auto"/>
              </w:rPr>
            </w:pPr>
          </w:p>
        </w:tc>
      </w:tr>
      <w:tr w14:paraId="1669A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9" w:type="dxa"/>
            <w:shd w:val="clear" w:color="auto" w:fill="auto"/>
            <w:vAlign w:val="center"/>
          </w:tcPr>
          <w:p w14:paraId="58A6ACD9">
            <w:pPr>
              <w:adjustRightInd w:val="0"/>
              <w:snapToGrid w:val="0"/>
              <w:spacing w:line="360" w:lineRule="auto"/>
              <w:jc w:val="center"/>
              <w:rPr>
                <w:rFonts w:ascii="宋体" w:hAnsi="宋体"/>
                <w:color w:val="auto"/>
              </w:rPr>
            </w:pPr>
            <w:r>
              <w:rPr>
                <w:rFonts w:hint="eastAsia" w:ascii="宋体" w:hAnsi="宋体"/>
                <w:color w:val="auto"/>
              </w:rPr>
              <w:t>　</w:t>
            </w:r>
          </w:p>
        </w:tc>
        <w:tc>
          <w:tcPr>
            <w:tcW w:w="839" w:type="dxa"/>
            <w:shd w:val="clear" w:color="auto" w:fill="auto"/>
            <w:vAlign w:val="center"/>
          </w:tcPr>
          <w:p w14:paraId="296E6B92">
            <w:pPr>
              <w:adjustRightInd w:val="0"/>
              <w:snapToGrid w:val="0"/>
              <w:spacing w:line="360" w:lineRule="auto"/>
              <w:jc w:val="center"/>
              <w:rPr>
                <w:rFonts w:ascii="宋体" w:hAnsi="宋体"/>
                <w:color w:val="auto"/>
              </w:rPr>
            </w:pPr>
          </w:p>
        </w:tc>
        <w:tc>
          <w:tcPr>
            <w:tcW w:w="1224" w:type="dxa"/>
            <w:shd w:val="clear" w:color="auto" w:fill="auto"/>
            <w:vAlign w:val="center"/>
          </w:tcPr>
          <w:p w14:paraId="64A5D2D6">
            <w:pPr>
              <w:adjustRightInd w:val="0"/>
              <w:snapToGrid w:val="0"/>
              <w:spacing w:line="360" w:lineRule="auto"/>
              <w:jc w:val="center"/>
              <w:rPr>
                <w:rFonts w:ascii="宋体" w:hAnsi="宋体"/>
                <w:color w:val="auto"/>
              </w:rPr>
            </w:pPr>
          </w:p>
        </w:tc>
        <w:tc>
          <w:tcPr>
            <w:tcW w:w="555" w:type="dxa"/>
            <w:shd w:val="clear" w:color="auto" w:fill="auto"/>
            <w:vAlign w:val="center"/>
          </w:tcPr>
          <w:p w14:paraId="775C0310">
            <w:pPr>
              <w:adjustRightInd w:val="0"/>
              <w:snapToGrid w:val="0"/>
              <w:spacing w:line="360" w:lineRule="auto"/>
              <w:jc w:val="center"/>
              <w:rPr>
                <w:rFonts w:ascii="宋体" w:hAnsi="宋体"/>
                <w:color w:val="auto"/>
              </w:rPr>
            </w:pPr>
          </w:p>
        </w:tc>
        <w:tc>
          <w:tcPr>
            <w:tcW w:w="555" w:type="dxa"/>
            <w:shd w:val="clear" w:color="auto" w:fill="auto"/>
            <w:vAlign w:val="center"/>
          </w:tcPr>
          <w:p w14:paraId="786F02CF">
            <w:pPr>
              <w:adjustRightInd w:val="0"/>
              <w:snapToGrid w:val="0"/>
              <w:spacing w:line="360" w:lineRule="auto"/>
              <w:jc w:val="center"/>
              <w:rPr>
                <w:rFonts w:ascii="宋体" w:hAnsi="宋体"/>
                <w:color w:val="auto"/>
              </w:rPr>
            </w:pPr>
          </w:p>
        </w:tc>
        <w:tc>
          <w:tcPr>
            <w:tcW w:w="776" w:type="dxa"/>
            <w:shd w:val="clear" w:color="auto" w:fill="auto"/>
            <w:vAlign w:val="center"/>
          </w:tcPr>
          <w:p w14:paraId="6268E48E">
            <w:pPr>
              <w:adjustRightInd w:val="0"/>
              <w:snapToGrid w:val="0"/>
              <w:spacing w:line="360" w:lineRule="auto"/>
              <w:jc w:val="center"/>
              <w:rPr>
                <w:rFonts w:ascii="宋体" w:hAnsi="宋体"/>
                <w:color w:val="auto"/>
              </w:rPr>
            </w:pPr>
          </w:p>
        </w:tc>
        <w:tc>
          <w:tcPr>
            <w:tcW w:w="1222" w:type="dxa"/>
            <w:shd w:val="clear" w:color="auto" w:fill="auto"/>
            <w:vAlign w:val="center"/>
          </w:tcPr>
          <w:p w14:paraId="701BB3F1">
            <w:pPr>
              <w:adjustRightInd w:val="0"/>
              <w:snapToGrid w:val="0"/>
              <w:spacing w:line="360" w:lineRule="auto"/>
              <w:jc w:val="center"/>
              <w:rPr>
                <w:rFonts w:ascii="宋体" w:hAnsi="宋体"/>
                <w:color w:val="auto"/>
              </w:rPr>
            </w:pPr>
          </w:p>
        </w:tc>
        <w:tc>
          <w:tcPr>
            <w:tcW w:w="776" w:type="dxa"/>
            <w:shd w:val="clear" w:color="auto" w:fill="auto"/>
            <w:vAlign w:val="center"/>
          </w:tcPr>
          <w:p w14:paraId="7C7AEF7D">
            <w:pPr>
              <w:adjustRightInd w:val="0"/>
              <w:snapToGrid w:val="0"/>
              <w:spacing w:line="360" w:lineRule="auto"/>
              <w:jc w:val="center"/>
              <w:rPr>
                <w:rFonts w:ascii="宋体" w:hAnsi="宋体"/>
                <w:color w:val="auto"/>
              </w:rPr>
            </w:pPr>
          </w:p>
        </w:tc>
        <w:tc>
          <w:tcPr>
            <w:tcW w:w="776" w:type="dxa"/>
            <w:shd w:val="clear" w:color="auto" w:fill="auto"/>
            <w:vAlign w:val="center"/>
          </w:tcPr>
          <w:p w14:paraId="0C185860">
            <w:pPr>
              <w:adjustRightInd w:val="0"/>
              <w:snapToGrid w:val="0"/>
              <w:spacing w:line="360" w:lineRule="auto"/>
              <w:jc w:val="center"/>
              <w:rPr>
                <w:rFonts w:ascii="宋体" w:hAnsi="宋体"/>
                <w:color w:val="auto"/>
              </w:rPr>
            </w:pPr>
          </w:p>
        </w:tc>
        <w:tc>
          <w:tcPr>
            <w:tcW w:w="774" w:type="dxa"/>
            <w:shd w:val="clear" w:color="auto" w:fill="auto"/>
            <w:vAlign w:val="center"/>
          </w:tcPr>
          <w:p w14:paraId="321D5260">
            <w:pPr>
              <w:adjustRightInd w:val="0"/>
              <w:snapToGrid w:val="0"/>
              <w:spacing w:line="360" w:lineRule="auto"/>
              <w:jc w:val="center"/>
              <w:rPr>
                <w:rFonts w:ascii="宋体" w:hAnsi="宋体"/>
                <w:color w:val="auto"/>
              </w:rPr>
            </w:pPr>
          </w:p>
        </w:tc>
      </w:tr>
      <w:tr w14:paraId="6265E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9" w:type="dxa"/>
            <w:shd w:val="clear" w:color="auto" w:fill="auto"/>
            <w:vAlign w:val="center"/>
          </w:tcPr>
          <w:p w14:paraId="4EE88FB1">
            <w:pPr>
              <w:adjustRightInd w:val="0"/>
              <w:snapToGrid w:val="0"/>
              <w:spacing w:line="360" w:lineRule="auto"/>
              <w:jc w:val="center"/>
              <w:rPr>
                <w:rFonts w:ascii="宋体" w:hAnsi="宋体"/>
                <w:color w:val="auto"/>
              </w:rPr>
            </w:pPr>
            <w:r>
              <w:rPr>
                <w:rFonts w:hint="eastAsia" w:ascii="宋体" w:hAnsi="宋体"/>
                <w:color w:val="auto"/>
              </w:rPr>
              <w:t>　</w:t>
            </w:r>
          </w:p>
        </w:tc>
        <w:tc>
          <w:tcPr>
            <w:tcW w:w="839" w:type="dxa"/>
            <w:shd w:val="clear" w:color="auto" w:fill="auto"/>
            <w:vAlign w:val="center"/>
          </w:tcPr>
          <w:p w14:paraId="2E83D17C">
            <w:pPr>
              <w:adjustRightInd w:val="0"/>
              <w:snapToGrid w:val="0"/>
              <w:spacing w:line="360" w:lineRule="auto"/>
              <w:jc w:val="center"/>
              <w:rPr>
                <w:rFonts w:ascii="宋体" w:hAnsi="宋体"/>
                <w:color w:val="auto"/>
              </w:rPr>
            </w:pPr>
          </w:p>
        </w:tc>
        <w:tc>
          <w:tcPr>
            <w:tcW w:w="1224" w:type="dxa"/>
            <w:shd w:val="clear" w:color="auto" w:fill="auto"/>
            <w:vAlign w:val="center"/>
          </w:tcPr>
          <w:p w14:paraId="2185EE41">
            <w:pPr>
              <w:adjustRightInd w:val="0"/>
              <w:snapToGrid w:val="0"/>
              <w:spacing w:line="360" w:lineRule="auto"/>
              <w:jc w:val="center"/>
              <w:rPr>
                <w:rFonts w:ascii="宋体" w:hAnsi="宋体"/>
                <w:color w:val="auto"/>
              </w:rPr>
            </w:pPr>
          </w:p>
        </w:tc>
        <w:tc>
          <w:tcPr>
            <w:tcW w:w="555" w:type="dxa"/>
            <w:shd w:val="clear" w:color="auto" w:fill="auto"/>
            <w:vAlign w:val="center"/>
          </w:tcPr>
          <w:p w14:paraId="1E29953E">
            <w:pPr>
              <w:adjustRightInd w:val="0"/>
              <w:snapToGrid w:val="0"/>
              <w:spacing w:line="360" w:lineRule="auto"/>
              <w:jc w:val="center"/>
              <w:rPr>
                <w:rFonts w:ascii="宋体" w:hAnsi="宋体"/>
                <w:color w:val="auto"/>
              </w:rPr>
            </w:pPr>
          </w:p>
        </w:tc>
        <w:tc>
          <w:tcPr>
            <w:tcW w:w="555" w:type="dxa"/>
            <w:shd w:val="clear" w:color="auto" w:fill="auto"/>
            <w:vAlign w:val="center"/>
          </w:tcPr>
          <w:p w14:paraId="58DA80D1">
            <w:pPr>
              <w:adjustRightInd w:val="0"/>
              <w:snapToGrid w:val="0"/>
              <w:spacing w:line="360" w:lineRule="auto"/>
              <w:jc w:val="center"/>
              <w:rPr>
                <w:rFonts w:ascii="宋体" w:hAnsi="宋体"/>
                <w:color w:val="auto"/>
              </w:rPr>
            </w:pPr>
          </w:p>
        </w:tc>
        <w:tc>
          <w:tcPr>
            <w:tcW w:w="776" w:type="dxa"/>
            <w:shd w:val="clear" w:color="auto" w:fill="auto"/>
            <w:vAlign w:val="center"/>
          </w:tcPr>
          <w:p w14:paraId="7326A0DF">
            <w:pPr>
              <w:adjustRightInd w:val="0"/>
              <w:snapToGrid w:val="0"/>
              <w:spacing w:line="360" w:lineRule="auto"/>
              <w:jc w:val="center"/>
              <w:rPr>
                <w:rFonts w:ascii="宋体" w:hAnsi="宋体"/>
                <w:color w:val="auto"/>
              </w:rPr>
            </w:pPr>
          </w:p>
        </w:tc>
        <w:tc>
          <w:tcPr>
            <w:tcW w:w="1222" w:type="dxa"/>
            <w:shd w:val="clear" w:color="auto" w:fill="auto"/>
            <w:vAlign w:val="center"/>
          </w:tcPr>
          <w:p w14:paraId="1389C326">
            <w:pPr>
              <w:adjustRightInd w:val="0"/>
              <w:snapToGrid w:val="0"/>
              <w:spacing w:line="360" w:lineRule="auto"/>
              <w:jc w:val="center"/>
              <w:rPr>
                <w:rFonts w:ascii="宋体" w:hAnsi="宋体"/>
                <w:color w:val="auto"/>
              </w:rPr>
            </w:pPr>
          </w:p>
        </w:tc>
        <w:tc>
          <w:tcPr>
            <w:tcW w:w="776" w:type="dxa"/>
            <w:shd w:val="clear" w:color="auto" w:fill="auto"/>
            <w:vAlign w:val="center"/>
          </w:tcPr>
          <w:p w14:paraId="15416A18">
            <w:pPr>
              <w:adjustRightInd w:val="0"/>
              <w:snapToGrid w:val="0"/>
              <w:spacing w:line="360" w:lineRule="auto"/>
              <w:jc w:val="center"/>
              <w:rPr>
                <w:rFonts w:ascii="宋体" w:hAnsi="宋体"/>
                <w:color w:val="auto"/>
              </w:rPr>
            </w:pPr>
          </w:p>
        </w:tc>
        <w:tc>
          <w:tcPr>
            <w:tcW w:w="776" w:type="dxa"/>
            <w:shd w:val="clear" w:color="auto" w:fill="auto"/>
            <w:vAlign w:val="center"/>
          </w:tcPr>
          <w:p w14:paraId="1D502C83">
            <w:pPr>
              <w:adjustRightInd w:val="0"/>
              <w:snapToGrid w:val="0"/>
              <w:spacing w:line="360" w:lineRule="auto"/>
              <w:jc w:val="center"/>
              <w:rPr>
                <w:rFonts w:ascii="宋体" w:hAnsi="宋体"/>
                <w:color w:val="auto"/>
              </w:rPr>
            </w:pPr>
          </w:p>
        </w:tc>
        <w:tc>
          <w:tcPr>
            <w:tcW w:w="774" w:type="dxa"/>
            <w:shd w:val="clear" w:color="auto" w:fill="auto"/>
            <w:vAlign w:val="center"/>
          </w:tcPr>
          <w:p w14:paraId="19694FF6">
            <w:pPr>
              <w:adjustRightInd w:val="0"/>
              <w:snapToGrid w:val="0"/>
              <w:spacing w:line="360" w:lineRule="auto"/>
              <w:jc w:val="center"/>
              <w:rPr>
                <w:rFonts w:ascii="宋体" w:hAnsi="宋体"/>
                <w:color w:val="auto"/>
              </w:rPr>
            </w:pPr>
          </w:p>
        </w:tc>
      </w:tr>
      <w:tr w14:paraId="1AB8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9" w:type="dxa"/>
            <w:shd w:val="clear" w:color="auto" w:fill="auto"/>
            <w:vAlign w:val="center"/>
          </w:tcPr>
          <w:p w14:paraId="41847C96">
            <w:pPr>
              <w:adjustRightInd w:val="0"/>
              <w:snapToGrid w:val="0"/>
              <w:spacing w:line="360" w:lineRule="auto"/>
              <w:jc w:val="center"/>
              <w:rPr>
                <w:rFonts w:ascii="宋体" w:hAnsi="宋体"/>
                <w:color w:val="auto"/>
              </w:rPr>
            </w:pPr>
            <w:r>
              <w:rPr>
                <w:rFonts w:hint="eastAsia" w:ascii="宋体" w:hAnsi="宋体"/>
                <w:color w:val="auto"/>
              </w:rPr>
              <w:t>　</w:t>
            </w:r>
          </w:p>
        </w:tc>
        <w:tc>
          <w:tcPr>
            <w:tcW w:w="839" w:type="dxa"/>
            <w:shd w:val="clear" w:color="auto" w:fill="auto"/>
            <w:vAlign w:val="center"/>
          </w:tcPr>
          <w:p w14:paraId="5CA60E83">
            <w:pPr>
              <w:adjustRightInd w:val="0"/>
              <w:snapToGrid w:val="0"/>
              <w:spacing w:line="360" w:lineRule="auto"/>
              <w:jc w:val="center"/>
              <w:rPr>
                <w:rFonts w:ascii="宋体" w:hAnsi="宋体"/>
                <w:color w:val="auto"/>
              </w:rPr>
            </w:pPr>
          </w:p>
        </w:tc>
        <w:tc>
          <w:tcPr>
            <w:tcW w:w="1224" w:type="dxa"/>
            <w:shd w:val="clear" w:color="auto" w:fill="auto"/>
            <w:vAlign w:val="center"/>
          </w:tcPr>
          <w:p w14:paraId="7B1DEF4F">
            <w:pPr>
              <w:adjustRightInd w:val="0"/>
              <w:snapToGrid w:val="0"/>
              <w:spacing w:line="360" w:lineRule="auto"/>
              <w:jc w:val="center"/>
              <w:rPr>
                <w:rFonts w:ascii="宋体" w:hAnsi="宋体"/>
                <w:color w:val="auto"/>
              </w:rPr>
            </w:pPr>
          </w:p>
        </w:tc>
        <w:tc>
          <w:tcPr>
            <w:tcW w:w="555" w:type="dxa"/>
            <w:shd w:val="clear" w:color="auto" w:fill="auto"/>
            <w:vAlign w:val="center"/>
          </w:tcPr>
          <w:p w14:paraId="62EB6ED4">
            <w:pPr>
              <w:adjustRightInd w:val="0"/>
              <w:snapToGrid w:val="0"/>
              <w:spacing w:line="360" w:lineRule="auto"/>
              <w:jc w:val="center"/>
              <w:rPr>
                <w:rFonts w:ascii="宋体" w:hAnsi="宋体"/>
                <w:color w:val="auto"/>
              </w:rPr>
            </w:pPr>
          </w:p>
        </w:tc>
        <w:tc>
          <w:tcPr>
            <w:tcW w:w="555" w:type="dxa"/>
            <w:shd w:val="clear" w:color="auto" w:fill="auto"/>
            <w:vAlign w:val="center"/>
          </w:tcPr>
          <w:p w14:paraId="72425792">
            <w:pPr>
              <w:adjustRightInd w:val="0"/>
              <w:snapToGrid w:val="0"/>
              <w:spacing w:line="360" w:lineRule="auto"/>
              <w:jc w:val="center"/>
              <w:rPr>
                <w:rFonts w:ascii="宋体" w:hAnsi="宋体"/>
                <w:color w:val="auto"/>
              </w:rPr>
            </w:pPr>
          </w:p>
        </w:tc>
        <w:tc>
          <w:tcPr>
            <w:tcW w:w="776" w:type="dxa"/>
            <w:shd w:val="clear" w:color="auto" w:fill="auto"/>
            <w:vAlign w:val="center"/>
          </w:tcPr>
          <w:p w14:paraId="7749D242">
            <w:pPr>
              <w:adjustRightInd w:val="0"/>
              <w:snapToGrid w:val="0"/>
              <w:spacing w:line="360" w:lineRule="auto"/>
              <w:jc w:val="center"/>
              <w:rPr>
                <w:rFonts w:ascii="宋体" w:hAnsi="宋体"/>
                <w:color w:val="auto"/>
              </w:rPr>
            </w:pPr>
          </w:p>
        </w:tc>
        <w:tc>
          <w:tcPr>
            <w:tcW w:w="1222" w:type="dxa"/>
            <w:shd w:val="clear" w:color="auto" w:fill="auto"/>
            <w:vAlign w:val="center"/>
          </w:tcPr>
          <w:p w14:paraId="291E95AE">
            <w:pPr>
              <w:adjustRightInd w:val="0"/>
              <w:snapToGrid w:val="0"/>
              <w:spacing w:line="360" w:lineRule="auto"/>
              <w:jc w:val="center"/>
              <w:rPr>
                <w:rFonts w:ascii="宋体" w:hAnsi="宋体"/>
                <w:color w:val="auto"/>
              </w:rPr>
            </w:pPr>
          </w:p>
        </w:tc>
        <w:tc>
          <w:tcPr>
            <w:tcW w:w="776" w:type="dxa"/>
            <w:shd w:val="clear" w:color="auto" w:fill="auto"/>
            <w:vAlign w:val="center"/>
          </w:tcPr>
          <w:p w14:paraId="11953491">
            <w:pPr>
              <w:adjustRightInd w:val="0"/>
              <w:snapToGrid w:val="0"/>
              <w:spacing w:line="360" w:lineRule="auto"/>
              <w:jc w:val="center"/>
              <w:rPr>
                <w:rFonts w:ascii="宋体" w:hAnsi="宋体"/>
                <w:color w:val="auto"/>
              </w:rPr>
            </w:pPr>
          </w:p>
        </w:tc>
        <w:tc>
          <w:tcPr>
            <w:tcW w:w="776" w:type="dxa"/>
            <w:shd w:val="clear" w:color="auto" w:fill="auto"/>
            <w:vAlign w:val="center"/>
          </w:tcPr>
          <w:p w14:paraId="3F9EDF7D">
            <w:pPr>
              <w:adjustRightInd w:val="0"/>
              <w:snapToGrid w:val="0"/>
              <w:spacing w:line="360" w:lineRule="auto"/>
              <w:jc w:val="center"/>
              <w:rPr>
                <w:rFonts w:ascii="宋体" w:hAnsi="宋体"/>
                <w:color w:val="auto"/>
              </w:rPr>
            </w:pPr>
          </w:p>
        </w:tc>
        <w:tc>
          <w:tcPr>
            <w:tcW w:w="774" w:type="dxa"/>
            <w:shd w:val="clear" w:color="auto" w:fill="auto"/>
            <w:vAlign w:val="center"/>
          </w:tcPr>
          <w:p w14:paraId="20AA7DFA">
            <w:pPr>
              <w:adjustRightInd w:val="0"/>
              <w:snapToGrid w:val="0"/>
              <w:spacing w:line="360" w:lineRule="auto"/>
              <w:jc w:val="center"/>
              <w:rPr>
                <w:rFonts w:ascii="宋体" w:hAnsi="宋体"/>
                <w:color w:val="auto"/>
              </w:rPr>
            </w:pPr>
          </w:p>
        </w:tc>
      </w:tr>
      <w:tr w14:paraId="42597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89" w:type="dxa"/>
            <w:shd w:val="clear" w:color="auto" w:fill="auto"/>
            <w:vAlign w:val="center"/>
          </w:tcPr>
          <w:p w14:paraId="72BDA2CC">
            <w:pPr>
              <w:adjustRightInd w:val="0"/>
              <w:snapToGrid w:val="0"/>
              <w:spacing w:line="360" w:lineRule="auto"/>
              <w:jc w:val="center"/>
              <w:rPr>
                <w:rFonts w:ascii="宋体" w:hAnsi="宋体"/>
                <w:color w:val="auto"/>
              </w:rPr>
            </w:pPr>
            <w:r>
              <w:rPr>
                <w:rFonts w:hint="eastAsia" w:ascii="宋体" w:hAnsi="宋体"/>
                <w:color w:val="auto"/>
              </w:rPr>
              <w:t>　</w:t>
            </w:r>
          </w:p>
        </w:tc>
        <w:tc>
          <w:tcPr>
            <w:tcW w:w="839" w:type="dxa"/>
            <w:shd w:val="clear" w:color="auto" w:fill="auto"/>
            <w:vAlign w:val="center"/>
          </w:tcPr>
          <w:p w14:paraId="4AE213C1">
            <w:pPr>
              <w:adjustRightInd w:val="0"/>
              <w:snapToGrid w:val="0"/>
              <w:spacing w:line="360" w:lineRule="auto"/>
              <w:jc w:val="center"/>
              <w:rPr>
                <w:rFonts w:ascii="宋体" w:hAnsi="宋体"/>
                <w:color w:val="auto"/>
              </w:rPr>
            </w:pPr>
          </w:p>
        </w:tc>
        <w:tc>
          <w:tcPr>
            <w:tcW w:w="1224" w:type="dxa"/>
            <w:shd w:val="clear" w:color="auto" w:fill="auto"/>
            <w:vAlign w:val="center"/>
          </w:tcPr>
          <w:p w14:paraId="4A23AFE9">
            <w:pPr>
              <w:adjustRightInd w:val="0"/>
              <w:snapToGrid w:val="0"/>
              <w:spacing w:line="360" w:lineRule="auto"/>
              <w:jc w:val="center"/>
              <w:rPr>
                <w:rFonts w:ascii="宋体" w:hAnsi="宋体"/>
                <w:color w:val="auto"/>
              </w:rPr>
            </w:pPr>
          </w:p>
        </w:tc>
        <w:tc>
          <w:tcPr>
            <w:tcW w:w="555" w:type="dxa"/>
            <w:shd w:val="clear" w:color="auto" w:fill="auto"/>
            <w:vAlign w:val="center"/>
          </w:tcPr>
          <w:p w14:paraId="2D5A928E">
            <w:pPr>
              <w:adjustRightInd w:val="0"/>
              <w:snapToGrid w:val="0"/>
              <w:spacing w:line="360" w:lineRule="auto"/>
              <w:jc w:val="center"/>
              <w:rPr>
                <w:rFonts w:ascii="宋体" w:hAnsi="宋体"/>
                <w:color w:val="auto"/>
              </w:rPr>
            </w:pPr>
          </w:p>
        </w:tc>
        <w:tc>
          <w:tcPr>
            <w:tcW w:w="555" w:type="dxa"/>
            <w:shd w:val="clear" w:color="auto" w:fill="auto"/>
            <w:vAlign w:val="center"/>
          </w:tcPr>
          <w:p w14:paraId="1304B0E1">
            <w:pPr>
              <w:adjustRightInd w:val="0"/>
              <w:snapToGrid w:val="0"/>
              <w:spacing w:line="360" w:lineRule="auto"/>
              <w:jc w:val="center"/>
              <w:rPr>
                <w:rFonts w:ascii="宋体" w:hAnsi="宋体"/>
                <w:color w:val="auto"/>
              </w:rPr>
            </w:pPr>
          </w:p>
        </w:tc>
        <w:tc>
          <w:tcPr>
            <w:tcW w:w="776" w:type="dxa"/>
            <w:shd w:val="clear" w:color="auto" w:fill="auto"/>
            <w:vAlign w:val="center"/>
          </w:tcPr>
          <w:p w14:paraId="237FD84C">
            <w:pPr>
              <w:adjustRightInd w:val="0"/>
              <w:snapToGrid w:val="0"/>
              <w:spacing w:line="360" w:lineRule="auto"/>
              <w:jc w:val="center"/>
              <w:rPr>
                <w:rFonts w:ascii="宋体" w:hAnsi="宋体"/>
                <w:color w:val="auto"/>
              </w:rPr>
            </w:pPr>
          </w:p>
        </w:tc>
        <w:tc>
          <w:tcPr>
            <w:tcW w:w="1222" w:type="dxa"/>
            <w:shd w:val="clear" w:color="auto" w:fill="auto"/>
            <w:vAlign w:val="center"/>
          </w:tcPr>
          <w:p w14:paraId="725AAD47">
            <w:pPr>
              <w:adjustRightInd w:val="0"/>
              <w:snapToGrid w:val="0"/>
              <w:spacing w:line="360" w:lineRule="auto"/>
              <w:jc w:val="center"/>
              <w:rPr>
                <w:rFonts w:ascii="宋体" w:hAnsi="宋体"/>
                <w:color w:val="auto"/>
              </w:rPr>
            </w:pPr>
          </w:p>
        </w:tc>
        <w:tc>
          <w:tcPr>
            <w:tcW w:w="776" w:type="dxa"/>
            <w:shd w:val="clear" w:color="auto" w:fill="auto"/>
            <w:vAlign w:val="center"/>
          </w:tcPr>
          <w:p w14:paraId="52801235">
            <w:pPr>
              <w:adjustRightInd w:val="0"/>
              <w:snapToGrid w:val="0"/>
              <w:spacing w:line="360" w:lineRule="auto"/>
              <w:jc w:val="center"/>
              <w:rPr>
                <w:rFonts w:ascii="宋体" w:hAnsi="宋体"/>
                <w:color w:val="auto"/>
              </w:rPr>
            </w:pPr>
          </w:p>
        </w:tc>
        <w:tc>
          <w:tcPr>
            <w:tcW w:w="776" w:type="dxa"/>
            <w:shd w:val="clear" w:color="auto" w:fill="auto"/>
            <w:vAlign w:val="center"/>
          </w:tcPr>
          <w:p w14:paraId="1D8FE3B9">
            <w:pPr>
              <w:adjustRightInd w:val="0"/>
              <w:snapToGrid w:val="0"/>
              <w:spacing w:line="360" w:lineRule="auto"/>
              <w:jc w:val="center"/>
              <w:rPr>
                <w:rFonts w:ascii="宋体" w:hAnsi="宋体"/>
                <w:color w:val="auto"/>
              </w:rPr>
            </w:pPr>
          </w:p>
        </w:tc>
        <w:tc>
          <w:tcPr>
            <w:tcW w:w="774" w:type="dxa"/>
            <w:shd w:val="clear" w:color="auto" w:fill="auto"/>
            <w:vAlign w:val="center"/>
          </w:tcPr>
          <w:p w14:paraId="3B70B0B2">
            <w:pPr>
              <w:adjustRightInd w:val="0"/>
              <w:snapToGrid w:val="0"/>
              <w:spacing w:line="360" w:lineRule="auto"/>
              <w:jc w:val="center"/>
              <w:rPr>
                <w:rFonts w:ascii="宋体" w:hAnsi="宋体"/>
                <w:color w:val="auto"/>
              </w:rPr>
            </w:pPr>
          </w:p>
        </w:tc>
      </w:tr>
    </w:tbl>
    <w:p w14:paraId="4DA82AD8">
      <w:pPr>
        <w:rPr>
          <w:color w:val="auto"/>
        </w:rPr>
      </w:pPr>
      <w:r>
        <w:rPr>
          <w:color w:val="auto"/>
        </w:rPr>
        <w:br w:type="page"/>
      </w:r>
    </w:p>
    <w:p w14:paraId="759A5C0B">
      <w:pPr>
        <w:adjustRightInd w:val="0"/>
        <w:snapToGrid w:val="0"/>
        <w:spacing w:line="360" w:lineRule="auto"/>
        <w:outlineLvl w:val="1"/>
        <w:rPr>
          <w:rFonts w:ascii="宋体" w:hAnsi="宋体"/>
          <w:color w:val="auto"/>
          <w:sz w:val="24"/>
        </w:rPr>
      </w:pPr>
      <w:bookmarkStart w:id="1222" w:name="_Toc21216"/>
      <w:bookmarkStart w:id="1223" w:name="_Toc19752"/>
      <w:r>
        <w:rPr>
          <w:rFonts w:hint="eastAsia" w:ascii="宋体" w:hAnsi="宋体"/>
          <w:color w:val="auto"/>
          <w:sz w:val="24"/>
        </w:rPr>
        <w:t>附件三：承包人提供的材料一览表</w:t>
      </w:r>
      <w:bookmarkEnd w:id="1222"/>
      <w:bookmarkEnd w:id="1223"/>
    </w:p>
    <w:p w14:paraId="7E90DD01">
      <w:pPr>
        <w:adjustRightInd w:val="0"/>
        <w:snapToGrid w:val="0"/>
        <w:spacing w:line="360" w:lineRule="auto"/>
        <w:jc w:val="center"/>
        <w:rPr>
          <w:rFonts w:ascii="宋体" w:hAnsi="宋体"/>
          <w:color w:val="auto"/>
          <w:sz w:val="28"/>
        </w:rPr>
      </w:pPr>
      <w:r>
        <w:rPr>
          <w:rFonts w:hint="eastAsia" w:ascii="宋体" w:hAnsi="宋体"/>
          <w:b/>
          <w:color w:val="auto"/>
          <w:sz w:val="28"/>
        </w:rPr>
        <w:t>承包人提供的材料一览表</w:t>
      </w:r>
    </w:p>
    <w:tbl>
      <w:tblPr>
        <w:tblStyle w:val="42"/>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1354"/>
        <w:gridCol w:w="1229"/>
        <w:gridCol w:w="737"/>
        <w:gridCol w:w="615"/>
        <w:gridCol w:w="860"/>
        <w:gridCol w:w="982"/>
        <w:gridCol w:w="982"/>
        <w:gridCol w:w="860"/>
        <w:gridCol w:w="1103"/>
      </w:tblGrid>
      <w:tr w14:paraId="488F7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shd w:val="clear" w:color="auto" w:fill="auto"/>
            <w:vAlign w:val="center"/>
          </w:tcPr>
          <w:p w14:paraId="65EDA32A">
            <w:pPr>
              <w:adjustRightInd w:val="0"/>
              <w:snapToGrid w:val="0"/>
              <w:spacing w:line="360" w:lineRule="auto"/>
              <w:jc w:val="center"/>
              <w:rPr>
                <w:rFonts w:ascii="宋体" w:hAnsi="宋体"/>
                <w:color w:val="auto"/>
              </w:rPr>
            </w:pPr>
            <w:r>
              <w:rPr>
                <w:rFonts w:hint="eastAsia" w:ascii="宋体" w:hAnsi="宋体"/>
                <w:color w:val="auto"/>
              </w:rPr>
              <w:t>序</w:t>
            </w:r>
          </w:p>
          <w:p w14:paraId="0AA95EC9">
            <w:pPr>
              <w:adjustRightInd w:val="0"/>
              <w:snapToGrid w:val="0"/>
              <w:spacing w:line="360" w:lineRule="auto"/>
              <w:jc w:val="center"/>
              <w:rPr>
                <w:rFonts w:ascii="宋体" w:hAnsi="宋体"/>
                <w:color w:val="auto"/>
              </w:rPr>
            </w:pPr>
            <w:r>
              <w:rPr>
                <w:rFonts w:hint="eastAsia" w:ascii="宋体" w:hAnsi="宋体"/>
                <w:color w:val="auto"/>
              </w:rPr>
              <w:t>号</w:t>
            </w:r>
          </w:p>
        </w:tc>
        <w:tc>
          <w:tcPr>
            <w:tcW w:w="1354" w:type="dxa"/>
            <w:shd w:val="clear" w:color="auto" w:fill="auto"/>
            <w:vAlign w:val="center"/>
          </w:tcPr>
          <w:p w14:paraId="60AC96E1">
            <w:pPr>
              <w:adjustRightInd w:val="0"/>
              <w:snapToGrid w:val="0"/>
              <w:spacing w:line="360" w:lineRule="auto"/>
              <w:jc w:val="center"/>
              <w:rPr>
                <w:rFonts w:ascii="宋体" w:hAnsi="宋体"/>
                <w:color w:val="auto"/>
              </w:rPr>
            </w:pPr>
            <w:r>
              <w:rPr>
                <w:rFonts w:hint="eastAsia" w:ascii="宋体" w:hAnsi="宋体"/>
                <w:color w:val="auto"/>
              </w:rPr>
              <w:t>材料设备</w:t>
            </w:r>
          </w:p>
          <w:p w14:paraId="72459177">
            <w:pPr>
              <w:adjustRightInd w:val="0"/>
              <w:snapToGrid w:val="0"/>
              <w:spacing w:line="360" w:lineRule="auto"/>
              <w:jc w:val="center"/>
              <w:rPr>
                <w:rFonts w:ascii="宋体" w:hAnsi="宋体"/>
                <w:color w:val="auto"/>
              </w:rPr>
            </w:pPr>
            <w:r>
              <w:rPr>
                <w:rFonts w:hint="eastAsia" w:ascii="宋体" w:hAnsi="宋体"/>
                <w:color w:val="auto"/>
              </w:rPr>
              <w:t>名    称</w:t>
            </w:r>
          </w:p>
        </w:tc>
        <w:tc>
          <w:tcPr>
            <w:tcW w:w="1229" w:type="dxa"/>
            <w:shd w:val="clear" w:color="auto" w:fill="auto"/>
            <w:vAlign w:val="center"/>
          </w:tcPr>
          <w:p w14:paraId="7585650B">
            <w:pPr>
              <w:adjustRightInd w:val="0"/>
              <w:snapToGrid w:val="0"/>
              <w:spacing w:line="360" w:lineRule="auto"/>
              <w:jc w:val="center"/>
              <w:rPr>
                <w:rFonts w:ascii="宋体" w:hAnsi="宋体"/>
                <w:color w:val="auto"/>
              </w:rPr>
            </w:pPr>
            <w:r>
              <w:rPr>
                <w:rFonts w:hint="eastAsia" w:ascii="宋体" w:hAnsi="宋体"/>
                <w:color w:val="auto"/>
              </w:rPr>
              <w:t>规格</w:t>
            </w:r>
          </w:p>
          <w:p w14:paraId="04C2B5F4">
            <w:pPr>
              <w:adjustRightInd w:val="0"/>
              <w:snapToGrid w:val="0"/>
              <w:spacing w:line="360" w:lineRule="auto"/>
              <w:jc w:val="center"/>
              <w:rPr>
                <w:rFonts w:ascii="宋体" w:hAnsi="宋体"/>
                <w:color w:val="auto"/>
              </w:rPr>
            </w:pPr>
            <w:r>
              <w:rPr>
                <w:rFonts w:hint="eastAsia" w:ascii="宋体" w:hAnsi="宋体"/>
                <w:color w:val="auto"/>
              </w:rPr>
              <w:t>型号</w:t>
            </w:r>
          </w:p>
        </w:tc>
        <w:tc>
          <w:tcPr>
            <w:tcW w:w="737" w:type="dxa"/>
            <w:shd w:val="clear" w:color="auto" w:fill="auto"/>
            <w:vAlign w:val="center"/>
          </w:tcPr>
          <w:p w14:paraId="71174086">
            <w:pPr>
              <w:adjustRightInd w:val="0"/>
              <w:snapToGrid w:val="0"/>
              <w:spacing w:line="360" w:lineRule="auto"/>
              <w:jc w:val="center"/>
              <w:rPr>
                <w:rFonts w:ascii="宋体" w:hAnsi="宋体"/>
                <w:color w:val="auto"/>
              </w:rPr>
            </w:pPr>
            <w:r>
              <w:rPr>
                <w:rFonts w:hint="eastAsia" w:ascii="宋体" w:hAnsi="宋体"/>
                <w:color w:val="auto"/>
              </w:rPr>
              <w:t>单</w:t>
            </w:r>
          </w:p>
          <w:p w14:paraId="07009B22">
            <w:pPr>
              <w:adjustRightInd w:val="0"/>
              <w:snapToGrid w:val="0"/>
              <w:spacing w:line="360" w:lineRule="auto"/>
              <w:jc w:val="center"/>
              <w:rPr>
                <w:rFonts w:ascii="宋体" w:hAnsi="宋体"/>
                <w:color w:val="auto"/>
              </w:rPr>
            </w:pPr>
            <w:r>
              <w:rPr>
                <w:rFonts w:hint="eastAsia" w:ascii="宋体" w:hAnsi="宋体"/>
                <w:color w:val="auto"/>
              </w:rPr>
              <w:t>位</w:t>
            </w:r>
          </w:p>
        </w:tc>
        <w:tc>
          <w:tcPr>
            <w:tcW w:w="615" w:type="dxa"/>
            <w:shd w:val="clear" w:color="auto" w:fill="auto"/>
            <w:vAlign w:val="center"/>
          </w:tcPr>
          <w:p w14:paraId="49842080">
            <w:pPr>
              <w:adjustRightInd w:val="0"/>
              <w:snapToGrid w:val="0"/>
              <w:spacing w:line="360" w:lineRule="auto"/>
              <w:jc w:val="center"/>
              <w:rPr>
                <w:rFonts w:ascii="宋体" w:hAnsi="宋体"/>
                <w:color w:val="auto"/>
              </w:rPr>
            </w:pPr>
            <w:r>
              <w:rPr>
                <w:rFonts w:hint="eastAsia" w:ascii="宋体" w:hAnsi="宋体"/>
                <w:color w:val="auto"/>
              </w:rPr>
              <w:t>数</w:t>
            </w:r>
          </w:p>
          <w:p w14:paraId="3C51D467">
            <w:pPr>
              <w:adjustRightInd w:val="0"/>
              <w:snapToGrid w:val="0"/>
              <w:spacing w:line="360" w:lineRule="auto"/>
              <w:jc w:val="center"/>
              <w:rPr>
                <w:rFonts w:ascii="宋体" w:hAnsi="宋体"/>
                <w:color w:val="auto"/>
              </w:rPr>
            </w:pPr>
            <w:r>
              <w:rPr>
                <w:rFonts w:hint="eastAsia" w:ascii="宋体" w:hAnsi="宋体"/>
                <w:color w:val="auto"/>
              </w:rPr>
              <w:t>量</w:t>
            </w:r>
          </w:p>
        </w:tc>
        <w:tc>
          <w:tcPr>
            <w:tcW w:w="860" w:type="dxa"/>
            <w:shd w:val="clear" w:color="auto" w:fill="auto"/>
            <w:vAlign w:val="center"/>
          </w:tcPr>
          <w:p w14:paraId="279A71C4">
            <w:pPr>
              <w:adjustRightInd w:val="0"/>
              <w:snapToGrid w:val="0"/>
              <w:spacing w:line="360" w:lineRule="auto"/>
              <w:jc w:val="center"/>
              <w:rPr>
                <w:rFonts w:ascii="宋体" w:hAnsi="宋体"/>
                <w:color w:val="auto"/>
              </w:rPr>
            </w:pPr>
            <w:r>
              <w:rPr>
                <w:rFonts w:hint="eastAsia" w:ascii="宋体" w:hAnsi="宋体"/>
                <w:color w:val="auto"/>
              </w:rPr>
              <w:t>单</w:t>
            </w:r>
          </w:p>
          <w:p w14:paraId="415E913B">
            <w:pPr>
              <w:adjustRightInd w:val="0"/>
              <w:snapToGrid w:val="0"/>
              <w:spacing w:line="360" w:lineRule="auto"/>
              <w:jc w:val="center"/>
              <w:rPr>
                <w:rFonts w:ascii="宋体" w:hAnsi="宋体"/>
                <w:color w:val="auto"/>
              </w:rPr>
            </w:pPr>
            <w:r>
              <w:rPr>
                <w:rFonts w:hint="eastAsia" w:ascii="宋体" w:hAnsi="宋体"/>
                <w:color w:val="auto"/>
              </w:rPr>
              <w:t>价</w:t>
            </w:r>
          </w:p>
        </w:tc>
        <w:tc>
          <w:tcPr>
            <w:tcW w:w="982" w:type="dxa"/>
            <w:shd w:val="clear" w:color="auto" w:fill="auto"/>
            <w:vAlign w:val="center"/>
          </w:tcPr>
          <w:p w14:paraId="32C314AE">
            <w:pPr>
              <w:adjustRightInd w:val="0"/>
              <w:snapToGrid w:val="0"/>
              <w:spacing w:line="360" w:lineRule="auto"/>
              <w:jc w:val="center"/>
              <w:rPr>
                <w:rFonts w:ascii="宋体" w:hAnsi="宋体"/>
                <w:color w:val="auto"/>
              </w:rPr>
            </w:pPr>
            <w:r>
              <w:rPr>
                <w:rFonts w:hint="eastAsia" w:ascii="宋体" w:hAnsi="宋体"/>
                <w:color w:val="auto"/>
              </w:rPr>
              <w:t>交货</w:t>
            </w:r>
          </w:p>
          <w:p w14:paraId="59260A78">
            <w:pPr>
              <w:adjustRightInd w:val="0"/>
              <w:snapToGrid w:val="0"/>
              <w:spacing w:line="360" w:lineRule="auto"/>
              <w:jc w:val="center"/>
              <w:rPr>
                <w:rFonts w:ascii="宋体" w:hAnsi="宋体"/>
                <w:color w:val="auto"/>
              </w:rPr>
            </w:pPr>
            <w:r>
              <w:rPr>
                <w:rFonts w:hint="eastAsia" w:ascii="宋体" w:hAnsi="宋体"/>
                <w:color w:val="auto"/>
              </w:rPr>
              <w:t>方式</w:t>
            </w:r>
          </w:p>
        </w:tc>
        <w:tc>
          <w:tcPr>
            <w:tcW w:w="982" w:type="dxa"/>
            <w:shd w:val="clear" w:color="auto" w:fill="auto"/>
            <w:vAlign w:val="center"/>
          </w:tcPr>
          <w:p w14:paraId="2F47EF70">
            <w:pPr>
              <w:adjustRightInd w:val="0"/>
              <w:snapToGrid w:val="0"/>
              <w:spacing w:line="360" w:lineRule="auto"/>
              <w:jc w:val="center"/>
              <w:rPr>
                <w:rFonts w:ascii="宋体" w:hAnsi="宋体"/>
                <w:color w:val="auto"/>
              </w:rPr>
            </w:pPr>
            <w:r>
              <w:rPr>
                <w:rFonts w:hint="eastAsia" w:ascii="宋体" w:hAnsi="宋体"/>
                <w:color w:val="auto"/>
              </w:rPr>
              <w:t>交货</w:t>
            </w:r>
          </w:p>
          <w:p w14:paraId="48CAC558">
            <w:pPr>
              <w:adjustRightInd w:val="0"/>
              <w:snapToGrid w:val="0"/>
              <w:spacing w:line="360" w:lineRule="auto"/>
              <w:jc w:val="center"/>
              <w:rPr>
                <w:rFonts w:ascii="宋体" w:hAnsi="宋体"/>
                <w:color w:val="auto"/>
              </w:rPr>
            </w:pPr>
            <w:r>
              <w:rPr>
                <w:rFonts w:hint="eastAsia" w:ascii="宋体" w:hAnsi="宋体"/>
                <w:color w:val="auto"/>
              </w:rPr>
              <w:t>地点</w:t>
            </w:r>
          </w:p>
        </w:tc>
        <w:tc>
          <w:tcPr>
            <w:tcW w:w="860" w:type="dxa"/>
            <w:shd w:val="clear" w:color="auto" w:fill="auto"/>
            <w:vAlign w:val="center"/>
          </w:tcPr>
          <w:p w14:paraId="78C5C850">
            <w:pPr>
              <w:adjustRightInd w:val="0"/>
              <w:snapToGrid w:val="0"/>
              <w:spacing w:line="360" w:lineRule="auto"/>
              <w:jc w:val="center"/>
              <w:rPr>
                <w:rFonts w:ascii="宋体" w:hAnsi="宋体"/>
                <w:color w:val="auto"/>
              </w:rPr>
            </w:pPr>
            <w:r>
              <w:rPr>
                <w:rFonts w:hint="eastAsia" w:ascii="宋体" w:hAnsi="宋体"/>
                <w:color w:val="auto"/>
              </w:rPr>
              <w:t>计划交货</w:t>
            </w:r>
          </w:p>
          <w:p w14:paraId="7EFD1A51">
            <w:pPr>
              <w:adjustRightInd w:val="0"/>
              <w:snapToGrid w:val="0"/>
              <w:spacing w:line="360" w:lineRule="auto"/>
              <w:jc w:val="center"/>
              <w:rPr>
                <w:rFonts w:ascii="宋体" w:hAnsi="宋体"/>
                <w:color w:val="auto"/>
              </w:rPr>
            </w:pPr>
            <w:r>
              <w:rPr>
                <w:rFonts w:hint="eastAsia" w:ascii="宋体" w:hAnsi="宋体"/>
                <w:color w:val="auto"/>
              </w:rPr>
              <w:t>时间</w:t>
            </w:r>
          </w:p>
        </w:tc>
        <w:tc>
          <w:tcPr>
            <w:tcW w:w="1103" w:type="dxa"/>
            <w:shd w:val="clear" w:color="auto" w:fill="auto"/>
            <w:vAlign w:val="center"/>
          </w:tcPr>
          <w:p w14:paraId="3031A0DE">
            <w:pPr>
              <w:adjustRightInd w:val="0"/>
              <w:snapToGrid w:val="0"/>
              <w:spacing w:line="360" w:lineRule="auto"/>
              <w:jc w:val="center"/>
              <w:rPr>
                <w:rFonts w:ascii="宋体" w:hAnsi="宋体"/>
                <w:color w:val="auto"/>
              </w:rPr>
            </w:pPr>
            <w:r>
              <w:rPr>
                <w:rFonts w:hint="eastAsia" w:ascii="宋体" w:hAnsi="宋体"/>
                <w:color w:val="auto"/>
              </w:rPr>
              <w:t>备注</w:t>
            </w:r>
          </w:p>
        </w:tc>
      </w:tr>
      <w:tr w14:paraId="08707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shd w:val="clear" w:color="auto" w:fill="auto"/>
            <w:vAlign w:val="center"/>
          </w:tcPr>
          <w:p w14:paraId="73524905">
            <w:pPr>
              <w:adjustRightInd w:val="0"/>
              <w:snapToGrid w:val="0"/>
              <w:spacing w:line="360" w:lineRule="auto"/>
              <w:jc w:val="center"/>
              <w:rPr>
                <w:rFonts w:ascii="宋体" w:hAnsi="宋体"/>
                <w:color w:val="auto"/>
                <w:szCs w:val="28"/>
              </w:rPr>
            </w:pPr>
            <w:r>
              <w:rPr>
                <w:rFonts w:hint="eastAsia" w:ascii="宋体" w:hAnsi="宋体"/>
                <w:color w:val="auto"/>
                <w:szCs w:val="28"/>
              </w:rPr>
              <w:t>　</w:t>
            </w:r>
          </w:p>
        </w:tc>
        <w:tc>
          <w:tcPr>
            <w:tcW w:w="1354" w:type="dxa"/>
            <w:shd w:val="clear" w:color="auto" w:fill="auto"/>
            <w:vAlign w:val="center"/>
          </w:tcPr>
          <w:p w14:paraId="6416A2CC">
            <w:pPr>
              <w:adjustRightInd w:val="0"/>
              <w:snapToGrid w:val="0"/>
              <w:spacing w:line="360" w:lineRule="auto"/>
              <w:jc w:val="center"/>
              <w:rPr>
                <w:rFonts w:ascii="宋体" w:hAnsi="宋体"/>
                <w:color w:val="auto"/>
                <w:szCs w:val="28"/>
              </w:rPr>
            </w:pPr>
          </w:p>
        </w:tc>
        <w:tc>
          <w:tcPr>
            <w:tcW w:w="1229" w:type="dxa"/>
            <w:shd w:val="clear" w:color="auto" w:fill="auto"/>
            <w:vAlign w:val="center"/>
          </w:tcPr>
          <w:p w14:paraId="34F8C649">
            <w:pPr>
              <w:adjustRightInd w:val="0"/>
              <w:snapToGrid w:val="0"/>
              <w:spacing w:line="360" w:lineRule="auto"/>
              <w:jc w:val="center"/>
              <w:rPr>
                <w:rFonts w:ascii="宋体" w:hAnsi="宋体"/>
                <w:color w:val="auto"/>
                <w:szCs w:val="28"/>
              </w:rPr>
            </w:pPr>
          </w:p>
        </w:tc>
        <w:tc>
          <w:tcPr>
            <w:tcW w:w="737" w:type="dxa"/>
            <w:shd w:val="clear" w:color="auto" w:fill="auto"/>
            <w:vAlign w:val="center"/>
          </w:tcPr>
          <w:p w14:paraId="6BCB7C15">
            <w:pPr>
              <w:adjustRightInd w:val="0"/>
              <w:snapToGrid w:val="0"/>
              <w:spacing w:line="360" w:lineRule="auto"/>
              <w:jc w:val="center"/>
              <w:rPr>
                <w:rFonts w:ascii="宋体" w:hAnsi="宋体"/>
                <w:color w:val="auto"/>
                <w:szCs w:val="28"/>
              </w:rPr>
            </w:pPr>
          </w:p>
        </w:tc>
        <w:tc>
          <w:tcPr>
            <w:tcW w:w="615" w:type="dxa"/>
            <w:shd w:val="clear" w:color="auto" w:fill="auto"/>
            <w:vAlign w:val="center"/>
          </w:tcPr>
          <w:p w14:paraId="130E4C94">
            <w:pPr>
              <w:adjustRightInd w:val="0"/>
              <w:snapToGrid w:val="0"/>
              <w:spacing w:line="360" w:lineRule="auto"/>
              <w:jc w:val="center"/>
              <w:rPr>
                <w:rFonts w:ascii="宋体" w:hAnsi="宋体"/>
                <w:color w:val="auto"/>
                <w:szCs w:val="28"/>
              </w:rPr>
            </w:pPr>
          </w:p>
        </w:tc>
        <w:tc>
          <w:tcPr>
            <w:tcW w:w="860" w:type="dxa"/>
            <w:shd w:val="clear" w:color="auto" w:fill="auto"/>
            <w:vAlign w:val="center"/>
          </w:tcPr>
          <w:p w14:paraId="589E14E9">
            <w:pPr>
              <w:adjustRightInd w:val="0"/>
              <w:snapToGrid w:val="0"/>
              <w:spacing w:line="360" w:lineRule="auto"/>
              <w:jc w:val="center"/>
              <w:rPr>
                <w:rFonts w:ascii="宋体" w:hAnsi="宋体"/>
                <w:color w:val="auto"/>
                <w:szCs w:val="28"/>
              </w:rPr>
            </w:pPr>
          </w:p>
        </w:tc>
        <w:tc>
          <w:tcPr>
            <w:tcW w:w="982" w:type="dxa"/>
            <w:shd w:val="clear" w:color="auto" w:fill="auto"/>
            <w:vAlign w:val="center"/>
          </w:tcPr>
          <w:p w14:paraId="21EBF0A7">
            <w:pPr>
              <w:adjustRightInd w:val="0"/>
              <w:snapToGrid w:val="0"/>
              <w:spacing w:line="360" w:lineRule="auto"/>
              <w:jc w:val="center"/>
              <w:rPr>
                <w:rFonts w:ascii="宋体" w:hAnsi="宋体"/>
                <w:color w:val="auto"/>
                <w:szCs w:val="28"/>
              </w:rPr>
            </w:pPr>
          </w:p>
        </w:tc>
        <w:tc>
          <w:tcPr>
            <w:tcW w:w="982" w:type="dxa"/>
            <w:shd w:val="clear" w:color="auto" w:fill="auto"/>
            <w:vAlign w:val="center"/>
          </w:tcPr>
          <w:p w14:paraId="026891A5">
            <w:pPr>
              <w:adjustRightInd w:val="0"/>
              <w:snapToGrid w:val="0"/>
              <w:spacing w:line="360" w:lineRule="auto"/>
              <w:jc w:val="center"/>
              <w:rPr>
                <w:rFonts w:ascii="宋体" w:hAnsi="宋体"/>
                <w:color w:val="auto"/>
                <w:szCs w:val="28"/>
              </w:rPr>
            </w:pPr>
          </w:p>
        </w:tc>
        <w:tc>
          <w:tcPr>
            <w:tcW w:w="860" w:type="dxa"/>
            <w:shd w:val="clear" w:color="auto" w:fill="auto"/>
            <w:vAlign w:val="center"/>
          </w:tcPr>
          <w:p w14:paraId="01C9BE78">
            <w:pPr>
              <w:adjustRightInd w:val="0"/>
              <w:snapToGrid w:val="0"/>
              <w:spacing w:line="360" w:lineRule="auto"/>
              <w:jc w:val="center"/>
              <w:rPr>
                <w:rFonts w:ascii="宋体" w:hAnsi="宋体"/>
                <w:color w:val="auto"/>
                <w:szCs w:val="28"/>
              </w:rPr>
            </w:pPr>
          </w:p>
        </w:tc>
        <w:tc>
          <w:tcPr>
            <w:tcW w:w="1103" w:type="dxa"/>
            <w:shd w:val="clear" w:color="auto" w:fill="auto"/>
            <w:vAlign w:val="center"/>
          </w:tcPr>
          <w:p w14:paraId="6E9DA977">
            <w:pPr>
              <w:adjustRightInd w:val="0"/>
              <w:snapToGrid w:val="0"/>
              <w:spacing w:line="360" w:lineRule="auto"/>
              <w:jc w:val="center"/>
              <w:rPr>
                <w:rFonts w:ascii="宋体" w:hAnsi="宋体"/>
                <w:color w:val="auto"/>
                <w:szCs w:val="28"/>
              </w:rPr>
            </w:pPr>
          </w:p>
        </w:tc>
      </w:tr>
      <w:tr w14:paraId="4C699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shd w:val="clear" w:color="auto" w:fill="auto"/>
            <w:vAlign w:val="center"/>
          </w:tcPr>
          <w:p w14:paraId="1D01CBFE">
            <w:pPr>
              <w:adjustRightInd w:val="0"/>
              <w:snapToGrid w:val="0"/>
              <w:spacing w:line="360" w:lineRule="auto"/>
              <w:jc w:val="center"/>
              <w:rPr>
                <w:rFonts w:ascii="宋体" w:hAnsi="宋体"/>
                <w:color w:val="auto"/>
                <w:szCs w:val="28"/>
              </w:rPr>
            </w:pPr>
            <w:r>
              <w:rPr>
                <w:rFonts w:hint="eastAsia" w:ascii="宋体" w:hAnsi="宋体"/>
                <w:color w:val="auto"/>
                <w:szCs w:val="28"/>
              </w:rPr>
              <w:t>　</w:t>
            </w:r>
          </w:p>
        </w:tc>
        <w:tc>
          <w:tcPr>
            <w:tcW w:w="1354" w:type="dxa"/>
            <w:shd w:val="clear" w:color="auto" w:fill="auto"/>
            <w:vAlign w:val="center"/>
          </w:tcPr>
          <w:p w14:paraId="6C98F1C6">
            <w:pPr>
              <w:adjustRightInd w:val="0"/>
              <w:snapToGrid w:val="0"/>
              <w:spacing w:line="360" w:lineRule="auto"/>
              <w:jc w:val="center"/>
              <w:rPr>
                <w:rFonts w:ascii="宋体" w:hAnsi="宋体"/>
                <w:color w:val="auto"/>
                <w:szCs w:val="28"/>
              </w:rPr>
            </w:pPr>
          </w:p>
        </w:tc>
        <w:tc>
          <w:tcPr>
            <w:tcW w:w="1229" w:type="dxa"/>
            <w:shd w:val="clear" w:color="auto" w:fill="auto"/>
            <w:vAlign w:val="center"/>
          </w:tcPr>
          <w:p w14:paraId="056DAB96">
            <w:pPr>
              <w:adjustRightInd w:val="0"/>
              <w:snapToGrid w:val="0"/>
              <w:spacing w:line="360" w:lineRule="auto"/>
              <w:jc w:val="center"/>
              <w:rPr>
                <w:rFonts w:ascii="宋体" w:hAnsi="宋体"/>
                <w:color w:val="auto"/>
                <w:szCs w:val="28"/>
              </w:rPr>
            </w:pPr>
          </w:p>
        </w:tc>
        <w:tc>
          <w:tcPr>
            <w:tcW w:w="737" w:type="dxa"/>
            <w:shd w:val="clear" w:color="auto" w:fill="auto"/>
            <w:vAlign w:val="center"/>
          </w:tcPr>
          <w:p w14:paraId="3B840DA0">
            <w:pPr>
              <w:adjustRightInd w:val="0"/>
              <w:snapToGrid w:val="0"/>
              <w:spacing w:line="360" w:lineRule="auto"/>
              <w:jc w:val="center"/>
              <w:rPr>
                <w:rFonts w:ascii="宋体" w:hAnsi="宋体"/>
                <w:color w:val="auto"/>
                <w:szCs w:val="28"/>
              </w:rPr>
            </w:pPr>
          </w:p>
        </w:tc>
        <w:tc>
          <w:tcPr>
            <w:tcW w:w="615" w:type="dxa"/>
            <w:shd w:val="clear" w:color="auto" w:fill="auto"/>
            <w:vAlign w:val="center"/>
          </w:tcPr>
          <w:p w14:paraId="77AA0845">
            <w:pPr>
              <w:adjustRightInd w:val="0"/>
              <w:snapToGrid w:val="0"/>
              <w:spacing w:line="360" w:lineRule="auto"/>
              <w:jc w:val="center"/>
              <w:rPr>
                <w:rFonts w:ascii="宋体" w:hAnsi="宋体"/>
                <w:color w:val="auto"/>
                <w:szCs w:val="28"/>
              </w:rPr>
            </w:pPr>
          </w:p>
        </w:tc>
        <w:tc>
          <w:tcPr>
            <w:tcW w:w="860" w:type="dxa"/>
            <w:shd w:val="clear" w:color="auto" w:fill="auto"/>
            <w:vAlign w:val="center"/>
          </w:tcPr>
          <w:p w14:paraId="6CBC57AA">
            <w:pPr>
              <w:adjustRightInd w:val="0"/>
              <w:snapToGrid w:val="0"/>
              <w:spacing w:line="360" w:lineRule="auto"/>
              <w:jc w:val="center"/>
              <w:rPr>
                <w:rFonts w:ascii="宋体" w:hAnsi="宋体"/>
                <w:color w:val="auto"/>
                <w:szCs w:val="28"/>
              </w:rPr>
            </w:pPr>
          </w:p>
        </w:tc>
        <w:tc>
          <w:tcPr>
            <w:tcW w:w="982" w:type="dxa"/>
            <w:shd w:val="clear" w:color="auto" w:fill="auto"/>
            <w:vAlign w:val="center"/>
          </w:tcPr>
          <w:p w14:paraId="39900A9D">
            <w:pPr>
              <w:adjustRightInd w:val="0"/>
              <w:snapToGrid w:val="0"/>
              <w:spacing w:line="360" w:lineRule="auto"/>
              <w:jc w:val="center"/>
              <w:rPr>
                <w:rFonts w:ascii="宋体" w:hAnsi="宋体"/>
                <w:color w:val="auto"/>
                <w:szCs w:val="28"/>
              </w:rPr>
            </w:pPr>
          </w:p>
        </w:tc>
        <w:tc>
          <w:tcPr>
            <w:tcW w:w="982" w:type="dxa"/>
            <w:shd w:val="clear" w:color="auto" w:fill="auto"/>
            <w:vAlign w:val="center"/>
          </w:tcPr>
          <w:p w14:paraId="58CB01AB">
            <w:pPr>
              <w:adjustRightInd w:val="0"/>
              <w:snapToGrid w:val="0"/>
              <w:spacing w:line="360" w:lineRule="auto"/>
              <w:jc w:val="center"/>
              <w:rPr>
                <w:rFonts w:ascii="宋体" w:hAnsi="宋体"/>
                <w:color w:val="auto"/>
                <w:szCs w:val="28"/>
              </w:rPr>
            </w:pPr>
          </w:p>
        </w:tc>
        <w:tc>
          <w:tcPr>
            <w:tcW w:w="860" w:type="dxa"/>
            <w:shd w:val="clear" w:color="auto" w:fill="auto"/>
            <w:vAlign w:val="center"/>
          </w:tcPr>
          <w:p w14:paraId="2A8EB5E6">
            <w:pPr>
              <w:adjustRightInd w:val="0"/>
              <w:snapToGrid w:val="0"/>
              <w:spacing w:line="360" w:lineRule="auto"/>
              <w:jc w:val="center"/>
              <w:rPr>
                <w:rFonts w:ascii="宋体" w:hAnsi="宋体"/>
                <w:color w:val="auto"/>
                <w:szCs w:val="28"/>
              </w:rPr>
            </w:pPr>
          </w:p>
        </w:tc>
        <w:tc>
          <w:tcPr>
            <w:tcW w:w="1103" w:type="dxa"/>
            <w:shd w:val="clear" w:color="auto" w:fill="auto"/>
            <w:vAlign w:val="center"/>
          </w:tcPr>
          <w:p w14:paraId="258C72AA">
            <w:pPr>
              <w:adjustRightInd w:val="0"/>
              <w:snapToGrid w:val="0"/>
              <w:spacing w:line="360" w:lineRule="auto"/>
              <w:jc w:val="center"/>
              <w:rPr>
                <w:rFonts w:ascii="宋体" w:hAnsi="宋体"/>
                <w:color w:val="auto"/>
                <w:szCs w:val="28"/>
              </w:rPr>
            </w:pPr>
          </w:p>
        </w:tc>
      </w:tr>
      <w:tr w14:paraId="04965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shd w:val="clear" w:color="auto" w:fill="auto"/>
            <w:vAlign w:val="center"/>
          </w:tcPr>
          <w:p w14:paraId="65C6F6D5">
            <w:pPr>
              <w:adjustRightInd w:val="0"/>
              <w:snapToGrid w:val="0"/>
              <w:spacing w:line="360" w:lineRule="auto"/>
              <w:jc w:val="center"/>
              <w:rPr>
                <w:rFonts w:ascii="宋体" w:hAnsi="宋体"/>
                <w:color w:val="auto"/>
                <w:szCs w:val="28"/>
              </w:rPr>
            </w:pPr>
            <w:r>
              <w:rPr>
                <w:rFonts w:hint="eastAsia" w:ascii="宋体" w:hAnsi="宋体"/>
                <w:color w:val="auto"/>
                <w:szCs w:val="28"/>
              </w:rPr>
              <w:t>　</w:t>
            </w:r>
          </w:p>
        </w:tc>
        <w:tc>
          <w:tcPr>
            <w:tcW w:w="1354" w:type="dxa"/>
            <w:shd w:val="clear" w:color="auto" w:fill="auto"/>
            <w:vAlign w:val="center"/>
          </w:tcPr>
          <w:p w14:paraId="1786C724">
            <w:pPr>
              <w:adjustRightInd w:val="0"/>
              <w:snapToGrid w:val="0"/>
              <w:spacing w:line="360" w:lineRule="auto"/>
              <w:jc w:val="center"/>
              <w:rPr>
                <w:rFonts w:ascii="宋体" w:hAnsi="宋体"/>
                <w:color w:val="auto"/>
                <w:szCs w:val="28"/>
              </w:rPr>
            </w:pPr>
          </w:p>
        </w:tc>
        <w:tc>
          <w:tcPr>
            <w:tcW w:w="1229" w:type="dxa"/>
            <w:shd w:val="clear" w:color="auto" w:fill="auto"/>
            <w:vAlign w:val="center"/>
          </w:tcPr>
          <w:p w14:paraId="7CC62123">
            <w:pPr>
              <w:adjustRightInd w:val="0"/>
              <w:snapToGrid w:val="0"/>
              <w:spacing w:line="360" w:lineRule="auto"/>
              <w:jc w:val="center"/>
              <w:rPr>
                <w:rFonts w:ascii="宋体" w:hAnsi="宋体"/>
                <w:color w:val="auto"/>
                <w:szCs w:val="28"/>
              </w:rPr>
            </w:pPr>
          </w:p>
        </w:tc>
        <w:tc>
          <w:tcPr>
            <w:tcW w:w="737" w:type="dxa"/>
            <w:shd w:val="clear" w:color="auto" w:fill="auto"/>
            <w:vAlign w:val="center"/>
          </w:tcPr>
          <w:p w14:paraId="79233F40">
            <w:pPr>
              <w:adjustRightInd w:val="0"/>
              <w:snapToGrid w:val="0"/>
              <w:spacing w:line="360" w:lineRule="auto"/>
              <w:jc w:val="center"/>
              <w:rPr>
                <w:rFonts w:ascii="宋体" w:hAnsi="宋体"/>
                <w:color w:val="auto"/>
                <w:szCs w:val="28"/>
              </w:rPr>
            </w:pPr>
          </w:p>
        </w:tc>
        <w:tc>
          <w:tcPr>
            <w:tcW w:w="615" w:type="dxa"/>
            <w:shd w:val="clear" w:color="auto" w:fill="auto"/>
            <w:vAlign w:val="center"/>
          </w:tcPr>
          <w:p w14:paraId="46EFAAA8">
            <w:pPr>
              <w:adjustRightInd w:val="0"/>
              <w:snapToGrid w:val="0"/>
              <w:spacing w:line="360" w:lineRule="auto"/>
              <w:jc w:val="center"/>
              <w:rPr>
                <w:rFonts w:ascii="宋体" w:hAnsi="宋体"/>
                <w:color w:val="auto"/>
                <w:szCs w:val="28"/>
              </w:rPr>
            </w:pPr>
          </w:p>
        </w:tc>
        <w:tc>
          <w:tcPr>
            <w:tcW w:w="860" w:type="dxa"/>
            <w:shd w:val="clear" w:color="auto" w:fill="auto"/>
            <w:vAlign w:val="center"/>
          </w:tcPr>
          <w:p w14:paraId="6C532AA3">
            <w:pPr>
              <w:adjustRightInd w:val="0"/>
              <w:snapToGrid w:val="0"/>
              <w:spacing w:line="360" w:lineRule="auto"/>
              <w:jc w:val="center"/>
              <w:rPr>
                <w:rFonts w:ascii="宋体" w:hAnsi="宋体"/>
                <w:color w:val="auto"/>
                <w:szCs w:val="28"/>
              </w:rPr>
            </w:pPr>
          </w:p>
        </w:tc>
        <w:tc>
          <w:tcPr>
            <w:tcW w:w="982" w:type="dxa"/>
            <w:shd w:val="clear" w:color="auto" w:fill="auto"/>
            <w:vAlign w:val="center"/>
          </w:tcPr>
          <w:p w14:paraId="74AF86D9">
            <w:pPr>
              <w:adjustRightInd w:val="0"/>
              <w:snapToGrid w:val="0"/>
              <w:spacing w:line="360" w:lineRule="auto"/>
              <w:jc w:val="center"/>
              <w:rPr>
                <w:rFonts w:ascii="宋体" w:hAnsi="宋体"/>
                <w:color w:val="auto"/>
                <w:szCs w:val="28"/>
              </w:rPr>
            </w:pPr>
          </w:p>
        </w:tc>
        <w:tc>
          <w:tcPr>
            <w:tcW w:w="982" w:type="dxa"/>
            <w:shd w:val="clear" w:color="auto" w:fill="auto"/>
            <w:vAlign w:val="center"/>
          </w:tcPr>
          <w:p w14:paraId="6B785380">
            <w:pPr>
              <w:adjustRightInd w:val="0"/>
              <w:snapToGrid w:val="0"/>
              <w:spacing w:line="360" w:lineRule="auto"/>
              <w:jc w:val="center"/>
              <w:rPr>
                <w:rFonts w:ascii="宋体" w:hAnsi="宋体"/>
                <w:color w:val="auto"/>
                <w:szCs w:val="28"/>
              </w:rPr>
            </w:pPr>
          </w:p>
        </w:tc>
        <w:tc>
          <w:tcPr>
            <w:tcW w:w="860" w:type="dxa"/>
            <w:shd w:val="clear" w:color="auto" w:fill="auto"/>
            <w:vAlign w:val="center"/>
          </w:tcPr>
          <w:p w14:paraId="0A167911">
            <w:pPr>
              <w:adjustRightInd w:val="0"/>
              <w:snapToGrid w:val="0"/>
              <w:spacing w:line="360" w:lineRule="auto"/>
              <w:jc w:val="center"/>
              <w:rPr>
                <w:rFonts w:ascii="宋体" w:hAnsi="宋体"/>
                <w:color w:val="auto"/>
                <w:szCs w:val="28"/>
              </w:rPr>
            </w:pPr>
          </w:p>
        </w:tc>
        <w:tc>
          <w:tcPr>
            <w:tcW w:w="1103" w:type="dxa"/>
            <w:shd w:val="clear" w:color="auto" w:fill="auto"/>
            <w:vAlign w:val="center"/>
          </w:tcPr>
          <w:p w14:paraId="6F62EF1C">
            <w:pPr>
              <w:adjustRightInd w:val="0"/>
              <w:snapToGrid w:val="0"/>
              <w:spacing w:line="360" w:lineRule="auto"/>
              <w:jc w:val="center"/>
              <w:rPr>
                <w:rFonts w:ascii="宋体" w:hAnsi="宋体"/>
                <w:color w:val="auto"/>
                <w:szCs w:val="28"/>
              </w:rPr>
            </w:pPr>
          </w:p>
        </w:tc>
      </w:tr>
      <w:tr w14:paraId="6A2AF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shd w:val="clear" w:color="auto" w:fill="auto"/>
            <w:vAlign w:val="center"/>
          </w:tcPr>
          <w:p w14:paraId="3A0A72D4">
            <w:pPr>
              <w:adjustRightInd w:val="0"/>
              <w:snapToGrid w:val="0"/>
              <w:spacing w:line="360" w:lineRule="auto"/>
              <w:jc w:val="center"/>
              <w:rPr>
                <w:rFonts w:ascii="宋体" w:hAnsi="宋体"/>
                <w:color w:val="auto"/>
                <w:szCs w:val="28"/>
              </w:rPr>
            </w:pPr>
            <w:r>
              <w:rPr>
                <w:rFonts w:hint="eastAsia" w:ascii="宋体" w:hAnsi="宋体"/>
                <w:color w:val="auto"/>
                <w:szCs w:val="28"/>
              </w:rPr>
              <w:t>　</w:t>
            </w:r>
          </w:p>
        </w:tc>
        <w:tc>
          <w:tcPr>
            <w:tcW w:w="1354" w:type="dxa"/>
            <w:shd w:val="clear" w:color="auto" w:fill="auto"/>
            <w:vAlign w:val="center"/>
          </w:tcPr>
          <w:p w14:paraId="13CE05E4">
            <w:pPr>
              <w:adjustRightInd w:val="0"/>
              <w:snapToGrid w:val="0"/>
              <w:spacing w:line="360" w:lineRule="auto"/>
              <w:jc w:val="center"/>
              <w:rPr>
                <w:rFonts w:ascii="宋体" w:hAnsi="宋体"/>
                <w:color w:val="auto"/>
                <w:szCs w:val="28"/>
              </w:rPr>
            </w:pPr>
          </w:p>
        </w:tc>
        <w:tc>
          <w:tcPr>
            <w:tcW w:w="1229" w:type="dxa"/>
            <w:shd w:val="clear" w:color="auto" w:fill="auto"/>
            <w:vAlign w:val="center"/>
          </w:tcPr>
          <w:p w14:paraId="62E20176">
            <w:pPr>
              <w:adjustRightInd w:val="0"/>
              <w:snapToGrid w:val="0"/>
              <w:spacing w:line="360" w:lineRule="auto"/>
              <w:jc w:val="center"/>
              <w:rPr>
                <w:rFonts w:ascii="宋体" w:hAnsi="宋体"/>
                <w:color w:val="auto"/>
                <w:szCs w:val="28"/>
              </w:rPr>
            </w:pPr>
          </w:p>
        </w:tc>
        <w:tc>
          <w:tcPr>
            <w:tcW w:w="737" w:type="dxa"/>
            <w:shd w:val="clear" w:color="auto" w:fill="auto"/>
            <w:vAlign w:val="center"/>
          </w:tcPr>
          <w:p w14:paraId="1529CDCB">
            <w:pPr>
              <w:adjustRightInd w:val="0"/>
              <w:snapToGrid w:val="0"/>
              <w:spacing w:line="360" w:lineRule="auto"/>
              <w:jc w:val="center"/>
              <w:rPr>
                <w:rFonts w:ascii="宋体" w:hAnsi="宋体"/>
                <w:color w:val="auto"/>
                <w:szCs w:val="28"/>
              </w:rPr>
            </w:pPr>
          </w:p>
        </w:tc>
        <w:tc>
          <w:tcPr>
            <w:tcW w:w="615" w:type="dxa"/>
            <w:shd w:val="clear" w:color="auto" w:fill="auto"/>
            <w:vAlign w:val="center"/>
          </w:tcPr>
          <w:p w14:paraId="082DE177">
            <w:pPr>
              <w:adjustRightInd w:val="0"/>
              <w:snapToGrid w:val="0"/>
              <w:spacing w:line="360" w:lineRule="auto"/>
              <w:jc w:val="center"/>
              <w:rPr>
                <w:rFonts w:ascii="宋体" w:hAnsi="宋体"/>
                <w:color w:val="auto"/>
                <w:szCs w:val="28"/>
              </w:rPr>
            </w:pPr>
          </w:p>
        </w:tc>
        <w:tc>
          <w:tcPr>
            <w:tcW w:w="860" w:type="dxa"/>
            <w:shd w:val="clear" w:color="auto" w:fill="auto"/>
            <w:vAlign w:val="center"/>
          </w:tcPr>
          <w:p w14:paraId="79F02B62">
            <w:pPr>
              <w:adjustRightInd w:val="0"/>
              <w:snapToGrid w:val="0"/>
              <w:spacing w:line="360" w:lineRule="auto"/>
              <w:jc w:val="center"/>
              <w:rPr>
                <w:rFonts w:ascii="宋体" w:hAnsi="宋体"/>
                <w:color w:val="auto"/>
                <w:szCs w:val="28"/>
              </w:rPr>
            </w:pPr>
          </w:p>
        </w:tc>
        <w:tc>
          <w:tcPr>
            <w:tcW w:w="982" w:type="dxa"/>
            <w:shd w:val="clear" w:color="auto" w:fill="auto"/>
            <w:vAlign w:val="center"/>
          </w:tcPr>
          <w:p w14:paraId="5C0953AA">
            <w:pPr>
              <w:adjustRightInd w:val="0"/>
              <w:snapToGrid w:val="0"/>
              <w:spacing w:line="360" w:lineRule="auto"/>
              <w:jc w:val="center"/>
              <w:rPr>
                <w:rFonts w:ascii="宋体" w:hAnsi="宋体"/>
                <w:color w:val="auto"/>
                <w:szCs w:val="28"/>
              </w:rPr>
            </w:pPr>
          </w:p>
        </w:tc>
        <w:tc>
          <w:tcPr>
            <w:tcW w:w="982" w:type="dxa"/>
            <w:shd w:val="clear" w:color="auto" w:fill="auto"/>
            <w:vAlign w:val="center"/>
          </w:tcPr>
          <w:p w14:paraId="1E7FE964">
            <w:pPr>
              <w:adjustRightInd w:val="0"/>
              <w:snapToGrid w:val="0"/>
              <w:spacing w:line="360" w:lineRule="auto"/>
              <w:jc w:val="center"/>
              <w:rPr>
                <w:rFonts w:ascii="宋体" w:hAnsi="宋体"/>
                <w:color w:val="auto"/>
                <w:szCs w:val="28"/>
              </w:rPr>
            </w:pPr>
          </w:p>
        </w:tc>
        <w:tc>
          <w:tcPr>
            <w:tcW w:w="860" w:type="dxa"/>
            <w:shd w:val="clear" w:color="auto" w:fill="auto"/>
            <w:vAlign w:val="center"/>
          </w:tcPr>
          <w:p w14:paraId="3AF66168">
            <w:pPr>
              <w:adjustRightInd w:val="0"/>
              <w:snapToGrid w:val="0"/>
              <w:spacing w:line="360" w:lineRule="auto"/>
              <w:jc w:val="center"/>
              <w:rPr>
                <w:rFonts w:ascii="宋体" w:hAnsi="宋体"/>
                <w:color w:val="auto"/>
                <w:szCs w:val="28"/>
              </w:rPr>
            </w:pPr>
          </w:p>
        </w:tc>
        <w:tc>
          <w:tcPr>
            <w:tcW w:w="1103" w:type="dxa"/>
            <w:shd w:val="clear" w:color="auto" w:fill="auto"/>
            <w:vAlign w:val="center"/>
          </w:tcPr>
          <w:p w14:paraId="45B2D438">
            <w:pPr>
              <w:adjustRightInd w:val="0"/>
              <w:snapToGrid w:val="0"/>
              <w:spacing w:line="360" w:lineRule="auto"/>
              <w:jc w:val="center"/>
              <w:rPr>
                <w:rFonts w:ascii="宋体" w:hAnsi="宋体"/>
                <w:color w:val="auto"/>
                <w:szCs w:val="28"/>
              </w:rPr>
            </w:pPr>
          </w:p>
        </w:tc>
      </w:tr>
      <w:tr w14:paraId="3E152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shd w:val="clear" w:color="auto" w:fill="auto"/>
            <w:vAlign w:val="center"/>
          </w:tcPr>
          <w:p w14:paraId="12A9345D">
            <w:pPr>
              <w:adjustRightInd w:val="0"/>
              <w:snapToGrid w:val="0"/>
              <w:spacing w:line="360" w:lineRule="auto"/>
              <w:jc w:val="center"/>
              <w:rPr>
                <w:rFonts w:ascii="宋体" w:hAnsi="宋体"/>
                <w:color w:val="auto"/>
                <w:szCs w:val="28"/>
              </w:rPr>
            </w:pPr>
            <w:r>
              <w:rPr>
                <w:rFonts w:hint="eastAsia" w:ascii="宋体" w:hAnsi="宋体"/>
                <w:color w:val="auto"/>
                <w:szCs w:val="28"/>
              </w:rPr>
              <w:t>　</w:t>
            </w:r>
          </w:p>
        </w:tc>
        <w:tc>
          <w:tcPr>
            <w:tcW w:w="1354" w:type="dxa"/>
            <w:shd w:val="clear" w:color="auto" w:fill="auto"/>
            <w:vAlign w:val="center"/>
          </w:tcPr>
          <w:p w14:paraId="19488E31">
            <w:pPr>
              <w:adjustRightInd w:val="0"/>
              <w:snapToGrid w:val="0"/>
              <w:spacing w:line="360" w:lineRule="auto"/>
              <w:jc w:val="center"/>
              <w:rPr>
                <w:rFonts w:ascii="宋体" w:hAnsi="宋体"/>
                <w:color w:val="auto"/>
                <w:szCs w:val="28"/>
              </w:rPr>
            </w:pPr>
          </w:p>
        </w:tc>
        <w:tc>
          <w:tcPr>
            <w:tcW w:w="1229" w:type="dxa"/>
            <w:shd w:val="clear" w:color="auto" w:fill="auto"/>
            <w:vAlign w:val="center"/>
          </w:tcPr>
          <w:p w14:paraId="7523DE76">
            <w:pPr>
              <w:adjustRightInd w:val="0"/>
              <w:snapToGrid w:val="0"/>
              <w:spacing w:line="360" w:lineRule="auto"/>
              <w:jc w:val="center"/>
              <w:rPr>
                <w:rFonts w:ascii="宋体" w:hAnsi="宋体"/>
                <w:color w:val="auto"/>
                <w:szCs w:val="28"/>
              </w:rPr>
            </w:pPr>
          </w:p>
        </w:tc>
        <w:tc>
          <w:tcPr>
            <w:tcW w:w="737" w:type="dxa"/>
            <w:shd w:val="clear" w:color="auto" w:fill="auto"/>
            <w:vAlign w:val="center"/>
          </w:tcPr>
          <w:p w14:paraId="6F5EB56F">
            <w:pPr>
              <w:adjustRightInd w:val="0"/>
              <w:snapToGrid w:val="0"/>
              <w:spacing w:line="360" w:lineRule="auto"/>
              <w:jc w:val="center"/>
              <w:rPr>
                <w:rFonts w:ascii="宋体" w:hAnsi="宋体"/>
                <w:color w:val="auto"/>
                <w:szCs w:val="28"/>
              </w:rPr>
            </w:pPr>
          </w:p>
        </w:tc>
        <w:tc>
          <w:tcPr>
            <w:tcW w:w="615" w:type="dxa"/>
            <w:shd w:val="clear" w:color="auto" w:fill="auto"/>
            <w:vAlign w:val="center"/>
          </w:tcPr>
          <w:p w14:paraId="2380CD34">
            <w:pPr>
              <w:adjustRightInd w:val="0"/>
              <w:snapToGrid w:val="0"/>
              <w:spacing w:line="360" w:lineRule="auto"/>
              <w:jc w:val="center"/>
              <w:rPr>
                <w:rFonts w:ascii="宋体" w:hAnsi="宋体"/>
                <w:color w:val="auto"/>
                <w:szCs w:val="28"/>
              </w:rPr>
            </w:pPr>
          </w:p>
        </w:tc>
        <w:tc>
          <w:tcPr>
            <w:tcW w:w="860" w:type="dxa"/>
            <w:shd w:val="clear" w:color="auto" w:fill="auto"/>
            <w:vAlign w:val="center"/>
          </w:tcPr>
          <w:p w14:paraId="2C11BB66">
            <w:pPr>
              <w:adjustRightInd w:val="0"/>
              <w:snapToGrid w:val="0"/>
              <w:spacing w:line="360" w:lineRule="auto"/>
              <w:jc w:val="center"/>
              <w:rPr>
                <w:rFonts w:ascii="宋体" w:hAnsi="宋体"/>
                <w:color w:val="auto"/>
                <w:szCs w:val="28"/>
              </w:rPr>
            </w:pPr>
          </w:p>
        </w:tc>
        <w:tc>
          <w:tcPr>
            <w:tcW w:w="982" w:type="dxa"/>
            <w:shd w:val="clear" w:color="auto" w:fill="auto"/>
            <w:vAlign w:val="center"/>
          </w:tcPr>
          <w:p w14:paraId="694A4F50">
            <w:pPr>
              <w:adjustRightInd w:val="0"/>
              <w:snapToGrid w:val="0"/>
              <w:spacing w:line="360" w:lineRule="auto"/>
              <w:jc w:val="center"/>
              <w:rPr>
                <w:rFonts w:ascii="宋体" w:hAnsi="宋体"/>
                <w:color w:val="auto"/>
                <w:szCs w:val="28"/>
              </w:rPr>
            </w:pPr>
          </w:p>
        </w:tc>
        <w:tc>
          <w:tcPr>
            <w:tcW w:w="982" w:type="dxa"/>
            <w:shd w:val="clear" w:color="auto" w:fill="auto"/>
            <w:vAlign w:val="center"/>
          </w:tcPr>
          <w:p w14:paraId="6CFDB4E4">
            <w:pPr>
              <w:adjustRightInd w:val="0"/>
              <w:snapToGrid w:val="0"/>
              <w:spacing w:line="360" w:lineRule="auto"/>
              <w:jc w:val="center"/>
              <w:rPr>
                <w:rFonts w:ascii="宋体" w:hAnsi="宋体"/>
                <w:color w:val="auto"/>
                <w:szCs w:val="28"/>
              </w:rPr>
            </w:pPr>
          </w:p>
        </w:tc>
        <w:tc>
          <w:tcPr>
            <w:tcW w:w="860" w:type="dxa"/>
            <w:shd w:val="clear" w:color="auto" w:fill="auto"/>
            <w:vAlign w:val="center"/>
          </w:tcPr>
          <w:p w14:paraId="235C80FB">
            <w:pPr>
              <w:adjustRightInd w:val="0"/>
              <w:snapToGrid w:val="0"/>
              <w:spacing w:line="360" w:lineRule="auto"/>
              <w:jc w:val="center"/>
              <w:rPr>
                <w:rFonts w:ascii="宋体" w:hAnsi="宋体"/>
                <w:color w:val="auto"/>
                <w:szCs w:val="28"/>
              </w:rPr>
            </w:pPr>
          </w:p>
        </w:tc>
        <w:tc>
          <w:tcPr>
            <w:tcW w:w="1103" w:type="dxa"/>
            <w:shd w:val="clear" w:color="auto" w:fill="auto"/>
            <w:vAlign w:val="center"/>
          </w:tcPr>
          <w:p w14:paraId="46E40790">
            <w:pPr>
              <w:adjustRightInd w:val="0"/>
              <w:snapToGrid w:val="0"/>
              <w:spacing w:line="360" w:lineRule="auto"/>
              <w:jc w:val="center"/>
              <w:rPr>
                <w:rFonts w:ascii="宋体" w:hAnsi="宋体"/>
                <w:color w:val="auto"/>
                <w:szCs w:val="28"/>
              </w:rPr>
            </w:pPr>
          </w:p>
        </w:tc>
      </w:tr>
      <w:tr w14:paraId="5FAEB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shd w:val="clear" w:color="auto" w:fill="auto"/>
            <w:vAlign w:val="center"/>
          </w:tcPr>
          <w:p w14:paraId="3DA00E7A">
            <w:pPr>
              <w:adjustRightInd w:val="0"/>
              <w:snapToGrid w:val="0"/>
              <w:spacing w:line="360" w:lineRule="auto"/>
              <w:jc w:val="center"/>
              <w:rPr>
                <w:rFonts w:ascii="宋体" w:hAnsi="宋体"/>
                <w:color w:val="auto"/>
                <w:szCs w:val="28"/>
              </w:rPr>
            </w:pPr>
            <w:r>
              <w:rPr>
                <w:rFonts w:hint="eastAsia" w:ascii="宋体" w:hAnsi="宋体"/>
                <w:color w:val="auto"/>
                <w:szCs w:val="28"/>
              </w:rPr>
              <w:t>　</w:t>
            </w:r>
          </w:p>
        </w:tc>
        <w:tc>
          <w:tcPr>
            <w:tcW w:w="1354" w:type="dxa"/>
            <w:shd w:val="clear" w:color="auto" w:fill="auto"/>
            <w:vAlign w:val="center"/>
          </w:tcPr>
          <w:p w14:paraId="1F698242">
            <w:pPr>
              <w:adjustRightInd w:val="0"/>
              <w:snapToGrid w:val="0"/>
              <w:spacing w:line="360" w:lineRule="auto"/>
              <w:jc w:val="center"/>
              <w:rPr>
                <w:rFonts w:ascii="宋体" w:hAnsi="宋体"/>
                <w:color w:val="auto"/>
                <w:szCs w:val="28"/>
              </w:rPr>
            </w:pPr>
          </w:p>
        </w:tc>
        <w:tc>
          <w:tcPr>
            <w:tcW w:w="1229" w:type="dxa"/>
            <w:shd w:val="clear" w:color="auto" w:fill="auto"/>
            <w:vAlign w:val="center"/>
          </w:tcPr>
          <w:p w14:paraId="00FD629E">
            <w:pPr>
              <w:adjustRightInd w:val="0"/>
              <w:snapToGrid w:val="0"/>
              <w:spacing w:line="360" w:lineRule="auto"/>
              <w:jc w:val="center"/>
              <w:rPr>
                <w:rFonts w:ascii="宋体" w:hAnsi="宋体"/>
                <w:color w:val="auto"/>
                <w:szCs w:val="28"/>
              </w:rPr>
            </w:pPr>
          </w:p>
        </w:tc>
        <w:tc>
          <w:tcPr>
            <w:tcW w:w="737" w:type="dxa"/>
            <w:shd w:val="clear" w:color="auto" w:fill="auto"/>
            <w:vAlign w:val="center"/>
          </w:tcPr>
          <w:p w14:paraId="3BB7E900">
            <w:pPr>
              <w:adjustRightInd w:val="0"/>
              <w:snapToGrid w:val="0"/>
              <w:spacing w:line="360" w:lineRule="auto"/>
              <w:jc w:val="center"/>
              <w:rPr>
                <w:rFonts w:ascii="宋体" w:hAnsi="宋体"/>
                <w:color w:val="auto"/>
                <w:szCs w:val="28"/>
              </w:rPr>
            </w:pPr>
          </w:p>
        </w:tc>
        <w:tc>
          <w:tcPr>
            <w:tcW w:w="615" w:type="dxa"/>
            <w:shd w:val="clear" w:color="auto" w:fill="auto"/>
            <w:vAlign w:val="center"/>
          </w:tcPr>
          <w:p w14:paraId="6C4ADB6A">
            <w:pPr>
              <w:adjustRightInd w:val="0"/>
              <w:snapToGrid w:val="0"/>
              <w:spacing w:line="360" w:lineRule="auto"/>
              <w:jc w:val="center"/>
              <w:rPr>
                <w:rFonts w:ascii="宋体" w:hAnsi="宋体"/>
                <w:color w:val="auto"/>
                <w:szCs w:val="28"/>
              </w:rPr>
            </w:pPr>
          </w:p>
        </w:tc>
        <w:tc>
          <w:tcPr>
            <w:tcW w:w="860" w:type="dxa"/>
            <w:shd w:val="clear" w:color="auto" w:fill="auto"/>
            <w:vAlign w:val="center"/>
          </w:tcPr>
          <w:p w14:paraId="382C05D9">
            <w:pPr>
              <w:adjustRightInd w:val="0"/>
              <w:snapToGrid w:val="0"/>
              <w:spacing w:line="360" w:lineRule="auto"/>
              <w:jc w:val="center"/>
              <w:rPr>
                <w:rFonts w:ascii="宋体" w:hAnsi="宋体"/>
                <w:color w:val="auto"/>
                <w:szCs w:val="28"/>
              </w:rPr>
            </w:pPr>
          </w:p>
        </w:tc>
        <w:tc>
          <w:tcPr>
            <w:tcW w:w="982" w:type="dxa"/>
            <w:shd w:val="clear" w:color="auto" w:fill="auto"/>
            <w:vAlign w:val="center"/>
          </w:tcPr>
          <w:p w14:paraId="014FB50A">
            <w:pPr>
              <w:adjustRightInd w:val="0"/>
              <w:snapToGrid w:val="0"/>
              <w:spacing w:line="360" w:lineRule="auto"/>
              <w:jc w:val="center"/>
              <w:rPr>
                <w:rFonts w:ascii="宋体" w:hAnsi="宋体"/>
                <w:color w:val="auto"/>
                <w:szCs w:val="28"/>
              </w:rPr>
            </w:pPr>
          </w:p>
        </w:tc>
        <w:tc>
          <w:tcPr>
            <w:tcW w:w="982" w:type="dxa"/>
            <w:shd w:val="clear" w:color="auto" w:fill="auto"/>
            <w:vAlign w:val="center"/>
          </w:tcPr>
          <w:p w14:paraId="0813D233">
            <w:pPr>
              <w:adjustRightInd w:val="0"/>
              <w:snapToGrid w:val="0"/>
              <w:spacing w:line="360" w:lineRule="auto"/>
              <w:jc w:val="center"/>
              <w:rPr>
                <w:rFonts w:ascii="宋体" w:hAnsi="宋体"/>
                <w:color w:val="auto"/>
                <w:szCs w:val="28"/>
              </w:rPr>
            </w:pPr>
          </w:p>
        </w:tc>
        <w:tc>
          <w:tcPr>
            <w:tcW w:w="860" w:type="dxa"/>
            <w:shd w:val="clear" w:color="auto" w:fill="auto"/>
            <w:vAlign w:val="center"/>
          </w:tcPr>
          <w:p w14:paraId="59456E30">
            <w:pPr>
              <w:adjustRightInd w:val="0"/>
              <w:snapToGrid w:val="0"/>
              <w:spacing w:line="360" w:lineRule="auto"/>
              <w:jc w:val="center"/>
              <w:rPr>
                <w:rFonts w:ascii="宋体" w:hAnsi="宋体"/>
                <w:color w:val="auto"/>
                <w:szCs w:val="28"/>
              </w:rPr>
            </w:pPr>
          </w:p>
        </w:tc>
        <w:tc>
          <w:tcPr>
            <w:tcW w:w="1103" w:type="dxa"/>
            <w:shd w:val="clear" w:color="auto" w:fill="auto"/>
            <w:vAlign w:val="center"/>
          </w:tcPr>
          <w:p w14:paraId="05AF31E8">
            <w:pPr>
              <w:adjustRightInd w:val="0"/>
              <w:snapToGrid w:val="0"/>
              <w:spacing w:line="360" w:lineRule="auto"/>
              <w:jc w:val="center"/>
              <w:rPr>
                <w:rFonts w:ascii="宋体" w:hAnsi="宋体"/>
                <w:color w:val="auto"/>
                <w:szCs w:val="28"/>
              </w:rPr>
            </w:pPr>
          </w:p>
        </w:tc>
      </w:tr>
      <w:tr w14:paraId="7DDC3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shd w:val="clear" w:color="auto" w:fill="auto"/>
            <w:vAlign w:val="center"/>
          </w:tcPr>
          <w:p w14:paraId="53417D9B">
            <w:pPr>
              <w:adjustRightInd w:val="0"/>
              <w:snapToGrid w:val="0"/>
              <w:spacing w:line="360" w:lineRule="auto"/>
              <w:jc w:val="center"/>
              <w:rPr>
                <w:rFonts w:ascii="宋体" w:hAnsi="宋体"/>
                <w:color w:val="auto"/>
                <w:szCs w:val="28"/>
              </w:rPr>
            </w:pPr>
            <w:r>
              <w:rPr>
                <w:rFonts w:hint="eastAsia" w:ascii="宋体" w:hAnsi="宋体"/>
                <w:color w:val="auto"/>
                <w:szCs w:val="28"/>
              </w:rPr>
              <w:t>　</w:t>
            </w:r>
          </w:p>
        </w:tc>
        <w:tc>
          <w:tcPr>
            <w:tcW w:w="1354" w:type="dxa"/>
            <w:shd w:val="clear" w:color="auto" w:fill="auto"/>
            <w:vAlign w:val="center"/>
          </w:tcPr>
          <w:p w14:paraId="73E47F11">
            <w:pPr>
              <w:adjustRightInd w:val="0"/>
              <w:snapToGrid w:val="0"/>
              <w:spacing w:line="360" w:lineRule="auto"/>
              <w:jc w:val="center"/>
              <w:rPr>
                <w:rFonts w:ascii="宋体" w:hAnsi="宋体"/>
                <w:color w:val="auto"/>
                <w:szCs w:val="28"/>
              </w:rPr>
            </w:pPr>
          </w:p>
        </w:tc>
        <w:tc>
          <w:tcPr>
            <w:tcW w:w="1229" w:type="dxa"/>
            <w:shd w:val="clear" w:color="auto" w:fill="auto"/>
            <w:vAlign w:val="center"/>
          </w:tcPr>
          <w:p w14:paraId="00E1C029">
            <w:pPr>
              <w:adjustRightInd w:val="0"/>
              <w:snapToGrid w:val="0"/>
              <w:spacing w:line="360" w:lineRule="auto"/>
              <w:jc w:val="center"/>
              <w:rPr>
                <w:rFonts w:ascii="宋体" w:hAnsi="宋体"/>
                <w:color w:val="auto"/>
                <w:szCs w:val="28"/>
              </w:rPr>
            </w:pPr>
          </w:p>
        </w:tc>
        <w:tc>
          <w:tcPr>
            <w:tcW w:w="737" w:type="dxa"/>
            <w:shd w:val="clear" w:color="auto" w:fill="auto"/>
            <w:vAlign w:val="center"/>
          </w:tcPr>
          <w:p w14:paraId="1F3522D9">
            <w:pPr>
              <w:adjustRightInd w:val="0"/>
              <w:snapToGrid w:val="0"/>
              <w:spacing w:line="360" w:lineRule="auto"/>
              <w:jc w:val="center"/>
              <w:rPr>
                <w:rFonts w:ascii="宋体" w:hAnsi="宋体"/>
                <w:color w:val="auto"/>
                <w:szCs w:val="28"/>
              </w:rPr>
            </w:pPr>
          </w:p>
        </w:tc>
        <w:tc>
          <w:tcPr>
            <w:tcW w:w="615" w:type="dxa"/>
            <w:shd w:val="clear" w:color="auto" w:fill="auto"/>
            <w:vAlign w:val="center"/>
          </w:tcPr>
          <w:p w14:paraId="4F00C723">
            <w:pPr>
              <w:adjustRightInd w:val="0"/>
              <w:snapToGrid w:val="0"/>
              <w:spacing w:line="360" w:lineRule="auto"/>
              <w:jc w:val="center"/>
              <w:rPr>
                <w:rFonts w:ascii="宋体" w:hAnsi="宋体"/>
                <w:color w:val="auto"/>
                <w:szCs w:val="28"/>
              </w:rPr>
            </w:pPr>
          </w:p>
        </w:tc>
        <w:tc>
          <w:tcPr>
            <w:tcW w:w="860" w:type="dxa"/>
            <w:shd w:val="clear" w:color="auto" w:fill="auto"/>
            <w:vAlign w:val="center"/>
          </w:tcPr>
          <w:p w14:paraId="10826A0F">
            <w:pPr>
              <w:adjustRightInd w:val="0"/>
              <w:snapToGrid w:val="0"/>
              <w:spacing w:line="360" w:lineRule="auto"/>
              <w:jc w:val="center"/>
              <w:rPr>
                <w:rFonts w:ascii="宋体" w:hAnsi="宋体"/>
                <w:color w:val="auto"/>
                <w:szCs w:val="28"/>
              </w:rPr>
            </w:pPr>
          </w:p>
        </w:tc>
        <w:tc>
          <w:tcPr>
            <w:tcW w:w="982" w:type="dxa"/>
            <w:shd w:val="clear" w:color="auto" w:fill="auto"/>
            <w:vAlign w:val="center"/>
          </w:tcPr>
          <w:p w14:paraId="019E3ABB">
            <w:pPr>
              <w:adjustRightInd w:val="0"/>
              <w:snapToGrid w:val="0"/>
              <w:spacing w:line="360" w:lineRule="auto"/>
              <w:jc w:val="center"/>
              <w:rPr>
                <w:rFonts w:ascii="宋体" w:hAnsi="宋体"/>
                <w:color w:val="auto"/>
                <w:szCs w:val="28"/>
              </w:rPr>
            </w:pPr>
          </w:p>
        </w:tc>
        <w:tc>
          <w:tcPr>
            <w:tcW w:w="982" w:type="dxa"/>
            <w:shd w:val="clear" w:color="auto" w:fill="auto"/>
            <w:vAlign w:val="center"/>
          </w:tcPr>
          <w:p w14:paraId="247FC49C">
            <w:pPr>
              <w:adjustRightInd w:val="0"/>
              <w:snapToGrid w:val="0"/>
              <w:spacing w:line="360" w:lineRule="auto"/>
              <w:jc w:val="center"/>
              <w:rPr>
                <w:rFonts w:ascii="宋体" w:hAnsi="宋体"/>
                <w:color w:val="auto"/>
                <w:szCs w:val="28"/>
              </w:rPr>
            </w:pPr>
          </w:p>
        </w:tc>
        <w:tc>
          <w:tcPr>
            <w:tcW w:w="860" w:type="dxa"/>
            <w:shd w:val="clear" w:color="auto" w:fill="auto"/>
            <w:vAlign w:val="center"/>
          </w:tcPr>
          <w:p w14:paraId="56208023">
            <w:pPr>
              <w:adjustRightInd w:val="0"/>
              <w:snapToGrid w:val="0"/>
              <w:spacing w:line="360" w:lineRule="auto"/>
              <w:jc w:val="center"/>
              <w:rPr>
                <w:rFonts w:ascii="宋体" w:hAnsi="宋体"/>
                <w:color w:val="auto"/>
                <w:szCs w:val="28"/>
              </w:rPr>
            </w:pPr>
          </w:p>
        </w:tc>
        <w:tc>
          <w:tcPr>
            <w:tcW w:w="1103" w:type="dxa"/>
            <w:shd w:val="clear" w:color="auto" w:fill="auto"/>
            <w:vAlign w:val="center"/>
          </w:tcPr>
          <w:p w14:paraId="0D6C36A8">
            <w:pPr>
              <w:adjustRightInd w:val="0"/>
              <w:snapToGrid w:val="0"/>
              <w:spacing w:line="360" w:lineRule="auto"/>
              <w:jc w:val="center"/>
              <w:rPr>
                <w:rFonts w:ascii="宋体" w:hAnsi="宋体"/>
                <w:color w:val="auto"/>
                <w:szCs w:val="28"/>
              </w:rPr>
            </w:pPr>
          </w:p>
        </w:tc>
      </w:tr>
      <w:tr w14:paraId="7D2FA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shd w:val="clear" w:color="auto" w:fill="auto"/>
            <w:vAlign w:val="center"/>
          </w:tcPr>
          <w:p w14:paraId="6BE8196F">
            <w:pPr>
              <w:adjustRightInd w:val="0"/>
              <w:snapToGrid w:val="0"/>
              <w:spacing w:line="360" w:lineRule="auto"/>
              <w:jc w:val="center"/>
              <w:rPr>
                <w:rFonts w:ascii="宋体" w:hAnsi="宋体"/>
                <w:color w:val="auto"/>
                <w:szCs w:val="28"/>
              </w:rPr>
            </w:pPr>
            <w:r>
              <w:rPr>
                <w:rFonts w:hint="eastAsia" w:ascii="宋体" w:hAnsi="宋体"/>
                <w:color w:val="auto"/>
                <w:szCs w:val="28"/>
              </w:rPr>
              <w:t>　</w:t>
            </w:r>
          </w:p>
        </w:tc>
        <w:tc>
          <w:tcPr>
            <w:tcW w:w="1354" w:type="dxa"/>
            <w:shd w:val="clear" w:color="auto" w:fill="auto"/>
            <w:vAlign w:val="center"/>
          </w:tcPr>
          <w:p w14:paraId="615D0EF5">
            <w:pPr>
              <w:adjustRightInd w:val="0"/>
              <w:snapToGrid w:val="0"/>
              <w:spacing w:line="360" w:lineRule="auto"/>
              <w:jc w:val="center"/>
              <w:rPr>
                <w:rFonts w:ascii="宋体" w:hAnsi="宋体"/>
                <w:color w:val="auto"/>
                <w:szCs w:val="28"/>
              </w:rPr>
            </w:pPr>
          </w:p>
        </w:tc>
        <w:tc>
          <w:tcPr>
            <w:tcW w:w="1229" w:type="dxa"/>
            <w:shd w:val="clear" w:color="auto" w:fill="auto"/>
            <w:vAlign w:val="center"/>
          </w:tcPr>
          <w:p w14:paraId="3FC7D897">
            <w:pPr>
              <w:adjustRightInd w:val="0"/>
              <w:snapToGrid w:val="0"/>
              <w:spacing w:line="360" w:lineRule="auto"/>
              <w:jc w:val="center"/>
              <w:rPr>
                <w:rFonts w:ascii="宋体" w:hAnsi="宋体"/>
                <w:color w:val="auto"/>
                <w:szCs w:val="28"/>
              </w:rPr>
            </w:pPr>
          </w:p>
        </w:tc>
        <w:tc>
          <w:tcPr>
            <w:tcW w:w="737" w:type="dxa"/>
            <w:shd w:val="clear" w:color="auto" w:fill="auto"/>
            <w:vAlign w:val="center"/>
          </w:tcPr>
          <w:p w14:paraId="098A9B41">
            <w:pPr>
              <w:adjustRightInd w:val="0"/>
              <w:snapToGrid w:val="0"/>
              <w:spacing w:line="360" w:lineRule="auto"/>
              <w:jc w:val="center"/>
              <w:rPr>
                <w:rFonts w:ascii="宋体" w:hAnsi="宋体"/>
                <w:color w:val="auto"/>
                <w:szCs w:val="28"/>
              </w:rPr>
            </w:pPr>
          </w:p>
        </w:tc>
        <w:tc>
          <w:tcPr>
            <w:tcW w:w="615" w:type="dxa"/>
            <w:shd w:val="clear" w:color="auto" w:fill="auto"/>
            <w:vAlign w:val="center"/>
          </w:tcPr>
          <w:p w14:paraId="28FC3BB0">
            <w:pPr>
              <w:adjustRightInd w:val="0"/>
              <w:snapToGrid w:val="0"/>
              <w:spacing w:line="360" w:lineRule="auto"/>
              <w:jc w:val="center"/>
              <w:rPr>
                <w:rFonts w:ascii="宋体" w:hAnsi="宋体"/>
                <w:color w:val="auto"/>
                <w:szCs w:val="28"/>
              </w:rPr>
            </w:pPr>
          </w:p>
        </w:tc>
        <w:tc>
          <w:tcPr>
            <w:tcW w:w="860" w:type="dxa"/>
            <w:shd w:val="clear" w:color="auto" w:fill="auto"/>
            <w:vAlign w:val="center"/>
          </w:tcPr>
          <w:p w14:paraId="1B788755">
            <w:pPr>
              <w:adjustRightInd w:val="0"/>
              <w:snapToGrid w:val="0"/>
              <w:spacing w:line="360" w:lineRule="auto"/>
              <w:jc w:val="center"/>
              <w:rPr>
                <w:rFonts w:ascii="宋体" w:hAnsi="宋体"/>
                <w:color w:val="auto"/>
                <w:szCs w:val="28"/>
              </w:rPr>
            </w:pPr>
          </w:p>
        </w:tc>
        <w:tc>
          <w:tcPr>
            <w:tcW w:w="982" w:type="dxa"/>
            <w:shd w:val="clear" w:color="auto" w:fill="auto"/>
            <w:vAlign w:val="center"/>
          </w:tcPr>
          <w:p w14:paraId="654A954E">
            <w:pPr>
              <w:adjustRightInd w:val="0"/>
              <w:snapToGrid w:val="0"/>
              <w:spacing w:line="360" w:lineRule="auto"/>
              <w:jc w:val="center"/>
              <w:rPr>
                <w:rFonts w:ascii="宋体" w:hAnsi="宋体"/>
                <w:color w:val="auto"/>
                <w:szCs w:val="28"/>
              </w:rPr>
            </w:pPr>
          </w:p>
        </w:tc>
        <w:tc>
          <w:tcPr>
            <w:tcW w:w="982" w:type="dxa"/>
            <w:shd w:val="clear" w:color="auto" w:fill="auto"/>
            <w:vAlign w:val="center"/>
          </w:tcPr>
          <w:p w14:paraId="15A971D0">
            <w:pPr>
              <w:adjustRightInd w:val="0"/>
              <w:snapToGrid w:val="0"/>
              <w:spacing w:line="360" w:lineRule="auto"/>
              <w:jc w:val="center"/>
              <w:rPr>
                <w:rFonts w:ascii="宋体" w:hAnsi="宋体"/>
                <w:color w:val="auto"/>
                <w:szCs w:val="28"/>
              </w:rPr>
            </w:pPr>
          </w:p>
        </w:tc>
        <w:tc>
          <w:tcPr>
            <w:tcW w:w="860" w:type="dxa"/>
            <w:shd w:val="clear" w:color="auto" w:fill="auto"/>
            <w:vAlign w:val="center"/>
          </w:tcPr>
          <w:p w14:paraId="717C8850">
            <w:pPr>
              <w:adjustRightInd w:val="0"/>
              <w:snapToGrid w:val="0"/>
              <w:spacing w:line="360" w:lineRule="auto"/>
              <w:jc w:val="center"/>
              <w:rPr>
                <w:rFonts w:ascii="宋体" w:hAnsi="宋体"/>
                <w:color w:val="auto"/>
                <w:szCs w:val="28"/>
              </w:rPr>
            </w:pPr>
          </w:p>
        </w:tc>
        <w:tc>
          <w:tcPr>
            <w:tcW w:w="1103" w:type="dxa"/>
            <w:shd w:val="clear" w:color="auto" w:fill="auto"/>
            <w:vAlign w:val="center"/>
          </w:tcPr>
          <w:p w14:paraId="42552347">
            <w:pPr>
              <w:adjustRightInd w:val="0"/>
              <w:snapToGrid w:val="0"/>
              <w:spacing w:line="360" w:lineRule="auto"/>
              <w:jc w:val="center"/>
              <w:rPr>
                <w:rFonts w:ascii="宋体" w:hAnsi="宋体"/>
                <w:color w:val="auto"/>
                <w:szCs w:val="28"/>
              </w:rPr>
            </w:pPr>
          </w:p>
        </w:tc>
      </w:tr>
      <w:tr w14:paraId="56611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shd w:val="clear" w:color="auto" w:fill="auto"/>
            <w:vAlign w:val="center"/>
          </w:tcPr>
          <w:p w14:paraId="30AB30E3">
            <w:pPr>
              <w:adjustRightInd w:val="0"/>
              <w:snapToGrid w:val="0"/>
              <w:spacing w:line="360" w:lineRule="auto"/>
              <w:jc w:val="center"/>
              <w:rPr>
                <w:rFonts w:ascii="宋体" w:hAnsi="宋体"/>
                <w:color w:val="auto"/>
                <w:szCs w:val="28"/>
              </w:rPr>
            </w:pPr>
            <w:r>
              <w:rPr>
                <w:rFonts w:hint="eastAsia" w:ascii="宋体" w:hAnsi="宋体"/>
                <w:color w:val="auto"/>
                <w:szCs w:val="28"/>
              </w:rPr>
              <w:t>　</w:t>
            </w:r>
          </w:p>
        </w:tc>
        <w:tc>
          <w:tcPr>
            <w:tcW w:w="1354" w:type="dxa"/>
            <w:shd w:val="clear" w:color="auto" w:fill="auto"/>
            <w:vAlign w:val="center"/>
          </w:tcPr>
          <w:p w14:paraId="180AA545">
            <w:pPr>
              <w:adjustRightInd w:val="0"/>
              <w:snapToGrid w:val="0"/>
              <w:spacing w:line="360" w:lineRule="auto"/>
              <w:jc w:val="center"/>
              <w:rPr>
                <w:rFonts w:ascii="宋体" w:hAnsi="宋体"/>
                <w:color w:val="auto"/>
                <w:szCs w:val="28"/>
              </w:rPr>
            </w:pPr>
          </w:p>
        </w:tc>
        <w:tc>
          <w:tcPr>
            <w:tcW w:w="1229" w:type="dxa"/>
            <w:shd w:val="clear" w:color="auto" w:fill="auto"/>
            <w:vAlign w:val="center"/>
          </w:tcPr>
          <w:p w14:paraId="0A785577">
            <w:pPr>
              <w:adjustRightInd w:val="0"/>
              <w:snapToGrid w:val="0"/>
              <w:spacing w:line="360" w:lineRule="auto"/>
              <w:jc w:val="center"/>
              <w:rPr>
                <w:rFonts w:ascii="宋体" w:hAnsi="宋体"/>
                <w:color w:val="auto"/>
                <w:szCs w:val="28"/>
              </w:rPr>
            </w:pPr>
          </w:p>
        </w:tc>
        <w:tc>
          <w:tcPr>
            <w:tcW w:w="737" w:type="dxa"/>
            <w:shd w:val="clear" w:color="auto" w:fill="auto"/>
            <w:vAlign w:val="center"/>
          </w:tcPr>
          <w:p w14:paraId="04DFD4D7">
            <w:pPr>
              <w:adjustRightInd w:val="0"/>
              <w:snapToGrid w:val="0"/>
              <w:spacing w:line="360" w:lineRule="auto"/>
              <w:jc w:val="center"/>
              <w:rPr>
                <w:rFonts w:ascii="宋体" w:hAnsi="宋体"/>
                <w:color w:val="auto"/>
                <w:szCs w:val="28"/>
              </w:rPr>
            </w:pPr>
          </w:p>
        </w:tc>
        <w:tc>
          <w:tcPr>
            <w:tcW w:w="615" w:type="dxa"/>
            <w:shd w:val="clear" w:color="auto" w:fill="auto"/>
            <w:vAlign w:val="center"/>
          </w:tcPr>
          <w:p w14:paraId="62F27EDB">
            <w:pPr>
              <w:adjustRightInd w:val="0"/>
              <w:snapToGrid w:val="0"/>
              <w:spacing w:line="360" w:lineRule="auto"/>
              <w:jc w:val="center"/>
              <w:rPr>
                <w:rFonts w:ascii="宋体" w:hAnsi="宋体"/>
                <w:color w:val="auto"/>
                <w:szCs w:val="28"/>
              </w:rPr>
            </w:pPr>
          </w:p>
        </w:tc>
        <w:tc>
          <w:tcPr>
            <w:tcW w:w="860" w:type="dxa"/>
            <w:shd w:val="clear" w:color="auto" w:fill="auto"/>
            <w:vAlign w:val="center"/>
          </w:tcPr>
          <w:p w14:paraId="5C625A74">
            <w:pPr>
              <w:adjustRightInd w:val="0"/>
              <w:snapToGrid w:val="0"/>
              <w:spacing w:line="360" w:lineRule="auto"/>
              <w:jc w:val="center"/>
              <w:rPr>
                <w:rFonts w:ascii="宋体" w:hAnsi="宋体"/>
                <w:color w:val="auto"/>
                <w:szCs w:val="28"/>
              </w:rPr>
            </w:pPr>
          </w:p>
        </w:tc>
        <w:tc>
          <w:tcPr>
            <w:tcW w:w="982" w:type="dxa"/>
            <w:shd w:val="clear" w:color="auto" w:fill="auto"/>
            <w:vAlign w:val="center"/>
          </w:tcPr>
          <w:p w14:paraId="43322C35">
            <w:pPr>
              <w:adjustRightInd w:val="0"/>
              <w:snapToGrid w:val="0"/>
              <w:spacing w:line="360" w:lineRule="auto"/>
              <w:jc w:val="center"/>
              <w:rPr>
                <w:rFonts w:ascii="宋体" w:hAnsi="宋体"/>
                <w:color w:val="auto"/>
                <w:szCs w:val="28"/>
              </w:rPr>
            </w:pPr>
          </w:p>
        </w:tc>
        <w:tc>
          <w:tcPr>
            <w:tcW w:w="982" w:type="dxa"/>
            <w:shd w:val="clear" w:color="auto" w:fill="auto"/>
            <w:vAlign w:val="center"/>
          </w:tcPr>
          <w:p w14:paraId="542B1B47">
            <w:pPr>
              <w:adjustRightInd w:val="0"/>
              <w:snapToGrid w:val="0"/>
              <w:spacing w:line="360" w:lineRule="auto"/>
              <w:jc w:val="center"/>
              <w:rPr>
                <w:rFonts w:ascii="宋体" w:hAnsi="宋体"/>
                <w:color w:val="auto"/>
                <w:szCs w:val="28"/>
              </w:rPr>
            </w:pPr>
          </w:p>
        </w:tc>
        <w:tc>
          <w:tcPr>
            <w:tcW w:w="860" w:type="dxa"/>
            <w:shd w:val="clear" w:color="auto" w:fill="auto"/>
            <w:vAlign w:val="center"/>
          </w:tcPr>
          <w:p w14:paraId="54D054ED">
            <w:pPr>
              <w:adjustRightInd w:val="0"/>
              <w:snapToGrid w:val="0"/>
              <w:spacing w:line="360" w:lineRule="auto"/>
              <w:jc w:val="center"/>
              <w:rPr>
                <w:rFonts w:ascii="宋体" w:hAnsi="宋体"/>
                <w:color w:val="auto"/>
                <w:szCs w:val="28"/>
              </w:rPr>
            </w:pPr>
          </w:p>
        </w:tc>
        <w:tc>
          <w:tcPr>
            <w:tcW w:w="1103" w:type="dxa"/>
            <w:shd w:val="clear" w:color="auto" w:fill="auto"/>
            <w:vAlign w:val="center"/>
          </w:tcPr>
          <w:p w14:paraId="53CB8A6E">
            <w:pPr>
              <w:adjustRightInd w:val="0"/>
              <w:snapToGrid w:val="0"/>
              <w:spacing w:line="360" w:lineRule="auto"/>
              <w:jc w:val="center"/>
              <w:rPr>
                <w:rFonts w:ascii="宋体" w:hAnsi="宋体"/>
                <w:color w:val="auto"/>
                <w:szCs w:val="28"/>
              </w:rPr>
            </w:pPr>
          </w:p>
        </w:tc>
      </w:tr>
      <w:tr w14:paraId="1E5D5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shd w:val="clear" w:color="auto" w:fill="auto"/>
            <w:vAlign w:val="center"/>
          </w:tcPr>
          <w:p w14:paraId="532B00F2">
            <w:pPr>
              <w:adjustRightInd w:val="0"/>
              <w:snapToGrid w:val="0"/>
              <w:spacing w:line="360" w:lineRule="auto"/>
              <w:jc w:val="center"/>
              <w:rPr>
                <w:rFonts w:ascii="宋体" w:hAnsi="宋体"/>
                <w:color w:val="auto"/>
                <w:szCs w:val="28"/>
              </w:rPr>
            </w:pPr>
            <w:r>
              <w:rPr>
                <w:rFonts w:hint="eastAsia" w:ascii="宋体" w:hAnsi="宋体"/>
                <w:color w:val="auto"/>
                <w:szCs w:val="28"/>
              </w:rPr>
              <w:t>　</w:t>
            </w:r>
          </w:p>
        </w:tc>
        <w:tc>
          <w:tcPr>
            <w:tcW w:w="1354" w:type="dxa"/>
            <w:shd w:val="clear" w:color="auto" w:fill="auto"/>
            <w:vAlign w:val="center"/>
          </w:tcPr>
          <w:p w14:paraId="539686B5">
            <w:pPr>
              <w:adjustRightInd w:val="0"/>
              <w:snapToGrid w:val="0"/>
              <w:spacing w:line="360" w:lineRule="auto"/>
              <w:jc w:val="center"/>
              <w:rPr>
                <w:rFonts w:ascii="宋体" w:hAnsi="宋体"/>
                <w:color w:val="auto"/>
                <w:szCs w:val="28"/>
              </w:rPr>
            </w:pPr>
          </w:p>
        </w:tc>
        <w:tc>
          <w:tcPr>
            <w:tcW w:w="1229" w:type="dxa"/>
            <w:shd w:val="clear" w:color="auto" w:fill="auto"/>
            <w:vAlign w:val="center"/>
          </w:tcPr>
          <w:p w14:paraId="5FCF57BD">
            <w:pPr>
              <w:adjustRightInd w:val="0"/>
              <w:snapToGrid w:val="0"/>
              <w:spacing w:line="360" w:lineRule="auto"/>
              <w:jc w:val="center"/>
              <w:rPr>
                <w:rFonts w:ascii="宋体" w:hAnsi="宋体"/>
                <w:color w:val="auto"/>
                <w:szCs w:val="28"/>
              </w:rPr>
            </w:pPr>
          </w:p>
        </w:tc>
        <w:tc>
          <w:tcPr>
            <w:tcW w:w="737" w:type="dxa"/>
            <w:shd w:val="clear" w:color="auto" w:fill="auto"/>
            <w:vAlign w:val="center"/>
          </w:tcPr>
          <w:p w14:paraId="40ECCF1A">
            <w:pPr>
              <w:adjustRightInd w:val="0"/>
              <w:snapToGrid w:val="0"/>
              <w:spacing w:line="360" w:lineRule="auto"/>
              <w:jc w:val="center"/>
              <w:rPr>
                <w:rFonts w:ascii="宋体" w:hAnsi="宋体"/>
                <w:color w:val="auto"/>
                <w:szCs w:val="28"/>
              </w:rPr>
            </w:pPr>
          </w:p>
        </w:tc>
        <w:tc>
          <w:tcPr>
            <w:tcW w:w="615" w:type="dxa"/>
            <w:shd w:val="clear" w:color="auto" w:fill="auto"/>
            <w:vAlign w:val="center"/>
          </w:tcPr>
          <w:p w14:paraId="141E296E">
            <w:pPr>
              <w:adjustRightInd w:val="0"/>
              <w:snapToGrid w:val="0"/>
              <w:spacing w:line="360" w:lineRule="auto"/>
              <w:jc w:val="center"/>
              <w:rPr>
                <w:rFonts w:ascii="宋体" w:hAnsi="宋体"/>
                <w:color w:val="auto"/>
                <w:szCs w:val="28"/>
              </w:rPr>
            </w:pPr>
          </w:p>
        </w:tc>
        <w:tc>
          <w:tcPr>
            <w:tcW w:w="860" w:type="dxa"/>
            <w:shd w:val="clear" w:color="auto" w:fill="auto"/>
            <w:vAlign w:val="center"/>
          </w:tcPr>
          <w:p w14:paraId="5E8D3D45">
            <w:pPr>
              <w:adjustRightInd w:val="0"/>
              <w:snapToGrid w:val="0"/>
              <w:spacing w:line="360" w:lineRule="auto"/>
              <w:jc w:val="center"/>
              <w:rPr>
                <w:rFonts w:ascii="宋体" w:hAnsi="宋体"/>
                <w:color w:val="auto"/>
                <w:szCs w:val="28"/>
              </w:rPr>
            </w:pPr>
          </w:p>
        </w:tc>
        <w:tc>
          <w:tcPr>
            <w:tcW w:w="982" w:type="dxa"/>
            <w:shd w:val="clear" w:color="auto" w:fill="auto"/>
            <w:vAlign w:val="center"/>
          </w:tcPr>
          <w:p w14:paraId="4C27403A">
            <w:pPr>
              <w:adjustRightInd w:val="0"/>
              <w:snapToGrid w:val="0"/>
              <w:spacing w:line="360" w:lineRule="auto"/>
              <w:jc w:val="center"/>
              <w:rPr>
                <w:rFonts w:ascii="宋体" w:hAnsi="宋体"/>
                <w:color w:val="auto"/>
                <w:szCs w:val="28"/>
              </w:rPr>
            </w:pPr>
          </w:p>
        </w:tc>
        <w:tc>
          <w:tcPr>
            <w:tcW w:w="982" w:type="dxa"/>
            <w:shd w:val="clear" w:color="auto" w:fill="auto"/>
            <w:vAlign w:val="center"/>
          </w:tcPr>
          <w:p w14:paraId="20D821BD">
            <w:pPr>
              <w:adjustRightInd w:val="0"/>
              <w:snapToGrid w:val="0"/>
              <w:spacing w:line="360" w:lineRule="auto"/>
              <w:jc w:val="center"/>
              <w:rPr>
                <w:rFonts w:ascii="宋体" w:hAnsi="宋体"/>
                <w:color w:val="auto"/>
                <w:szCs w:val="28"/>
              </w:rPr>
            </w:pPr>
          </w:p>
        </w:tc>
        <w:tc>
          <w:tcPr>
            <w:tcW w:w="860" w:type="dxa"/>
            <w:shd w:val="clear" w:color="auto" w:fill="auto"/>
            <w:vAlign w:val="center"/>
          </w:tcPr>
          <w:p w14:paraId="48A2099C">
            <w:pPr>
              <w:adjustRightInd w:val="0"/>
              <w:snapToGrid w:val="0"/>
              <w:spacing w:line="360" w:lineRule="auto"/>
              <w:jc w:val="center"/>
              <w:rPr>
                <w:rFonts w:ascii="宋体" w:hAnsi="宋体"/>
                <w:color w:val="auto"/>
                <w:szCs w:val="28"/>
              </w:rPr>
            </w:pPr>
          </w:p>
        </w:tc>
        <w:tc>
          <w:tcPr>
            <w:tcW w:w="1103" w:type="dxa"/>
            <w:shd w:val="clear" w:color="auto" w:fill="auto"/>
            <w:vAlign w:val="center"/>
          </w:tcPr>
          <w:p w14:paraId="234D250A">
            <w:pPr>
              <w:adjustRightInd w:val="0"/>
              <w:snapToGrid w:val="0"/>
              <w:spacing w:line="360" w:lineRule="auto"/>
              <w:jc w:val="center"/>
              <w:rPr>
                <w:rFonts w:ascii="宋体" w:hAnsi="宋体"/>
                <w:color w:val="auto"/>
                <w:szCs w:val="28"/>
              </w:rPr>
            </w:pPr>
          </w:p>
        </w:tc>
      </w:tr>
      <w:tr w14:paraId="503B0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shd w:val="clear" w:color="auto" w:fill="auto"/>
            <w:vAlign w:val="center"/>
          </w:tcPr>
          <w:p w14:paraId="79F81A70">
            <w:pPr>
              <w:adjustRightInd w:val="0"/>
              <w:snapToGrid w:val="0"/>
              <w:spacing w:line="360" w:lineRule="auto"/>
              <w:jc w:val="center"/>
              <w:rPr>
                <w:rFonts w:ascii="宋体" w:hAnsi="宋体"/>
                <w:color w:val="auto"/>
                <w:szCs w:val="28"/>
              </w:rPr>
            </w:pPr>
            <w:r>
              <w:rPr>
                <w:rFonts w:hint="eastAsia" w:ascii="宋体" w:hAnsi="宋体"/>
                <w:color w:val="auto"/>
                <w:szCs w:val="28"/>
              </w:rPr>
              <w:t>　</w:t>
            </w:r>
          </w:p>
        </w:tc>
        <w:tc>
          <w:tcPr>
            <w:tcW w:w="1354" w:type="dxa"/>
            <w:shd w:val="clear" w:color="auto" w:fill="auto"/>
            <w:vAlign w:val="center"/>
          </w:tcPr>
          <w:p w14:paraId="3E11A1AC">
            <w:pPr>
              <w:adjustRightInd w:val="0"/>
              <w:snapToGrid w:val="0"/>
              <w:spacing w:line="360" w:lineRule="auto"/>
              <w:jc w:val="center"/>
              <w:rPr>
                <w:rFonts w:ascii="宋体" w:hAnsi="宋体"/>
                <w:color w:val="auto"/>
                <w:szCs w:val="28"/>
              </w:rPr>
            </w:pPr>
          </w:p>
        </w:tc>
        <w:tc>
          <w:tcPr>
            <w:tcW w:w="1229" w:type="dxa"/>
            <w:shd w:val="clear" w:color="auto" w:fill="auto"/>
            <w:vAlign w:val="center"/>
          </w:tcPr>
          <w:p w14:paraId="4639E61A">
            <w:pPr>
              <w:adjustRightInd w:val="0"/>
              <w:snapToGrid w:val="0"/>
              <w:spacing w:line="360" w:lineRule="auto"/>
              <w:jc w:val="center"/>
              <w:rPr>
                <w:rFonts w:ascii="宋体" w:hAnsi="宋体"/>
                <w:color w:val="auto"/>
                <w:szCs w:val="28"/>
              </w:rPr>
            </w:pPr>
          </w:p>
        </w:tc>
        <w:tc>
          <w:tcPr>
            <w:tcW w:w="737" w:type="dxa"/>
            <w:shd w:val="clear" w:color="auto" w:fill="auto"/>
            <w:vAlign w:val="center"/>
          </w:tcPr>
          <w:p w14:paraId="14F5B745">
            <w:pPr>
              <w:adjustRightInd w:val="0"/>
              <w:snapToGrid w:val="0"/>
              <w:spacing w:line="360" w:lineRule="auto"/>
              <w:jc w:val="center"/>
              <w:rPr>
                <w:rFonts w:ascii="宋体" w:hAnsi="宋体"/>
                <w:color w:val="auto"/>
                <w:szCs w:val="28"/>
              </w:rPr>
            </w:pPr>
          </w:p>
        </w:tc>
        <w:tc>
          <w:tcPr>
            <w:tcW w:w="615" w:type="dxa"/>
            <w:shd w:val="clear" w:color="auto" w:fill="auto"/>
            <w:vAlign w:val="center"/>
          </w:tcPr>
          <w:p w14:paraId="6CEFFF33">
            <w:pPr>
              <w:adjustRightInd w:val="0"/>
              <w:snapToGrid w:val="0"/>
              <w:spacing w:line="360" w:lineRule="auto"/>
              <w:jc w:val="center"/>
              <w:rPr>
                <w:rFonts w:ascii="宋体" w:hAnsi="宋体"/>
                <w:color w:val="auto"/>
                <w:szCs w:val="28"/>
              </w:rPr>
            </w:pPr>
          </w:p>
        </w:tc>
        <w:tc>
          <w:tcPr>
            <w:tcW w:w="860" w:type="dxa"/>
            <w:shd w:val="clear" w:color="auto" w:fill="auto"/>
            <w:vAlign w:val="center"/>
          </w:tcPr>
          <w:p w14:paraId="24325A91">
            <w:pPr>
              <w:adjustRightInd w:val="0"/>
              <w:snapToGrid w:val="0"/>
              <w:spacing w:line="360" w:lineRule="auto"/>
              <w:jc w:val="center"/>
              <w:rPr>
                <w:rFonts w:ascii="宋体" w:hAnsi="宋体"/>
                <w:color w:val="auto"/>
                <w:szCs w:val="28"/>
              </w:rPr>
            </w:pPr>
          </w:p>
        </w:tc>
        <w:tc>
          <w:tcPr>
            <w:tcW w:w="982" w:type="dxa"/>
            <w:shd w:val="clear" w:color="auto" w:fill="auto"/>
            <w:vAlign w:val="center"/>
          </w:tcPr>
          <w:p w14:paraId="5FA41619">
            <w:pPr>
              <w:adjustRightInd w:val="0"/>
              <w:snapToGrid w:val="0"/>
              <w:spacing w:line="360" w:lineRule="auto"/>
              <w:jc w:val="center"/>
              <w:rPr>
                <w:rFonts w:ascii="宋体" w:hAnsi="宋体"/>
                <w:color w:val="auto"/>
                <w:szCs w:val="28"/>
              </w:rPr>
            </w:pPr>
          </w:p>
        </w:tc>
        <w:tc>
          <w:tcPr>
            <w:tcW w:w="982" w:type="dxa"/>
            <w:shd w:val="clear" w:color="auto" w:fill="auto"/>
            <w:vAlign w:val="center"/>
          </w:tcPr>
          <w:p w14:paraId="68F892ED">
            <w:pPr>
              <w:adjustRightInd w:val="0"/>
              <w:snapToGrid w:val="0"/>
              <w:spacing w:line="360" w:lineRule="auto"/>
              <w:jc w:val="center"/>
              <w:rPr>
                <w:rFonts w:ascii="宋体" w:hAnsi="宋体"/>
                <w:color w:val="auto"/>
                <w:szCs w:val="28"/>
              </w:rPr>
            </w:pPr>
          </w:p>
        </w:tc>
        <w:tc>
          <w:tcPr>
            <w:tcW w:w="860" w:type="dxa"/>
            <w:shd w:val="clear" w:color="auto" w:fill="auto"/>
            <w:vAlign w:val="center"/>
          </w:tcPr>
          <w:p w14:paraId="3EA04CBD">
            <w:pPr>
              <w:adjustRightInd w:val="0"/>
              <w:snapToGrid w:val="0"/>
              <w:spacing w:line="360" w:lineRule="auto"/>
              <w:jc w:val="center"/>
              <w:rPr>
                <w:rFonts w:ascii="宋体" w:hAnsi="宋体"/>
                <w:color w:val="auto"/>
                <w:szCs w:val="28"/>
              </w:rPr>
            </w:pPr>
          </w:p>
        </w:tc>
        <w:tc>
          <w:tcPr>
            <w:tcW w:w="1103" w:type="dxa"/>
            <w:shd w:val="clear" w:color="auto" w:fill="auto"/>
            <w:vAlign w:val="center"/>
          </w:tcPr>
          <w:p w14:paraId="4803D0C2">
            <w:pPr>
              <w:adjustRightInd w:val="0"/>
              <w:snapToGrid w:val="0"/>
              <w:spacing w:line="360" w:lineRule="auto"/>
              <w:jc w:val="center"/>
              <w:rPr>
                <w:rFonts w:ascii="宋体" w:hAnsi="宋体"/>
                <w:color w:val="auto"/>
                <w:szCs w:val="28"/>
              </w:rPr>
            </w:pPr>
          </w:p>
        </w:tc>
      </w:tr>
      <w:tr w14:paraId="328EE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shd w:val="clear" w:color="auto" w:fill="auto"/>
            <w:vAlign w:val="center"/>
          </w:tcPr>
          <w:p w14:paraId="009B6130">
            <w:pPr>
              <w:adjustRightInd w:val="0"/>
              <w:snapToGrid w:val="0"/>
              <w:spacing w:line="360" w:lineRule="auto"/>
              <w:jc w:val="center"/>
              <w:rPr>
                <w:rFonts w:ascii="宋体" w:hAnsi="宋体"/>
                <w:color w:val="auto"/>
                <w:szCs w:val="28"/>
              </w:rPr>
            </w:pPr>
            <w:r>
              <w:rPr>
                <w:rFonts w:hint="eastAsia" w:ascii="宋体" w:hAnsi="宋体"/>
                <w:color w:val="auto"/>
                <w:szCs w:val="28"/>
              </w:rPr>
              <w:t>　</w:t>
            </w:r>
          </w:p>
        </w:tc>
        <w:tc>
          <w:tcPr>
            <w:tcW w:w="1354" w:type="dxa"/>
            <w:shd w:val="clear" w:color="auto" w:fill="auto"/>
            <w:vAlign w:val="center"/>
          </w:tcPr>
          <w:p w14:paraId="4C9DB0FF">
            <w:pPr>
              <w:adjustRightInd w:val="0"/>
              <w:snapToGrid w:val="0"/>
              <w:spacing w:line="360" w:lineRule="auto"/>
              <w:jc w:val="center"/>
              <w:rPr>
                <w:rFonts w:ascii="宋体" w:hAnsi="宋体"/>
                <w:color w:val="auto"/>
                <w:szCs w:val="28"/>
              </w:rPr>
            </w:pPr>
          </w:p>
        </w:tc>
        <w:tc>
          <w:tcPr>
            <w:tcW w:w="1229" w:type="dxa"/>
            <w:shd w:val="clear" w:color="auto" w:fill="auto"/>
            <w:vAlign w:val="center"/>
          </w:tcPr>
          <w:p w14:paraId="0A891C8F">
            <w:pPr>
              <w:adjustRightInd w:val="0"/>
              <w:snapToGrid w:val="0"/>
              <w:spacing w:line="360" w:lineRule="auto"/>
              <w:jc w:val="center"/>
              <w:rPr>
                <w:rFonts w:ascii="宋体" w:hAnsi="宋体"/>
                <w:color w:val="auto"/>
                <w:szCs w:val="28"/>
              </w:rPr>
            </w:pPr>
          </w:p>
        </w:tc>
        <w:tc>
          <w:tcPr>
            <w:tcW w:w="737" w:type="dxa"/>
            <w:shd w:val="clear" w:color="auto" w:fill="auto"/>
            <w:vAlign w:val="center"/>
          </w:tcPr>
          <w:p w14:paraId="0CA792B8">
            <w:pPr>
              <w:adjustRightInd w:val="0"/>
              <w:snapToGrid w:val="0"/>
              <w:spacing w:line="360" w:lineRule="auto"/>
              <w:jc w:val="center"/>
              <w:rPr>
                <w:rFonts w:ascii="宋体" w:hAnsi="宋体"/>
                <w:color w:val="auto"/>
                <w:szCs w:val="28"/>
              </w:rPr>
            </w:pPr>
          </w:p>
        </w:tc>
        <w:tc>
          <w:tcPr>
            <w:tcW w:w="615" w:type="dxa"/>
            <w:shd w:val="clear" w:color="auto" w:fill="auto"/>
            <w:vAlign w:val="center"/>
          </w:tcPr>
          <w:p w14:paraId="03F44AB7">
            <w:pPr>
              <w:adjustRightInd w:val="0"/>
              <w:snapToGrid w:val="0"/>
              <w:spacing w:line="360" w:lineRule="auto"/>
              <w:jc w:val="center"/>
              <w:rPr>
                <w:rFonts w:ascii="宋体" w:hAnsi="宋体"/>
                <w:color w:val="auto"/>
                <w:szCs w:val="28"/>
              </w:rPr>
            </w:pPr>
          </w:p>
        </w:tc>
        <w:tc>
          <w:tcPr>
            <w:tcW w:w="860" w:type="dxa"/>
            <w:shd w:val="clear" w:color="auto" w:fill="auto"/>
            <w:vAlign w:val="center"/>
          </w:tcPr>
          <w:p w14:paraId="2BFC7FE0">
            <w:pPr>
              <w:adjustRightInd w:val="0"/>
              <w:snapToGrid w:val="0"/>
              <w:spacing w:line="360" w:lineRule="auto"/>
              <w:jc w:val="center"/>
              <w:rPr>
                <w:rFonts w:ascii="宋体" w:hAnsi="宋体"/>
                <w:color w:val="auto"/>
                <w:szCs w:val="28"/>
              </w:rPr>
            </w:pPr>
          </w:p>
        </w:tc>
        <w:tc>
          <w:tcPr>
            <w:tcW w:w="982" w:type="dxa"/>
            <w:shd w:val="clear" w:color="auto" w:fill="auto"/>
            <w:vAlign w:val="center"/>
          </w:tcPr>
          <w:p w14:paraId="3B5F17F5">
            <w:pPr>
              <w:adjustRightInd w:val="0"/>
              <w:snapToGrid w:val="0"/>
              <w:spacing w:line="360" w:lineRule="auto"/>
              <w:jc w:val="center"/>
              <w:rPr>
                <w:rFonts w:ascii="宋体" w:hAnsi="宋体"/>
                <w:color w:val="auto"/>
                <w:szCs w:val="28"/>
              </w:rPr>
            </w:pPr>
          </w:p>
        </w:tc>
        <w:tc>
          <w:tcPr>
            <w:tcW w:w="982" w:type="dxa"/>
            <w:shd w:val="clear" w:color="auto" w:fill="auto"/>
            <w:vAlign w:val="center"/>
          </w:tcPr>
          <w:p w14:paraId="2C44564C">
            <w:pPr>
              <w:adjustRightInd w:val="0"/>
              <w:snapToGrid w:val="0"/>
              <w:spacing w:line="360" w:lineRule="auto"/>
              <w:jc w:val="center"/>
              <w:rPr>
                <w:rFonts w:ascii="宋体" w:hAnsi="宋体"/>
                <w:color w:val="auto"/>
                <w:szCs w:val="28"/>
              </w:rPr>
            </w:pPr>
          </w:p>
        </w:tc>
        <w:tc>
          <w:tcPr>
            <w:tcW w:w="860" w:type="dxa"/>
            <w:shd w:val="clear" w:color="auto" w:fill="auto"/>
            <w:vAlign w:val="center"/>
          </w:tcPr>
          <w:p w14:paraId="6AABACEA">
            <w:pPr>
              <w:adjustRightInd w:val="0"/>
              <w:snapToGrid w:val="0"/>
              <w:spacing w:line="360" w:lineRule="auto"/>
              <w:jc w:val="center"/>
              <w:rPr>
                <w:rFonts w:ascii="宋体" w:hAnsi="宋体"/>
                <w:color w:val="auto"/>
                <w:szCs w:val="28"/>
              </w:rPr>
            </w:pPr>
          </w:p>
        </w:tc>
        <w:tc>
          <w:tcPr>
            <w:tcW w:w="1103" w:type="dxa"/>
            <w:shd w:val="clear" w:color="auto" w:fill="auto"/>
            <w:vAlign w:val="center"/>
          </w:tcPr>
          <w:p w14:paraId="2FD32A07">
            <w:pPr>
              <w:adjustRightInd w:val="0"/>
              <w:snapToGrid w:val="0"/>
              <w:spacing w:line="360" w:lineRule="auto"/>
              <w:jc w:val="center"/>
              <w:rPr>
                <w:rFonts w:ascii="宋体" w:hAnsi="宋体"/>
                <w:color w:val="auto"/>
                <w:szCs w:val="28"/>
              </w:rPr>
            </w:pPr>
          </w:p>
        </w:tc>
      </w:tr>
      <w:tr w14:paraId="63E9B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shd w:val="clear" w:color="auto" w:fill="auto"/>
            <w:vAlign w:val="center"/>
          </w:tcPr>
          <w:p w14:paraId="00B8CBC1">
            <w:pPr>
              <w:adjustRightInd w:val="0"/>
              <w:snapToGrid w:val="0"/>
              <w:spacing w:line="360" w:lineRule="auto"/>
              <w:jc w:val="center"/>
              <w:rPr>
                <w:rFonts w:ascii="宋体" w:hAnsi="宋体"/>
                <w:color w:val="auto"/>
                <w:szCs w:val="28"/>
              </w:rPr>
            </w:pPr>
            <w:r>
              <w:rPr>
                <w:rFonts w:hint="eastAsia" w:ascii="宋体" w:hAnsi="宋体"/>
                <w:color w:val="auto"/>
                <w:szCs w:val="28"/>
              </w:rPr>
              <w:t>　</w:t>
            </w:r>
          </w:p>
        </w:tc>
        <w:tc>
          <w:tcPr>
            <w:tcW w:w="1354" w:type="dxa"/>
            <w:shd w:val="clear" w:color="auto" w:fill="auto"/>
            <w:vAlign w:val="center"/>
          </w:tcPr>
          <w:p w14:paraId="083BB13A">
            <w:pPr>
              <w:adjustRightInd w:val="0"/>
              <w:snapToGrid w:val="0"/>
              <w:spacing w:line="360" w:lineRule="auto"/>
              <w:jc w:val="center"/>
              <w:rPr>
                <w:rFonts w:ascii="宋体" w:hAnsi="宋体"/>
                <w:color w:val="auto"/>
                <w:szCs w:val="28"/>
              </w:rPr>
            </w:pPr>
          </w:p>
        </w:tc>
        <w:tc>
          <w:tcPr>
            <w:tcW w:w="1229" w:type="dxa"/>
            <w:shd w:val="clear" w:color="auto" w:fill="auto"/>
            <w:vAlign w:val="center"/>
          </w:tcPr>
          <w:p w14:paraId="36E8A075">
            <w:pPr>
              <w:adjustRightInd w:val="0"/>
              <w:snapToGrid w:val="0"/>
              <w:spacing w:line="360" w:lineRule="auto"/>
              <w:jc w:val="center"/>
              <w:rPr>
                <w:rFonts w:ascii="宋体" w:hAnsi="宋体"/>
                <w:color w:val="auto"/>
                <w:szCs w:val="28"/>
              </w:rPr>
            </w:pPr>
          </w:p>
        </w:tc>
        <w:tc>
          <w:tcPr>
            <w:tcW w:w="737" w:type="dxa"/>
            <w:shd w:val="clear" w:color="auto" w:fill="auto"/>
            <w:vAlign w:val="center"/>
          </w:tcPr>
          <w:p w14:paraId="2B4D2074">
            <w:pPr>
              <w:adjustRightInd w:val="0"/>
              <w:snapToGrid w:val="0"/>
              <w:spacing w:line="360" w:lineRule="auto"/>
              <w:jc w:val="center"/>
              <w:rPr>
                <w:rFonts w:ascii="宋体" w:hAnsi="宋体"/>
                <w:color w:val="auto"/>
                <w:szCs w:val="28"/>
              </w:rPr>
            </w:pPr>
          </w:p>
        </w:tc>
        <w:tc>
          <w:tcPr>
            <w:tcW w:w="615" w:type="dxa"/>
            <w:shd w:val="clear" w:color="auto" w:fill="auto"/>
            <w:vAlign w:val="center"/>
          </w:tcPr>
          <w:p w14:paraId="4830ACB5">
            <w:pPr>
              <w:adjustRightInd w:val="0"/>
              <w:snapToGrid w:val="0"/>
              <w:spacing w:line="360" w:lineRule="auto"/>
              <w:jc w:val="center"/>
              <w:rPr>
                <w:rFonts w:ascii="宋体" w:hAnsi="宋体"/>
                <w:color w:val="auto"/>
                <w:szCs w:val="28"/>
              </w:rPr>
            </w:pPr>
          </w:p>
        </w:tc>
        <w:tc>
          <w:tcPr>
            <w:tcW w:w="860" w:type="dxa"/>
            <w:shd w:val="clear" w:color="auto" w:fill="auto"/>
            <w:vAlign w:val="center"/>
          </w:tcPr>
          <w:p w14:paraId="65C3CE65">
            <w:pPr>
              <w:adjustRightInd w:val="0"/>
              <w:snapToGrid w:val="0"/>
              <w:spacing w:line="360" w:lineRule="auto"/>
              <w:jc w:val="center"/>
              <w:rPr>
                <w:rFonts w:ascii="宋体" w:hAnsi="宋体"/>
                <w:color w:val="auto"/>
                <w:szCs w:val="28"/>
              </w:rPr>
            </w:pPr>
          </w:p>
        </w:tc>
        <w:tc>
          <w:tcPr>
            <w:tcW w:w="982" w:type="dxa"/>
            <w:shd w:val="clear" w:color="auto" w:fill="auto"/>
            <w:vAlign w:val="center"/>
          </w:tcPr>
          <w:p w14:paraId="57AE5FB2">
            <w:pPr>
              <w:adjustRightInd w:val="0"/>
              <w:snapToGrid w:val="0"/>
              <w:spacing w:line="360" w:lineRule="auto"/>
              <w:jc w:val="center"/>
              <w:rPr>
                <w:rFonts w:ascii="宋体" w:hAnsi="宋体"/>
                <w:color w:val="auto"/>
                <w:szCs w:val="28"/>
              </w:rPr>
            </w:pPr>
          </w:p>
        </w:tc>
        <w:tc>
          <w:tcPr>
            <w:tcW w:w="982" w:type="dxa"/>
            <w:shd w:val="clear" w:color="auto" w:fill="auto"/>
            <w:vAlign w:val="center"/>
          </w:tcPr>
          <w:p w14:paraId="5955050C">
            <w:pPr>
              <w:adjustRightInd w:val="0"/>
              <w:snapToGrid w:val="0"/>
              <w:spacing w:line="360" w:lineRule="auto"/>
              <w:jc w:val="center"/>
              <w:rPr>
                <w:rFonts w:ascii="宋体" w:hAnsi="宋体"/>
                <w:color w:val="auto"/>
                <w:szCs w:val="28"/>
              </w:rPr>
            </w:pPr>
          </w:p>
        </w:tc>
        <w:tc>
          <w:tcPr>
            <w:tcW w:w="860" w:type="dxa"/>
            <w:shd w:val="clear" w:color="auto" w:fill="auto"/>
            <w:vAlign w:val="center"/>
          </w:tcPr>
          <w:p w14:paraId="02481FD6">
            <w:pPr>
              <w:adjustRightInd w:val="0"/>
              <w:snapToGrid w:val="0"/>
              <w:spacing w:line="360" w:lineRule="auto"/>
              <w:jc w:val="center"/>
              <w:rPr>
                <w:rFonts w:ascii="宋体" w:hAnsi="宋体"/>
                <w:color w:val="auto"/>
                <w:szCs w:val="28"/>
              </w:rPr>
            </w:pPr>
          </w:p>
        </w:tc>
        <w:tc>
          <w:tcPr>
            <w:tcW w:w="1103" w:type="dxa"/>
            <w:shd w:val="clear" w:color="auto" w:fill="auto"/>
            <w:vAlign w:val="center"/>
          </w:tcPr>
          <w:p w14:paraId="0DCFAB4B">
            <w:pPr>
              <w:adjustRightInd w:val="0"/>
              <w:snapToGrid w:val="0"/>
              <w:spacing w:line="360" w:lineRule="auto"/>
              <w:jc w:val="center"/>
              <w:rPr>
                <w:rFonts w:ascii="宋体" w:hAnsi="宋体"/>
                <w:color w:val="auto"/>
                <w:szCs w:val="28"/>
              </w:rPr>
            </w:pPr>
          </w:p>
        </w:tc>
      </w:tr>
      <w:tr w14:paraId="472B2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shd w:val="clear" w:color="auto" w:fill="auto"/>
            <w:vAlign w:val="center"/>
          </w:tcPr>
          <w:p w14:paraId="2422FCBF">
            <w:pPr>
              <w:adjustRightInd w:val="0"/>
              <w:snapToGrid w:val="0"/>
              <w:spacing w:line="360" w:lineRule="auto"/>
              <w:jc w:val="center"/>
              <w:rPr>
                <w:rFonts w:ascii="宋体" w:hAnsi="宋体"/>
                <w:color w:val="auto"/>
                <w:szCs w:val="28"/>
              </w:rPr>
            </w:pPr>
            <w:r>
              <w:rPr>
                <w:rFonts w:hint="eastAsia" w:ascii="宋体" w:hAnsi="宋体"/>
                <w:color w:val="auto"/>
                <w:szCs w:val="28"/>
              </w:rPr>
              <w:t>　</w:t>
            </w:r>
          </w:p>
        </w:tc>
        <w:tc>
          <w:tcPr>
            <w:tcW w:w="1354" w:type="dxa"/>
            <w:shd w:val="clear" w:color="auto" w:fill="auto"/>
            <w:vAlign w:val="center"/>
          </w:tcPr>
          <w:p w14:paraId="239E1BBA">
            <w:pPr>
              <w:adjustRightInd w:val="0"/>
              <w:snapToGrid w:val="0"/>
              <w:spacing w:line="360" w:lineRule="auto"/>
              <w:jc w:val="center"/>
              <w:rPr>
                <w:rFonts w:ascii="宋体" w:hAnsi="宋体"/>
                <w:color w:val="auto"/>
                <w:szCs w:val="28"/>
              </w:rPr>
            </w:pPr>
          </w:p>
        </w:tc>
        <w:tc>
          <w:tcPr>
            <w:tcW w:w="1229" w:type="dxa"/>
            <w:shd w:val="clear" w:color="auto" w:fill="auto"/>
            <w:vAlign w:val="center"/>
          </w:tcPr>
          <w:p w14:paraId="78DCA112">
            <w:pPr>
              <w:adjustRightInd w:val="0"/>
              <w:snapToGrid w:val="0"/>
              <w:spacing w:line="360" w:lineRule="auto"/>
              <w:jc w:val="center"/>
              <w:rPr>
                <w:rFonts w:ascii="宋体" w:hAnsi="宋体"/>
                <w:color w:val="auto"/>
                <w:szCs w:val="28"/>
              </w:rPr>
            </w:pPr>
          </w:p>
        </w:tc>
        <w:tc>
          <w:tcPr>
            <w:tcW w:w="737" w:type="dxa"/>
            <w:shd w:val="clear" w:color="auto" w:fill="auto"/>
            <w:vAlign w:val="center"/>
          </w:tcPr>
          <w:p w14:paraId="34925A99">
            <w:pPr>
              <w:adjustRightInd w:val="0"/>
              <w:snapToGrid w:val="0"/>
              <w:spacing w:line="360" w:lineRule="auto"/>
              <w:jc w:val="center"/>
              <w:rPr>
                <w:rFonts w:ascii="宋体" w:hAnsi="宋体"/>
                <w:color w:val="auto"/>
                <w:szCs w:val="28"/>
              </w:rPr>
            </w:pPr>
          </w:p>
        </w:tc>
        <w:tc>
          <w:tcPr>
            <w:tcW w:w="615" w:type="dxa"/>
            <w:shd w:val="clear" w:color="auto" w:fill="auto"/>
            <w:vAlign w:val="center"/>
          </w:tcPr>
          <w:p w14:paraId="09D48882">
            <w:pPr>
              <w:adjustRightInd w:val="0"/>
              <w:snapToGrid w:val="0"/>
              <w:spacing w:line="360" w:lineRule="auto"/>
              <w:jc w:val="center"/>
              <w:rPr>
                <w:rFonts w:ascii="宋体" w:hAnsi="宋体"/>
                <w:color w:val="auto"/>
                <w:szCs w:val="28"/>
              </w:rPr>
            </w:pPr>
          </w:p>
        </w:tc>
        <w:tc>
          <w:tcPr>
            <w:tcW w:w="860" w:type="dxa"/>
            <w:shd w:val="clear" w:color="auto" w:fill="auto"/>
            <w:vAlign w:val="center"/>
          </w:tcPr>
          <w:p w14:paraId="489C46F5">
            <w:pPr>
              <w:adjustRightInd w:val="0"/>
              <w:snapToGrid w:val="0"/>
              <w:spacing w:line="360" w:lineRule="auto"/>
              <w:jc w:val="center"/>
              <w:rPr>
                <w:rFonts w:ascii="宋体" w:hAnsi="宋体"/>
                <w:color w:val="auto"/>
                <w:szCs w:val="28"/>
              </w:rPr>
            </w:pPr>
          </w:p>
        </w:tc>
        <w:tc>
          <w:tcPr>
            <w:tcW w:w="982" w:type="dxa"/>
            <w:shd w:val="clear" w:color="auto" w:fill="auto"/>
            <w:vAlign w:val="center"/>
          </w:tcPr>
          <w:p w14:paraId="7C74D038">
            <w:pPr>
              <w:adjustRightInd w:val="0"/>
              <w:snapToGrid w:val="0"/>
              <w:spacing w:line="360" w:lineRule="auto"/>
              <w:jc w:val="center"/>
              <w:rPr>
                <w:rFonts w:ascii="宋体" w:hAnsi="宋体"/>
                <w:color w:val="auto"/>
                <w:szCs w:val="28"/>
              </w:rPr>
            </w:pPr>
          </w:p>
        </w:tc>
        <w:tc>
          <w:tcPr>
            <w:tcW w:w="982" w:type="dxa"/>
            <w:shd w:val="clear" w:color="auto" w:fill="auto"/>
            <w:vAlign w:val="center"/>
          </w:tcPr>
          <w:p w14:paraId="2A90C102">
            <w:pPr>
              <w:adjustRightInd w:val="0"/>
              <w:snapToGrid w:val="0"/>
              <w:spacing w:line="360" w:lineRule="auto"/>
              <w:jc w:val="center"/>
              <w:rPr>
                <w:rFonts w:ascii="宋体" w:hAnsi="宋体"/>
                <w:color w:val="auto"/>
                <w:szCs w:val="28"/>
              </w:rPr>
            </w:pPr>
          </w:p>
        </w:tc>
        <w:tc>
          <w:tcPr>
            <w:tcW w:w="860" w:type="dxa"/>
            <w:shd w:val="clear" w:color="auto" w:fill="auto"/>
            <w:vAlign w:val="center"/>
          </w:tcPr>
          <w:p w14:paraId="5AA624D8">
            <w:pPr>
              <w:adjustRightInd w:val="0"/>
              <w:snapToGrid w:val="0"/>
              <w:spacing w:line="360" w:lineRule="auto"/>
              <w:jc w:val="center"/>
              <w:rPr>
                <w:rFonts w:ascii="宋体" w:hAnsi="宋体"/>
                <w:color w:val="auto"/>
                <w:szCs w:val="28"/>
              </w:rPr>
            </w:pPr>
          </w:p>
        </w:tc>
        <w:tc>
          <w:tcPr>
            <w:tcW w:w="1103" w:type="dxa"/>
            <w:shd w:val="clear" w:color="auto" w:fill="auto"/>
            <w:vAlign w:val="center"/>
          </w:tcPr>
          <w:p w14:paraId="0C8CDC64">
            <w:pPr>
              <w:adjustRightInd w:val="0"/>
              <w:snapToGrid w:val="0"/>
              <w:spacing w:line="360" w:lineRule="auto"/>
              <w:jc w:val="center"/>
              <w:rPr>
                <w:rFonts w:ascii="宋体" w:hAnsi="宋体"/>
                <w:color w:val="auto"/>
                <w:szCs w:val="28"/>
              </w:rPr>
            </w:pPr>
          </w:p>
        </w:tc>
      </w:tr>
      <w:tr w14:paraId="16A4F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shd w:val="clear" w:color="auto" w:fill="auto"/>
            <w:vAlign w:val="center"/>
          </w:tcPr>
          <w:p w14:paraId="3F4276B6">
            <w:pPr>
              <w:adjustRightInd w:val="0"/>
              <w:snapToGrid w:val="0"/>
              <w:spacing w:line="360" w:lineRule="auto"/>
              <w:jc w:val="center"/>
              <w:rPr>
                <w:rFonts w:ascii="宋体" w:hAnsi="宋体"/>
                <w:color w:val="auto"/>
                <w:szCs w:val="28"/>
              </w:rPr>
            </w:pPr>
            <w:r>
              <w:rPr>
                <w:rFonts w:hint="eastAsia" w:ascii="宋体" w:hAnsi="宋体"/>
                <w:color w:val="auto"/>
                <w:szCs w:val="28"/>
              </w:rPr>
              <w:t>　</w:t>
            </w:r>
          </w:p>
        </w:tc>
        <w:tc>
          <w:tcPr>
            <w:tcW w:w="1354" w:type="dxa"/>
            <w:shd w:val="clear" w:color="auto" w:fill="auto"/>
            <w:vAlign w:val="center"/>
          </w:tcPr>
          <w:p w14:paraId="73E96D92">
            <w:pPr>
              <w:adjustRightInd w:val="0"/>
              <w:snapToGrid w:val="0"/>
              <w:spacing w:line="360" w:lineRule="auto"/>
              <w:jc w:val="center"/>
              <w:rPr>
                <w:rFonts w:ascii="宋体" w:hAnsi="宋体"/>
                <w:color w:val="auto"/>
                <w:szCs w:val="28"/>
              </w:rPr>
            </w:pPr>
          </w:p>
        </w:tc>
        <w:tc>
          <w:tcPr>
            <w:tcW w:w="1229" w:type="dxa"/>
            <w:shd w:val="clear" w:color="auto" w:fill="auto"/>
            <w:vAlign w:val="center"/>
          </w:tcPr>
          <w:p w14:paraId="59942A2D">
            <w:pPr>
              <w:adjustRightInd w:val="0"/>
              <w:snapToGrid w:val="0"/>
              <w:spacing w:line="360" w:lineRule="auto"/>
              <w:jc w:val="center"/>
              <w:rPr>
                <w:rFonts w:ascii="宋体" w:hAnsi="宋体"/>
                <w:color w:val="auto"/>
                <w:szCs w:val="28"/>
              </w:rPr>
            </w:pPr>
          </w:p>
        </w:tc>
        <w:tc>
          <w:tcPr>
            <w:tcW w:w="737" w:type="dxa"/>
            <w:shd w:val="clear" w:color="auto" w:fill="auto"/>
            <w:vAlign w:val="center"/>
          </w:tcPr>
          <w:p w14:paraId="055A4F10">
            <w:pPr>
              <w:adjustRightInd w:val="0"/>
              <w:snapToGrid w:val="0"/>
              <w:spacing w:line="360" w:lineRule="auto"/>
              <w:jc w:val="center"/>
              <w:rPr>
                <w:rFonts w:ascii="宋体" w:hAnsi="宋体"/>
                <w:color w:val="auto"/>
                <w:szCs w:val="28"/>
              </w:rPr>
            </w:pPr>
          </w:p>
        </w:tc>
        <w:tc>
          <w:tcPr>
            <w:tcW w:w="615" w:type="dxa"/>
            <w:shd w:val="clear" w:color="auto" w:fill="auto"/>
            <w:vAlign w:val="center"/>
          </w:tcPr>
          <w:p w14:paraId="234C51BC">
            <w:pPr>
              <w:adjustRightInd w:val="0"/>
              <w:snapToGrid w:val="0"/>
              <w:spacing w:line="360" w:lineRule="auto"/>
              <w:jc w:val="center"/>
              <w:rPr>
                <w:rFonts w:ascii="宋体" w:hAnsi="宋体"/>
                <w:color w:val="auto"/>
                <w:szCs w:val="28"/>
              </w:rPr>
            </w:pPr>
          </w:p>
        </w:tc>
        <w:tc>
          <w:tcPr>
            <w:tcW w:w="860" w:type="dxa"/>
            <w:shd w:val="clear" w:color="auto" w:fill="auto"/>
            <w:vAlign w:val="center"/>
          </w:tcPr>
          <w:p w14:paraId="005F9A38">
            <w:pPr>
              <w:adjustRightInd w:val="0"/>
              <w:snapToGrid w:val="0"/>
              <w:spacing w:line="360" w:lineRule="auto"/>
              <w:jc w:val="center"/>
              <w:rPr>
                <w:rFonts w:ascii="宋体" w:hAnsi="宋体"/>
                <w:color w:val="auto"/>
                <w:szCs w:val="28"/>
              </w:rPr>
            </w:pPr>
          </w:p>
        </w:tc>
        <w:tc>
          <w:tcPr>
            <w:tcW w:w="982" w:type="dxa"/>
            <w:shd w:val="clear" w:color="auto" w:fill="auto"/>
            <w:vAlign w:val="center"/>
          </w:tcPr>
          <w:p w14:paraId="64FE5B14">
            <w:pPr>
              <w:adjustRightInd w:val="0"/>
              <w:snapToGrid w:val="0"/>
              <w:spacing w:line="360" w:lineRule="auto"/>
              <w:jc w:val="center"/>
              <w:rPr>
                <w:rFonts w:ascii="宋体" w:hAnsi="宋体"/>
                <w:color w:val="auto"/>
                <w:szCs w:val="28"/>
              </w:rPr>
            </w:pPr>
          </w:p>
        </w:tc>
        <w:tc>
          <w:tcPr>
            <w:tcW w:w="982" w:type="dxa"/>
            <w:shd w:val="clear" w:color="auto" w:fill="auto"/>
            <w:vAlign w:val="center"/>
          </w:tcPr>
          <w:p w14:paraId="74822FE8">
            <w:pPr>
              <w:adjustRightInd w:val="0"/>
              <w:snapToGrid w:val="0"/>
              <w:spacing w:line="360" w:lineRule="auto"/>
              <w:jc w:val="center"/>
              <w:rPr>
                <w:rFonts w:ascii="宋体" w:hAnsi="宋体"/>
                <w:color w:val="auto"/>
                <w:szCs w:val="28"/>
              </w:rPr>
            </w:pPr>
          </w:p>
        </w:tc>
        <w:tc>
          <w:tcPr>
            <w:tcW w:w="860" w:type="dxa"/>
            <w:shd w:val="clear" w:color="auto" w:fill="auto"/>
            <w:vAlign w:val="center"/>
          </w:tcPr>
          <w:p w14:paraId="40D2C664">
            <w:pPr>
              <w:adjustRightInd w:val="0"/>
              <w:snapToGrid w:val="0"/>
              <w:spacing w:line="360" w:lineRule="auto"/>
              <w:jc w:val="center"/>
              <w:rPr>
                <w:rFonts w:ascii="宋体" w:hAnsi="宋体"/>
                <w:color w:val="auto"/>
                <w:szCs w:val="28"/>
              </w:rPr>
            </w:pPr>
          </w:p>
        </w:tc>
        <w:tc>
          <w:tcPr>
            <w:tcW w:w="1103" w:type="dxa"/>
            <w:shd w:val="clear" w:color="auto" w:fill="auto"/>
            <w:vAlign w:val="center"/>
          </w:tcPr>
          <w:p w14:paraId="6D67282B">
            <w:pPr>
              <w:adjustRightInd w:val="0"/>
              <w:snapToGrid w:val="0"/>
              <w:spacing w:line="360" w:lineRule="auto"/>
              <w:jc w:val="center"/>
              <w:rPr>
                <w:rFonts w:ascii="宋体" w:hAnsi="宋体"/>
                <w:color w:val="auto"/>
                <w:szCs w:val="28"/>
              </w:rPr>
            </w:pPr>
          </w:p>
        </w:tc>
      </w:tr>
      <w:tr w14:paraId="24130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shd w:val="clear" w:color="auto" w:fill="auto"/>
            <w:vAlign w:val="center"/>
          </w:tcPr>
          <w:p w14:paraId="119BF3A8">
            <w:pPr>
              <w:adjustRightInd w:val="0"/>
              <w:snapToGrid w:val="0"/>
              <w:spacing w:line="360" w:lineRule="auto"/>
              <w:jc w:val="center"/>
              <w:rPr>
                <w:rFonts w:ascii="宋体" w:hAnsi="宋体"/>
                <w:color w:val="auto"/>
                <w:szCs w:val="28"/>
              </w:rPr>
            </w:pPr>
            <w:r>
              <w:rPr>
                <w:rFonts w:hint="eastAsia" w:ascii="宋体" w:hAnsi="宋体"/>
                <w:color w:val="auto"/>
                <w:szCs w:val="28"/>
              </w:rPr>
              <w:t>　</w:t>
            </w:r>
          </w:p>
        </w:tc>
        <w:tc>
          <w:tcPr>
            <w:tcW w:w="1354" w:type="dxa"/>
            <w:shd w:val="clear" w:color="auto" w:fill="auto"/>
            <w:vAlign w:val="center"/>
          </w:tcPr>
          <w:p w14:paraId="16A9EA60">
            <w:pPr>
              <w:adjustRightInd w:val="0"/>
              <w:snapToGrid w:val="0"/>
              <w:spacing w:line="360" w:lineRule="auto"/>
              <w:jc w:val="center"/>
              <w:rPr>
                <w:rFonts w:ascii="宋体" w:hAnsi="宋体"/>
                <w:color w:val="auto"/>
                <w:szCs w:val="28"/>
              </w:rPr>
            </w:pPr>
          </w:p>
        </w:tc>
        <w:tc>
          <w:tcPr>
            <w:tcW w:w="1229" w:type="dxa"/>
            <w:shd w:val="clear" w:color="auto" w:fill="auto"/>
            <w:vAlign w:val="center"/>
          </w:tcPr>
          <w:p w14:paraId="2850D184">
            <w:pPr>
              <w:adjustRightInd w:val="0"/>
              <w:snapToGrid w:val="0"/>
              <w:spacing w:line="360" w:lineRule="auto"/>
              <w:jc w:val="center"/>
              <w:rPr>
                <w:rFonts w:ascii="宋体" w:hAnsi="宋体"/>
                <w:color w:val="auto"/>
                <w:szCs w:val="28"/>
              </w:rPr>
            </w:pPr>
          </w:p>
        </w:tc>
        <w:tc>
          <w:tcPr>
            <w:tcW w:w="737" w:type="dxa"/>
            <w:shd w:val="clear" w:color="auto" w:fill="auto"/>
            <w:vAlign w:val="center"/>
          </w:tcPr>
          <w:p w14:paraId="7BF9B6ED">
            <w:pPr>
              <w:adjustRightInd w:val="0"/>
              <w:snapToGrid w:val="0"/>
              <w:spacing w:line="360" w:lineRule="auto"/>
              <w:jc w:val="center"/>
              <w:rPr>
                <w:rFonts w:ascii="宋体" w:hAnsi="宋体"/>
                <w:color w:val="auto"/>
                <w:szCs w:val="28"/>
              </w:rPr>
            </w:pPr>
          </w:p>
        </w:tc>
        <w:tc>
          <w:tcPr>
            <w:tcW w:w="615" w:type="dxa"/>
            <w:shd w:val="clear" w:color="auto" w:fill="auto"/>
            <w:vAlign w:val="center"/>
          </w:tcPr>
          <w:p w14:paraId="15C8CBD7">
            <w:pPr>
              <w:adjustRightInd w:val="0"/>
              <w:snapToGrid w:val="0"/>
              <w:spacing w:line="360" w:lineRule="auto"/>
              <w:jc w:val="center"/>
              <w:rPr>
                <w:rFonts w:ascii="宋体" w:hAnsi="宋体"/>
                <w:color w:val="auto"/>
                <w:szCs w:val="28"/>
              </w:rPr>
            </w:pPr>
          </w:p>
        </w:tc>
        <w:tc>
          <w:tcPr>
            <w:tcW w:w="860" w:type="dxa"/>
            <w:shd w:val="clear" w:color="auto" w:fill="auto"/>
            <w:vAlign w:val="center"/>
          </w:tcPr>
          <w:p w14:paraId="4B0919FD">
            <w:pPr>
              <w:adjustRightInd w:val="0"/>
              <w:snapToGrid w:val="0"/>
              <w:spacing w:line="360" w:lineRule="auto"/>
              <w:jc w:val="center"/>
              <w:rPr>
                <w:rFonts w:ascii="宋体" w:hAnsi="宋体"/>
                <w:color w:val="auto"/>
                <w:szCs w:val="28"/>
              </w:rPr>
            </w:pPr>
          </w:p>
        </w:tc>
        <w:tc>
          <w:tcPr>
            <w:tcW w:w="982" w:type="dxa"/>
            <w:shd w:val="clear" w:color="auto" w:fill="auto"/>
            <w:vAlign w:val="center"/>
          </w:tcPr>
          <w:p w14:paraId="0DBE21E6">
            <w:pPr>
              <w:adjustRightInd w:val="0"/>
              <w:snapToGrid w:val="0"/>
              <w:spacing w:line="360" w:lineRule="auto"/>
              <w:jc w:val="center"/>
              <w:rPr>
                <w:rFonts w:ascii="宋体" w:hAnsi="宋体"/>
                <w:color w:val="auto"/>
                <w:szCs w:val="28"/>
              </w:rPr>
            </w:pPr>
          </w:p>
        </w:tc>
        <w:tc>
          <w:tcPr>
            <w:tcW w:w="982" w:type="dxa"/>
            <w:shd w:val="clear" w:color="auto" w:fill="auto"/>
            <w:vAlign w:val="center"/>
          </w:tcPr>
          <w:p w14:paraId="59AAA1DD">
            <w:pPr>
              <w:adjustRightInd w:val="0"/>
              <w:snapToGrid w:val="0"/>
              <w:spacing w:line="360" w:lineRule="auto"/>
              <w:jc w:val="center"/>
              <w:rPr>
                <w:rFonts w:ascii="宋体" w:hAnsi="宋体"/>
                <w:color w:val="auto"/>
                <w:szCs w:val="28"/>
              </w:rPr>
            </w:pPr>
          </w:p>
        </w:tc>
        <w:tc>
          <w:tcPr>
            <w:tcW w:w="860" w:type="dxa"/>
            <w:shd w:val="clear" w:color="auto" w:fill="auto"/>
            <w:vAlign w:val="center"/>
          </w:tcPr>
          <w:p w14:paraId="76D1806C">
            <w:pPr>
              <w:adjustRightInd w:val="0"/>
              <w:snapToGrid w:val="0"/>
              <w:spacing w:line="360" w:lineRule="auto"/>
              <w:jc w:val="center"/>
              <w:rPr>
                <w:rFonts w:ascii="宋体" w:hAnsi="宋体"/>
                <w:color w:val="auto"/>
                <w:szCs w:val="28"/>
              </w:rPr>
            </w:pPr>
          </w:p>
        </w:tc>
        <w:tc>
          <w:tcPr>
            <w:tcW w:w="1103" w:type="dxa"/>
            <w:shd w:val="clear" w:color="auto" w:fill="auto"/>
            <w:vAlign w:val="center"/>
          </w:tcPr>
          <w:p w14:paraId="20883CA2">
            <w:pPr>
              <w:adjustRightInd w:val="0"/>
              <w:snapToGrid w:val="0"/>
              <w:spacing w:line="360" w:lineRule="auto"/>
              <w:jc w:val="center"/>
              <w:rPr>
                <w:rFonts w:ascii="宋体" w:hAnsi="宋体"/>
                <w:color w:val="auto"/>
                <w:szCs w:val="28"/>
              </w:rPr>
            </w:pPr>
          </w:p>
        </w:tc>
      </w:tr>
      <w:tr w14:paraId="7B525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shd w:val="clear" w:color="auto" w:fill="auto"/>
            <w:vAlign w:val="center"/>
          </w:tcPr>
          <w:p w14:paraId="0F9900B6">
            <w:pPr>
              <w:adjustRightInd w:val="0"/>
              <w:snapToGrid w:val="0"/>
              <w:spacing w:line="360" w:lineRule="auto"/>
              <w:jc w:val="center"/>
              <w:rPr>
                <w:rFonts w:ascii="宋体" w:hAnsi="宋体"/>
                <w:color w:val="auto"/>
                <w:szCs w:val="28"/>
              </w:rPr>
            </w:pPr>
            <w:r>
              <w:rPr>
                <w:rFonts w:hint="eastAsia" w:ascii="宋体" w:hAnsi="宋体"/>
                <w:color w:val="auto"/>
                <w:szCs w:val="28"/>
              </w:rPr>
              <w:t>　</w:t>
            </w:r>
          </w:p>
        </w:tc>
        <w:tc>
          <w:tcPr>
            <w:tcW w:w="1354" w:type="dxa"/>
            <w:shd w:val="clear" w:color="auto" w:fill="auto"/>
            <w:vAlign w:val="center"/>
          </w:tcPr>
          <w:p w14:paraId="7C67080B">
            <w:pPr>
              <w:adjustRightInd w:val="0"/>
              <w:snapToGrid w:val="0"/>
              <w:spacing w:line="360" w:lineRule="auto"/>
              <w:jc w:val="center"/>
              <w:rPr>
                <w:rFonts w:ascii="宋体" w:hAnsi="宋体"/>
                <w:color w:val="auto"/>
                <w:szCs w:val="28"/>
              </w:rPr>
            </w:pPr>
          </w:p>
        </w:tc>
        <w:tc>
          <w:tcPr>
            <w:tcW w:w="1229" w:type="dxa"/>
            <w:shd w:val="clear" w:color="auto" w:fill="auto"/>
            <w:vAlign w:val="center"/>
          </w:tcPr>
          <w:p w14:paraId="593E67E9">
            <w:pPr>
              <w:adjustRightInd w:val="0"/>
              <w:snapToGrid w:val="0"/>
              <w:spacing w:line="360" w:lineRule="auto"/>
              <w:jc w:val="center"/>
              <w:rPr>
                <w:rFonts w:ascii="宋体" w:hAnsi="宋体"/>
                <w:color w:val="auto"/>
                <w:szCs w:val="28"/>
              </w:rPr>
            </w:pPr>
          </w:p>
        </w:tc>
        <w:tc>
          <w:tcPr>
            <w:tcW w:w="737" w:type="dxa"/>
            <w:shd w:val="clear" w:color="auto" w:fill="auto"/>
            <w:vAlign w:val="center"/>
          </w:tcPr>
          <w:p w14:paraId="57FBAE65">
            <w:pPr>
              <w:adjustRightInd w:val="0"/>
              <w:snapToGrid w:val="0"/>
              <w:spacing w:line="360" w:lineRule="auto"/>
              <w:jc w:val="center"/>
              <w:rPr>
                <w:rFonts w:ascii="宋体" w:hAnsi="宋体"/>
                <w:color w:val="auto"/>
                <w:szCs w:val="28"/>
              </w:rPr>
            </w:pPr>
          </w:p>
        </w:tc>
        <w:tc>
          <w:tcPr>
            <w:tcW w:w="615" w:type="dxa"/>
            <w:shd w:val="clear" w:color="auto" w:fill="auto"/>
            <w:vAlign w:val="center"/>
          </w:tcPr>
          <w:p w14:paraId="07AD05CB">
            <w:pPr>
              <w:adjustRightInd w:val="0"/>
              <w:snapToGrid w:val="0"/>
              <w:spacing w:line="360" w:lineRule="auto"/>
              <w:jc w:val="center"/>
              <w:rPr>
                <w:rFonts w:ascii="宋体" w:hAnsi="宋体"/>
                <w:color w:val="auto"/>
                <w:szCs w:val="28"/>
              </w:rPr>
            </w:pPr>
          </w:p>
        </w:tc>
        <w:tc>
          <w:tcPr>
            <w:tcW w:w="860" w:type="dxa"/>
            <w:shd w:val="clear" w:color="auto" w:fill="auto"/>
            <w:vAlign w:val="center"/>
          </w:tcPr>
          <w:p w14:paraId="5A9E3134">
            <w:pPr>
              <w:adjustRightInd w:val="0"/>
              <w:snapToGrid w:val="0"/>
              <w:spacing w:line="360" w:lineRule="auto"/>
              <w:jc w:val="center"/>
              <w:rPr>
                <w:rFonts w:ascii="宋体" w:hAnsi="宋体"/>
                <w:color w:val="auto"/>
                <w:szCs w:val="28"/>
              </w:rPr>
            </w:pPr>
          </w:p>
        </w:tc>
        <w:tc>
          <w:tcPr>
            <w:tcW w:w="982" w:type="dxa"/>
            <w:shd w:val="clear" w:color="auto" w:fill="auto"/>
            <w:vAlign w:val="center"/>
          </w:tcPr>
          <w:p w14:paraId="13ABF620">
            <w:pPr>
              <w:adjustRightInd w:val="0"/>
              <w:snapToGrid w:val="0"/>
              <w:spacing w:line="360" w:lineRule="auto"/>
              <w:jc w:val="center"/>
              <w:rPr>
                <w:rFonts w:ascii="宋体" w:hAnsi="宋体"/>
                <w:color w:val="auto"/>
                <w:szCs w:val="28"/>
              </w:rPr>
            </w:pPr>
          </w:p>
        </w:tc>
        <w:tc>
          <w:tcPr>
            <w:tcW w:w="982" w:type="dxa"/>
            <w:shd w:val="clear" w:color="auto" w:fill="auto"/>
            <w:vAlign w:val="center"/>
          </w:tcPr>
          <w:p w14:paraId="1BAC0B98">
            <w:pPr>
              <w:adjustRightInd w:val="0"/>
              <w:snapToGrid w:val="0"/>
              <w:spacing w:line="360" w:lineRule="auto"/>
              <w:jc w:val="center"/>
              <w:rPr>
                <w:rFonts w:ascii="宋体" w:hAnsi="宋体"/>
                <w:color w:val="auto"/>
                <w:szCs w:val="28"/>
              </w:rPr>
            </w:pPr>
          </w:p>
        </w:tc>
        <w:tc>
          <w:tcPr>
            <w:tcW w:w="860" w:type="dxa"/>
            <w:shd w:val="clear" w:color="auto" w:fill="auto"/>
            <w:vAlign w:val="center"/>
          </w:tcPr>
          <w:p w14:paraId="7E0D3BE8">
            <w:pPr>
              <w:adjustRightInd w:val="0"/>
              <w:snapToGrid w:val="0"/>
              <w:spacing w:line="360" w:lineRule="auto"/>
              <w:jc w:val="center"/>
              <w:rPr>
                <w:rFonts w:ascii="宋体" w:hAnsi="宋体"/>
                <w:color w:val="auto"/>
                <w:szCs w:val="28"/>
              </w:rPr>
            </w:pPr>
          </w:p>
        </w:tc>
        <w:tc>
          <w:tcPr>
            <w:tcW w:w="1103" w:type="dxa"/>
            <w:shd w:val="clear" w:color="auto" w:fill="auto"/>
            <w:vAlign w:val="center"/>
          </w:tcPr>
          <w:p w14:paraId="09BB0758">
            <w:pPr>
              <w:adjustRightInd w:val="0"/>
              <w:snapToGrid w:val="0"/>
              <w:spacing w:line="360" w:lineRule="auto"/>
              <w:jc w:val="center"/>
              <w:rPr>
                <w:rFonts w:ascii="宋体" w:hAnsi="宋体"/>
                <w:color w:val="auto"/>
                <w:szCs w:val="28"/>
              </w:rPr>
            </w:pPr>
          </w:p>
        </w:tc>
      </w:tr>
      <w:tr w14:paraId="3DF87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shd w:val="clear" w:color="auto" w:fill="auto"/>
            <w:vAlign w:val="center"/>
          </w:tcPr>
          <w:p w14:paraId="6FD73109">
            <w:pPr>
              <w:adjustRightInd w:val="0"/>
              <w:snapToGrid w:val="0"/>
              <w:spacing w:line="360" w:lineRule="auto"/>
              <w:jc w:val="center"/>
              <w:rPr>
                <w:rFonts w:ascii="宋体" w:hAnsi="宋体"/>
                <w:color w:val="auto"/>
                <w:szCs w:val="28"/>
              </w:rPr>
            </w:pPr>
            <w:r>
              <w:rPr>
                <w:rFonts w:hint="eastAsia" w:ascii="宋体" w:hAnsi="宋体"/>
                <w:color w:val="auto"/>
                <w:szCs w:val="28"/>
              </w:rPr>
              <w:t>　</w:t>
            </w:r>
          </w:p>
        </w:tc>
        <w:tc>
          <w:tcPr>
            <w:tcW w:w="1354" w:type="dxa"/>
            <w:shd w:val="clear" w:color="auto" w:fill="auto"/>
            <w:vAlign w:val="center"/>
          </w:tcPr>
          <w:p w14:paraId="7A23D185">
            <w:pPr>
              <w:adjustRightInd w:val="0"/>
              <w:snapToGrid w:val="0"/>
              <w:spacing w:line="360" w:lineRule="auto"/>
              <w:jc w:val="center"/>
              <w:rPr>
                <w:rFonts w:ascii="宋体" w:hAnsi="宋体"/>
                <w:color w:val="auto"/>
                <w:szCs w:val="28"/>
              </w:rPr>
            </w:pPr>
          </w:p>
        </w:tc>
        <w:tc>
          <w:tcPr>
            <w:tcW w:w="1229" w:type="dxa"/>
            <w:shd w:val="clear" w:color="auto" w:fill="auto"/>
            <w:vAlign w:val="center"/>
          </w:tcPr>
          <w:p w14:paraId="04EBE664">
            <w:pPr>
              <w:adjustRightInd w:val="0"/>
              <w:snapToGrid w:val="0"/>
              <w:spacing w:line="360" w:lineRule="auto"/>
              <w:jc w:val="center"/>
              <w:rPr>
                <w:rFonts w:ascii="宋体" w:hAnsi="宋体"/>
                <w:color w:val="auto"/>
                <w:szCs w:val="28"/>
              </w:rPr>
            </w:pPr>
          </w:p>
        </w:tc>
        <w:tc>
          <w:tcPr>
            <w:tcW w:w="737" w:type="dxa"/>
            <w:shd w:val="clear" w:color="auto" w:fill="auto"/>
            <w:vAlign w:val="center"/>
          </w:tcPr>
          <w:p w14:paraId="7FFA71E5">
            <w:pPr>
              <w:adjustRightInd w:val="0"/>
              <w:snapToGrid w:val="0"/>
              <w:spacing w:line="360" w:lineRule="auto"/>
              <w:jc w:val="center"/>
              <w:rPr>
                <w:rFonts w:ascii="宋体" w:hAnsi="宋体"/>
                <w:color w:val="auto"/>
                <w:szCs w:val="28"/>
              </w:rPr>
            </w:pPr>
          </w:p>
        </w:tc>
        <w:tc>
          <w:tcPr>
            <w:tcW w:w="615" w:type="dxa"/>
            <w:shd w:val="clear" w:color="auto" w:fill="auto"/>
            <w:vAlign w:val="center"/>
          </w:tcPr>
          <w:p w14:paraId="29C10A1E">
            <w:pPr>
              <w:adjustRightInd w:val="0"/>
              <w:snapToGrid w:val="0"/>
              <w:spacing w:line="360" w:lineRule="auto"/>
              <w:jc w:val="center"/>
              <w:rPr>
                <w:rFonts w:ascii="宋体" w:hAnsi="宋体"/>
                <w:color w:val="auto"/>
                <w:szCs w:val="28"/>
              </w:rPr>
            </w:pPr>
          </w:p>
        </w:tc>
        <w:tc>
          <w:tcPr>
            <w:tcW w:w="860" w:type="dxa"/>
            <w:shd w:val="clear" w:color="auto" w:fill="auto"/>
            <w:vAlign w:val="center"/>
          </w:tcPr>
          <w:p w14:paraId="3C6FE681">
            <w:pPr>
              <w:adjustRightInd w:val="0"/>
              <w:snapToGrid w:val="0"/>
              <w:spacing w:line="360" w:lineRule="auto"/>
              <w:jc w:val="center"/>
              <w:rPr>
                <w:rFonts w:ascii="宋体" w:hAnsi="宋体"/>
                <w:color w:val="auto"/>
                <w:szCs w:val="28"/>
              </w:rPr>
            </w:pPr>
          </w:p>
        </w:tc>
        <w:tc>
          <w:tcPr>
            <w:tcW w:w="982" w:type="dxa"/>
            <w:shd w:val="clear" w:color="auto" w:fill="auto"/>
            <w:vAlign w:val="center"/>
          </w:tcPr>
          <w:p w14:paraId="018D14B7">
            <w:pPr>
              <w:adjustRightInd w:val="0"/>
              <w:snapToGrid w:val="0"/>
              <w:spacing w:line="360" w:lineRule="auto"/>
              <w:jc w:val="center"/>
              <w:rPr>
                <w:rFonts w:ascii="宋体" w:hAnsi="宋体"/>
                <w:color w:val="auto"/>
                <w:szCs w:val="28"/>
              </w:rPr>
            </w:pPr>
          </w:p>
        </w:tc>
        <w:tc>
          <w:tcPr>
            <w:tcW w:w="982" w:type="dxa"/>
            <w:shd w:val="clear" w:color="auto" w:fill="auto"/>
            <w:vAlign w:val="center"/>
          </w:tcPr>
          <w:p w14:paraId="5C2F2AA8">
            <w:pPr>
              <w:adjustRightInd w:val="0"/>
              <w:snapToGrid w:val="0"/>
              <w:spacing w:line="360" w:lineRule="auto"/>
              <w:jc w:val="center"/>
              <w:rPr>
                <w:rFonts w:ascii="宋体" w:hAnsi="宋体"/>
                <w:color w:val="auto"/>
                <w:szCs w:val="28"/>
              </w:rPr>
            </w:pPr>
          </w:p>
        </w:tc>
        <w:tc>
          <w:tcPr>
            <w:tcW w:w="860" w:type="dxa"/>
            <w:shd w:val="clear" w:color="auto" w:fill="auto"/>
            <w:vAlign w:val="center"/>
          </w:tcPr>
          <w:p w14:paraId="47C306CD">
            <w:pPr>
              <w:adjustRightInd w:val="0"/>
              <w:snapToGrid w:val="0"/>
              <w:spacing w:line="360" w:lineRule="auto"/>
              <w:jc w:val="center"/>
              <w:rPr>
                <w:rFonts w:ascii="宋体" w:hAnsi="宋体"/>
                <w:color w:val="auto"/>
                <w:szCs w:val="28"/>
              </w:rPr>
            </w:pPr>
          </w:p>
        </w:tc>
        <w:tc>
          <w:tcPr>
            <w:tcW w:w="1103" w:type="dxa"/>
            <w:shd w:val="clear" w:color="auto" w:fill="auto"/>
            <w:vAlign w:val="center"/>
          </w:tcPr>
          <w:p w14:paraId="5BD6A50F">
            <w:pPr>
              <w:adjustRightInd w:val="0"/>
              <w:snapToGrid w:val="0"/>
              <w:spacing w:line="360" w:lineRule="auto"/>
              <w:jc w:val="center"/>
              <w:rPr>
                <w:rFonts w:ascii="宋体" w:hAnsi="宋体"/>
                <w:color w:val="auto"/>
                <w:szCs w:val="28"/>
              </w:rPr>
            </w:pPr>
          </w:p>
        </w:tc>
      </w:tr>
    </w:tbl>
    <w:p w14:paraId="0EEFF3C1">
      <w:pPr>
        <w:rPr>
          <w:color w:val="auto"/>
        </w:rPr>
      </w:pPr>
      <w:r>
        <w:rPr>
          <w:color w:val="auto"/>
        </w:rPr>
        <w:br w:type="page"/>
      </w:r>
    </w:p>
    <w:p w14:paraId="2636DDF0">
      <w:pPr>
        <w:adjustRightInd w:val="0"/>
        <w:snapToGrid w:val="0"/>
        <w:spacing w:line="360" w:lineRule="auto"/>
        <w:outlineLvl w:val="1"/>
        <w:rPr>
          <w:rFonts w:ascii="宋体" w:hAnsi="宋体"/>
          <w:color w:val="auto"/>
          <w:sz w:val="24"/>
        </w:rPr>
      </w:pPr>
      <w:bookmarkStart w:id="1224" w:name="_Toc15608"/>
      <w:bookmarkStart w:id="1225" w:name="_Toc31665"/>
      <w:r>
        <w:rPr>
          <w:rFonts w:hint="eastAsia" w:ascii="宋体" w:hAnsi="宋体"/>
          <w:color w:val="auto"/>
          <w:sz w:val="24"/>
        </w:rPr>
        <w:t>附件四：发包人提供的材料一览表</w:t>
      </w:r>
      <w:bookmarkEnd w:id="1224"/>
      <w:bookmarkEnd w:id="1225"/>
    </w:p>
    <w:p w14:paraId="616ED7BE">
      <w:pPr>
        <w:adjustRightInd w:val="0"/>
        <w:snapToGrid w:val="0"/>
        <w:spacing w:line="360" w:lineRule="auto"/>
        <w:jc w:val="center"/>
        <w:rPr>
          <w:rFonts w:ascii="宋体" w:hAnsi="宋体"/>
          <w:color w:val="auto"/>
          <w:sz w:val="28"/>
        </w:rPr>
      </w:pPr>
      <w:r>
        <w:rPr>
          <w:rFonts w:hint="eastAsia" w:ascii="宋体" w:hAnsi="宋体"/>
          <w:b/>
          <w:color w:val="auto"/>
          <w:sz w:val="28"/>
        </w:rPr>
        <w:t>发包人提供的材料一览表</w:t>
      </w:r>
    </w:p>
    <w:tbl>
      <w:tblPr>
        <w:tblStyle w:val="42"/>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353"/>
        <w:gridCol w:w="1230"/>
        <w:gridCol w:w="737"/>
        <w:gridCol w:w="615"/>
        <w:gridCol w:w="860"/>
        <w:gridCol w:w="982"/>
        <w:gridCol w:w="982"/>
        <w:gridCol w:w="860"/>
        <w:gridCol w:w="1105"/>
      </w:tblGrid>
      <w:tr w14:paraId="662F0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shd w:val="clear" w:color="auto" w:fill="auto"/>
            <w:vAlign w:val="center"/>
          </w:tcPr>
          <w:p w14:paraId="5FB5E7F9">
            <w:pPr>
              <w:adjustRightInd w:val="0"/>
              <w:snapToGrid w:val="0"/>
              <w:spacing w:line="360" w:lineRule="auto"/>
              <w:jc w:val="center"/>
              <w:rPr>
                <w:rFonts w:ascii="宋体" w:hAnsi="宋体"/>
                <w:color w:val="auto"/>
              </w:rPr>
            </w:pPr>
            <w:r>
              <w:rPr>
                <w:rFonts w:hint="eastAsia" w:ascii="宋体" w:hAnsi="宋体"/>
                <w:color w:val="auto"/>
              </w:rPr>
              <w:t>序</w:t>
            </w:r>
          </w:p>
          <w:p w14:paraId="5FBF1438">
            <w:pPr>
              <w:adjustRightInd w:val="0"/>
              <w:snapToGrid w:val="0"/>
              <w:spacing w:line="360" w:lineRule="auto"/>
              <w:jc w:val="center"/>
              <w:rPr>
                <w:rFonts w:ascii="宋体" w:hAnsi="宋体"/>
                <w:color w:val="auto"/>
              </w:rPr>
            </w:pPr>
            <w:r>
              <w:rPr>
                <w:rFonts w:hint="eastAsia" w:ascii="宋体" w:hAnsi="宋体"/>
                <w:color w:val="auto"/>
              </w:rPr>
              <w:t>号</w:t>
            </w:r>
          </w:p>
        </w:tc>
        <w:tc>
          <w:tcPr>
            <w:tcW w:w="1353" w:type="dxa"/>
            <w:shd w:val="clear" w:color="auto" w:fill="auto"/>
            <w:vAlign w:val="center"/>
          </w:tcPr>
          <w:p w14:paraId="4900C956">
            <w:pPr>
              <w:adjustRightInd w:val="0"/>
              <w:snapToGrid w:val="0"/>
              <w:spacing w:line="360" w:lineRule="auto"/>
              <w:jc w:val="center"/>
              <w:rPr>
                <w:rFonts w:ascii="宋体" w:hAnsi="宋体"/>
                <w:color w:val="auto"/>
              </w:rPr>
            </w:pPr>
            <w:r>
              <w:rPr>
                <w:rFonts w:hint="eastAsia" w:ascii="宋体" w:hAnsi="宋体"/>
                <w:color w:val="auto"/>
              </w:rPr>
              <w:t>材料设备</w:t>
            </w:r>
          </w:p>
          <w:p w14:paraId="7587CF67">
            <w:pPr>
              <w:adjustRightInd w:val="0"/>
              <w:snapToGrid w:val="0"/>
              <w:spacing w:line="360" w:lineRule="auto"/>
              <w:jc w:val="center"/>
              <w:rPr>
                <w:rFonts w:ascii="宋体" w:hAnsi="宋体"/>
                <w:color w:val="auto"/>
              </w:rPr>
            </w:pPr>
            <w:r>
              <w:rPr>
                <w:rFonts w:hint="eastAsia" w:ascii="宋体" w:hAnsi="宋体"/>
                <w:color w:val="auto"/>
              </w:rPr>
              <w:t>名    称</w:t>
            </w:r>
          </w:p>
        </w:tc>
        <w:tc>
          <w:tcPr>
            <w:tcW w:w="1230" w:type="dxa"/>
            <w:shd w:val="clear" w:color="auto" w:fill="auto"/>
            <w:vAlign w:val="center"/>
          </w:tcPr>
          <w:p w14:paraId="168A550B">
            <w:pPr>
              <w:adjustRightInd w:val="0"/>
              <w:snapToGrid w:val="0"/>
              <w:spacing w:line="360" w:lineRule="auto"/>
              <w:jc w:val="center"/>
              <w:rPr>
                <w:rFonts w:ascii="宋体" w:hAnsi="宋体"/>
                <w:color w:val="auto"/>
              </w:rPr>
            </w:pPr>
            <w:r>
              <w:rPr>
                <w:rFonts w:hint="eastAsia" w:ascii="宋体" w:hAnsi="宋体"/>
                <w:color w:val="auto"/>
              </w:rPr>
              <w:t>规格</w:t>
            </w:r>
          </w:p>
          <w:p w14:paraId="36387B5D">
            <w:pPr>
              <w:adjustRightInd w:val="0"/>
              <w:snapToGrid w:val="0"/>
              <w:spacing w:line="360" w:lineRule="auto"/>
              <w:jc w:val="center"/>
              <w:rPr>
                <w:rFonts w:ascii="宋体" w:hAnsi="宋体"/>
                <w:color w:val="auto"/>
              </w:rPr>
            </w:pPr>
            <w:r>
              <w:rPr>
                <w:rFonts w:hint="eastAsia" w:ascii="宋体" w:hAnsi="宋体"/>
                <w:color w:val="auto"/>
              </w:rPr>
              <w:t>型号</w:t>
            </w:r>
          </w:p>
        </w:tc>
        <w:tc>
          <w:tcPr>
            <w:tcW w:w="737" w:type="dxa"/>
            <w:shd w:val="clear" w:color="auto" w:fill="auto"/>
            <w:vAlign w:val="center"/>
          </w:tcPr>
          <w:p w14:paraId="6F6B9FAE">
            <w:pPr>
              <w:adjustRightInd w:val="0"/>
              <w:snapToGrid w:val="0"/>
              <w:spacing w:line="360" w:lineRule="auto"/>
              <w:jc w:val="center"/>
              <w:rPr>
                <w:rFonts w:ascii="宋体" w:hAnsi="宋体"/>
                <w:color w:val="auto"/>
              </w:rPr>
            </w:pPr>
            <w:r>
              <w:rPr>
                <w:rFonts w:hint="eastAsia" w:ascii="宋体" w:hAnsi="宋体"/>
                <w:color w:val="auto"/>
              </w:rPr>
              <w:t>单</w:t>
            </w:r>
          </w:p>
          <w:p w14:paraId="291204D8">
            <w:pPr>
              <w:adjustRightInd w:val="0"/>
              <w:snapToGrid w:val="0"/>
              <w:spacing w:line="360" w:lineRule="auto"/>
              <w:jc w:val="center"/>
              <w:rPr>
                <w:rFonts w:ascii="宋体" w:hAnsi="宋体"/>
                <w:color w:val="auto"/>
              </w:rPr>
            </w:pPr>
            <w:r>
              <w:rPr>
                <w:rFonts w:hint="eastAsia" w:ascii="宋体" w:hAnsi="宋体"/>
                <w:color w:val="auto"/>
              </w:rPr>
              <w:t>位</w:t>
            </w:r>
          </w:p>
        </w:tc>
        <w:tc>
          <w:tcPr>
            <w:tcW w:w="615" w:type="dxa"/>
            <w:shd w:val="clear" w:color="auto" w:fill="auto"/>
            <w:vAlign w:val="center"/>
          </w:tcPr>
          <w:p w14:paraId="7ED2CEF2">
            <w:pPr>
              <w:adjustRightInd w:val="0"/>
              <w:snapToGrid w:val="0"/>
              <w:spacing w:line="360" w:lineRule="auto"/>
              <w:jc w:val="center"/>
              <w:rPr>
                <w:rFonts w:ascii="宋体" w:hAnsi="宋体"/>
                <w:color w:val="auto"/>
              </w:rPr>
            </w:pPr>
            <w:r>
              <w:rPr>
                <w:rFonts w:hint="eastAsia" w:ascii="宋体" w:hAnsi="宋体"/>
                <w:color w:val="auto"/>
              </w:rPr>
              <w:t>数</w:t>
            </w:r>
          </w:p>
          <w:p w14:paraId="4D97BA7A">
            <w:pPr>
              <w:adjustRightInd w:val="0"/>
              <w:snapToGrid w:val="0"/>
              <w:spacing w:line="360" w:lineRule="auto"/>
              <w:jc w:val="center"/>
              <w:rPr>
                <w:rFonts w:ascii="宋体" w:hAnsi="宋体"/>
                <w:color w:val="auto"/>
              </w:rPr>
            </w:pPr>
            <w:r>
              <w:rPr>
                <w:rFonts w:hint="eastAsia" w:ascii="宋体" w:hAnsi="宋体"/>
                <w:color w:val="auto"/>
              </w:rPr>
              <w:t>量</w:t>
            </w:r>
          </w:p>
        </w:tc>
        <w:tc>
          <w:tcPr>
            <w:tcW w:w="860" w:type="dxa"/>
            <w:shd w:val="clear" w:color="auto" w:fill="auto"/>
            <w:vAlign w:val="center"/>
          </w:tcPr>
          <w:p w14:paraId="34153F35">
            <w:pPr>
              <w:adjustRightInd w:val="0"/>
              <w:snapToGrid w:val="0"/>
              <w:spacing w:line="360" w:lineRule="auto"/>
              <w:jc w:val="center"/>
              <w:rPr>
                <w:rFonts w:ascii="宋体" w:hAnsi="宋体"/>
                <w:color w:val="auto"/>
              </w:rPr>
            </w:pPr>
            <w:r>
              <w:rPr>
                <w:rFonts w:hint="eastAsia" w:ascii="宋体" w:hAnsi="宋体"/>
                <w:color w:val="auto"/>
              </w:rPr>
              <w:t>单</w:t>
            </w:r>
          </w:p>
          <w:p w14:paraId="2ADFA92B">
            <w:pPr>
              <w:adjustRightInd w:val="0"/>
              <w:snapToGrid w:val="0"/>
              <w:spacing w:line="360" w:lineRule="auto"/>
              <w:jc w:val="center"/>
              <w:rPr>
                <w:rFonts w:ascii="宋体" w:hAnsi="宋体"/>
                <w:color w:val="auto"/>
              </w:rPr>
            </w:pPr>
            <w:r>
              <w:rPr>
                <w:rFonts w:hint="eastAsia" w:ascii="宋体" w:hAnsi="宋体"/>
                <w:color w:val="auto"/>
              </w:rPr>
              <w:t>价</w:t>
            </w:r>
          </w:p>
        </w:tc>
        <w:tc>
          <w:tcPr>
            <w:tcW w:w="982" w:type="dxa"/>
            <w:shd w:val="clear" w:color="auto" w:fill="auto"/>
            <w:vAlign w:val="center"/>
          </w:tcPr>
          <w:p w14:paraId="2E66DD92">
            <w:pPr>
              <w:adjustRightInd w:val="0"/>
              <w:snapToGrid w:val="0"/>
              <w:spacing w:line="360" w:lineRule="auto"/>
              <w:jc w:val="center"/>
              <w:rPr>
                <w:rFonts w:ascii="宋体" w:hAnsi="宋体"/>
                <w:color w:val="auto"/>
              </w:rPr>
            </w:pPr>
            <w:r>
              <w:rPr>
                <w:rFonts w:hint="eastAsia" w:ascii="宋体" w:hAnsi="宋体"/>
                <w:color w:val="auto"/>
              </w:rPr>
              <w:t>交货</w:t>
            </w:r>
          </w:p>
          <w:p w14:paraId="68B2A1A9">
            <w:pPr>
              <w:adjustRightInd w:val="0"/>
              <w:snapToGrid w:val="0"/>
              <w:spacing w:line="360" w:lineRule="auto"/>
              <w:jc w:val="center"/>
              <w:rPr>
                <w:rFonts w:ascii="宋体" w:hAnsi="宋体"/>
                <w:color w:val="auto"/>
              </w:rPr>
            </w:pPr>
            <w:r>
              <w:rPr>
                <w:rFonts w:hint="eastAsia" w:ascii="宋体" w:hAnsi="宋体"/>
                <w:color w:val="auto"/>
              </w:rPr>
              <w:t>方式</w:t>
            </w:r>
          </w:p>
        </w:tc>
        <w:tc>
          <w:tcPr>
            <w:tcW w:w="982" w:type="dxa"/>
            <w:shd w:val="clear" w:color="auto" w:fill="auto"/>
            <w:vAlign w:val="center"/>
          </w:tcPr>
          <w:p w14:paraId="0A209910">
            <w:pPr>
              <w:adjustRightInd w:val="0"/>
              <w:snapToGrid w:val="0"/>
              <w:spacing w:line="360" w:lineRule="auto"/>
              <w:jc w:val="center"/>
              <w:rPr>
                <w:rFonts w:ascii="宋体" w:hAnsi="宋体"/>
                <w:color w:val="auto"/>
              </w:rPr>
            </w:pPr>
            <w:r>
              <w:rPr>
                <w:rFonts w:hint="eastAsia" w:ascii="宋体" w:hAnsi="宋体"/>
                <w:color w:val="auto"/>
              </w:rPr>
              <w:t>交货</w:t>
            </w:r>
          </w:p>
          <w:p w14:paraId="32C42FEB">
            <w:pPr>
              <w:adjustRightInd w:val="0"/>
              <w:snapToGrid w:val="0"/>
              <w:spacing w:line="360" w:lineRule="auto"/>
              <w:jc w:val="center"/>
              <w:rPr>
                <w:rFonts w:ascii="宋体" w:hAnsi="宋体"/>
                <w:color w:val="auto"/>
              </w:rPr>
            </w:pPr>
            <w:r>
              <w:rPr>
                <w:rFonts w:hint="eastAsia" w:ascii="宋体" w:hAnsi="宋体"/>
                <w:color w:val="auto"/>
              </w:rPr>
              <w:t>地点</w:t>
            </w:r>
          </w:p>
        </w:tc>
        <w:tc>
          <w:tcPr>
            <w:tcW w:w="860" w:type="dxa"/>
            <w:shd w:val="clear" w:color="auto" w:fill="auto"/>
            <w:vAlign w:val="center"/>
          </w:tcPr>
          <w:p w14:paraId="1BA3B691">
            <w:pPr>
              <w:adjustRightInd w:val="0"/>
              <w:snapToGrid w:val="0"/>
              <w:spacing w:line="360" w:lineRule="auto"/>
              <w:jc w:val="center"/>
              <w:rPr>
                <w:rFonts w:ascii="宋体" w:hAnsi="宋体"/>
                <w:color w:val="auto"/>
              </w:rPr>
            </w:pPr>
            <w:r>
              <w:rPr>
                <w:rFonts w:hint="eastAsia" w:ascii="宋体" w:hAnsi="宋体"/>
                <w:color w:val="auto"/>
              </w:rPr>
              <w:t>计划交货</w:t>
            </w:r>
          </w:p>
          <w:p w14:paraId="5FA1A984">
            <w:pPr>
              <w:adjustRightInd w:val="0"/>
              <w:snapToGrid w:val="0"/>
              <w:spacing w:line="360" w:lineRule="auto"/>
              <w:jc w:val="center"/>
              <w:rPr>
                <w:rFonts w:ascii="宋体" w:hAnsi="宋体"/>
                <w:color w:val="auto"/>
              </w:rPr>
            </w:pPr>
            <w:r>
              <w:rPr>
                <w:rFonts w:hint="eastAsia" w:ascii="宋体" w:hAnsi="宋体"/>
                <w:color w:val="auto"/>
              </w:rPr>
              <w:t>时间</w:t>
            </w:r>
          </w:p>
        </w:tc>
        <w:tc>
          <w:tcPr>
            <w:tcW w:w="1105" w:type="dxa"/>
            <w:shd w:val="clear" w:color="auto" w:fill="auto"/>
            <w:vAlign w:val="center"/>
          </w:tcPr>
          <w:p w14:paraId="1D82BC3C">
            <w:pPr>
              <w:adjustRightInd w:val="0"/>
              <w:snapToGrid w:val="0"/>
              <w:spacing w:line="360" w:lineRule="auto"/>
              <w:jc w:val="center"/>
              <w:rPr>
                <w:rFonts w:ascii="宋体" w:hAnsi="宋体"/>
                <w:color w:val="auto"/>
              </w:rPr>
            </w:pPr>
            <w:r>
              <w:rPr>
                <w:rFonts w:hint="eastAsia" w:ascii="宋体" w:hAnsi="宋体"/>
                <w:color w:val="auto"/>
              </w:rPr>
              <w:t>备注</w:t>
            </w:r>
          </w:p>
        </w:tc>
      </w:tr>
      <w:tr w14:paraId="12D09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shd w:val="clear" w:color="auto" w:fill="auto"/>
            <w:vAlign w:val="center"/>
          </w:tcPr>
          <w:p w14:paraId="557DB023">
            <w:pPr>
              <w:adjustRightInd w:val="0"/>
              <w:snapToGrid w:val="0"/>
              <w:spacing w:line="360" w:lineRule="auto"/>
              <w:jc w:val="center"/>
              <w:rPr>
                <w:rFonts w:ascii="宋体" w:hAnsi="宋体"/>
                <w:color w:val="auto"/>
                <w:szCs w:val="28"/>
              </w:rPr>
            </w:pPr>
            <w:r>
              <w:rPr>
                <w:rFonts w:hint="eastAsia" w:ascii="宋体" w:hAnsi="宋体"/>
                <w:color w:val="auto"/>
                <w:szCs w:val="28"/>
              </w:rPr>
              <w:t>　</w:t>
            </w:r>
          </w:p>
        </w:tc>
        <w:tc>
          <w:tcPr>
            <w:tcW w:w="1353" w:type="dxa"/>
            <w:shd w:val="clear" w:color="auto" w:fill="auto"/>
            <w:vAlign w:val="center"/>
          </w:tcPr>
          <w:p w14:paraId="11A6675D">
            <w:pPr>
              <w:adjustRightInd w:val="0"/>
              <w:snapToGrid w:val="0"/>
              <w:spacing w:line="360" w:lineRule="auto"/>
              <w:jc w:val="center"/>
              <w:rPr>
                <w:rFonts w:ascii="宋体" w:hAnsi="宋体"/>
                <w:color w:val="auto"/>
                <w:szCs w:val="28"/>
              </w:rPr>
            </w:pPr>
          </w:p>
        </w:tc>
        <w:tc>
          <w:tcPr>
            <w:tcW w:w="1230" w:type="dxa"/>
            <w:shd w:val="clear" w:color="auto" w:fill="auto"/>
            <w:vAlign w:val="center"/>
          </w:tcPr>
          <w:p w14:paraId="2B8995E5">
            <w:pPr>
              <w:adjustRightInd w:val="0"/>
              <w:snapToGrid w:val="0"/>
              <w:spacing w:line="360" w:lineRule="auto"/>
              <w:jc w:val="center"/>
              <w:rPr>
                <w:rFonts w:ascii="宋体" w:hAnsi="宋体"/>
                <w:color w:val="auto"/>
                <w:szCs w:val="28"/>
              </w:rPr>
            </w:pPr>
          </w:p>
        </w:tc>
        <w:tc>
          <w:tcPr>
            <w:tcW w:w="737" w:type="dxa"/>
            <w:shd w:val="clear" w:color="auto" w:fill="auto"/>
            <w:vAlign w:val="center"/>
          </w:tcPr>
          <w:p w14:paraId="684E964A">
            <w:pPr>
              <w:adjustRightInd w:val="0"/>
              <w:snapToGrid w:val="0"/>
              <w:spacing w:line="360" w:lineRule="auto"/>
              <w:jc w:val="center"/>
              <w:rPr>
                <w:rFonts w:ascii="宋体" w:hAnsi="宋体"/>
                <w:color w:val="auto"/>
                <w:szCs w:val="28"/>
              </w:rPr>
            </w:pPr>
          </w:p>
        </w:tc>
        <w:tc>
          <w:tcPr>
            <w:tcW w:w="615" w:type="dxa"/>
            <w:shd w:val="clear" w:color="auto" w:fill="auto"/>
            <w:vAlign w:val="center"/>
          </w:tcPr>
          <w:p w14:paraId="7B440B4F">
            <w:pPr>
              <w:adjustRightInd w:val="0"/>
              <w:snapToGrid w:val="0"/>
              <w:spacing w:line="360" w:lineRule="auto"/>
              <w:jc w:val="center"/>
              <w:rPr>
                <w:rFonts w:ascii="宋体" w:hAnsi="宋体"/>
                <w:color w:val="auto"/>
                <w:szCs w:val="28"/>
              </w:rPr>
            </w:pPr>
          </w:p>
        </w:tc>
        <w:tc>
          <w:tcPr>
            <w:tcW w:w="860" w:type="dxa"/>
            <w:shd w:val="clear" w:color="auto" w:fill="auto"/>
            <w:vAlign w:val="center"/>
          </w:tcPr>
          <w:p w14:paraId="420C0B3D">
            <w:pPr>
              <w:adjustRightInd w:val="0"/>
              <w:snapToGrid w:val="0"/>
              <w:spacing w:line="360" w:lineRule="auto"/>
              <w:jc w:val="center"/>
              <w:rPr>
                <w:rFonts w:ascii="宋体" w:hAnsi="宋体"/>
                <w:color w:val="auto"/>
                <w:szCs w:val="28"/>
              </w:rPr>
            </w:pPr>
          </w:p>
        </w:tc>
        <w:tc>
          <w:tcPr>
            <w:tcW w:w="982" w:type="dxa"/>
            <w:shd w:val="clear" w:color="auto" w:fill="auto"/>
            <w:vAlign w:val="center"/>
          </w:tcPr>
          <w:p w14:paraId="29C9BF02">
            <w:pPr>
              <w:adjustRightInd w:val="0"/>
              <w:snapToGrid w:val="0"/>
              <w:spacing w:line="360" w:lineRule="auto"/>
              <w:jc w:val="center"/>
              <w:rPr>
                <w:rFonts w:ascii="宋体" w:hAnsi="宋体"/>
                <w:color w:val="auto"/>
                <w:szCs w:val="28"/>
              </w:rPr>
            </w:pPr>
          </w:p>
        </w:tc>
        <w:tc>
          <w:tcPr>
            <w:tcW w:w="982" w:type="dxa"/>
            <w:shd w:val="clear" w:color="auto" w:fill="auto"/>
            <w:vAlign w:val="center"/>
          </w:tcPr>
          <w:p w14:paraId="7B0B3DF5">
            <w:pPr>
              <w:adjustRightInd w:val="0"/>
              <w:snapToGrid w:val="0"/>
              <w:spacing w:line="360" w:lineRule="auto"/>
              <w:jc w:val="center"/>
              <w:rPr>
                <w:rFonts w:ascii="宋体" w:hAnsi="宋体"/>
                <w:color w:val="auto"/>
                <w:szCs w:val="28"/>
              </w:rPr>
            </w:pPr>
          </w:p>
        </w:tc>
        <w:tc>
          <w:tcPr>
            <w:tcW w:w="860" w:type="dxa"/>
            <w:shd w:val="clear" w:color="auto" w:fill="auto"/>
            <w:vAlign w:val="center"/>
          </w:tcPr>
          <w:p w14:paraId="0D01DE29">
            <w:pPr>
              <w:adjustRightInd w:val="0"/>
              <w:snapToGrid w:val="0"/>
              <w:spacing w:line="360" w:lineRule="auto"/>
              <w:jc w:val="center"/>
              <w:rPr>
                <w:rFonts w:ascii="宋体" w:hAnsi="宋体"/>
                <w:color w:val="auto"/>
                <w:szCs w:val="28"/>
              </w:rPr>
            </w:pPr>
          </w:p>
        </w:tc>
        <w:tc>
          <w:tcPr>
            <w:tcW w:w="1105" w:type="dxa"/>
            <w:shd w:val="clear" w:color="auto" w:fill="auto"/>
            <w:vAlign w:val="center"/>
          </w:tcPr>
          <w:p w14:paraId="083E06B8">
            <w:pPr>
              <w:adjustRightInd w:val="0"/>
              <w:snapToGrid w:val="0"/>
              <w:spacing w:line="360" w:lineRule="auto"/>
              <w:jc w:val="center"/>
              <w:rPr>
                <w:rFonts w:ascii="宋体" w:hAnsi="宋体"/>
                <w:color w:val="auto"/>
                <w:szCs w:val="28"/>
              </w:rPr>
            </w:pPr>
          </w:p>
        </w:tc>
      </w:tr>
      <w:tr w14:paraId="6702E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shd w:val="clear" w:color="auto" w:fill="auto"/>
            <w:vAlign w:val="center"/>
          </w:tcPr>
          <w:p w14:paraId="7983F24E">
            <w:pPr>
              <w:adjustRightInd w:val="0"/>
              <w:snapToGrid w:val="0"/>
              <w:spacing w:line="360" w:lineRule="auto"/>
              <w:jc w:val="center"/>
              <w:rPr>
                <w:rFonts w:ascii="宋体" w:hAnsi="宋体"/>
                <w:color w:val="auto"/>
                <w:szCs w:val="28"/>
              </w:rPr>
            </w:pPr>
            <w:r>
              <w:rPr>
                <w:rFonts w:hint="eastAsia" w:ascii="宋体" w:hAnsi="宋体"/>
                <w:color w:val="auto"/>
                <w:szCs w:val="28"/>
              </w:rPr>
              <w:t>　</w:t>
            </w:r>
          </w:p>
        </w:tc>
        <w:tc>
          <w:tcPr>
            <w:tcW w:w="1353" w:type="dxa"/>
            <w:shd w:val="clear" w:color="auto" w:fill="auto"/>
            <w:vAlign w:val="center"/>
          </w:tcPr>
          <w:p w14:paraId="0E20077E">
            <w:pPr>
              <w:adjustRightInd w:val="0"/>
              <w:snapToGrid w:val="0"/>
              <w:spacing w:line="360" w:lineRule="auto"/>
              <w:jc w:val="center"/>
              <w:rPr>
                <w:rFonts w:ascii="宋体" w:hAnsi="宋体"/>
                <w:color w:val="auto"/>
                <w:szCs w:val="28"/>
              </w:rPr>
            </w:pPr>
          </w:p>
        </w:tc>
        <w:tc>
          <w:tcPr>
            <w:tcW w:w="1230" w:type="dxa"/>
            <w:shd w:val="clear" w:color="auto" w:fill="auto"/>
            <w:vAlign w:val="center"/>
          </w:tcPr>
          <w:p w14:paraId="1F65F08F">
            <w:pPr>
              <w:adjustRightInd w:val="0"/>
              <w:snapToGrid w:val="0"/>
              <w:spacing w:line="360" w:lineRule="auto"/>
              <w:jc w:val="center"/>
              <w:rPr>
                <w:rFonts w:ascii="宋体" w:hAnsi="宋体"/>
                <w:color w:val="auto"/>
                <w:szCs w:val="28"/>
              </w:rPr>
            </w:pPr>
          </w:p>
        </w:tc>
        <w:tc>
          <w:tcPr>
            <w:tcW w:w="737" w:type="dxa"/>
            <w:shd w:val="clear" w:color="auto" w:fill="auto"/>
            <w:vAlign w:val="center"/>
          </w:tcPr>
          <w:p w14:paraId="61F158F8">
            <w:pPr>
              <w:adjustRightInd w:val="0"/>
              <w:snapToGrid w:val="0"/>
              <w:spacing w:line="360" w:lineRule="auto"/>
              <w:jc w:val="center"/>
              <w:rPr>
                <w:rFonts w:ascii="宋体" w:hAnsi="宋体"/>
                <w:color w:val="auto"/>
                <w:szCs w:val="28"/>
              </w:rPr>
            </w:pPr>
          </w:p>
        </w:tc>
        <w:tc>
          <w:tcPr>
            <w:tcW w:w="615" w:type="dxa"/>
            <w:shd w:val="clear" w:color="auto" w:fill="auto"/>
            <w:vAlign w:val="center"/>
          </w:tcPr>
          <w:p w14:paraId="1D426E47">
            <w:pPr>
              <w:adjustRightInd w:val="0"/>
              <w:snapToGrid w:val="0"/>
              <w:spacing w:line="360" w:lineRule="auto"/>
              <w:jc w:val="center"/>
              <w:rPr>
                <w:rFonts w:ascii="宋体" w:hAnsi="宋体"/>
                <w:color w:val="auto"/>
                <w:szCs w:val="28"/>
              </w:rPr>
            </w:pPr>
          </w:p>
        </w:tc>
        <w:tc>
          <w:tcPr>
            <w:tcW w:w="860" w:type="dxa"/>
            <w:shd w:val="clear" w:color="auto" w:fill="auto"/>
            <w:vAlign w:val="center"/>
          </w:tcPr>
          <w:p w14:paraId="2E459FE0">
            <w:pPr>
              <w:adjustRightInd w:val="0"/>
              <w:snapToGrid w:val="0"/>
              <w:spacing w:line="360" w:lineRule="auto"/>
              <w:jc w:val="center"/>
              <w:rPr>
                <w:rFonts w:ascii="宋体" w:hAnsi="宋体"/>
                <w:color w:val="auto"/>
                <w:szCs w:val="28"/>
              </w:rPr>
            </w:pPr>
          </w:p>
        </w:tc>
        <w:tc>
          <w:tcPr>
            <w:tcW w:w="982" w:type="dxa"/>
            <w:shd w:val="clear" w:color="auto" w:fill="auto"/>
            <w:vAlign w:val="center"/>
          </w:tcPr>
          <w:p w14:paraId="0699042C">
            <w:pPr>
              <w:adjustRightInd w:val="0"/>
              <w:snapToGrid w:val="0"/>
              <w:spacing w:line="360" w:lineRule="auto"/>
              <w:jc w:val="center"/>
              <w:rPr>
                <w:rFonts w:ascii="宋体" w:hAnsi="宋体"/>
                <w:color w:val="auto"/>
                <w:szCs w:val="28"/>
              </w:rPr>
            </w:pPr>
          </w:p>
        </w:tc>
        <w:tc>
          <w:tcPr>
            <w:tcW w:w="982" w:type="dxa"/>
            <w:shd w:val="clear" w:color="auto" w:fill="auto"/>
            <w:vAlign w:val="center"/>
          </w:tcPr>
          <w:p w14:paraId="149A1B08">
            <w:pPr>
              <w:adjustRightInd w:val="0"/>
              <w:snapToGrid w:val="0"/>
              <w:spacing w:line="360" w:lineRule="auto"/>
              <w:jc w:val="center"/>
              <w:rPr>
                <w:rFonts w:ascii="宋体" w:hAnsi="宋体"/>
                <w:color w:val="auto"/>
                <w:szCs w:val="28"/>
              </w:rPr>
            </w:pPr>
          </w:p>
        </w:tc>
        <w:tc>
          <w:tcPr>
            <w:tcW w:w="860" w:type="dxa"/>
            <w:shd w:val="clear" w:color="auto" w:fill="auto"/>
            <w:vAlign w:val="center"/>
          </w:tcPr>
          <w:p w14:paraId="6DA6092D">
            <w:pPr>
              <w:adjustRightInd w:val="0"/>
              <w:snapToGrid w:val="0"/>
              <w:spacing w:line="360" w:lineRule="auto"/>
              <w:jc w:val="center"/>
              <w:rPr>
                <w:rFonts w:ascii="宋体" w:hAnsi="宋体"/>
                <w:color w:val="auto"/>
                <w:szCs w:val="28"/>
              </w:rPr>
            </w:pPr>
          </w:p>
        </w:tc>
        <w:tc>
          <w:tcPr>
            <w:tcW w:w="1105" w:type="dxa"/>
            <w:shd w:val="clear" w:color="auto" w:fill="auto"/>
            <w:vAlign w:val="center"/>
          </w:tcPr>
          <w:p w14:paraId="06DB848F">
            <w:pPr>
              <w:adjustRightInd w:val="0"/>
              <w:snapToGrid w:val="0"/>
              <w:spacing w:line="360" w:lineRule="auto"/>
              <w:jc w:val="center"/>
              <w:rPr>
                <w:rFonts w:ascii="宋体" w:hAnsi="宋体"/>
                <w:color w:val="auto"/>
                <w:szCs w:val="28"/>
              </w:rPr>
            </w:pPr>
          </w:p>
        </w:tc>
      </w:tr>
      <w:tr w14:paraId="0DEBD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shd w:val="clear" w:color="auto" w:fill="auto"/>
            <w:vAlign w:val="center"/>
          </w:tcPr>
          <w:p w14:paraId="13C128DB">
            <w:pPr>
              <w:adjustRightInd w:val="0"/>
              <w:snapToGrid w:val="0"/>
              <w:spacing w:line="360" w:lineRule="auto"/>
              <w:jc w:val="center"/>
              <w:rPr>
                <w:rFonts w:ascii="宋体" w:hAnsi="宋体"/>
                <w:color w:val="auto"/>
                <w:szCs w:val="28"/>
              </w:rPr>
            </w:pPr>
            <w:r>
              <w:rPr>
                <w:rFonts w:hint="eastAsia" w:ascii="宋体" w:hAnsi="宋体"/>
                <w:color w:val="auto"/>
                <w:szCs w:val="28"/>
              </w:rPr>
              <w:t>　</w:t>
            </w:r>
          </w:p>
        </w:tc>
        <w:tc>
          <w:tcPr>
            <w:tcW w:w="1353" w:type="dxa"/>
            <w:shd w:val="clear" w:color="auto" w:fill="auto"/>
            <w:vAlign w:val="center"/>
          </w:tcPr>
          <w:p w14:paraId="73B1FB8E">
            <w:pPr>
              <w:adjustRightInd w:val="0"/>
              <w:snapToGrid w:val="0"/>
              <w:spacing w:line="360" w:lineRule="auto"/>
              <w:jc w:val="center"/>
              <w:rPr>
                <w:rFonts w:ascii="宋体" w:hAnsi="宋体"/>
                <w:color w:val="auto"/>
                <w:szCs w:val="28"/>
              </w:rPr>
            </w:pPr>
          </w:p>
        </w:tc>
        <w:tc>
          <w:tcPr>
            <w:tcW w:w="1230" w:type="dxa"/>
            <w:shd w:val="clear" w:color="auto" w:fill="auto"/>
            <w:vAlign w:val="center"/>
          </w:tcPr>
          <w:p w14:paraId="029637FA">
            <w:pPr>
              <w:adjustRightInd w:val="0"/>
              <w:snapToGrid w:val="0"/>
              <w:spacing w:line="360" w:lineRule="auto"/>
              <w:jc w:val="center"/>
              <w:rPr>
                <w:rFonts w:ascii="宋体" w:hAnsi="宋体"/>
                <w:color w:val="auto"/>
                <w:szCs w:val="28"/>
              </w:rPr>
            </w:pPr>
          </w:p>
        </w:tc>
        <w:tc>
          <w:tcPr>
            <w:tcW w:w="737" w:type="dxa"/>
            <w:shd w:val="clear" w:color="auto" w:fill="auto"/>
            <w:vAlign w:val="center"/>
          </w:tcPr>
          <w:p w14:paraId="68C7E1ED">
            <w:pPr>
              <w:adjustRightInd w:val="0"/>
              <w:snapToGrid w:val="0"/>
              <w:spacing w:line="360" w:lineRule="auto"/>
              <w:jc w:val="center"/>
              <w:rPr>
                <w:rFonts w:ascii="宋体" w:hAnsi="宋体"/>
                <w:color w:val="auto"/>
                <w:szCs w:val="28"/>
              </w:rPr>
            </w:pPr>
          </w:p>
        </w:tc>
        <w:tc>
          <w:tcPr>
            <w:tcW w:w="615" w:type="dxa"/>
            <w:shd w:val="clear" w:color="auto" w:fill="auto"/>
            <w:vAlign w:val="center"/>
          </w:tcPr>
          <w:p w14:paraId="2A9DA72F">
            <w:pPr>
              <w:adjustRightInd w:val="0"/>
              <w:snapToGrid w:val="0"/>
              <w:spacing w:line="360" w:lineRule="auto"/>
              <w:jc w:val="center"/>
              <w:rPr>
                <w:rFonts w:ascii="宋体" w:hAnsi="宋体"/>
                <w:color w:val="auto"/>
                <w:szCs w:val="28"/>
              </w:rPr>
            </w:pPr>
          </w:p>
        </w:tc>
        <w:tc>
          <w:tcPr>
            <w:tcW w:w="860" w:type="dxa"/>
            <w:shd w:val="clear" w:color="auto" w:fill="auto"/>
            <w:vAlign w:val="center"/>
          </w:tcPr>
          <w:p w14:paraId="63AAFAD6">
            <w:pPr>
              <w:adjustRightInd w:val="0"/>
              <w:snapToGrid w:val="0"/>
              <w:spacing w:line="360" w:lineRule="auto"/>
              <w:jc w:val="center"/>
              <w:rPr>
                <w:rFonts w:ascii="宋体" w:hAnsi="宋体"/>
                <w:color w:val="auto"/>
                <w:szCs w:val="28"/>
              </w:rPr>
            </w:pPr>
          </w:p>
        </w:tc>
        <w:tc>
          <w:tcPr>
            <w:tcW w:w="982" w:type="dxa"/>
            <w:shd w:val="clear" w:color="auto" w:fill="auto"/>
            <w:vAlign w:val="center"/>
          </w:tcPr>
          <w:p w14:paraId="2175E218">
            <w:pPr>
              <w:adjustRightInd w:val="0"/>
              <w:snapToGrid w:val="0"/>
              <w:spacing w:line="360" w:lineRule="auto"/>
              <w:jc w:val="center"/>
              <w:rPr>
                <w:rFonts w:ascii="宋体" w:hAnsi="宋体"/>
                <w:color w:val="auto"/>
                <w:szCs w:val="28"/>
              </w:rPr>
            </w:pPr>
          </w:p>
        </w:tc>
        <w:tc>
          <w:tcPr>
            <w:tcW w:w="982" w:type="dxa"/>
            <w:shd w:val="clear" w:color="auto" w:fill="auto"/>
            <w:vAlign w:val="center"/>
          </w:tcPr>
          <w:p w14:paraId="08E97519">
            <w:pPr>
              <w:adjustRightInd w:val="0"/>
              <w:snapToGrid w:val="0"/>
              <w:spacing w:line="360" w:lineRule="auto"/>
              <w:jc w:val="center"/>
              <w:rPr>
                <w:rFonts w:ascii="宋体" w:hAnsi="宋体"/>
                <w:color w:val="auto"/>
                <w:szCs w:val="28"/>
              </w:rPr>
            </w:pPr>
          </w:p>
        </w:tc>
        <w:tc>
          <w:tcPr>
            <w:tcW w:w="860" w:type="dxa"/>
            <w:shd w:val="clear" w:color="auto" w:fill="auto"/>
            <w:vAlign w:val="center"/>
          </w:tcPr>
          <w:p w14:paraId="157861D2">
            <w:pPr>
              <w:adjustRightInd w:val="0"/>
              <w:snapToGrid w:val="0"/>
              <w:spacing w:line="360" w:lineRule="auto"/>
              <w:jc w:val="center"/>
              <w:rPr>
                <w:rFonts w:ascii="宋体" w:hAnsi="宋体"/>
                <w:color w:val="auto"/>
                <w:szCs w:val="28"/>
              </w:rPr>
            </w:pPr>
          </w:p>
        </w:tc>
        <w:tc>
          <w:tcPr>
            <w:tcW w:w="1105" w:type="dxa"/>
            <w:shd w:val="clear" w:color="auto" w:fill="auto"/>
            <w:vAlign w:val="center"/>
          </w:tcPr>
          <w:p w14:paraId="3237FEC3">
            <w:pPr>
              <w:adjustRightInd w:val="0"/>
              <w:snapToGrid w:val="0"/>
              <w:spacing w:line="360" w:lineRule="auto"/>
              <w:jc w:val="center"/>
              <w:rPr>
                <w:rFonts w:ascii="宋体" w:hAnsi="宋体"/>
                <w:color w:val="auto"/>
                <w:szCs w:val="28"/>
              </w:rPr>
            </w:pPr>
          </w:p>
        </w:tc>
      </w:tr>
      <w:tr w14:paraId="0CA54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shd w:val="clear" w:color="auto" w:fill="auto"/>
            <w:vAlign w:val="center"/>
          </w:tcPr>
          <w:p w14:paraId="351AF341">
            <w:pPr>
              <w:adjustRightInd w:val="0"/>
              <w:snapToGrid w:val="0"/>
              <w:spacing w:line="360" w:lineRule="auto"/>
              <w:jc w:val="center"/>
              <w:rPr>
                <w:rFonts w:ascii="宋体" w:hAnsi="宋体"/>
                <w:color w:val="auto"/>
                <w:szCs w:val="28"/>
              </w:rPr>
            </w:pPr>
            <w:r>
              <w:rPr>
                <w:rFonts w:hint="eastAsia" w:ascii="宋体" w:hAnsi="宋体"/>
                <w:color w:val="auto"/>
                <w:szCs w:val="28"/>
              </w:rPr>
              <w:t>　</w:t>
            </w:r>
          </w:p>
        </w:tc>
        <w:tc>
          <w:tcPr>
            <w:tcW w:w="1353" w:type="dxa"/>
            <w:shd w:val="clear" w:color="auto" w:fill="auto"/>
            <w:vAlign w:val="center"/>
          </w:tcPr>
          <w:p w14:paraId="4B1664C0">
            <w:pPr>
              <w:adjustRightInd w:val="0"/>
              <w:snapToGrid w:val="0"/>
              <w:spacing w:line="360" w:lineRule="auto"/>
              <w:jc w:val="center"/>
              <w:rPr>
                <w:rFonts w:ascii="宋体" w:hAnsi="宋体"/>
                <w:color w:val="auto"/>
                <w:szCs w:val="28"/>
              </w:rPr>
            </w:pPr>
          </w:p>
        </w:tc>
        <w:tc>
          <w:tcPr>
            <w:tcW w:w="1230" w:type="dxa"/>
            <w:shd w:val="clear" w:color="auto" w:fill="auto"/>
            <w:vAlign w:val="center"/>
          </w:tcPr>
          <w:p w14:paraId="0374CABE">
            <w:pPr>
              <w:adjustRightInd w:val="0"/>
              <w:snapToGrid w:val="0"/>
              <w:spacing w:line="360" w:lineRule="auto"/>
              <w:jc w:val="center"/>
              <w:rPr>
                <w:rFonts w:ascii="宋体" w:hAnsi="宋体"/>
                <w:color w:val="auto"/>
                <w:szCs w:val="28"/>
              </w:rPr>
            </w:pPr>
          </w:p>
        </w:tc>
        <w:tc>
          <w:tcPr>
            <w:tcW w:w="737" w:type="dxa"/>
            <w:shd w:val="clear" w:color="auto" w:fill="auto"/>
            <w:vAlign w:val="center"/>
          </w:tcPr>
          <w:p w14:paraId="12C3646B">
            <w:pPr>
              <w:adjustRightInd w:val="0"/>
              <w:snapToGrid w:val="0"/>
              <w:spacing w:line="360" w:lineRule="auto"/>
              <w:jc w:val="center"/>
              <w:rPr>
                <w:rFonts w:ascii="宋体" w:hAnsi="宋体"/>
                <w:color w:val="auto"/>
                <w:szCs w:val="28"/>
              </w:rPr>
            </w:pPr>
          </w:p>
        </w:tc>
        <w:tc>
          <w:tcPr>
            <w:tcW w:w="615" w:type="dxa"/>
            <w:shd w:val="clear" w:color="auto" w:fill="auto"/>
            <w:vAlign w:val="center"/>
          </w:tcPr>
          <w:p w14:paraId="6E74BE8E">
            <w:pPr>
              <w:adjustRightInd w:val="0"/>
              <w:snapToGrid w:val="0"/>
              <w:spacing w:line="360" w:lineRule="auto"/>
              <w:jc w:val="center"/>
              <w:rPr>
                <w:rFonts w:ascii="宋体" w:hAnsi="宋体"/>
                <w:color w:val="auto"/>
                <w:szCs w:val="28"/>
              </w:rPr>
            </w:pPr>
          </w:p>
        </w:tc>
        <w:tc>
          <w:tcPr>
            <w:tcW w:w="860" w:type="dxa"/>
            <w:shd w:val="clear" w:color="auto" w:fill="auto"/>
            <w:vAlign w:val="center"/>
          </w:tcPr>
          <w:p w14:paraId="19E8832D">
            <w:pPr>
              <w:adjustRightInd w:val="0"/>
              <w:snapToGrid w:val="0"/>
              <w:spacing w:line="360" w:lineRule="auto"/>
              <w:jc w:val="center"/>
              <w:rPr>
                <w:rFonts w:ascii="宋体" w:hAnsi="宋体"/>
                <w:color w:val="auto"/>
                <w:szCs w:val="28"/>
              </w:rPr>
            </w:pPr>
          </w:p>
        </w:tc>
        <w:tc>
          <w:tcPr>
            <w:tcW w:w="982" w:type="dxa"/>
            <w:shd w:val="clear" w:color="auto" w:fill="auto"/>
            <w:vAlign w:val="center"/>
          </w:tcPr>
          <w:p w14:paraId="745384FC">
            <w:pPr>
              <w:adjustRightInd w:val="0"/>
              <w:snapToGrid w:val="0"/>
              <w:spacing w:line="360" w:lineRule="auto"/>
              <w:jc w:val="center"/>
              <w:rPr>
                <w:rFonts w:ascii="宋体" w:hAnsi="宋体"/>
                <w:color w:val="auto"/>
                <w:szCs w:val="28"/>
              </w:rPr>
            </w:pPr>
          </w:p>
        </w:tc>
        <w:tc>
          <w:tcPr>
            <w:tcW w:w="982" w:type="dxa"/>
            <w:shd w:val="clear" w:color="auto" w:fill="auto"/>
            <w:vAlign w:val="center"/>
          </w:tcPr>
          <w:p w14:paraId="6A7E28AB">
            <w:pPr>
              <w:adjustRightInd w:val="0"/>
              <w:snapToGrid w:val="0"/>
              <w:spacing w:line="360" w:lineRule="auto"/>
              <w:jc w:val="center"/>
              <w:rPr>
                <w:rFonts w:ascii="宋体" w:hAnsi="宋体"/>
                <w:color w:val="auto"/>
                <w:szCs w:val="28"/>
              </w:rPr>
            </w:pPr>
          </w:p>
        </w:tc>
        <w:tc>
          <w:tcPr>
            <w:tcW w:w="860" w:type="dxa"/>
            <w:shd w:val="clear" w:color="auto" w:fill="auto"/>
            <w:vAlign w:val="center"/>
          </w:tcPr>
          <w:p w14:paraId="75763B8F">
            <w:pPr>
              <w:adjustRightInd w:val="0"/>
              <w:snapToGrid w:val="0"/>
              <w:spacing w:line="360" w:lineRule="auto"/>
              <w:jc w:val="center"/>
              <w:rPr>
                <w:rFonts w:ascii="宋体" w:hAnsi="宋体"/>
                <w:color w:val="auto"/>
                <w:szCs w:val="28"/>
              </w:rPr>
            </w:pPr>
          </w:p>
        </w:tc>
        <w:tc>
          <w:tcPr>
            <w:tcW w:w="1105" w:type="dxa"/>
            <w:shd w:val="clear" w:color="auto" w:fill="auto"/>
            <w:vAlign w:val="center"/>
          </w:tcPr>
          <w:p w14:paraId="51C54B6A">
            <w:pPr>
              <w:adjustRightInd w:val="0"/>
              <w:snapToGrid w:val="0"/>
              <w:spacing w:line="360" w:lineRule="auto"/>
              <w:jc w:val="center"/>
              <w:rPr>
                <w:rFonts w:ascii="宋体" w:hAnsi="宋体"/>
                <w:color w:val="auto"/>
                <w:szCs w:val="28"/>
              </w:rPr>
            </w:pPr>
          </w:p>
        </w:tc>
      </w:tr>
      <w:tr w14:paraId="54EB4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shd w:val="clear" w:color="auto" w:fill="auto"/>
            <w:vAlign w:val="center"/>
          </w:tcPr>
          <w:p w14:paraId="0130C8EF">
            <w:pPr>
              <w:adjustRightInd w:val="0"/>
              <w:snapToGrid w:val="0"/>
              <w:spacing w:line="360" w:lineRule="auto"/>
              <w:jc w:val="center"/>
              <w:rPr>
                <w:rFonts w:ascii="宋体" w:hAnsi="宋体"/>
                <w:color w:val="auto"/>
                <w:szCs w:val="28"/>
              </w:rPr>
            </w:pPr>
            <w:r>
              <w:rPr>
                <w:rFonts w:hint="eastAsia" w:ascii="宋体" w:hAnsi="宋体"/>
                <w:color w:val="auto"/>
                <w:szCs w:val="28"/>
              </w:rPr>
              <w:t>　</w:t>
            </w:r>
          </w:p>
        </w:tc>
        <w:tc>
          <w:tcPr>
            <w:tcW w:w="1353" w:type="dxa"/>
            <w:shd w:val="clear" w:color="auto" w:fill="auto"/>
            <w:vAlign w:val="center"/>
          </w:tcPr>
          <w:p w14:paraId="2C802E93">
            <w:pPr>
              <w:adjustRightInd w:val="0"/>
              <w:snapToGrid w:val="0"/>
              <w:spacing w:line="360" w:lineRule="auto"/>
              <w:jc w:val="center"/>
              <w:rPr>
                <w:rFonts w:ascii="宋体" w:hAnsi="宋体"/>
                <w:color w:val="auto"/>
                <w:szCs w:val="28"/>
              </w:rPr>
            </w:pPr>
          </w:p>
        </w:tc>
        <w:tc>
          <w:tcPr>
            <w:tcW w:w="1230" w:type="dxa"/>
            <w:shd w:val="clear" w:color="auto" w:fill="auto"/>
            <w:vAlign w:val="center"/>
          </w:tcPr>
          <w:p w14:paraId="475C6104">
            <w:pPr>
              <w:adjustRightInd w:val="0"/>
              <w:snapToGrid w:val="0"/>
              <w:spacing w:line="360" w:lineRule="auto"/>
              <w:jc w:val="center"/>
              <w:rPr>
                <w:rFonts w:ascii="宋体" w:hAnsi="宋体"/>
                <w:color w:val="auto"/>
                <w:szCs w:val="28"/>
              </w:rPr>
            </w:pPr>
          </w:p>
        </w:tc>
        <w:tc>
          <w:tcPr>
            <w:tcW w:w="737" w:type="dxa"/>
            <w:shd w:val="clear" w:color="auto" w:fill="auto"/>
            <w:vAlign w:val="center"/>
          </w:tcPr>
          <w:p w14:paraId="7424D826">
            <w:pPr>
              <w:adjustRightInd w:val="0"/>
              <w:snapToGrid w:val="0"/>
              <w:spacing w:line="360" w:lineRule="auto"/>
              <w:jc w:val="center"/>
              <w:rPr>
                <w:rFonts w:ascii="宋体" w:hAnsi="宋体"/>
                <w:color w:val="auto"/>
                <w:szCs w:val="28"/>
              </w:rPr>
            </w:pPr>
          </w:p>
        </w:tc>
        <w:tc>
          <w:tcPr>
            <w:tcW w:w="615" w:type="dxa"/>
            <w:shd w:val="clear" w:color="auto" w:fill="auto"/>
            <w:vAlign w:val="center"/>
          </w:tcPr>
          <w:p w14:paraId="16A5AA83">
            <w:pPr>
              <w:adjustRightInd w:val="0"/>
              <w:snapToGrid w:val="0"/>
              <w:spacing w:line="360" w:lineRule="auto"/>
              <w:jc w:val="center"/>
              <w:rPr>
                <w:rFonts w:ascii="宋体" w:hAnsi="宋体"/>
                <w:color w:val="auto"/>
                <w:szCs w:val="28"/>
              </w:rPr>
            </w:pPr>
          </w:p>
        </w:tc>
        <w:tc>
          <w:tcPr>
            <w:tcW w:w="860" w:type="dxa"/>
            <w:shd w:val="clear" w:color="auto" w:fill="auto"/>
            <w:vAlign w:val="center"/>
          </w:tcPr>
          <w:p w14:paraId="72B5C9DC">
            <w:pPr>
              <w:adjustRightInd w:val="0"/>
              <w:snapToGrid w:val="0"/>
              <w:spacing w:line="360" w:lineRule="auto"/>
              <w:jc w:val="center"/>
              <w:rPr>
                <w:rFonts w:ascii="宋体" w:hAnsi="宋体"/>
                <w:color w:val="auto"/>
                <w:szCs w:val="28"/>
              </w:rPr>
            </w:pPr>
          </w:p>
        </w:tc>
        <w:tc>
          <w:tcPr>
            <w:tcW w:w="982" w:type="dxa"/>
            <w:shd w:val="clear" w:color="auto" w:fill="auto"/>
            <w:vAlign w:val="center"/>
          </w:tcPr>
          <w:p w14:paraId="19640544">
            <w:pPr>
              <w:adjustRightInd w:val="0"/>
              <w:snapToGrid w:val="0"/>
              <w:spacing w:line="360" w:lineRule="auto"/>
              <w:jc w:val="center"/>
              <w:rPr>
                <w:rFonts w:ascii="宋体" w:hAnsi="宋体"/>
                <w:color w:val="auto"/>
                <w:szCs w:val="28"/>
              </w:rPr>
            </w:pPr>
          </w:p>
        </w:tc>
        <w:tc>
          <w:tcPr>
            <w:tcW w:w="982" w:type="dxa"/>
            <w:shd w:val="clear" w:color="auto" w:fill="auto"/>
            <w:vAlign w:val="center"/>
          </w:tcPr>
          <w:p w14:paraId="60844293">
            <w:pPr>
              <w:adjustRightInd w:val="0"/>
              <w:snapToGrid w:val="0"/>
              <w:spacing w:line="360" w:lineRule="auto"/>
              <w:jc w:val="center"/>
              <w:rPr>
                <w:rFonts w:ascii="宋体" w:hAnsi="宋体"/>
                <w:color w:val="auto"/>
                <w:szCs w:val="28"/>
              </w:rPr>
            </w:pPr>
          </w:p>
        </w:tc>
        <w:tc>
          <w:tcPr>
            <w:tcW w:w="860" w:type="dxa"/>
            <w:shd w:val="clear" w:color="auto" w:fill="auto"/>
            <w:vAlign w:val="center"/>
          </w:tcPr>
          <w:p w14:paraId="4F139F48">
            <w:pPr>
              <w:adjustRightInd w:val="0"/>
              <w:snapToGrid w:val="0"/>
              <w:spacing w:line="360" w:lineRule="auto"/>
              <w:jc w:val="center"/>
              <w:rPr>
                <w:rFonts w:ascii="宋体" w:hAnsi="宋体"/>
                <w:color w:val="auto"/>
                <w:szCs w:val="28"/>
              </w:rPr>
            </w:pPr>
          </w:p>
        </w:tc>
        <w:tc>
          <w:tcPr>
            <w:tcW w:w="1105" w:type="dxa"/>
            <w:shd w:val="clear" w:color="auto" w:fill="auto"/>
            <w:vAlign w:val="center"/>
          </w:tcPr>
          <w:p w14:paraId="6C98982B">
            <w:pPr>
              <w:adjustRightInd w:val="0"/>
              <w:snapToGrid w:val="0"/>
              <w:spacing w:line="360" w:lineRule="auto"/>
              <w:jc w:val="center"/>
              <w:rPr>
                <w:rFonts w:ascii="宋体" w:hAnsi="宋体"/>
                <w:color w:val="auto"/>
                <w:szCs w:val="28"/>
              </w:rPr>
            </w:pPr>
          </w:p>
        </w:tc>
      </w:tr>
      <w:tr w14:paraId="241DA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shd w:val="clear" w:color="auto" w:fill="auto"/>
            <w:vAlign w:val="center"/>
          </w:tcPr>
          <w:p w14:paraId="4E5506DB">
            <w:pPr>
              <w:adjustRightInd w:val="0"/>
              <w:snapToGrid w:val="0"/>
              <w:spacing w:line="360" w:lineRule="auto"/>
              <w:jc w:val="center"/>
              <w:rPr>
                <w:rFonts w:ascii="宋体" w:hAnsi="宋体"/>
                <w:color w:val="auto"/>
                <w:szCs w:val="28"/>
              </w:rPr>
            </w:pPr>
            <w:r>
              <w:rPr>
                <w:rFonts w:hint="eastAsia" w:ascii="宋体" w:hAnsi="宋体"/>
                <w:color w:val="auto"/>
                <w:szCs w:val="28"/>
              </w:rPr>
              <w:t>　</w:t>
            </w:r>
          </w:p>
        </w:tc>
        <w:tc>
          <w:tcPr>
            <w:tcW w:w="1353" w:type="dxa"/>
            <w:shd w:val="clear" w:color="auto" w:fill="auto"/>
            <w:vAlign w:val="center"/>
          </w:tcPr>
          <w:p w14:paraId="081A6428">
            <w:pPr>
              <w:adjustRightInd w:val="0"/>
              <w:snapToGrid w:val="0"/>
              <w:spacing w:line="360" w:lineRule="auto"/>
              <w:jc w:val="center"/>
              <w:rPr>
                <w:rFonts w:ascii="宋体" w:hAnsi="宋体"/>
                <w:color w:val="auto"/>
                <w:szCs w:val="28"/>
              </w:rPr>
            </w:pPr>
          </w:p>
        </w:tc>
        <w:tc>
          <w:tcPr>
            <w:tcW w:w="1230" w:type="dxa"/>
            <w:shd w:val="clear" w:color="auto" w:fill="auto"/>
            <w:vAlign w:val="center"/>
          </w:tcPr>
          <w:p w14:paraId="73F0493D">
            <w:pPr>
              <w:adjustRightInd w:val="0"/>
              <w:snapToGrid w:val="0"/>
              <w:spacing w:line="360" w:lineRule="auto"/>
              <w:jc w:val="center"/>
              <w:rPr>
                <w:rFonts w:ascii="宋体" w:hAnsi="宋体"/>
                <w:color w:val="auto"/>
                <w:szCs w:val="28"/>
              </w:rPr>
            </w:pPr>
          </w:p>
        </w:tc>
        <w:tc>
          <w:tcPr>
            <w:tcW w:w="737" w:type="dxa"/>
            <w:shd w:val="clear" w:color="auto" w:fill="auto"/>
            <w:vAlign w:val="center"/>
          </w:tcPr>
          <w:p w14:paraId="7A9CBE6A">
            <w:pPr>
              <w:adjustRightInd w:val="0"/>
              <w:snapToGrid w:val="0"/>
              <w:spacing w:line="360" w:lineRule="auto"/>
              <w:jc w:val="center"/>
              <w:rPr>
                <w:rFonts w:ascii="宋体" w:hAnsi="宋体"/>
                <w:color w:val="auto"/>
                <w:szCs w:val="28"/>
              </w:rPr>
            </w:pPr>
          </w:p>
        </w:tc>
        <w:tc>
          <w:tcPr>
            <w:tcW w:w="615" w:type="dxa"/>
            <w:shd w:val="clear" w:color="auto" w:fill="auto"/>
            <w:vAlign w:val="center"/>
          </w:tcPr>
          <w:p w14:paraId="1626D0E0">
            <w:pPr>
              <w:adjustRightInd w:val="0"/>
              <w:snapToGrid w:val="0"/>
              <w:spacing w:line="360" w:lineRule="auto"/>
              <w:jc w:val="center"/>
              <w:rPr>
                <w:rFonts w:ascii="宋体" w:hAnsi="宋体"/>
                <w:color w:val="auto"/>
                <w:szCs w:val="28"/>
              </w:rPr>
            </w:pPr>
          </w:p>
        </w:tc>
        <w:tc>
          <w:tcPr>
            <w:tcW w:w="860" w:type="dxa"/>
            <w:shd w:val="clear" w:color="auto" w:fill="auto"/>
            <w:vAlign w:val="center"/>
          </w:tcPr>
          <w:p w14:paraId="4E332C26">
            <w:pPr>
              <w:adjustRightInd w:val="0"/>
              <w:snapToGrid w:val="0"/>
              <w:spacing w:line="360" w:lineRule="auto"/>
              <w:jc w:val="center"/>
              <w:rPr>
                <w:rFonts w:ascii="宋体" w:hAnsi="宋体"/>
                <w:color w:val="auto"/>
                <w:szCs w:val="28"/>
              </w:rPr>
            </w:pPr>
          </w:p>
        </w:tc>
        <w:tc>
          <w:tcPr>
            <w:tcW w:w="982" w:type="dxa"/>
            <w:shd w:val="clear" w:color="auto" w:fill="auto"/>
            <w:vAlign w:val="center"/>
          </w:tcPr>
          <w:p w14:paraId="34509AA9">
            <w:pPr>
              <w:adjustRightInd w:val="0"/>
              <w:snapToGrid w:val="0"/>
              <w:spacing w:line="360" w:lineRule="auto"/>
              <w:jc w:val="center"/>
              <w:rPr>
                <w:rFonts w:ascii="宋体" w:hAnsi="宋体"/>
                <w:color w:val="auto"/>
                <w:szCs w:val="28"/>
              </w:rPr>
            </w:pPr>
          </w:p>
        </w:tc>
        <w:tc>
          <w:tcPr>
            <w:tcW w:w="982" w:type="dxa"/>
            <w:shd w:val="clear" w:color="auto" w:fill="auto"/>
            <w:vAlign w:val="center"/>
          </w:tcPr>
          <w:p w14:paraId="404A9785">
            <w:pPr>
              <w:adjustRightInd w:val="0"/>
              <w:snapToGrid w:val="0"/>
              <w:spacing w:line="360" w:lineRule="auto"/>
              <w:jc w:val="center"/>
              <w:rPr>
                <w:rFonts w:ascii="宋体" w:hAnsi="宋体"/>
                <w:color w:val="auto"/>
                <w:szCs w:val="28"/>
              </w:rPr>
            </w:pPr>
          </w:p>
        </w:tc>
        <w:tc>
          <w:tcPr>
            <w:tcW w:w="860" w:type="dxa"/>
            <w:shd w:val="clear" w:color="auto" w:fill="auto"/>
            <w:vAlign w:val="center"/>
          </w:tcPr>
          <w:p w14:paraId="15CCA5E0">
            <w:pPr>
              <w:adjustRightInd w:val="0"/>
              <w:snapToGrid w:val="0"/>
              <w:spacing w:line="360" w:lineRule="auto"/>
              <w:jc w:val="center"/>
              <w:rPr>
                <w:rFonts w:ascii="宋体" w:hAnsi="宋体"/>
                <w:color w:val="auto"/>
                <w:szCs w:val="28"/>
              </w:rPr>
            </w:pPr>
          </w:p>
        </w:tc>
        <w:tc>
          <w:tcPr>
            <w:tcW w:w="1105" w:type="dxa"/>
            <w:shd w:val="clear" w:color="auto" w:fill="auto"/>
            <w:vAlign w:val="center"/>
          </w:tcPr>
          <w:p w14:paraId="1A0A5220">
            <w:pPr>
              <w:adjustRightInd w:val="0"/>
              <w:snapToGrid w:val="0"/>
              <w:spacing w:line="360" w:lineRule="auto"/>
              <w:jc w:val="center"/>
              <w:rPr>
                <w:rFonts w:ascii="宋体" w:hAnsi="宋体"/>
                <w:color w:val="auto"/>
                <w:szCs w:val="28"/>
              </w:rPr>
            </w:pPr>
          </w:p>
        </w:tc>
      </w:tr>
      <w:tr w14:paraId="19BC6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shd w:val="clear" w:color="auto" w:fill="auto"/>
            <w:vAlign w:val="center"/>
          </w:tcPr>
          <w:p w14:paraId="10B11177">
            <w:pPr>
              <w:adjustRightInd w:val="0"/>
              <w:snapToGrid w:val="0"/>
              <w:spacing w:line="360" w:lineRule="auto"/>
              <w:jc w:val="center"/>
              <w:rPr>
                <w:rFonts w:ascii="宋体" w:hAnsi="宋体"/>
                <w:color w:val="auto"/>
                <w:szCs w:val="28"/>
              </w:rPr>
            </w:pPr>
            <w:r>
              <w:rPr>
                <w:rFonts w:hint="eastAsia" w:ascii="宋体" w:hAnsi="宋体"/>
                <w:color w:val="auto"/>
                <w:szCs w:val="28"/>
              </w:rPr>
              <w:t>　</w:t>
            </w:r>
          </w:p>
        </w:tc>
        <w:tc>
          <w:tcPr>
            <w:tcW w:w="1353" w:type="dxa"/>
            <w:shd w:val="clear" w:color="auto" w:fill="auto"/>
            <w:vAlign w:val="center"/>
          </w:tcPr>
          <w:p w14:paraId="3B9AA760">
            <w:pPr>
              <w:adjustRightInd w:val="0"/>
              <w:snapToGrid w:val="0"/>
              <w:spacing w:line="360" w:lineRule="auto"/>
              <w:jc w:val="center"/>
              <w:rPr>
                <w:rFonts w:ascii="宋体" w:hAnsi="宋体"/>
                <w:color w:val="auto"/>
                <w:szCs w:val="28"/>
              </w:rPr>
            </w:pPr>
          </w:p>
        </w:tc>
        <w:tc>
          <w:tcPr>
            <w:tcW w:w="1230" w:type="dxa"/>
            <w:shd w:val="clear" w:color="auto" w:fill="auto"/>
            <w:vAlign w:val="center"/>
          </w:tcPr>
          <w:p w14:paraId="5CFAEA18">
            <w:pPr>
              <w:adjustRightInd w:val="0"/>
              <w:snapToGrid w:val="0"/>
              <w:spacing w:line="360" w:lineRule="auto"/>
              <w:jc w:val="center"/>
              <w:rPr>
                <w:rFonts w:ascii="宋体" w:hAnsi="宋体"/>
                <w:color w:val="auto"/>
                <w:szCs w:val="28"/>
              </w:rPr>
            </w:pPr>
          </w:p>
        </w:tc>
        <w:tc>
          <w:tcPr>
            <w:tcW w:w="737" w:type="dxa"/>
            <w:shd w:val="clear" w:color="auto" w:fill="auto"/>
            <w:vAlign w:val="center"/>
          </w:tcPr>
          <w:p w14:paraId="35D0B58E">
            <w:pPr>
              <w:adjustRightInd w:val="0"/>
              <w:snapToGrid w:val="0"/>
              <w:spacing w:line="360" w:lineRule="auto"/>
              <w:jc w:val="center"/>
              <w:rPr>
                <w:rFonts w:ascii="宋体" w:hAnsi="宋体"/>
                <w:color w:val="auto"/>
                <w:szCs w:val="28"/>
              </w:rPr>
            </w:pPr>
          </w:p>
        </w:tc>
        <w:tc>
          <w:tcPr>
            <w:tcW w:w="615" w:type="dxa"/>
            <w:shd w:val="clear" w:color="auto" w:fill="auto"/>
            <w:vAlign w:val="center"/>
          </w:tcPr>
          <w:p w14:paraId="068A8FB0">
            <w:pPr>
              <w:adjustRightInd w:val="0"/>
              <w:snapToGrid w:val="0"/>
              <w:spacing w:line="360" w:lineRule="auto"/>
              <w:jc w:val="center"/>
              <w:rPr>
                <w:rFonts w:ascii="宋体" w:hAnsi="宋体"/>
                <w:color w:val="auto"/>
                <w:szCs w:val="28"/>
              </w:rPr>
            </w:pPr>
          </w:p>
        </w:tc>
        <w:tc>
          <w:tcPr>
            <w:tcW w:w="860" w:type="dxa"/>
            <w:shd w:val="clear" w:color="auto" w:fill="auto"/>
            <w:vAlign w:val="center"/>
          </w:tcPr>
          <w:p w14:paraId="3652FABB">
            <w:pPr>
              <w:adjustRightInd w:val="0"/>
              <w:snapToGrid w:val="0"/>
              <w:spacing w:line="360" w:lineRule="auto"/>
              <w:jc w:val="center"/>
              <w:rPr>
                <w:rFonts w:ascii="宋体" w:hAnsi="宋体"/>
                <w:color w:val="auto"/>
                <w:szCs w:val="28"/>
              </w:rPr>
            </w:pPr>
          </w:p>
        </w:tc>
        <w:tc>
          <w:tcPr>
            <w:tcW w:w="982" w:type="dxa"/>
            <w:shd w:val="clear" w:color="auto" w:fill="auto"/>
            <w:vAlign w:val="center"/>
          </w:tcPr>
          <w:p w14:paraId="31C804DE">
            <w:pPr>
              <w:adjustRightInd w:val="0"/>
              <w:snapToGrid w:val="0"/>
              <w:spacing w:line="360" w:lineRule="auto"/>
              <w:jc w:val="center"/>
              <w:rPr>
                <w:rFonts w:ascii="宋体" w:hAnsi="宋体"/>
                <w:color w:val="auto"/>
                <w:szCs w:val="28"/>
              </w:rPr>
            </w:pPr>
          </w:p>
        </w:tc>
        <w:tc>
          <w:tcPr>
            <w:tcW w:w="982" w:type="dxa"/>
            <w:shd w:val="clear" w:color="auto" w:fill="auto"/>
            <w:vAlign w:val="center"/>
          </w:tcPr>
          <w:p w14:paraId="42CF6048">
            <w:pPr>
              <w:adjustRightInd w:val="0"/>
              <w:snapToGrid w:val="0"/>
              <w:spacing w:line="360" w:lineRule="auto"/>
              <w:jc w:val="center"/>
              <w:rPr>
                <w:rFonts w:ascii="宋体" w:hAnsi="宋体"/>
                <w:color w:val="auto"/>
                <w:szCs w:val="28"/>
              </w:rPr>
            </w:pPr>
          </w:p>
        </w:tc>
        <w:tc>
          <w:tcPr>
            <w:tcW w:w="860" w:type="dxa"/>
            <w:shd w:val="clear" w:color="auto" w:fill="auto"/>
            <w:vAlign w:val="center"/>
          </w:tcPr>
          <w:p w14:paraId="68ED712E">
            <w:pPr>
              <w:adjustRightInd w:val="0"/>
              <w:snapToGrid w:val="0"/>
              <w:spacing w:line="360" w:lineRule="auto"/>
              <w:jc w:val="center"/>
              <w:rPr>
                <w:rFonts w:ascii="宋体" w:hAnsi="宋体"/>
                <w:color w:val="auto"/>
                <w:szCs w:val="28"/>
              </w:rPr>
            </w:pPr>
          </w:p>
        </w:tc>
        <w:tc>
          <w:tcPr>
            <w:tcW w:w="1105" w:type="dxa"/>
            <w:shd w:val="clear" w:color="auto" w:fill="auto"/>
            <w:vAlign w:val="center"/>
          </w:tcPr>
          <w:p w14:paraId="6E7BDCAD">
            <w:pPr>
              <w:adjustRightInd w:val="0"/>
              <w:snapToGrid w:val="0"/>
              <w:spacing w:line="360" w:lineRule="auto"/>
              <w:jc w:val="center"/>
              <w:rPr>
                <w:rFonts w:ascii="宋体" w:hAnsi="宋体"/>
                <w:color w:val="auto"/>
                <w:szCs w:val="28"/>
              </w:rPr>
            </w:pPr>
          </w:p>
        </w:tc>
      </w:tr>
      <w:tr w14:paraId="69871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shd w:val="clear" w:color="auto" w:fill="auto"/>
            <w:vAlign w:val="center"/>
          </w:tcPr>
          <w:p w14:paraId="684A284B">
            <w:pPr>
              <w:adjustRightInd w:val="0"/>
              <w:snapToGrid w:val="0"/>
              <w:spacing w:line="360" w:lineRule="auto"/>
              <w:jc w:val="center"/>
              <w:rPr>
                <w:rFonts w:ascii="宋体" w:hAnsi="宋体"/>
                <w:color w:val="auto"/>
                <w:szCs w:val="28"/>
              </w:rPr>
            </w:pPr>
            <w:r>
              <w:rPr>
                <w:rFonts w:hint="eastAsia" w:ascii="宋体" w:hAnsi="宋体"/>
                <w:color w:val="auto"/>
                <w:szCs w:val="28"/>
              </w:rPr>
              <w:t>　</w:t>
            </w:r>
          </w:p>
        </w:tc>
        <w:tc>
          <w:tcPr>
            <w:tcW w:w="1353" w:type="dxa"/>
            <w:shd w:val="clear" w:color="auto" w:fill="auto"/>
            <w:vAlign w:val="center"/>
          </w:tcPr>
          <w:p w14:paraId="0EADC999">
            <w:pPr>
              <w:adjustRightInd w:val="0"/>
              <w:snapToGrid w:val="0"/>
              <w:spacing w:line="360" w:lineRule="auto"/>
              <w:jc w:val="center"/>
              <w:rPr>
                <w:rFonts w:ascii="宋体" w:hAnsi="宋体"/>
                <w:color w:val="auto"/>
                <w:szCs w:val="28"/>
              </w:rPr>
            </w:pPr>
          </w:p>
        </w:tc>
        <w:tc>
          <w:tcPr>
            <w:tcW w:w="1230" w:type="dxa"/>
            <w:shd w:val="clear" w:color="auto" w:fill="auto"/>
            <w:vAlign w:val="center"/>
          </w:tcPr>
          <w:p w14:paraId="0FDF1EDB">
            <w:pPr>
              <w:adjustRightInd w:val="0"/>
              <w:snapToGrid w:val="0"/>
              <w:spacing w:line="360" w:lineRule="auto"/>
              <w:jc w:val="center"/>
              <w:rPr>
                <w:rFonts w:ascii="宋体" w:hAnsi="宋体"/>
                <w:color w:val="auto"/>
                <w:szCs w:val="28"/>
              </w:rPr>
            </w:pPr>
          </w:p>
        </w:tc>
        <w:tc>
          <w:tcPr>
            <w:tcW w:w="737" w:type="dxa"/>
            <w:shd w:val="clear" w:color="auto" w:fill="auto"/>
            <w:vAlign w:val="center"/>
          </w:tcPr>
          <w:p w14:paraId="4C1930FE">
            <w:pPr>
              <w:adjustRightInd w:val="0"/>
              <w:snapToGrid w:val="0"/>
              <w:spacing w:line="360" w:lineRule="auto"/>
              <w:jc w:val="center"/>
              <w:rPr>
                <w:rFonts w:ascii="宋体" w:hAnsi="宋体"/>
                <w:color w:val="auto"/>
                <w:szCs w:val="28"/>
              </w:rPr>
            </w:pPr>
          </w:p>
        </w:tc>
        <w:tc>
          <w:tcPr>
            <w:tcW w:w="615" w:type="dxa"/>
            <w:shd w:val="clear" w:color="auto" w:fill="auto"/>
            <w:vAlign w:val="center"/>
          </w:tcPr>
          <w:p w14:paraId="529EDD98">
            <w:pPr>
              <w:adjustRightInd w:val="0"/>
              <w:snapToGrid w:val="0"/>
              <w:spacing w:line="360" w:lineRule="auto"/>
              <w:jc w:val="center"/>
              <w:rPr>
                <w:rFonts w:ascii="宋体" w:hAnsi="宋体"/>
                <w:color w:val="auto"/>
                <w:szCs w:val="28"/>
              </w:rPr>
            </w:pPr>
          </w:p>
        </w:tc>
        <w:tc>
          <w:tcPr>
            <w:tcW w:w="860" w:type="dxa"/>
            <w:shd w:val="clear" w:color="auto" w:fill="auto"/>
            <w:vAlign w:val="center"/>
          </w:tcPr>
          <w:p w14:paraId="0988DA22">
            <w:pPr>
              <w:adjustRightInd w:val="0"/>
              <w:snapToGrid w:val="0"/>
              <w:spacing w:line="360" w:lineRule="auto"/>
              <w:jc w:val="center"/>
              <w:rPr>
                <w:rFonts w:ascii="宋体" w:hAnsi="宋体"/>
                <w:color w:val="auto"/>
                <w:szCs w:val="28"/>
              </w:rPr>
            </w:pPr>
          </w:p>
        </w:tc>
        <w:tc>
          <w:tcPr>
            <w:tcW w:w="982" w:type="dxa"/>
            <w:shd w:val="clear" w:color="auto" w:fill="auto"/>
            <w:vAlign w:val="center"/>
          </w:tcPr>
          <w:p w14:paraId="1F7AAEF4">
            <w:pPr>
              <w:adjustRightInd w:val="0"/>
              <w:snapToGrid w:val="0"/>
              <w:spacing w:line="360" w:lineRule="auto"/>
              <w:jc w:val="center"/>
              <w:rPr>
                <w:rFonts w:ascii="宋体" w:hAnsi="宋体"/>
                <w:color w:val="auto"/>
                <w:szCs w:val="28"/>
              </w:rPr>
            </w:pPr>
          </w:p>
        </w:tc>
        <w:tc>
          <w:tcPr>
            <w:tcW w:w="982" w:type="dxa"/>
            <w:shd w:val="clear" w:color="auto" w:fill="auto"/>
            <w:vAlign w:val="center"/>
          </w:tcPr>
          <w:p w14:paraId="482CAA26">
            <w:pPr>
              <w:adjustRightInd w:val="0"/>
              <w:snapToGrid w:val="0"/>
              <w:spacing w:line="360" w:lineRule="auto"/>
              <w:jc w:val="center"/>
              <w:rPr>
                <w:rFonts w:ascii="宋体" w:hAnsi="宋体"/>
                <w:color w:val="auto"/>
                <w:szCs w:val="28"/>
              </w:rPr>
            </w:pPr>
          </w:p>
        </w:tc>
        <w:tc>
          <w:tcPr>
            <w:tcW w:w="860" w:type="dxa"/>
            <w:shd w:val="clear" w:color="auto" w:fill="auto"/>
            <w:vAlign w:val="center"/>
          </w:tcPr>
          <w:p w14:paraId="5D8815EB">
            <w:pPr>
              <w:adjustRightInd w:val="0"/>
              <w:snapToGrid w:val="0"/>
              <w:spacing w:line="360" w:lineRule="auto"/>
              <w:jc w:val="center"/>
              <w:rPr>
                <w:rFonts w:ascii="宋体" w:hAnsi="宋体"/>
                <w:color w:val="auto"/>
                <w:szCs w:val="28"/>
              </w:rPr>
            </w:pPr>
          </w:p>
        </w:tc>
        <w:tc>
          <w:tcPr>
            <w:tcW w:w="1105" w:type="dxa"/>
            <w:shd w:val="clear" w:color="auto" w:fill="auto"/>
            <w:vAlign w:val="center"/>
          </w:tcPr>
          <w:p w14:paraId="3F0F8759">
            <w:pPr>
              <w:adjustRightInd w:val="0"/>
              <w:snapToGrid w:val="0"/>
              <w:spacing w:line="360" w:lineRule="auto"/>
              <w:jc w:val="center"/>
              <w:rPr>
                <w:rFonts w:ascii="宋体" w:hAnsi="宋体"/>
                <w:color w:val="auto"/>
                <w:szCs w:val="28"/>
              </w:rPr>
            </w:pPr>
          </w:p>
        </w:tc>
      </w:tr>
      <w:tr w14:paraId="74E9B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shd w:val="clear" w:color="auto" w:fill="auto"/>
            <w:vAlign w:val="center"/>
          </w:tcPr>
          <w:p w14:paraId="79F58EAE">
            <w:pPr>
              <w:adjustRightInd w:val="0"/>
              <w:snapToGrid w:val="0"/>
              <w:spacing w:line="360" w:lineRule="auto"/>
              <w:jc w:val="center"/>
              <w:rPr>
                <w:rFonts w:ascii="宋体" w:hAnsi="宋体"/>
                <w:color w:val="auto"/>
                <w:szCs w:val="28"/>
              </w:rPr>
            </w:pPr>
            <w:r>
              <w:rPr>
                <w:rFonts w:hint="eastAsia" w:ascii="宋体" w:hAnsi="宋体"/>
                <w:color w:val="auto"/>
                <w:szCs w:val="28"/>
              </w:rPr>
              <w:t>　</w:t>
            </w:r>
          </w:p>
        </w:tc>
        <w:tc>
          <w:tcPr>
            <w:tcW w:w="1353" w:type="dxa"/>
            <w:shd w:val="clear" w:color="auto" w:fill="auto"/>
            <w:vAlign w:val="center"/>
          </w:tcPr>
          <w:p w14:paraId="0E0F430D">
            <w:pPr>
              <w:adjustRightInd w:val="0"/>
              <w:snapToGrid w:val="0"/>
              <w:spacing w:line="360" w:lineRule="auto"/>
              <w:jc w:val="center"/>
              <w:rPr>
                <w:rFonts w:ascii="宋体" w:hAnsi="宋体"/>
                <w:color w:val="auto"/>
                <w:szCs w:val="28"/>
              </w:rPr>
            </w:pPr>
          </w:p>
        </w:tc>
        <w:tc>
          <w:tcPr>
            <w:tcW w:w="1230" w:type="dxa"/>
            <w:shd w:val="clear" w:color="auto" w:fill="auto"/>
            <w:vAlign w:val="center"/>
          </w:tcPr>
          <w:p w14:paraId="6E0E1880">
            <w:pPr>
              <w:adjustRightInd w:val="0"/>
              <w:snapToGrid w:val="0"/>
              <w:spacing w:line="360" w:lineRule="auto"/>
              <w:jc w:val="center"/>
              <w:rPr>
                <w:rFonts w:ascii="宋体" w:hAnsi="宋体"/>
                <w:color w:val="auto"/>
                <w:szCs w:val="28"/>
              </w:rPr>
            </w:pPr>
          </w:p>
        </w:tc>
        <w:tc>
          <w:tcPr>
            <w:tcW w:w="737" w:type="dxa"/>
            <w:shd w:val="clear" w:color="auto" w:fill="auto"/>
            <w:vAlign w:val="center"/>
          </w:tcPr>
          <w:p w14:paraId="5E2F61E4">
            <w:pPr>
              <w:adjustRightInd w:val="0"/>
              <w:snapToGrid w:val="0"/>
              <w:spacing w:line="360" w:lineRule="auto"/>
              <w:jc w:val="center"/>
              <w:rPr>
                <w:rFonts w:ascii="宋体" w:hAnsi="宋体"/>
                <w:color w:val="auto"/>
                <w:szCs w:val="28"/>
              </w:rPr>
            </w:pPr>
          </w:p>
        </w:tc>
        <w:tc>
          <w:tcPr>
            <w:tcW w:w="615" w:type="dxa"/>
            <w:shd w:val="clear" w:color="auto" w:fill="auto"/>
            <w:vAlign w:val="center"/>
          </w:tcPr>
          <w:p w14:paraId="28657115">
            <w:pPr>
              <w:adjustRightInd w:val="0"/>
              <w:snapToGrid w:val="0"/>
              <w:spacing w:line="360" w:lineRule="auto"/>
              <w:jc w:val="center"/>
              <w:rPr>
                <w:rFonts w:ascii="宋体" w:hAnsi="宋体"/>
                <w:color w:val="auto"/>
                <w:szCs w:val="28"/>
              </w:rPr>
            </w:pPr>
          </w:p>
        </w:tc>
        <w:tc>
          <w:tcPr>
            <w:tcW w:w="860" w:type="dxa"/>
            <w:shd w:val="clear" w:color="auto" w:fill="auto"/>
            <w:vAlign w:val="center"/>
          </w:tcPr>
          <w:p w14:paraId="532DD474">
            <w:pPr>
              <w:adjustRightInd w:val="0"/>
              <w:snapToGrid w:val="0"/>
              <w:spacing w:line="360" w:lineRule="auto"/>
              <w:jc w:val="center"/>
              <w:rPr>
                <w:rFonts w:ascii="宋体" w:hAnsi="宋体"/>
                <w:color w:val="auto"/>
                <w:szCs w:val="28"/>
              </w:rPr>
            </w:pPr>
          </w:p>
        </w:tc>
        <w:tc>
          <w:tcPr>
            <w:tcW w:w="982" w:type="dxa"/>
            <w:shd w:val="clear" w:color="auto" w:fill="auto"/>
            <w:vAlign w:val="center"/>
          </w:tcPr>
          <w:p w14:paraId="5FFFD346">
            <w:pPr>
              <w:adjustRightInd w:val="0"/>
              <w:snapToGrid w:val="0"/>
              <w:spacing w:line="360" w:lineRule="auto"/>
              <w:jc w:val="center"/>
              <w:rPr>
                <w:rFonts w:ascii="宋体" w:hAnsi="宋体"/>
                <w:color w:val="auto"/>
                <w:szCs w:val="28"/>
              </w:rPr>
            </w:pPr>
          </w:p>
        </w:tc>
        <w:tc>
          <w:tcPr>
            <w:tcW w:w="982" w:type="dxa"/>
            <w:shd w:val="clear" w:color="auto" w:fill="auto"/>
            <w:vAlign w:val="center"/>
          </w:tcPr>
          <w:p w14:paraId="637C23FE">
            <w:pPr>
              <w:adjustRightInd w:val="0"/>
              <w:snapToGrid w:val="0"/>
              <w:spacing w:line="360" w:lineRule="auto"/>
              <w:jc w:val="center"/>
              <w:rPr>
                <w:rFonts w:ascii="宋体" w:hAnsi="宋体"/>
                <w:color w:val="auto"/>
                <w:szCs w:val="28"/>
              </w:rPr>
            </w:pPr>
          </w:p>
        </w:tc>
        <w:tc>
          <w:tcPr>
            <w:tcW w:w="860" w:type="dxa"/>
            <w:shd w:val="clear" w:color="auto" w:fill="auto"/>
            <w:vAlign w:val="center"/>
          </w:tcPr>
          <w:p w14:paraId="20F551EC">
            <w:pPr>
              <w:adjustRightInd w:val="0"/>
              <w:snapToGrid w:val="0"/>
              <w:spacing w:line="360" w:lineRule="auto"/>
              <w:jc w:val="center"/>
              <w:rPr>
                <w:rFonts w:ascii="宋体" w:hAnsi="宋体"/>
                <w:color w:val="auto"/>
                <w:szCs w:val="28"/>
              </w:rPr>
            </w:pPr>
          </w:p>
        </w:tc>
        <w:tc>
          <w:tcPr>
            <w:tcW w:w="1105" w:type="dxa"/>
            <w:shd w:val="clear" w:color="auto" w:fill="auto"/>
            <w:vAlign w:val="center"/>
          </w:tcPr>
          <w:p w14:paraId="29977B83">
            <w:pPr>
              <w:adjustRightInd w:val="0"/>
              <w:snapToGrid w:val="0"/>
              <w:spacing w:line="360" w:lineRule="auto"/>
              <w:jc w:val="center"/>
              <w:rPr>
                <w:rFonts w:ascii="宋体" w:hAnsi="宋体"/>
                <w:color w:val="auto"/>
                <w:szCs w:val="28"/>
              </w:rPr>
            </w:pPr>
          </w:p>
        </w:tc>
      </w:tr>
      <w:tr w14:paraId="00AF5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shd w:val="clear" w:color="auto" w:fill="auto"/>
            <w:vAlign w:val="center"/>
          </w:tcPr>
          <w:p w14:paraId="4FF87DD5">
            <w:pPr>
              <w:adjustRightInd w:val="0"/>
              <w:snapToGrid w:val="0"/>
              <w:spacing w:line="360" w:lineRule="auto"/>
              <w:jc w:val="center"/>
              <w:rPr>
                <w:rFonts w:ascii="宋体" w:hAnsi="宋体"/>
                <w:color w:val="auto"/>
                <w:szCs w:val="28"/>
              </w:rPr>
            </w:pPr>
            <w:r>
              <w:rPr>
                <w:rFonts w:hint="eastAsia" w:ascii="宋体" w:hAnsi="宋体"/>
                <w:color w:val="auto"/>
                <w:szCs w:val="28"/>
              </w:rPr>
              <w:t>　</w:t>
            </w:r>
          </w:p>
        </w:tc>
        <w:tc>
          <w:tcPr>
            <w:tcW w:w="1353" w:type="dxa"/>
            <w:shd w:val="clear" w:color="auto" w:fill="auto"/>
            <w:vAlign w:val="center"/>
          </w:tcPr>
          <w:p w14:paraId="7AF80BD1">
            <w:pPr>
              <w:adjustRightInd w:val="0"/>
              <w:snapToGrid w:val="0"/>
              <w:spacing w:line="360" w:lineRule="auto"/>
              <w:jc w:val="center"/>
              <w:rPr>
                <w:rFonts w:ascii="宋体" w:hAnsi="宋体"/>
                <w:color w:val="auto"/>
                <w:szCs w:val="28"/>
              </w:rPr>
            </w:pPr>
          </w:p>
        </w:tc>
        <w:tc>
          <w:tcPr>
            <w:tcW w:w="1230" w:type="dxa"/>
            <w:shd w:val="clear" w:color="auto" w:fill="auto"/>
            <w:vAlign w:val="center"/>
          </w:tcPr>
          <w:p w14:paraId="0918ECA0">
            <w:pPr>
              <w:adjustRightInd w:val="0"/>
              <w:snapToGrid w:val="0"/>
              <w:spacing w:line="360" w:lineRule="auto"/>
              <w:jc w:val="center"/>
              <w:rPr>
                <w:rFonts w:ascii="宋体" w:hAnsi="宋体"/>
                <w:color w:val="auto"/>
                <w:szCs w:val="28"/>
              </w:rPr>
            </w:pPr>
          </w:p>
        </w:tc>
        <w:tc>
          <w:tcPr>
            <w:tcW w:w="737" w:type="dxa"/>
            <w:shd w:val="clear" w:color="auto" w:fill="auto"/>
            <w:vAlign w:val="center"/>
          </w:tcPr>
          <w:p w14:paraId="69D3BB47">
            <w:pPr>
              <w:adjustRightInd w:val="0"/>
              <w:snapToGrid w:val="0"/>
              <w:spacing w:line="360" w:lineRule="auto"/>
              <w:jc w:val="center"/>
              <w:rPr>
                <w:rFonts w:ascii="宋体" w:hAnsi="宋体"/>
                <w:color w:val="auto"/>
                <w:szCs w:val="28"/>
              </w:rPr>
            </w:pPr>
          </w:p>
        </w:tc>
        <w:tc>
          <w:tcPr>
            <w:tcW w:w="615" w:type="dxa"/>
            <w:shd w:val="clear" w:color="auto" w:fill="auto"/>
            <w:vAlign w:val="center"/>
          </w:tcPr>
          <w:p w14:paraId="53B97FAF">
            <w:pPr>
              <w:adjustRightInd w:val="0"/>
              <w:snapToGrid w:val="0"/>
              <w:spacing w:line="360" w:lineRule="auto"/>
              <w:jc w:val="center"/>
              <w:rPr>
                <w:rFonts w:ascii="宋体" w:hAnsi="宋体"/>
                <w:color w:val="auto"/>
                <w:szCs w:val="28"/>
              </w:rPr>
            </w:pPr>
          </w:p>
        </w:tc>
        <w:tc>
          <w:tcPr>
            <w:tcW w:w="860" w:type="dxa"/>
            <w:shd w:val="clear" w:color="auto" w:fill="auto"/>
            <w:vAlign w:val="center"/>
          </w:tcPr>
          <w:p w14:paraId="6AC8C0CF">
            <w:pPr>
              <w:adjustRightInd w:val="0"/>
              <w:snapToGrid w:val="0"/>
              <w:spacing w:line="360" w:lineRule="auto"/>
              <w:jc w:val="center"/>
              <w:rPr>
                <w:rFonts w:ascii="宋体" w:hAnsi="宋体"/>
                <w:color w:val="auto"/>
                <w:szCs w:val="28"/>
              </w:rPr>
            </w:pPr>
          </w:p>
        </w:tc>
        <w:tc>
          <w:tcPr>
            <w:tcW w:w="982" w:type="dxa"/>
            <w:shd w:val="clear" w:color="auto" w:fill="auto"/>
            <w:vAlign w:val="center"/>
          </w:tcPr>
          <w:p w14:paraId="2D01DED4">
            <w:pPr>
              <w:adjustRightInd w:val="0"/>
              <w:snapToGrid w:val="0"/>
              <w:spacing w:line="360" w:lineRule="auto"/>
              <w:jc w:val="center"/>
              <w:rPr>
                <w:rFonts w:ascii="宋体" w:hAnsi="宋体"/>
                <w:color w:val="auto"/>
                <w:szCs w:val="28"/>
              </w:rPr>
            </w:pPr>
          </w:p>
        </w:tc>
        <w:tc>
          <w:tcPr>
            <w:tcW w:w="982" w:type="dxa"/>
            <w:shd w:val="clear" w:color="auto" w:fill="auto"/>
            <w:vAlign w:val="center"/>
          </w:tcPr>
          <w:p w14:paraId="660B04C7">
            <w:pPr>
              <w:adjustRightInd w:val="0"/>
              <w:snapToGrid w:val="0"/>
              <w:spacing w:line="360" w:lineRule="auto"/>
              <w:jc w:val="center"/>
              <w:rPr>
                <w:rFonts w:ascii="宋体" w:hAnsi="宋体"/>
                <w:color w:val="auto"/>
                <w:szCs w:val="28"/>
              </w:rPr>
            </w:pPr>
          </w:p>
        </w:tc>
        <w:tc>
          <w:tcPr>
            <w:tcW w:w="860" w:type="dxa"/>
            <w:shd w:val="clear" w:color="auto" w:fill="auto"/>
            <w:vAlign w:val="center"/>
          </w:tcPr>
          <w:p w14:paraId="437274E9">
            <w:pPr>
              <w:adjustRightInd w:val="0"/>
              <w:snapToGrid w:val="0"/>
              <w:spacing w:line="360" w:lineRule="auto"/>
              <w:jc w:val="center"/>
              <w:rPr>
                <w:rFonts w:ascii="宋体" w:hAnsi="宋体"/>
                <w:color w:val="auto"/>
                <w:szCs w:val="28"/>
              </w:rPr>
            </w:pPr>
          </w:p>
        </w:tc>
        <w:tc>
          <w:tcPr>
            <w:tcW w:w="1105" w:type="dxa"/>
            <w:shd w:val="clear" w:color="auto" w:fill="auto"/>
            <w:vAlign w:val="center"/>
          </w:tcPr>
          <w:p w14:paraId="131D4EA6">
            <w:pPr>
              <w:adjustRightInd w:val="0"/>
              <w:snapToGrid w:val="0"/>
              <w:spacing w:line="360" w:lineRule="auto"/>
              <w:jc w:val="center"/>
              <w:rPr>
                <w:rFonts w:ascii="宋体" w:hAnsi="宋体"/>
                <w:color w:val="auto"/>
                <w:szCs w:val="28"/>
              </w:rPr>
            </w:pPr>
          </w:p>
        </w:tc>
      </w:tr>
      <w:tr w14:paraId="6A648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shd w:val="clear" w:color="auto" w:fill="auto"/>
            <w:vAlign w:val="center"/>
          </w:tcPr>
          <w:p w14:paraId="4A9AFB90">
            <w:pPr>
              <w:adjustRightInd w:val="0"/>
              <w:snapToGrid w:val="0"/>
              <w:spacing w:line="360" w:lineRule="auto"/>
              <w:jc w:val="center"/>
              <w:rPr>
                <w:rFonts w:ascii="宋体" w:hAnsi="宋体"/>
                <w:color w:val="auto"/>
                <w:szCs w:val="28"/>
              </w:rPr>
            </w:pPr>
            <w:r>
              <w:rPr>
                <w:rFonts w:hint="eastAsia" w:ascii="宋体" w:hAnsi="宋体"/>
                <w:color w:val="auto"/>
                <w:szCs w:val="28"/>
              </w:rPr>
              <w:t>　</w:t>
            </w:r>
          </w:p>
        </w:tc>
        <w:tc>
          <w:tcPr>
            <w:tcW w:w="1353" w:type="dxa"/>
            <w:shd w:val="clear" w:color="auto" w:fill="auto"/>
            <w:vAlign w:val="center"/>
          </w:tcPr>
          <w:p w14:paraId="51CAF5D3">
            <w:pPr>
              <w:adjustRightInd w:val="0"/>
              <w:snapToGrid w:val="0"/>
              <w:spacing w:line="360" w:lineRule="auto"/>
              <w:jc w:val="center"/>
              <w:rPr>
                <w:rFonts w:ascii="宋体" w:hAnsi="宋体"/>
                <w:color w:val="auto"/>
                <w:szCs w:val="28"/>
              </w:rPr>
            </w:pPr>
          </w:p>
        </w:tc>
        <w:tc>
          <w:tcPr>
            <w:tcW w:w="1230" w:type="dxa"/>
            <w:shd w:val="clear" w:color="auto" w:fill="auto"/>
            <w:vAlign w:val="center"/>
          </w:tcPr>
          <w:p w14:paraId="5EBD2FED">
            <w:pPr>
              <w:adjustRightInd w:val="0"/>
              <w:snapToGrid w:val="0"/>
              <w:spacing w:line="360" w:lineRule="auto"/>
              <w:jc w:val="center"/>
              <w:rPr>
                <w:rFonts w:ascii="宋体" w:hAnsi="宋体"/>
                <w:color w:val="auto"/>
                <w:szCs w:val="28"/>
              </w:rPr>
            </w:pPr>
          </w:p>
        </w:tc>
        <w:tc>
          <w:tcPr>
            <w:tcW w:w="737" w:type="dxa"/>
            <w:shd w:val="clear" w:color="auto" w:fill="auto"/>
            <w:vAlign w:val="center"/>
          </w:tcPr>
          <w:p w14:paraId="5249BC6B">
            <w:pPr>
              <w:adjustRightInd w:val="0"/>
              <w:snapToGrid w:val="0"/>
              <w:spacing w:line="360" w:lineRule="auto"/>
              <w:jc w:val="center"/>
              <w:rPr>
                <w:rFonts w:ascii="宋体" w:hAnsi="宋体"/>
                <w:color w:val="auto"/>
                <w:szCs w:val="28"/>
              </w:rPr>
            </w:pPr>
          </w:p>
        </w:tc>
        <w:tc>
          <w:tcPr>
            <w:tcW w:w="615" w:type="dxa"/>
            <w:shd w:val="clear" w:color="auto" w:fill="auto"/>
            <w:vAlign w:val="center"/>
          </w:tcPr>
          <w:p w14:paraId="6C5CBF46">
            <w:pPr>
              <w:adjustRightInd w:val="0"/>
              <w:snapToGrid w:val="0"/>
              <w:spacing w:line="360" w:lineRule="auto"/>
              <w:jc w:val="center"/>
              <w:rPr>
                <w:rFonts w:ascii="宋体" w:hAnsi="宋体"/>
                <w:color w:val="auto"/>
                <w:szCs w:val="28"/>
              </w:rPr>
            </w:pPr>
          </w:p>
        </w:tc>
        <w:tc>
          <w:tcPr>
            <w:tcW w:w="860" w:type="dxa"/>
            <w:shd w:val="clear" w:color="auto" w:fill="auto"/>
            <w:vAlign w:val="center"/>
          </w:tcPr>
          <w:p w14:paraId="1F25D468">
            <w:pPr>
              <w:adjustRightInd w:val="0"/>
              <w:snapToGrid w:val="0"/>
              <w:spacing w:line="360" w:lineRule="auto"/>
              <w:jc w:val="center"/>
              <w:rPr>
                <w:rFonts w:ascii="宋体" w:hAnsi="宋体"/>
                <w:color w:val="auto"/>
                <w:szCs w:val="28"/>
              </w:rPr>
            </w:pPr>
          </w:p>
        </w:tc>
        <w:tc>
          <w:tcPr>
            <w:tcW w:w="982" w:type="dxa"/>
            <w:shd w:val="clear" w:color="auto" w:fill="auto"/>
            <w:vAlign w:val="center"/>
          </w:tcPr>
          <w:p w14:paraId="4F900646">
            <w:pPr>
              <w:adjustRightInd w:val="0"/>
              <w:snapToGrid w:val="0"/>
              <w:spacing w:line="360" w:lineRule="auto"/>
              <w:jc w:val="center"/>
              <w:rPr>
                <w:rFonts w:ascii="宋体" w:hAnsi="宋体"/>
                <w:color w:val="auto"/>
                <w:szCs w:val="28"/>
              </w:rPr>
            </w:pPr>
          </w:p>
        </w:tc>
        <w:tc>
          <w:tcPr>
            <w:tcW w:w="982" w:type="dxa"/>
            <w:shd w:val="clear" w:color="auto" w:fill="auto"/>
            <w:vAlign w:val="center"/>
          </w:tcPr>
          <w:p w14:paraId="5B208548">
            <w:pPr>
              <w:adjustRightInd w:val="0"/>
              <w:snapToGrid w:val="0"/>
              <w:spacing w:line="360" w:lineRule="auto"/>
              <w:jc w:val="center"/>
              <w:rPr>
                <w:rFonts w:ascii="宋体" w:hAnsi="宋体"/>
                <w:color w:val="auto"/>
                <w:szCs w:val="28"/>
              </w:rPr>
            </w:pPr>
          </w:p>
        </w:tc>
        <w:tc>
          <w:tcPr>
            <w:tcW w:w="860" w:type="dxa"/>
            <w:shd w:val="clear" w:color="auto" w:fill="auto"/>
            <w:vAlign w:val="center"/>
          </w:tcPr>
          <w:p w14:paraId="44D85577">
            <w:pPr>
              <w:adjustRightInd w:val="0"/>
              <w:snapToGrid w:val="0"/>
              <w:spacing w:line="360" w:lineRule="auto"/>
              <w:jc w:val="center"/>
              <w:rPr>
                <w:rFonts w:ascii="宋体" w:hAnsi="宋体"/>
                <w:color w:val="auto"/>
                <w:szCs w:val="28"/>
              </w:rPr>
            </w:pPr>
          </w:p>
        </w:tc>
        <w:tc>
          <w:tcPr>
            <w:tcW w:w="1105" w:type="dxa"/>
            <w:shd w:val="clear" w:color="auto" w:fill="auto"/>
            <w:vAlign w:val="center"/>
          </w:tcPr>
          <w:p w14:paraId="46A6EC77">
            <w:pPr>
              <w:adjustRightInd w:val="0"/>
              <w:snapToGrid w:val="0"/>
              <w:spacing w:line="360" w:lineRule="auto"/>
              <w:jc w:val="center"/>
              <w:rPr>
                <w:rFonts w:ascii="宋体" w:hAnsi="宋体"/>
                <w:color w:val="auto"/>
                <w:szCs w:val="28"/>
              </w:rPr>
            </w:pPr>
          </w:p>
        </w:tc>
      </w:tr>
      <w:tr w14:paraId="1988B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shd w:val="clear" w:color="auto" w:fill="auto"/>
            <w:vAlign w:val="center"/>
          </w:tcPr>
          <w:p w14:paraId="57E4F1A1">
            <w:pPr>
              <w:adjustRightInd w:val="0"/>
              <w:snapToGrid w:val="0"/>
              <w:spacing w:line="360" w:lineRule="auto"/>
              <w:jc w:val="center"/>
              <w:rPr>
                <w:rFonts w:ascii="宋体" w:hAnsi="宋体"/>
                <w:color w:val="auto"/>
                <w:szCs w:val="28"/>
              </w:rPr>
            </w:pPr>
            <w:r>
              <w:rPr>
                <w:rFonts w:hint="eastAsia" w:ascii="宋体" w:hAnsi="宋体"/>
                <w:color w:val="auto"/>
                <w:szCs w:val="28"/>
              </w:rPr>
              <w:t>　</w:t>
            </w:r>
          </w:p>
        </w:tc>
        <w:tc>
          <w:tcPr>
            <w:tcW w:w="1353" w:type="dxa"/>
            <w:shd w:val="clear" w:color="auto" w:fill="auto"/>
            <w:vAlign w:val="center"/>
          </w:tcPr>
          <w:p w14:paraId="317781F7">
            <w:pPr>
              <w:adjustRightInd w:val="0"/>
              <w:snapToGrid w:val="0"/>
              <w:spacing w:line="360" w:lineRule="auto"/>
              <w:jc w:val="center"/>
              <w:rPr>
                <w:rFonts w:ascii="宋体" w:hAnsi="宋体"/>
                <w:color w:val="auto"/>
                <w:szCs w:val="28"/>
              </w:rPr>
            </w:pPr>
          </w:p>
        </w:tc>
        <w:tc>
          <w:tcPr>
            <w:tcW w:w="1230" w:type="dxa"/>
            <w:shd w:val="clear" w:color="auto" w:fill="auto"/>
            <w:vAlign w:val="center"/>
          </w:tcPr>
          <w:p w14:paraId="74A8FD2F">
            <w:pPr>
              <w:adjustRightInd w:val="0"/>
              <w:snapToGrid w:val="0"/>
              <w:spacing w:line="360" w:lineRule="auto"/>
              <w:jc w:val="center"/>
              <w:rPr>
                <w:rFonts w:ascii="宋体" w:hAnsi="宋体"/>
                <w:color w:val="auto"/>
                <w:szCs w:val="28"/>
              </w:rPr>
            </w:pPr>
          </w:p>
        </w:tc>
        <w:tc>
          <w:tcPr>
            <w:tcW w:w="737" w:type="dxa"/>
            <w:shd w:val="clear" w:color="auto" w:fill="auto"/>
            <w:vAlign w:val="center"/>
          </w:tcPr>
          <w:p w14:paraId="4B7DAEFE">
            <w:pPr>
              <w:adjustRightInd w:val="0"/>
              <w:snapToGrid w:val="0"/>
              <w:spacing w:line="360" w:lineRule="auto"/>
              <w:jc w:val="center"/>
              <w:rPr>
                <w:rFonts w:ascii="宋体" w:hAnsi="宋体"/>
                <w:color w:val="auto"/>
                <w:szCs w:val="28"/>
              </w:rPr>
            </w:pPr>
          </w:p>
        </w:tc>
        <w:tc>
          <w:tcPr>
            <w:tcW w:w="615" w:type="dxa"/>
            <w:shd w:val="clear" w:color="auto" w:fill="auto"/>
            <w:vAlign w:val="center"/>
          </w:tcPr>
          <w:p w14:paraId="6DBC6C97">
            <w:pPr>
              <w:adjustRightInd w:val="0"/>
              <w:snapToGrid w:val="0"/>
              <w:spacing w:line="360" w:lineRule="auto"/>
              <w:jc w:val="center"/>
              <w:rPr>
                <w:rFonts w:ascii="宋体" w:hAnsi="宋体"/>
                <w:color w:val="auto"/>
                <w:szCs w:val="28"/>
              </w:rPr>
            </w:pPr>
          </w:p>
        </w:tc>
        <w:tc>
          <w:tcPr>
            <w:tcW w:w="860" w:type="dxa"/>
            <w:shd w:val="clear" w:color="auto" w:fill="auto"/>
            <w:vAlign w:val="center"/>
          </w:tcPr>
          <w:p w14:paraId="05DFC68C">
            <w:pPr>
              <w:adjustRightInd w:val="0"/>
              <w:snapToGrid w:val="0"/>
              <w:spacing w:line="360" w:lineRule="auto"/>
              <w:jc w:val="center"/>
              <w:rPr>
                <w:rFonts w:ascii="宋体" w:hAnsi="宋体"/>
                <w:color w:val="auto"/>
                <w:szCs w:val="28"/>
              </w:rPr>
            </w:pPr>
          </w:p>
        </w:tc>
        <w:tc>
          <w:tcPr>
            <w:tcW w:w="982" w:type="dxa"/>
            <w:shd w:val="clear" w:color="auto" w:fill="auto"/>
            <w:vAlign w:val="center"/>
          </w:tcPr>
          <w:p w14:paraId="1911CA97">
            <w:pPr>
              <w:adjustRightInd w:val="0"/>
              <w:snapToGrid w:val="0"/>
              <w:spacing w:line="360" w:lineRule="auto"/>
              <w:jc w:val="center"/>
              <w:rPr>
                <w:rFonts w:ascii="宋体" w:hAnsi="宋体"/>
                <w:color w:val="auto"/>
                <w:szCs w:val="28"/>
              </w:rPr>
            </w:pPr>
          </w:p>
        </w:tc>
        <w:tc>
          <w:tcPr>
            <w:tcW w:w="982" w:type="dxa"/>
            <w:shd w:val="clear" w:color="auto" w:fill="auto"/>
            <w:vAlign w:val="center"/>
          </w:tcPr>
          <w:p w14:paraId="78732A79">
            <w:pPr>
              <w:adjustRightInd w:val="0"/>
              <w:snapToGrid w:val="0"/>
              <w:spacing w:line="360" w:lineRule="auto"/>
              <w:jc w:val="center"/>
              <w:rPr>
                <w:rFonts w:ascii="宋体" w:hAnsi="宋体"/>
                <w:color w:val="auto"/>
                <w:szCs w:val="28"/>
              </w:rPr>
            </w:pPr>
          </w:p>
        </w:tc>
        <w:tc>
          <w:tcPr>
            <w:tcW w:w="860" w:type="dxa"/>
            <w:shd w:val="clear" w:color="auto" w:fill="auto"/>
            <w:vAlign w:val="center"/>
          </w:tcPr>
          <w:p w14:paraId="1CC0836E">
            <w:pPr>
              <w:adjustRightInd w:val="0"/>
              <w:snapToGrid w:val="0"/>
              <w:spacing w:line="360" w:lineRule="auto"/>
              <w:jc w:val="center"/>
              <w:rPr>
                <w:rFonts w:ascii="宋体" w:hAnsi="宋体"/>
                <w:color w:val="auto"/>
                <w:szCs w:val="28"/>
              </w:rPr>
            </w:pPr>
          </w:p>
        </w:tc>
        <w:tc>
          <w:tcPr>
            <w:tcW w:w="1105" w:type="dxa"/>
            <w:shd w:val="clear" w:color="auto" w:fill="auto"/>
            <w:vAlign w:val="center"/>
          </w:tcPr>
          <w:p w14:paraId="49326CB0">
            <w:pPr>
              <w:adjustRightInd w:val="0"/>
              <w:snapToGrid w:val="0"/>
              <w:spacing w:line="360" w:lineRule="auto"/>
              <w:jc w:val="center"/>
              <w:rPr>
                <w:rFonts w:ascii="宋体" w:hAnsi="宋体"/>
                <w:color w:val="auto"/>
                <w:szCs w:val="28"/>
              </w:rPr>
            </w:pPr>
          </w:p>
        </w:tc>
      </w:tr>
      <w:tr w14:paraId="41848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shd w:val="clear" w:color="auto" w:fill="auto"/>
            <w:vAlign w:val="center"/>
          </w:tcPr>
          <w:p w14:paraId="64816A6E">
            <w:pPr>
              <w:adjustRightInd w:val="0"/>
              <w:snapToGrid w:val="0"/>
              <w:spacing w:line="360" w:lineRule="auto"/>
              <w:jc w:val="center"/>
              <w:rPr>
                <w:rFonts w:ascii="宋体" w:hAnsi="宋体"/>
                <w:color w:val="auto"/>
                <w:szCs w:val="28"/>
              </w:rPr>
            </w:pPr>
            <w:r>
              <w:rPr>
                <w:rFonts w:hint="eastAsia" w:ascii="宋体" w:hAnsi="宋体"/>
                <w:color w:val="auto"/>
                <w:szCs w:val="28"/>
              </w:rPr>
              <w:t>　</w:t>
            </w:r>
          </w:p>
        </w:tc>
        <w:tc>
          <w:tcPr>
            <w:tcW w:w="1353" w:type="dxa"/>
            <w:shd w:val="clear" w:color="auto" w:fill="auto"/>
            <w:vAlign w:val="center"/>
          </w:tcPr>
          <w:p w14:paraId="33576DBF">
            <w:pPr>
              <w:adjustRightInd w:val="0"/>
              <w:snapToGrid w:val="0"/>
              <w:spacing w:line="360" w:lineRule="auto"/>
              <w:jc w:val="center"/>
              <w:rPr>
                <w:rFonts w:ascii="宋体" w:hAnsi="宋体"/>
                <w:color w:val="auto"/>
                <w:szCs w:val="28"/>
              </w:rPr>
            </w:pPr>
          </w:p>
        </w:tc>
        <w:tc>
          <w:tcPr>
            <w:tcW w:w="1230" w:type="dxa"/>
            <w:shd w:val="clear" w:color="auto" w:fill="auto"/>
            <w:vAlign w:val="center"/>
          </w:tcPr>
          <w:p w14:paraId="4BC044C5">
            <w:pPr>
              <w:adjustRightInd w:val="0"/>
              <w:snapToGrid w:val="0"/>
              <w:spacing w:line="360" w:lineRule="auto"/>
              <w:jc w:val="center"/>
              <w:rPr>
                <w:rFonts w:ascii="宋体" w:hAnsi="宋体"/>
                <w:color w:val="auto"/>
                <w:szCs w:val="28"/>
              </w:rPr>
            </w:pPr>
          </w:p>
        </w:tc>
        <w:tc>
          <w:tcPr>
            <w:tcW w:w="737" w:type="dxa"/>
            <w:shd w:val="clear" w:color="auto" w:fill="auto"/>
            <w:vAlign w:val="center"/>
          </w:tcPr>
          <w:p w14:paraId="43B7CE12">
            <w:pPr>
              <w:adjustRightInd w:val="0"/>
              <w:snapToGrid w:val="0"/>
              <w:spacing w:line="360" w:lineRule="auto"/>
              <w:jc w:val="center"/>
              <w:rPr>
                <w:rFonts w:ascii="宋体" w:hAnsi="宋体"/>
                <w:color w:val="auto"/>
                <w:szCs w:val="28"/>
              </w:rPr>
            </w:pPr>
          </w:p>
        </w:tc>
        <w:tc>
          <w:tcPr>
            <w:tcW w:w="615" w:type="dxa"/>
            <w:shd w:val="clear" w:color="auto" w:fill="auto"/>
            <w:vAlign w:val="center"/>
          </w:tcPr>
          <w:p w14:paraId="293F6FC5">
            <w:pPr>
              <w:adjustRightInd w:val="0"/>
              <w:snapToGrid w:val="0"/>
              <w:spacing w:line="360" w:lineRule="auto"/>
              <w:jc w:val="center"/>
              <w:rPr>
                <w:rFonts w:ascii="宋体" w:hAnsi="宋体"/>
                <w:color w:val="auto"/>
                <w:szCs w:val="28"/>
              </w:rPr>
            </w:pPr>
          </w:p>
        </w:tc>
        <w:tc>
          <w:tcPr>
            <w:tcW w:w="860" w:type="dxa"/>
            <w:shd w:val="clear" w:color="auto" w:fill="auto"/>
            <w:vAlign w:val="center"/>
          </w:tcPr>
          <w:p w14:paraId="12B64A0B">
            <w:pPr>
              <w:adjustRightInd w:val="0"/>
              <w:snapToGrid w:val="0"/>
              <w:spacing w:line="360" w:lineRule="auto"/>
              <w:jc w:val="center"/>
              <w:rPr>
                <w:rFonts w:ascii="宋体" w:hAnsi="宋体"/>
                <w:color w:val="auto"/>
                <w:szCs w:val="28"/>
              </w:rPr>
            </w:pPr>
          </w:p>
        </w:tc>
        <w:tc>
          <w:tcPr>
            <w:tcW w:w="982" w:type="dxa"/>
            <w:shd w:val="clear" w:color="auto" w:fill="auto"/>
            <w:vAlign w:val="center"/>
          </w:tcPr>
          <w:p w14:paraId="1E3F9340">
            <w:pPr>
              <w:adjustRightInd w:val="0"/>
              <w:snapToGrid w:val="0"/>
              <w:spacing w:line="360" w:lineRule="auto"/>
              <w:jc w:val="center"/>
              <w:rPr>
                <w:rFonts w:ascii="宋体" w:hAnsi="宋体"/>
                <w:color w:val="auto"/>
                <w:szCs w:val="28"/>
              </w:rPr>
            </w:pPr>
          </w:p>
        </w:tc>
        <w:tc>
          <w:tcPr>
            <w:tcW w:w="982" w:type="dxa"/>
            <w:shd w:val="clear" w:color="auto" w:fill="auto"/>
            <w:vAlign w:val="center"/>
          </w:tcPr>
          <w:p w14:paraId="07949411">
            <w:pPr>
              <w:adjustRightInd w:val="0"/>
              <w:snapToGrid w:val="0"/>
              <w:spacing w:line="360" w:lineRule="auto"/>
              <w:jc w:val="center"/>
              <w:rPr>
                <w:rFonts w:ascii="宋体" w:hAnsi="宋体"/>
                <w:color w:val="auto"/>
                <w:szCs w:val="28"/>
              </w:rPr>
            </w:pPr>
          </w:p>
        </w:tc>
        <w:tc>
          <w:tcPr>
            <w:tcW w:w="860" w:type="dxa"/>
            <w:shd w:val="clear" w:color="auto" w:fill="auto"/>
            <w:vAlign w:val="center"/>
          </w:tcPr>
          <w:p w14:paraId="00B978D5">
            <w:pPr>
              <w:adjustRightInd w:val="0"/>
              <w:snapToGrid w:val="0"/>
              <w:spacing w:line="360" w:lineRule="auto"/>
              <w:jc w:val="center"/>
              <w:rPr>
                <w:rFonts w:ascii="宋体" w:hAnsi="宋体"/>
                <w:color w:val="auto"/>
                <w:szCs w:val="28"/>
              </w:rPr>
            </w:pPr>
          </w:p>
        </w:tc>
        <w:tc>
          <w:tcPr>
            <w:tcW w:w="1105" w:type="dxa"/>
            <w:shd w:val="clear" w:color="auto" w:fill="auto"/>
            <w:vAlign w:val="center"/>
          </w:tcPr>
          <w:p w14:paraId="7BF231ED">
            <w:pPr>
              <w:adjustRightInd w:val="0"/>
              <w:snapToGrid w:val="0"/>
              <w:spacing w:line="360" w:lineRule="auto"/>
              <w:jc w:val="center"/>
              <w:rPr>
                <w:rFonts w:ascii="宋体" w:hAnsi="宋体"/>
                <w:color w:val="auto"/>
                <w:szCs w:val="28"/>
              </w:rPr>
            </w:pPr>
          </w:p>
        </w:tc>
      </w:tr>
      <w:tr w14:paraId="7A4B7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shd w:val="clear" w:color="auto" w:fill="auto"/>
            <w:vAlign w:val="center"/>
          </w:tcPr>
          <w:p w14:paraId="602C5B4F">
            <w:pPr>
              <w:adjustRightInd w:val="0"/>
              <w:snapToGrid w:val="0"/>
              <w:spacing w:line="360" w:lineRule="auto"/>
              <w:jc w:val="center"/>
              <w:rPr>
                <w:rFonts w:ascii="宋体" w:hAnsi="宋体"/>
                <w:color w:val="auto"/>
                <w:szCs w:val="28"/>
              </w:rPr>
            </w:pPr>
            <w:r>
              <w:rPr>
                <w:rFonts w:hint="eastAsia" w:ascii="宋体" w:hAnsi="宋体"/>
                <w:color w:val="auto"/>
                <w:szCs w:val="28"/>
              </w:rPr>
              <w:t>　</w:t>
            </w:r>
          </w:p>
        </w:tc>
        <w:tc>
          <w:tcPr>
            <w:tcW w:w="1353" w:type="dxa"/>
            <w:shd w:val="clear" w:color="auto" w:fill="auto"/>
            <w:vAlign w:val="center"/>
          </w:tcPr>
          <w:p w14:paraId="0405EB0C">
            <w:pPr>
              <w:adjustRightInd w:val="0"/>
              <w:snapToGrid w:val="0"/>
              <w:spacing w:line="360" w:lineRule="auto"/>
              <w:jc w:val="center"/>
              <w:rPr>
                <w:rFonts w:ascii="宋体" w:hAnsi="宋体"/>
                <w:color w:val="auto"/>
                <w:szCs w:val="28"/>
              </w:rPr>
            </w:pPr>
          </w:p>
        </w:tc>
        <w:tc>
          <w:tcPr>
            <w:tcW w:w="1230" w:type="dxa"/>
            <w:shd w:val="clear" w:color="auto" w:fill="auto"/>
            <w:vAlign w:val="center"/>
          </w:tcPr>
          <w:p w14:paraId="1300D7A2">
            <w:pPr>
              <w:adjustRightInd w:val="0"/>
              <w:snapToGrid w:val="0"/>
              <w:spacing w:line="360" w:lineRule="auto"/>
              <w:jc w:val="center"/>
              <w:rPr>
                <w:rFonts w:ascii="宋体" w:hAnsi="宋体"/>
                <w:color w:val="auto"/>
                <w:szCs w:val="28"/>
              </w:rPr>
            </w:pPr>
          </w:p>
        </w:tc>
        <w:tc>
          <w:tcPr>
            <w:tcW w:w="737" w:type="dxa"/>
            <w:shd w:val="clear" w:color="auto" w:fill="auto"/>
            <w:vAlign w:val="center"/>
          </w:tcPr>
          <w:p w14:paraId="24EFAB95">
            <w:pPr>
              <w:adjustRightInd w:val="0"/>
              <w:snapToGrid w:val="0"/>
              <w:spacing w:line="360" w:lineRule="auto"/>
              <w:jc w:val="center"/>
              <w:rPr>
                <w:rFonts w:ascii="宋体" w:hAnsi="宋体"/>
                <w:color w:val="auto"/>
                <w:szCs w:val="28"/>
              </w:rPr>
            </w:pPr>
          </w:p>
        </w:tc>
        <w:tc>
          <w:tcPr>
            <w:tcW w:w="615" w:type="dxa"/>
            <w:shd w:val="clear" w:color="auto" w:fill="auto"/>
            <w:vAlign w:val="center"/>
          </w:tcPr>
          <w:p w14:paraId="7826C670">
            <w:pPr>
              <w:adjustRightInd w:val="0"/>
              <w:snapToGrid w:val="0"/>
              <w:spacing w:line="360" w:lineRule="auto"/>
              <w:jc w:val="center"/>
              <w:rPr>
                <w:rFonts w:ascii="宋体" w:hAnsi="宋体"/>
                <w:color w:val="auto"/>
                <w:szCs w:val="28"/>
              </w:rPr>
            </w:pPr>
          </w:p>
        </w:tc>
        <w:tc>
          <w:tcPr>
            <w:tcW w:w="860" w:type="dxa"/>
            <w:shd w:val="clear" w:color="auto" w:fill="auto"/>
            <w:vAlign w:val="center"/>
          </w:tcPr>
          <w:p w14:paraId="58CB3A16">
            <w:pPr>
              <w:adjustRightInd w:val="0"/>
              <w:snapToGrid w:val="0"/>
              <w:spacing w:line="360" w:lineRule="auto"/>
              <w:jc w:val="center"/>
              <w:rPr>
                <w:rFonts w:ascii="宋体" w:hAnsi="宋体"/>
                <w:color w:val="auto"/>
                <w:szCs w:val="28"/>
              </w:rPr>
            </w:pPr>
          </w:p>
        </w:tc>
        <w:tc>
          <w:tcPr>
            <w:tcW w:w="982" w:type="dxa"/>
            <w:shd w:val="clear" w:color="auto" w:fill="auto"/>
            <w:vAlign w:val="center"/>
          </w:tcPr>
          <w:p w14:paraId="3B620812">
            <w:pPr>
              <w:adjustRightInd w:val="0"/>
              <w:snapToGrid w:val="0"/>
              <w:spacing w:line="360" w:lineRule="auto"/>
              <w:jc w:val="center"/>
              <w:rPr>
                <w:rFonts w:ascii="宋体" w:hAnsi="宋体"/>
                <w:color w:val="auto"/>
                <w:szCs w:val="28"/>
              </w:rPr>
            </w:pPr>
          </w:p>
        </w:tc>
        <w:tc>
          <w:tcPr>
            <w:tcW w:w="982" w:type="dxa"/>
            <w:shd w:val="clear" w:color="auto" w:fill="auto"/>
            <w:vAlign w:val="center"/>
          </w:tcPr>
          <w:p w14:paraId="54EA4F72">
            <w:pPr>
              <w:adjustRightInd w:val="0"/>
              <w:snapToGrid w:val="0"/>
              <w:spacing w:line="360" w:lineRule="auto"/>
              <w:jc w:val="center"/>
              <w:rPr>
                <w:rFonts w:ascii="宋体" w:hAnsi="宋体"/>
                <w:color w:val="auto"/>
                <w:szCs w:val="28"/>
              </w:rPr>
            </w:pPr>
          </w:p>
        </w:tc>
        <w:tc>
          <w:tcPr>
            <w:tcW w:w="860" w:type="dxa"/>
            <w:shd w:val="clear" w:color="auto" w:fill="auto"/>
            <w:vAlign w:val="center"/>
          </w:tcPr>
          <w:p w14:paraId="3E837702">
            <w:pPr>
              <w:adjustRightInd w:val="0"/>
              <w:snapToGrid w:val="0"/>
              <w:spacing w:line="360" w:lineRule="auto"/>
              <w:jc w:val="center"/>
              <w:rPr>
                <w:rFonts w:ascii="宋体" w:hAnsi="宋体"/>
                <w:color w:val="auto"/>
                <w:szCs w:val="28"/>
              </w:rPr>
            </w:pPr>
          </w:p>
        </w:tc>
        <w:tc>
          <w:tcPr>
            <w:tcW w:w="1105" w:type="dxa"/>
            <w:shd w:val="clear" w:color="auto" w:fill="auto"/>
            <w:vAlign w:val="center"/>
          </w:tcPr>
          <w:p w14:paraId="76158165">
            <w:pPr>
              <w:adjustRightInd w:val="0"/>
              <w:snapToGrid w:val="0"/>
              <w:spacing w:line="360" w:lineRule="auto"/>
              <w:jc w:val="center"/>
              <w:rPr>
                <w:rFonts w:ascii="宋体" w:hAnsi="宋体"/>
                <w:color w:val="auto"/>
                <w:szCs w:val="28"/>
              </w:rPr>
            </w:pPr>
          </w:p>
        </w:tc>
      </w:tr>
      <w:tr w14:paraId="09ABF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shd w:val="clear" w:color="auto" w:fill="auto"/>
            <w:vAlign w:val="center"/>
          </w:tcPr>
          <w:p w14:paraId="5B6C515E">
            <w:pPr>
              <w:adjustRightInd w:val="0"/>
              <w:snapToGrid w:val="0"/>
              <w:spacing w:line="360" w:lineRule="auto"/>
              <w:jc w:val="center"/>
              <w:rPr>
                <w:rFonts w:ascii="宋体" w:hAnsi="宋体"/>
                <w:color w:val="auto"/>
                <w:szCs w:val="28"/>
              </w:rPr>
            </w:pPr>
            <w:r>
              <w:rPr>
                <w:rFonts w:hint="eastAsia" w:ascii="宋体" w:hAnsi="宋体"/>
                <w:color w:val="auto"/>
                <w:szCs w:val="28"/>
              </w:rPr>
              <w:t>　</w:t>
            </w:r>
          </w:p>
        </w:tc>
        <w:tc>
          <w:tcPr>
            <w:tcW w:w="1353" w:type="dxa"/>
            <w:shd w:val="clear" w:color="auto" w:fill="auto"/>
            <w:vAlign w:val="center"/>
          </w:tcPr>
          <w:p w14:paraId="42AE491F">
            <w:pPr>
              <w:adjustRightInd w:val="0"/>
              <w:snapToGrid w:val="0"/>
              <w:spacing w:line="360" w:lineRule="auto"/>
              <w:jc w:val="center"/>
              <w:rPr>
                <w:rFonts w:ascii="宋体" w:hAnsi="宋体"/>
                <w:color w:val="auto"/>
                <w:szCs w:val="28"/>
              </w:rPr>
            </w:pPr>
          </w:p>
        </w:tc>
        <w:tc>
          <w:tcPr>
            <w:tcW w:w="1230" w:type="dxa"/>
            <w:shd w:val="clear" w:color="auto" w:fill="auto"/>
            <w:vAlign w:val="center"/>
          </w:tcPr>
          <w:p w14:paraId="3864A185">
            <w:pPr>
              <w:adjustRightInd w:val="0"/>
              <w:snapToGrid w:val="0"/>
              <w:spacing w:line="360" w:lineRule="auto"/>
              <w:jc w:val="center"/>
              <w:rPr>
                <w:rFonts w:ascii="宋体" w:hAnsi="宋体"/>
                <w:color w:val="auto"/>
                <w:szCs w:val="28"/>
              </w:rPr>
            </w:pPr>
          </w:p>
        </w:tc>
        <w:tc>
          <w:tcPr>
            <w:tcW w:w="737" w:type="dxa"/>
            <w:shd w:val="clear" w:color="auto" w:fill="auto"/>
            <w:vAlign w:val="center"/>
          </w:tcPr>
          <w:p w14:paraId="29B1DAD1">
            <w:pPr>
              <w:adjustRightInd w:val="0"/>
              <w:snapToGrid w:val="0"/>
              <w:spacing w:line="360" w:lineRule="auto"/>
              <w:jc w:val="center"/>
              <w:rPr>
                <w:rFonts w:ascii="宋体" w:hAnsi="宋体"/>
                <w:color w:val="auto"/>
                <w:szCs w:val="28"/>
              </w:rPr>
            </w:pPr>
          </w:p>
        </w:tc>
        <w:tc>
          <w:tcPr>
            <w:tcW w:w="615" w:type="dxa"/>
            <w:shd w:val="clear" w:color="auto" w:fill="auto"/>
            <w:vAlign w:val="center"/>
          </w:tcPr>
          <w:p w14:paraId="13C4DD15">
            <w:pPr>
              <w:adjustRightInd w:val="0"/>
              <w:snapToGrid w:val="0"/>
              <w:spacing w:line="360" w:lineRule="auto"/>
              <w:jc w:val="center"/>
              <w:rPr>
                <w:rFonts w:ascii="宋体" w:hAnsi="宋体"/>
                <w:color w:val="auto"/>
                <w:szCs w:val="28"/>
              </w:rPr>
            </w:pPr>
          </w:p>
        </w:tc>
        <w:tc>
          <w:tcPr>
            <w:tcW w:w="860" w:type="dxa"/>
            <w:shd w:val="clear" w:color="auto" w:fill="auto"/>
            <w:vAlign w:val="center"/>
          </w:tcPr>
          <w:p w14:paraId="33180642">
            <w:pPr>
              <w:adjustRightInd w:val="0"/>
              <w:snapToGrid w:val="0"/>
              <w:spacing w:line="360" w:lineRule="auto"/>
              <w:jc w:val="center"/>
              <w:rPr>
                <w:rFonts w:ascii="宋体" w:hAnsi="宋体"/>
                <w:color w:val="auto"/>
                <w:szCs w:val="28"/>
              </w:rPr>
            </w:pPr>
          </w:p>
        </w:tc>
        <w:tc>
          <w:tcPr>
            <w:tcW w:w="982" w:type="dxa"/>
            <w:shd w:val="clear" w:color="auto" w:fill="auto"/>
            <w:vAlign w:val="center"/>
          </w:tcPr>
          <w:p w14:paraId="73C9D45A">
            <w:pPr>
              <w:adjustRightInd w:val="0"/>
              <w:snapToGrid w:val="0"/>
              <w:spacing w:line="360" w:lineRule="auto"/>
              <w:jc w:val="center"/>
              <w:rPr>
                <w:rFonts w:ascii="宋体" w:hAnsi="宋体"/>
                <w:color w:val="auto"/>
                <w:szCs w:val="28"/>
              </w:rPr>
            </w:pPr>
          </w:p>
        </w:tc>
        <w:tc>
          <w:tcPr>
            <w:tcW w:w="982" w:type="dxa"/>
            <w:shd w:val="clear" w:color="auto" w:fill="auto"/>
            <w:vAlign w:val="center"/>
          </w:tcPr>
          <w:p w14:paraId="16150AAB">
            <w:pPr>
              <w:adjustRightInd w:val="0"/>
              <w:snapToGrid w:val="0"/>
              <w:spacing w:line="360" w:lineRule="auto"/>
              <w:jc w:val="center"/>
              <w:rPr>
                <w:rFonts w:ascii="宋体" w:hAnsi="宋体"/>
                <w:color w:val="auto"/>
                <w:szCs w:val="28"/>
              </w:rPr>
            </w:pPr>
          </w:p>
        </w:tc>
        <w:tc>
          <w:tcPr>
            <w:tcW w:w="860" w:type="dxa"/>
            <w:shd w:val="clear" w:color="auto" w:fill="auto"/>
            <w:vAlign w:val="center"/>
          </w:tcPr>
          <w:p w14:paraId="6E240A5A">
            <w:pPr>
              <w:adjustRightInd w:val="0"/>
              <w:snapToGrid w:val="0"/>
              <w:spacing w:line="360" w:lineRule="auto"/>
              <w:jc w:val="center"/>
              <w:rPr>
                <w:rFonts w:ascii="宋体" w:hAnsi="宋体"/>
                <w:color w:val="auto"/>
                <w:szCs w:val="28"/>
              </w:rPr>
            </w:pPr>
          </w:p>
        </w:tc>
        <w:tc>
          <w:tcPr>
            <w:tcW w:w="1105" w:type="dxa"/>
            <w:shd w:val="clear" w:color="auto" w:fill="auto"/>
            <w:vAlign w:val="center"/>
          </w:tcPr>
          <w:p w14:paraId="0522F60F">
            <w:pPr>
              <w:adjustRightInd w:val="0"/>
              <w:snapToGrid w:val="0"/>
              <w:spacing w:line="360" w:lineRule="auto"/>
              <w:jc w:val="center"/>
              <w:rPr>
                <w:rFonts w:ascii="宋体" w:hAnsi="宋体"/>
                <w:color w:val="auto"/>
                <w:szCs w:val="28"/>
              </w:rPr>
            </w:pPr>
          </w:p>
        </w:tc>
      </w:tr>
      <w:tr w14:paraId="42542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shd w:val="clear" w:color="auto" w:fill="auto"/>
            <w:vAlign w:val="center"/>
          </w:tcPr>
          <w:p w14:paraId="156E699A">
            <w:pPr>
              <w:adjustRightInd w:val="0"/>
              <w:snapToGrid w:val="0"/>
              <w:spacing w:line="360" w:lineRule="auto"/>
              <w:jc w:val="center"/>
              <w:rPr>
                <w:rFonts w:ascii="宋体" w:hAnsi="宋体"/>
                <w:color w:val="auto"/>
                <w:szCs w:val="28"/>
              </w:rPr>
            </w:pPr>
            <w:r>
              <w:rPr>
                <w:rFonts w:hint="eastAsia" w:ascii="宋体" w:hAnsi="宋体"/>
                <w:color w:val="auto"/>
                <w:szCs w:val="28"/>
              </w:rPr>
              <w:t>　</w:t>
            </w:r>
          </w:p>
        </w:tc>
        <w:tc>
          <w:tcPr>
            <w:tcW w:w="1353" w:type="dxa"/>
            <w:shd w:val="clear" w:color="auto" w:fill="auto"/>
            <w:vAlign w:val="center"/>
          </w:tcPr>
          <w:p w14:paraId="1AA580EE">
            <w:pPr>
              <w:adjustRightInd w:val="0"/>
              <w:snapToGrid w:val="0"/>
              <w:spacing w:line="360" w:lineRule="auto"/>
              <w:jc w:val="center"/>
              <w:rPr>
                <w:rFonts w:ascii="宋体" w:hAnsi="宋体"/>
                <w:color w:val="auto"/>
                <w:szCs w:val="28"/>
              </w:rPr>
            </w:pPr>
          </w:p>
        </w:tc>
        <w:tc>
          <w:tcPr>
            <w:tcW w:w="1230" w:type="dxa"/>
            <w:shd w:val="clear" w:color="auto" w:fill="auto"/>
            <w:vAlign w:val="center"/>
          </w:tcPr>
          <w:p w14:paraId="034FA020">
            <w:pPr>
              <w:adjustRightInd w:val="0"/>
              <w:snapToGrid w:val="0"/>
              <w:spacing w:line="360" w:lineRule="auto"/>
              <w:jc w:val="center"/>
              <w:rPr>
                <w:rFonts w:ascii="宋体" w:hAnsi="宋体"/>
                <w:color w:val="auto"/>
                <w:szCs w:val="28"/>
              </w:rPr>
            </w:pPr>
          </w:p>
        </w:tc>
        <w:tc>
          <w:tcPr>
            <w:tcW w:w="737" w:type="dxa"/>
            <w:shd w:val="clear" w:color="auto" w:fill="auto"/>
            <w:vAlign w:val="center"/>
          </w:tcPr>
          <w:p w14:paraId="16186B89">
            <w:pPr>
              <w:adjustRightInd w:val="0"/>
              <w:snapToGrid w:val="0"/>
              <w:spacing w:line="360" w:lineRule="auto"/>
              <w:jc w:val="center"/>
              <w:rPr>
                <w:rFonts w:ascii="宋体" w:hAnsi="宋体"/>
                <w:color w:val="auto"/>
                <w:szCs w:val="28"/>
              </w:rPr>
            </w:pPr>
          </w:p>
        </w:tc>
        <w:tc>
          <w:tcPr>
            <w:tcW w:w="615" w:type="dxa"/>
            <w:shd w:val="clear" w:color="auto" w:fill="auto"/>
            <w:vAlign w:val="center"/>
          </w:tcPr>
          <w:p w14:paraId="5D98F3C8">
            <w:pPr>
              <w:adjustRightInd w:val="0"/>
              <w:snapToGrid w:val="0"/>
              <w:spacing w:line="360" w:lineRule="auto"/>
              <w:jc w:val="center"/>
              <w:rPr>
                <w:rFonts w:ascii="宋体" w:hAnsi="宋体"/>
                <w:color w:val="auto"/>
                <w:szCs w:val="28"/>
              </w:rPr>
            </w:pPr>
          </w:p>
        </w:tc>
        <w:tc>
          <w:tcPr>
            <w:tcW w:w="860" w:type="dxa"/>
            <w:shd w:val="clear" w:color="auto" w:fill="auto"/>
            <w:vAlign w:val="center"/>
          </w:tcPr>
          <w:p w14:paraId="56D600F7">
            <w:pPr>
              <w:adjustRightInd w:val="0"/>
              <w:snapToGrid w:val="0"/>
              <w:spacing w:line="360" w:lineRule="auto"/>
              <w:jc w:val="center"/>
              <w:rPr>
                <w:rFonts w:ascii="宋体" w:hAnsi="宋体"/>
                <w:color w:val="auto"/>
                <w:szCs w:val="28"/>
              </w:rPr>
            </w:pPr>
          </w:p>
        </w:tc>
        <w:tc>
          <w:tcPr>
            <w:tcW w:w="982" w:type="dxa"/>
            <w:shd w:val="clear" w:color="auto" w:fill="auto"/>
            <w:vAlign w:val="center"/>
          </w:tcPr>
          <w:p w14:paraId="3603DC89">
            <w:pPr>
              <w:adjustRightInd w:val="0"/>
              <w:snapToGrid w:val="0"/>
              <w:spacing w:line="360" w:lineRule="auto"/>
              <w:jc w:val="center"/>
              <w:rPr>
                <w:rFonts w:ascii="宋体" w:hAnsi="宋体"/>
                <w:color w:val="auto"/>
                <w:szCs w:val="28"/>
              </w:rPr>
            </w:pPr>
          </w:p>
        </w:tc>
        <w:tc>
          <w:tcPr>
            <w:tcW w:w="982" w:type="dxa"/>
            <w:shd w:val="clear" w:color="auto" w:fill="auto"/>
            <w:vAlign w:val="center"/>
          </w:tcPr>
          <w:p w14:paraId="1AD89CCB">
            <w:pPr>
              <w:adjustRightInd w:val="0"/>
              <w:snapToGrid w:val="0"/>
              <w:spacing w:line="360" w:lineRule="auto"/>
              <w:jc w:val="center"/>
              <w:rPr>
                <w:rFonts w:ascii="宋体" w:hAnsi="宋体"/>
                <w:color w:val="auto"/>
                <w:szCs w:val="28"/>
              </w:rPr>
            </w:pPr>
          </w:p>
        </w:tc>
        <w:tc>
          <w:tcPr>
            <w:tcW w:w="860" w:type="dxa"/>
            <w:shd w:val="clear" w:color="auto" w:fill="auto"/>
            <w:vAlign w:val="center"/>
          </w:tcPr>
          <w:p w14:paraId="4263A585">
            <w:pPr>
              <w:adjustRightInd w:val="0"/>
              <w:snapToGrid w:val="0"/>
              <w:spacing w:line="360" w:lineRule="auto"/>
              <w:jc w:val="center"/>
              <w:rPr>
                <w:rFonts w:ascii="宋体" w:hAnsi="宋体"/>
                <w:color w:val="auto"/>
                <w:szCs w:val="28"/>
              </w:rPr>
            </w:pPr>
          </w:p>
        </w:tc>
        <w:tc>
          <w:tcPr>
            <w:tcW w:w="1105" w:type="dxa"/>
            <w:shd w:val="clear" w:color="auto" w:fill="auto"/>
            <w:vAlign w:val="center"/>
          </w:tcPr>
          <w:p w14:paraId="7996FCC7">
            <w:pPr>
              <w:adjustRightInd w:val="0"/>
              <w:snapToGrid w:val="0"/>
              <w:spacing w:line="360" w:lineRule="auto"/>
              <w:jc w:val="center"/>
              <w:rPr>
                <w:rFonts w:ascii="宋体" w:hAnsi="宋体"/>
                <w:color w:val="auto"/>
                <w:szCs w:val="28"/>
              </w:rPr>
            </w:pPr>
          </w:p>
        </w:tc>
      </w:tr>
      <w:tr w14:paraId="306DB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shd w:val="clear" w:color="auto" w:fill="auto"/>
            <w:vAlign w:val="center"/>
          </w:tcPr>
          <w:p w14:paraId="0964B64B">
            <w:pPr>
              <w:adjustRightInd w:val="0"/>
              <w:snapToGrid w:val="0"/>
              <w:spacing w:line="360" w:lineRule="auto"/>
              <w:jc w:val="center"/>
              <w:rPr>
                <w:rFonts w:ascii="宋体" w:hAnsi="宋体"/>
                <w:color w:val="auto"/>
                <w:szCs w:val="28"/>
              </w:rPr>
            </w:pPr>
            <w:r>
              <w:rPr>
                <w:rFonts w:hint="eastAsia" w:ascii="宋体" w:hAnsi="宋体"/>
                <w:color w:val="auto"/>
                <w:szCs w:val="28"/>
              </w:rPr>
              <w:t>　</w:t>
            </w:r>
          </w:p>
        </w:tc>
        <w:tc>
          <w:tcPr>
            <w:tcW w:w="1353" w:type="dxa"/>
            <w:shd w:val="clear" w:color="auto" w:fill="auto"/>
            <w:vAlign w:val="center"/>
          </w:tcPr>
          <w:p w14:paraId="650838F5">
            <w:pPr>
              <w:adjustRightInd w:val="0"/>
              <w:snapToGrid w:val="0"/>
              <w:spacing w:line="360" w:lineRule="auto"/>
              <w:jc w:val="center"/>
              <w:rPr>
                <w:rFonts w:ascii="宋体" w:hAnsi="宋体"/>
                <w:color w:val="auto"/>
                <w:szCs w:val="28"/>
              </w:rPr>
            </w:pPr>
          </w:p>
        </w:tc>
        <w:tc>
          <w:tcPr>
            <w:tcW w:w="1230" w:type="dxa"/>
            <w:shd w:val="clear" w:color="auto" w:fill="auto"/>
            <w:vAlign w:val="center"/>
          </w:tcPr>
          <w:p w14:paraId="4E09CB9E">
            <w:pPr>
              <w:adjustRightInd w:val="0"/>
              <w:snapToGrid w:val="0"/>
              <w:spacing w:line="360" w:lineRule="auto"/>
              <w:jc w:val="center"/>
              <w:rPr>
                <w:rFonts w:ascii="宋体" w:hAnsi="宋体"/>
                <w:color w:val="auto"/>
                <w:szCs w:val="28"/>
              </w:rPr>
            </w:pPr>
          </w:p>
        </w:tc>
        <w:tc>
          <w:tcPr>
            <w:tcW w:w="737" w:type="dxa"/>
            <w:shd w:val="clear" w:color="auto" w:fill="auto"/>
            <w:vAlign w:val="center"/>
          </w:tcPr>
          <w:p w14:paraId="010CE843">
            <w:pPr>
              <w:adjustRightInd w:val="0"/>
              <w:snapToGrid w:val="0"/>
              <w:spacing w:line="360" w:lineRule="auto"/>
              <w:jc w:val="center"/>
              <w:rPr>
                <w:rFonts w:ascii="宋体" w:hAnsi="宋体"/>
                <w:color w:val="auto"/>
                <w:szCs w:val="28"/>
              </w:rPr>
            </w:pPr>
          </w:p>
        </w:tc>
        <w:tc>
          <w:tcPr>
            <w:tcW w:w="615" w:type="dxa"/>
            <w:shd w:val="clear" w:color="auto" w:fill="auto"/>
            <w:vAlign w:val="center"/>
          </w:tcPr>
          <w:p w14:paraId="5C636CCD">
            <w:pPr>
              <w:adjustRightInd w:val="0"/>
              <w:snapToGrid w:val="0"/>
              <w:spacing w:line="360" w:lineRule="auto"/>
              <w:jc w:val="center"/>
              <w:rPr>
                <w:rFonts w:ascii="宋体" w:hAnsi="宋体"/>
                <w:color w:val="auto"/>
                <w:szCs w:val="28"/>
              </w:rPr>
            </w:pPr>
          </w:p>
        </w:tc>
        <w:tc>
          <w:tcPr>
            <w:tcW w:w="860" w:type="dxa"/>
            <w:shd w:val="clear" w:color="auto" w:fill="auto"/>
            <w:vAlign w:val="center"/>
          </w:tcPr>
          <w:p w14:paraId="6EEA4779">
            <w:pPr>
              <w:adjustRightInd w:val="0"/>
              <w:snapToGrid w:val="0"/>
              <w:spacing w:line="360" w:lineRule="auto"/>
              <w:jc w:val="center"/>
              <w:rPr>
                <w:rFonts w:ascii="宋体" w:hAnsi="宋体"/>
                <w:color w:val="auto"/>
                <w:szCs w:val="28"/>
              </w:rPr>
            </w:pPr>
          </w:p>
        </w:tc>
        <w:tc>
          <w:tcPr>
            <w:tcW w:w="982" w:type="dxa"/>
            <w:shd w:val="clear" w:color="auto" w:fill="auto"/>
            <w:vAlign w:val="center"/>
          </w:tcPr>
          <w:p w14:paraId="1233158A">
            <w:pPr>
              <w:adjustRightInd w:val="0"/>
              <w:snapToGrid w:val="0"/>
              <w:spacing w:line="360" w:lineRule="auto"/>
              <w:jc w:val="center"/>
              <w:rPr>
                <w:rFonts w:ascii="宋体" w:hAnsi="宋体"/>
                <w:color w:val="auto"/>
                <w:szCs w:val="28"/>
              </w:rPr>
            </w:pPr>
          </w:p>
        </w:tc>
        <w:tc>
          <w:tcPr>
            <w:tcW w:w="982" w:type="dxa"/>
            <w:shd w:val="clear" w:color="auto" w:fill="auto"/>
            <w:vAlign w:val="center"/>
          </w:tcPr>
          <w:p w14:paraId="0FF8E9C1">
            <w:pPr>
              <w:adjustRightInd w:val="0"/>
              <w:snapToGrid w:val="0"/>
              <w:spacing w:line="360" w:lineRule="auto"/>
              <w:jc w:val="center"/>
              <w:rPr>
                <w:rFonts w:ascii="宋体" w:hAnsi="宋体"/>
                <w:color w:val="auto"/>
                <w:szCs w:val="28"/>
              </w:rPr>
            </w:pPr>
          </w:p>
        </w:tc>
        <w:tc>
          <w:tcPr>
            <w:tcW w:w="860" w:type="dxa"/>
            <w:shd w:val="clear" w:color="auto" w:fill="auto"/>
            <w:vAlign w:val="center"/>
          </w:tcPr>
          <w:p w14:paraId="2E89553F">
            <w:pPr>
              <w:adjustRightInd w:val="0"/>
              <w:snapToGrid w:val="0"/>
              <w:spacing w:line="360" w:lineRule="auto"/>
              <w:jc w:val="center"/>
              <w:rPr>
                <w:rFonts w:ascii="宋体" w:hAnsi="宋体"/>
                <w:color w:val="auto"/>
                <w:szCs w:val="28"/>
              </w:rPr>
            </w:pPr>
          </w:p>
        </w:tc>
        <w:tc>
          <w:tcPr>
            <w:tcW w:w="1105" w:type="dxa"/>
            <w:shd w:val="clear" w:color="auto" w:fill="auto"/>
            <w:vAlign w:val="center"/>
          </w:tcPr>
          <w:p w14:paraId="43F0D306">
            <w:pPr>
              <w:adjustRightInd w:val="0"/>
              <w:snapToGrid w:val="0"/>
              <w:spacing w:line="360" w:lineRule="auto"/>
              <w:jc w:val="center"/>
              <w:rPr>
                <w:rFonts w:ascii="宋体" w:hAnsi="宋体"/>
                <w:color w:val="auto"/>
                <w:szCs w:val="28"/>
              </w:rPr>
            </w:pPr>
          </w:p>
        </w:tc>
      </w:tr>
    </w:tbl>
    <w:p w14:paraId="3ECF5315">
      <w:pPr>
        <w:tabs>
          <w:tab w:val="left" w:pos="1440"/>
        </w:tabs>
        <w:adjustRightInd w:val="0"/>
        <w:snapToGrid w:val="0"/>
        <w:spacing w:line="360" w:lineRule="auto"/>
        <w:rPr>
          <w:rFonts w:ascii="宋体" w:hAnsi="宋体"/>
          <w:color w:val="auto"/>
          <w:szCs w:val="21"/>
        </w:rPr>
      </w:pPr>
      <w:r>
        <w:rPr>
          <w:rFonts w:hint="eastAsia" w:ascii="宋体" w:hAnsi="宋体"/>
          <w:color w:val="auto"/>
          <w:szCs w:val="21"/>
        </w:rPr>
        <w:t>备注：除合同另有约定外，本表所列发包人供应材料的数量不考虑施工损耗，施工损耗被认为已经包括在承包人的投标价格中。</w:t>
      </w:r>
    </w:p>
    <w:p w14:paraId="669647F6">
      <w:pPr>
        <w:rPr>
          <w:color w:val="auto"/>
        </w:rPr>
      </w:pPr>
      <w:r>
        <w:rPr>
          <w:color w:val="auto"/>
        </w:rPr>
        <w:br w:type="page"/>
      </w:r>
    </w:p>
    <w:p w14:paraId="63B1D2B3">
      <w:pPr>
        <w:adjustRightInd w:val="0"/>
        <w:snapToGrid w:val="0"/>
        <w:spacing w:line="360" w:lineRule="auto"/>
        <w:outlineLvl w:val="1"/>
        <w:rPr>
          <w:rFonts w:ascii="宋体" w:hAnsi="宋体"/>
          <w:color w:val="auto"/>
          <w:sz w:val="24"/>
        </w:rPr>
      </w:pPr>
      <w:bookmarkStart w:id="1226" w:name="_Toc13447"/>
      <w:bookmarkStart w:id="1227" w:name="_Toc30737"/>
      <w:r>
        <w:rPr>
          <w:rFonts w:hint="eastAsia" w:ascii="宋体" w:hAnsi="宋体"/>
          <w:color w:val="auto"/>
          <w:sz w:val="24"/>
        </w:rPr>
        <w:t>附件五：承包人履约担保格式</w:t>
      </w:r>
      <w:bookmarkEnd w:id="1226"/>
      <w:bookmarkEnd w:id="1227"/>
    </w:p>
    <w:p w14:paraId="53DA1A32">
      <w:pPr>
        <w:adjustRightInd w:val="0"/>
        <w:snapToGrid w:val="0"/>
        <w:spacing w:line="360" w:lineRule="auto"/>
        <w:jc w:val="center"/>
        <w:rPr>
          <w:rFonts w:ascii="宋体" w:hAnsi="宋体"/>
          <w:color w:val="auto"/>
          <w:sz w:val="28"/>
        </w:rPr>
      </w:pPr>
      <w:r>
        <w:rPr>
          <w:rFonts w:hint="eastAsia" w:ascii="宋体" w:hAnsi="宋体"/>
          <w:b/>
          <w:color w:val="auto"/>
          <w:sz w:val="28"/>
        </w:rPr>
        <w:t>承包人履约保函</w:t>
      </w:r>
    </w:p>
    <w:p w14:paraId="2B0D0C6C">
      <w:pPr>
        <w:adjustRightInd w:val="0"/>
        <w:snapToGrid w:val="0"/>
        <w:spacing w:line="360" w:lineRule="auto"/>
        <w:jc w:val="center"/>
        <w:rPr>
          <w:rFonts w:ascii="宋体" w:hAnsi="宋体"/>
          <w:color w:val="auto"/>
        </w:rPr>
      </w:pPr>
    </w:p>
    <w:p w14:paraId="7AFCF227">
      <w:pPr>
        <w:rPr>
          <w:color w:val="auto"/>
        </w:rPr>
      </w:pPr>
      <w:r>
        <w:rPr>
          <w:color w:val="auto"/>
        </w:rPr>
        <w:fldChar w:fldCharType="begin"/>
      </w:r>
      <w:r>
        <w:rPr>
          <w:color w:val="auto"/>
        </w:rPr>
        <w:instrText xml:space="preserve"> </w:instrText>
      </w:r>
      <w:r>
        <w:rPr>
          <w:rFonts w:hint="eastAsia"/>
          <w:color w:val="auto"/>
        </w:rPr>
        <w:instrText xml:space="preserve">AUTOTEXT  履约担保格式 \* MERGEFORMAT</w:instrText>
      </w:r>
      <w:r>
        <w:rPr>
          <w:color w:val="auto"/>
        </w:rPr>
        <w:instrText xml:space="preserve"> </w:instrText>
      </w:r>
      <w:r>
        <w:rPr>
          <w:color w:val="auto"/>
        </w:rPr>
        <w:fldChar w:fldCharType="end"/>
      </w:r>
      <w:r>
        <w:rPr>
          <w:color w:val="auto"/>
        </w:rPr>
        <w:br w:type="page"/>
      </w:r>
    </w:p>
    <w:p w14:paraId="65B1CAAC">
      <w:pPr>
        <w:adjustRightInd w:val="0"/>
        <w:snapToGrid w:val="0"/>
        <w:spacing w:line="360" w:lineRule="auto"/>
        <w:outlineLvl w:val="1"/>
        <w:rPr>
          <w:rFonts w:ascii="宋体" w:hAnsi="宋体"/>
          <w:color w:val="auto"/>
          <w:sz w:val="24"/>
        </w:rPr>
      </w:pPr>
      <w:bookmarkStart w:id="1228" w:name="_Toc471"/>
      <w:bookmarkStart w:id="1229" w:name="_Toc7845"/>
      <w:r>
        <w:rPr>
          <w:rFonts w:hint="eastAsia" w:ascii="宋体" w:hAnsi="宋体"/>
          <w:color w:val="auto"/>
          <w:sz w:val="24"/>
        </w:rPr>
        <w:t>附件六：支付担保格式</w:t>
      </w:r>
      <w:bookmarkEnd w:id="1228"/>
      <w:bookmarkEnd w:id="1229"/>
    </w:p>
    <w:p w14:paraId="2C8C4568">
      <w:pPr>
        <w:adjustRightInd w:val="0"/>
        <w:snapToGrid w:val="0"/>
        <w:spacing w:line="360" w:lineRule="auto"/>
        <w:jc w:val="center"/>
        <w:rPr>
          <w:rFonts w:ascii="宋体" w:hAnsi="宋体"/>
          <w:color w:val="auto"/>
          <w:sz w:val="28"/>
        </w:rPr>
      </w:pPr>
      <w:r>
        <w:rPr>
          <w:rFonts w:hint="eastAsia" w:ascii="宋体" w:hAnsi="宋体"/>
          <w:b/>
          <w:color w:val="auto"/>
          <w:sz w:val="28"/>
        </w:rPr>
        <w:t>发包人支付保函</w:t>
      </w:r>
    </w:p>
    <w:p w14:paraId="02E55F09">
      <w:pPr>
        <w:rPr>
          <w:color w:val="auto"/>
        </w:rPr>
      </w:pPr>
      <w:r>
        <w:rPr>
          <w:color w:val="auto"/>
        </w:rPr>
        <w:fldChar w:fldCharType="begin"/>
      </w:r>
      <w:r>
        <w:rPr>
          <w:color w:val="auto"/>
        </w:rPr>
        <w:instrText xml:space="preserve"> </w:instrText>
      </w:r>
      <w:r>
        <w:rPr>
          <w:rFonts w:hint="eastAsia"/>
          <w:color w:val="auto"/>
        </w:rPr>
        <w:instrText xml:space="preserve">AUTOTEXT  支付担保格式 \* MERGEFORMAT</w:instrText>
      </w:r>
      <w:r>
        <w:rPr>
          <w:color w:val="auto"/>
        </w:rPr>
        <w:instrText xml:space="preserve"> </w:instrText>
      </w:r>
      <w:r>
        <w:rPr>
          <w:color w:val="auto"/>
        </w:rPr>
        <w:fldChar w:fldCharType="end"/>
      </w:r>
      <w:r>
        <w:rPr>
          <w:color w:val="auto"/>
        </w:rPr>
        <w:br w:type="page"/>
      </w:r>
    </w:p>
    <w:p w14:paraId="7A5765A4">
      <w:pPr>
        <w:adjustRightInd w:val="0"/>
        <w:snapToGrid w:val="0"/>
        <w:spacing w:line="360" w:lineRule="auto"/>
        <w:outlineLvl w:val="1"/>
        <w:rPr>
          <w:rFonts w:ascii="宋体" w:hAnsi="宋体"/>
          <w:color w:val="auto"/>
          <w:sz w:val="24"/>
        </w:rPr>
      </w:pPr>
      <w:bookmarkStart w:id="1230" w:name="_Toc15512"/>
      <w:bookmarkStart w:id="1231" w:name="_Toc32196"/>
      <w:r>
        <w:rPr>
          <w:rFonts w:hint="eastAsia" w:ascii="宋体" w:hAnsi="宋体"/>
          <w:color w:val="auto"/>
          <w:sz w:val="24"/>
        </w:rPr>
        <w:t>附件</w:t>
      </w:r>
      <w:r>
        <w:rPr>
          <w:rFonts w:hint="eastAsia" w:ascii="宋体" w:hAnsi="宋体"/>
          <w:color w:val="auto"/>
          <w:sz w:val="24"/>
          <w:lang w:eastAsia="zh-CN"/>
        </w:rPr>
        <w:t>七</w:t>
      </w:r>
      <w:r>
        <w:rPr>
          <w:rFonts w:hint="eastAsia" w:ascii="宋体" w:hAnsi="宋体"/>
          <w:color w:val="auto"/>
          <w:sz w:val="24"/>
        </w:rPr>
        <w:t>：廉政责任书格式</w:t>
      </w:r>
      <w:bookmarkEnd w:id="1230"/>
      <w:bookmarkEnd w:id="1231"/>
    </w:p>
    <w:p w14:paraId="1F73AF34">
      <w:pPr>
        <w:adjustRightInd w:val="0"/>
        <w:snapToGrid w:val="0"/>
        <w:spacing w:line="360" w:lineRule="auto"/>
        <w:jc w:val="center"/>
        <w:rPr>
          <w:rFonts w:ascii="宋体" w:hAnsi="宋体"/>
          <w:color w:val="auto"/>
          <w:sz w:val="28"/>
        </w:rPr>
      </w:pPr>
      <w:r>
        <w:rPr>
          <w:rFonts w:hint="eastAsia" w:ascii="宋体" w:hAnsi="宋体"/>
          <w:b/>
          <w:color w:val="auto"/>
          <w:sz w:val="28"/>
        </w:rPr>
        <w:t>建设工程廉政责任书</w:t>
      </w:r>
    </w:p>
    <w:p w14:paraId="45B20381">
      <w:pPr>
        <w:adjustRightInd w:val="0"/>
        <w:snapToGrid w:val="0"/>
        <w:spacing w:line="360" w:lineRule="auto"/>
        <w:jc w:val="left"/>
        <w:rPr>
          <w:rFonts w:ascii="宋体" w:hAnsi="宋体"/>
          <w:color w:val="auto"/>
        </w:rPr>
      </w:pPr>
    </w:p>
    <w:p w14:paraId="1BB7AD51">
      <w:pPr>
        <w:adjustRightInd w:val="0"/>
        <w:snapToGrid w:val="0"/>
        <w:spacing w:line="360" w:lineRule="auto"/>
        <w:jc w:val="left"/>
        <w:rPr>
          <w:rFonts w:ascii="宋体" w:hAnsi="宋体"/>
          <w:color w:val="auto"/>
        </w:rPr>
      </w:pPr>
      <w:r>
        <w:rPr>
          <w:rFonts w:hint="eastAsia" w:ascii="宋体" w:hAnsi="宋体"/>
          <w:color w:val="auto"/>
        </w:rPr>
        <w:t>发包人：</w:t>
      </w:r>
      <w:r>
        <w:rPr>
          <w:rFonts w:ascii="宋体" w:hAnsi="宋体"/>
          <w:color w:val="auto"/>
          <w:u w:val="single"/>
        </w:rPr>
        <w:t>______________________________________________________________________</w:t>
      </w:r>
    </w:p>
    <w:p w14:paraId="0E193E95">
      <w:pPr>
        <w:adjustRightInd w:val="0"/>
        <w:snapToGrid w:val="0"/>
        <w:spacing w:line="360" w:lineRule="auto"/>
        <w:jc w:val="left"/>
        <w:rPr>
          <w:rFonts w:ascii="宋体" w:hAnsi="宋体"/>
          <w:color w:val="auto"/>
        </w:rPr>
      </w:pPr>
      <w:r>
        <w:rPr>
          <w:rFonts w:hint="eastAsia" w:ascii="宋体" w:hAnsi="宋体"/>
          <w:color w:val="auto"/>
        </w:rPr>
        <w:t>承包人：</w:t>
      </w:r>
      <w:r>
        <w:rPr>
          <w:rFonts w:ascii="宋体" w:hAnsi="宋体"/>
          <w:color w:val="auto"/>
          <w:u w:val="single"/>
        </w:rPr>
        <w:t>______________________________________________________________________</w:t>
      </w:r>
    </w:p>
    <w:p w14:paraId="1B53F441">
      <w:pPr>
        <w:adjustRightInd w:val="0"/>
        <w:snapToGrid w:val="0"/>
        <w:spacing w:line="360" w:lineRule="auto"/>
        <w:jc w:val="left"/>
        <w:rPr>
          <w:rFonts w:ascii="宋体" w:hAnsi="宋体"/>
          <w:color w:val="auto"/>
        </w:rPr>
      </w:pPr>
    </w:p>
    <w:p w14:paraId="0EFC544C">
      <w:pPr>
        <w:adjustRightInd w:val="0"/>
        <w:snapToGrid w:val="0"/>
        <w:spacing w:line="360" w:lineRule="auto"/>
        <w:ind w:firstLine="420" w:firstLineChars="200"/>
        <w:jc w:val="left"/>
        <w:rPr>
          <w:rFonts w:ascii="宋体" w:hAnsi="宋体"/>
          <w:color w:val="auto"/>
          <w:szCs w:val="28"/>
        </w:rPr>
      </w:pPr>
      <w:r>
        <w:rPr>
          <w:rFonts w:ascii="宋体" w:hAnsi="宋体"/>
          <w:color w:val="auto"/>
          <w:szCs w:val="28"/>
        </w:rPr>
        <w:t>为加强建设工程廉政建设，规范</w:t>
      </w:r>
      <w:r>
        <w:rPr>
          <w:rFonts w:hint="eastAsia" w:ascii="宋体" w:hAnsi="宋体"/>
          <w:color w:val="auto"/>
          <w:szCs w:val="28"/>
        </w:rPr>
        <w:t>建设工程</w:t>
      </w:r>
      <w:r>
        <w:rPr>
          <w:rFonts w:ascii="宋体" w:hAnsi="宋体"/>
          <w:color w:val="auto"/>
          <w:szCs w:val="28"/>
        </w:rPr>
        <w:t>各项活动</w:t>
      </w:r>
      <w:r>
        <w:rPr>
          <w:rFonts w:hint="eastAsia" w:ascii="宋体" w:hAnsi="宋体"/>
          <w:color w:val="auto"/>
          <w:szCs w:val="28"/>
        </w:rPr>
        <w:t>中发包人承包人双方的行为</w:t>
      </w:r>
      <w:r>
        <w:rPr>
          <w:rFonts w:ascii="宋体" w:hAnsi="宋体"/>
          <w:color w:val="auto"/>
          <w:szCs w:val="28"/>
        </w:rPr>
        <w:t>，防止谋取不正当利益的违法违纪</w:t>
      </w:r>
      <w:r>
        <w:rPr>
          <w:rFonts w:hint="eastAsia" w:ascii="宋体" w:hAnsi="宋体"/>
          <w:color w:val="auto"/>
          <w:szCs w:val="28"/>
        </w:rPr>
        <w:t>现象的</w:t>
      </w:r>
      <w:r>
        <w:rPr>
          <w:rFonts w:ascii="宋体" w:hAnsi="宋体"/>
          <w:color w:val="auto"/>
          <w:szCs w:val="28"/>
        </w:rPr>
        <w:t>发生，保护国家、集体和当事人的合法权益，根据国家有关工程建设的法律法规和廉政建设</w:t>
      </w:r>
      <w:r>
        <w:rPr>
          <w:rFonts w:hint="eastAsia" w:ascii="宋体" w:hAnsi="宋体"/>
          <w:color w:val="auto"/>
          <w:szCs w:val="28"/>
        </w:rPr>
        <w:t>的有关规定</w:t>
      </w:r>
      <w:r>
        <w:rPr>
          <w:rFonts w:ascii="宋体" w:hAnsi="宋体"/>
          <w:color w:val="auto"/>
          <w:szCs w:val="28"/>
        </w:rPr>
        <w:t>，订立本廉政责任书。</w:t>
      </w:r>
    </w:p>
    <w:p w14:paraId="33B0C7A3">
      <w:pPr>
        <w:adjustRightInd w:val="0"/>
        <w:snapToGrid w:val="0"/>
        <w:spacing w:line="360" w:lineRule="auto"/>
        <w:ind w:firstLine="420" w:firstLineChars="200"/>
        <w:jc w:val="left"/>
        <w:rPr>
          <w:rFonts w:ascii="宋体" w:hAnsi="宋体"/>
          <w:color w:val="auto"/>
          <w:szCs w:val="28"/>
        </w:rPr>
      </w:pPr>
      <w:r>
        <w:rPr>
          <w:rFonts w:hint="eastAsia" w:ascii="宋体" w:hAnsi="宋体"/>
          <w:color w:val="auto"/>
          <w:szCs w:val="28"/>
        </w:rPr>
        <w:t>一、双方的责任</w:t>
      </w:r>
    </w:p>
    <w:p w14:paraId="2400D9ED">
      <w:pPr>
        <w:adjustRightInd w:val="0"/>
        <w:snapToGrid w:val="0"/>
        <w:spacing w:line="360" w:lineRule="auto"/>
        <w:ind w:firstLine="420" w:firstLineChars="200"/>
        <w:jc w:val="left"/>
        <w:rPr>
          <w:rFonts w:ascii="宋体" w:hAnsi="宋体"/>
          <w:color w:val="auto"/>
          <w:szCs w:val="28"/>
        </w:rPr>
      </w:pPr>
      <w:r>
        <w:rPr>
          <w:rFonts w:hint="eastAsia" w:ascii="宋体" w:hAnsi="宋体"/>
          <w:color w:val="auto"/>
          <w:szCs w:val="28"/>
        </w:rPr>
        <w:t>1</w:t>
      </w:r>
      <w:r>
        <w:rPr>
          <w:rFonts w:ascii="宋体" w:hAnsi="宋体"/>
          <w:color w:val="auto"/>
          <w:szCs w:val="28"/>
        </w:rPr>
        <w:t>.1应严格遵守国家关于</w:t>
      </w:r>
      <w:r>
        <w:rPr>
          <w:rFonts w:hint="eastAsia" w:ascii="宋体" w:hAnsi="宋体"/>
          <w:color w:val="auto"/>
          <w:szCs w:val="28"/>
        </w:rPr>
        <w:t>建设工程</w:t>
      </w:r>
      <w:r>
        <w:rPr>
          <w:rFonts w:ascii="宋体" w:hAnsi="宋体"/>
          <w:color w:val="auto"/>
          <w:szCs w:val="28"/>
        </w:rPr>
        <w:t>的有关法律、法规，相关政策，以及廉政建设的各项规定。</w:t>
      </w:r>
    </w:p>
    <w:p w14:paraId="7FF8D00F">
      <w:pPr>
        <w:adjustRightInd w:val="0"/>
        <w:snapToGrid w:val="0"/>
        <w:spacing w:line="360" w:lineRule="auto"/>
        <w:ind w:firstLine="420" w:firstLineChars="200"/>
        <w:jc w:val="left"/>
        <w:rPr>
          <w:rFonts w:ascii="宋体" w:hAnsi="宋体"/>
          <w:color w:val="auto"/>
          <w:szCs w:val="28"/>
        </w:rPr>
      </w:pPr>
      <w:r>
        <w:rPr>
          <w:rFonts w:hint="eastAsia" w:ascii="宋体" w:hAnsi="宋体"/>
          <w:color w:val="auto"/>
          <w:szCs w:val="28"/>
        </w:rPr>
        <w:t>1</w:t>
      </w:r>
      <w:r>
        <w:rPr>
          <w:rFonts w:ascii="宋体" w:hAnsi="宋体"/>
          <w:color w:val="auto"/>
          <w:szCs w:val="28"/>
        </w:rPr>
        <w:t>.</w:t>
      </w:r>
      <w:r>
        <w:rPr>
          <w:rFonts w:hint="eastAsia" w:ascii="宋体" w:hAnsi="宋体"/>
          <w:color w:val="auto"/>
          <w:szCs w:val="28"/>
        </w:rPr>
        <w:t>2</w:t>
      </w:r>
      <w:r>
        <w:rPr>
          <w:rFonts w:ascii="宋体" w:hAnsi="宋体"/>
          <w:color w:val="auto"/>
          <w:szCs w:val="28"/>
        </w:rPr>
        <w:t>严格执行建设工程合同文件，自觉按合同办事。</w:t>
      </w:r>
    </w:p>
    <w:p w14:paraId="273D76DC">
      <w:pPr>
        <w:adjustRightInd w:val="0"/>
        <w:snapToGrid w:val="0"/>
        <w:spacing w:line="360" w:lineRule="auto"/>
        <w:ind w:firstLine="420" w:firstLineChars="200"/>
        <w:jc w:val="left"/>
        <w:rPr>
          <w:rFonts w:ascii="宋体" w:hAnsi="宋体"/>
          <w:color w:val="auto"/>
          <w:szCs w:val="28"/>
        </w:rPr>
      </w:pPr>
      <w:r>
        <w:rPr>
          <w:rFonts w:hint="eastAsia" w:ascii="宋体" w:hAnsi="宋体"/>
          <w:color w:val="auto"/>
          <w:szCs w:val="28"/>
        </w:rPr>
        <w:t>1</w:t>
      </w:r>
      <w:r>
        <w:rPr>
          <w:rFonts w:ascii="宋体" w:hAnsi="宋体"/>
          <w:color w:val="auto"/>
          <w:szCs w:val="28"/>
        </w:rPr>
        <w:t>.</w:t>
      </w:r>
      <w:r>
        <w:rPr>
          <w:rFonts w:hint="eastAsia" w:ascii="宋体" w:hAnsi="宋体"/>
          <w:color w:val="auto"/>
          <w:szCs w:val="28"/>
        </w:rPr>
        <w:t>3各项</w:t>
      </w:r>
      <w:r>
        <w:rPr>
          <w:rFonts w:ascii="宋体" w:hAnsi="宋体"/>
          <w:color w:val="auto"/>
          <w:szCs w:val="28"/>
        </w:rPr>
        <w:t>活动必须坚持公开、公平、公正、诚信、透明的原则（除法律法规另有规定者外），不得为获取不正当的利益，损害国家、集体和对方利益，不得违反建设工程管理的规章制度。</w:t>
      </w:r>
    </w:p>
    <w:p w14:paraId="2CE39CAA">
      <w:pPr>
        <w:adjustRightInd w:val="0"/>
        <w:snapToGrid w:val="0"/>
        <w:spacing w:line="360" w:lineRule="auto"/>
        <w:ind w:firstLine="420" w:firstLineChars="200"/>
        <w:jc w:val="left"/>
        <w:rPr>
          <w:rFonts w:ascii="宋体" w:hAnsi="宋体"/>
          <w:color w:val="auto"/>
          <w:szCs w:val="28"/>
        </w:rPr>
      </w:pPr>
      <w:r>
        <w:rPr>
          <w:rFonts w:hint="eastAsia" w:ascii="宋体" w:hAnsi="宋体"/>
          <w:color w:val="auto"/>
          <w:szCs w:val="28"/>
        </w:rPr>
        <w:t>1</w:t>
      </w:r>
      <w:r>
        <w:rPr>
          <w:rFonts w:ascii="宋体" w:hAnsi="宋体"/>
          <w:color w:val="auto"/>
          <w:szCs w:val="28"/>
        </w:rPr>
        <w:t>.</w:t>
      </w:r>
      <w:r>
        <w:rPr>
          <w:rFonts w:hint="eastAsia" w:ascii="宋体" w:hAnsi="宋体"/>
          <w:color w:val="auto"/>
          <w:szCs w:val="28"/>
        </w:rPr>
        <w:t>4</w:t>
      </w:r>
      <w:r>
        <w:rPr>
          <w:rFonts w:ascii="宋体" w:hAnsi="宋体"/>
          <w:color w:val="auto"/>
          <w:szCs w:val="28"/>
        </w:rPr>
        <w:t>发现对方在业务活动中有违规、违纪、违法行为的，应及时提醒对方，情节严重的，应向其上级主管部门或纪检监察、司法等有关机关举报。</w:t>
      </w:r>
    </w:p>
    <w:p w14:paraId="6C8BD9EC">
      <w:pPr>
        <w:adjustRightInd w:val="0"/>
        <w:snapToGrid w:val="0"/>
        <w:spacing w:line="360" w:lineRule="auto"/>
        <w:ind w:firstLine="420" w:firstLineChars="200"/>
        <w:jc w:val="left"/>
        <w:rPr>
          <w:rFonts w:ascii="宋体" w:hAnsi="宋体"/>
          <w:color w:val="auto"/>
          <w:szCs w:val="28"/>
        </w:rPr>
      </w:pPr>
      <w:r>
        <w:rPr>
          <w:rFonts w:hint="eastAsia" w:ascii="宋体" w:hAnsi="宋体"/>
          <w:color w:val="auto"/>
          <w:szCs w:val="28"/>
        </w:rPr>
        <w:t>二、发包人责任</w:t>
      </w:r>
    </w:p>
    <w:p w14:paraId="51D839D0">
      <w:pPr>
        <w:adjustRightInd w:val="0"/>
        <w:snapToGrid w:val="0"/>
        <w:spacing w:line="360" w:lineRule="auto"/>
        <w:ind w:firstLine="420" w:firstLineChars="200"/>
        <w:jc w:val="left"/>
        <w:rPr>
          <w:rFonts w:ascii="宋体" w:hAnsi="宋体"/>
          <w:color w:val="auto"/>
          <w:szCs w:val="28"/>
        </w:rPr>
      </w:pPr>
      <w:r>
        <w:rPr>
          <w:rFonts w:ascii="宋体" w:hAnsi="宋体"/>
          <w:color w:val="auto"/>
          <w:szCs w:val="28"/>
        </w:rPr>
        <w:t>发包人的领导和从事该建设工程项目的工作人员，在工程建设的事前、事中、事后应遵守以下规定：</w:t>
      </w:r>
    </w:p>
    <w:p w14:paraId="516C8A7F">
      <w:pPr>
        <w:adjustRightInd w:val="0"/>
        <w:snapToGrid w:val="0"/>
        <w:spacing w:line="360" w:lineRule="auto"/>
        <w:ind w:firstLine="420" w:firstLineChars="200"/>
        <w:jc w:val="left"/>
        <w:rPr>
          <w:rFonts w:ascii="宋体" w:hAnsi="宋体"/>
          <w:color w:val="auto"/>
          <w:szCs w:val="28"/>
        </w:rPr>
      </w:pPr>
      <w:r>
        <w:rPr>
          <w:rFonts w:hint="eastAsia" w:ascii="宋体" w:hAnsi="宋体"/>
          <w:color w:val="auto"/>
          <w:szCs w:val="28"/>
        </w:rPr>
        <w:t>2</w:t>
      </w:r>
      <w:r>
        <w:rPr>
          <w:rFonts w:ascii="宋体" w:hAnsi="宋体"/>
          <w:color w:val="auto"/>
          <w:szCs w:val="28"/>
        </w:rPr>
        <w:t>.</w:t>
      </w:r>
      <w:r>
        <w:rPr>
          <w:rFonts w:hint="eastAsia" w:ascii="宋体" w:hAnsi="宋体"/>
          <w:color w:val="auto"/>
          <w:szCs w:val="28"/>
        </w:rPr>
        <w:t>1</w:t>
      </w:r>
      <w:r>
        <w:rPr>
          <w:rFonts w:ascii="宋体" w:hAnsi="宋体"/>
          <w:color w:val="auto"/>
          <w:szCs w:val="28"/>
        </w:rPr>
        <w:t>不得向承包人和相关单位索要或接受回扣、礼金、有价证券、贵重物品和好处费、感谢费等。</w:t>
      </w:r>
    </w:p>
    <w:p w14:paraId="284F5841">
      <w:pPr>
        <w:adjustRightInd w:val="0"/>
        <w:snapToGrid w:val="0"/>
        <w:spacing w:line="360" w:lineRule="auto"/>
        <w:ind w:firstLine="420" w:firstLineChars="200"/>
        <w:jc w:val="left"/>
        <w:rPr>
          <w:rFonts w:ascii="宋体" w:hAnsi="宋体"/>
          <w:color w:val="auto"/>
          <w:szCs w:val="28"/>
        </w:rPr>
      </w:pPr>
      <w:r>
        <w:rPr>
          <w:rFonts w:hint="eastAsia" w:ascii="宋体" w:hAnsi="宋体"/>
          <w:color w:val="auto"/>
          <w:szCs w:val="28"/>
        </w:rPr>
        <w:t>2</w:t>
      </w:r>
      <w:r>
        <w:rPr>
          <w:rFonts w:ascii="宋体" w:hAnsi="宋体"/>
          <w:color w:val="auto"/>
          <w:szCs w:val="28"/>
        </w:rPr>
        <w:t>.</w:t>
      </w:r>
      <w:r>
        <w:rPr>
          <w:rFonts w:hint="eastAsia" w:ascii="宋体" w:hAnsi="宋体"/>
          <w:color w:val="auto"/>
          <w:szCs w:val="28"/>
        </w:rPr>
        <w:t>2</w:t>
      </w:r>
      <w:r>
        <w:rPr>
          <w:rFonts w:ascii="宋体" w:hAnsi="宋体"/>
          <w:color w:val="auto"/>
          <w:szCs w:val="28"/>
        </w:rPr>
        <w:t>不得在承包人和相关单位报销任何应由发包人或个人支付的费用。</w:t>
      </w:r>
    </w:p>
    <w:p w14:paraId="7D8ECE28">
      <w:pPr>
        <w:adjustRightInd w:val="0"/>
        <w:snapToGrid w:val="0"/>
        <w:spacing w:line="360" w:lineRule="auto"/>
        <w:ind w:firstLine="420" w:firstLineChars="200"/>
        <w:jc w:val="left"/>
        <w:rPr>
          <w:rFonts w:ascii="宋体" w:hAnsi="宋体"/>
          <w:color w:val="auto"/>
          <w:szCs w:val="28"/>
        </w:rPr>
      </w:pPr>
      <w:r>
        <w:rPr>
          <w:rFonts w:hint="eastAsia" w:ascii="宋体" w:hAnsi="宋体"/>
          <w:color w:val="auto"/>
          <w:szCs w:val="28"/>
        </w:rPr>
        <w:t>2</w:t>
      </w:r>
      <w:r>
        <w:rPr>
          <w:rFonts w:ascii="宋体" w:hAnsi="宋体"/>
          <w:color w:val="auto"/>
          <w:szCs w:val="28"/>
        </w:rPr>
        <w:t>.</w:t>
      </w:r>
      <w:r>
        <w:rPr>
          <w:rFonts w:hint="eastAsia" w:ascii="宋体" w:hAnsi="宋体"/>
          <w:color w:val="auto"/>
          <w:szCs w:val="28"/>
        </w:rPr>
        <w:t>3</w:t>
      </w:r>
      <w:r>
        <w:rPr>
          <w:rFonts w:ascii="宋体" w:hAnsi="宋体"/>
          <w:color w:val="auto"/>
          <w:szCs w:val="28"/>
        </w:rPr>
        <w:t>不得要求、暗示或接受承包人和相关单位为个人装修住房、婚丧嫁娶、配偶子女的工作安排以及出国（境）、旅游等提供方便。</w:t>
      </w:r>
    </w:p>
    <w:p w14:paraId="51215E8D">
      <w:pPr>
        <w:adjustRightInd w:val="0"/>
        <w:snapToGrid w:val="0"/>
        <w:spacing w:line="360" w:lineRule="auto"/>
        <w:ind w:firstLine="420" w:firstLineChars="200"/>
        <w:jc w:val="left"/>
        <w:rPr>
          <w:rFonts w:ascii="宋体" w:hAnsi="宋体"/>
          <w:color w:val="auto"/>
          <w:szCs w:val="28"/>
        </w:rPr>
      </w:pPr>
      <w:r>
        <w:rPr>
          <w:rFonts w:hint="eastAsia" w:ascii="宋体" w:hAnsi="宋体"/>
          <w:color w:val="auto"/>
          <w:szCs w:val="28"/>
        </w:rPr>
        <w:t>2</w:t>
      </w:r>
      <w:r>
        <w:rPr>
          <w:rFonts w:ascii="宋体" w:hAnsi="宋体"/>
          <w:color w:val="auto"/>
          <w:szCs w:val="28"/>
        </w:rPr>
        <w:t>.</w:t>
      </w:r>
      <w:r>
        <w:rPr>
          <w:rFonts w:hint="eastAsia" w:ascii="宋体" w:hAnsi="宋体"/>
          <w:color w:val="auto"/>
          <w:szCs w:val="28"/>
        </w:rPr>
        <w:t>4</w:t>
      </w:r>
      <w:r>
        <w:rPr>
          <w:rFonts w:ascii="宋体" w:hAnsi="宋体"/>
          <w:color w:val="auto"/>
          <w:szCs w:val="28"/>
        </w:rPr>
        <w:t>不得参加有可能影响公正执行公务的承包人和相关单位的宴请、健身、娱乐等活动。</w:t>
      </w:r>
    </w:p>
    <w:p w14:paraId="521FDD96">
      <w:pPr>
        <w:adjustRightInd w:val="0"/>
        <w:snapToGrid w:val="0"/>
        <w:spacing w:line="360" w:lineRule="auto"/>
        <w:ind w:firstLine="420" w:firstLineChars="200"/>
        <w:jc w:val="left"/>
        <w:rPr>
          <w:rFonts w:ascii="宋体" w:hAnsi="宋体"/>
          <w:color w:val="auto"/>
          <w:szCs w:val="28"/>
        </w:rPr>
      </w:pPr>
      <w:r>
        <w:rPr>
          <w:rFonts w:hint="eastAsia" w:ascii="宋体" w:hAnsi="宋体"/>
          <w:color w:val="auto"/>
          <w:szCs w:val="28"/>
        </w:rPr>
        <w:t>2</w:t>
      </w:r>
      <w:r>
        <w:rPr>
          <w:rFonts w:ascii="宋体" w:hAnsi="宋体"/>
          <w:color w:val="auto"/>
          <w:szCs w:val="28"/>
        </w:rPr>
        <w:t>.</w:t>
      </w:r>
      <w:r>
        <w:rPr>
          <w:rFonts w:hint="eastAsia" w:ascii="宋体" w:hAnsi="宋体"/>
          <w:color w:val="auto"/>
          <w:szCs w:val="28"/>
        </w:rPr>
        <w:t>5</w:t>
      </w:r>
      <w:r>
        <w:rPr>
          <w:rFonts w:ascii="宋体" w:hAnsi="宋体"/>
          <w:color w:val="auto"/>
          <w:szCs w:val="28"/>
        </w:rPr>
        <w:t>不得向承包人和相关单位介绍或为配偶、子女、亲属参与同发包人</w:t>
      </w:r>
      <w:r>
        <w:rPr>
          <w:rFonts w:hint="eastAsia" w:ascii="宋体" w:hAnsi="宋体"/>
          <w:color w:val="auto"/>
          <w:szCs w:val="28"/>
        </w:rPr>
        <w:t>工程建设管理</w:t>
      </w:r>
      <w:r>
        <w:rPr>
          <w:rFonts w:ascii="宋体" w:hAnsi="宋体"/>
          <w:color w:val="auto"/>
          <w:szCs w:val="28"/>
        </w:rPr>
        <w:t>合同有关的业务活动</w:t>
      </w:r>
      <w:r>
        <w:rPr>
          <w:rFonts w:hint="eastAsia" w:ascii="宋体" w:hAnsi="宋体"/>
          <w:color w:val="auto"/>
          <w:szCs w:val="28"/>
        </w:rPr>
        <w:t>；</w:t>
      </w:r>
      <w:r>
        <w:rPr>
          <w:rFonts w:ascii="宋体" w:hAnsi="宋体"/>
          <w:color w:val="auto"/>
          <w:szCs w:val="28"/>
        </w:rPr>
        <w:t>不得以任何理由要求承包人和相关单位使用某种产品、材料和设备。</w:t>
      </w:r>
    </w:p>
    <w:p w14:paraId="1A3D5DBD">
      <w:pPr>
        <w:adjustRightInd w:val="0"/>
        <w:snapToGrid w:val="0"/>
        <w:spacing w:line="360" w:lineRule="auto"/>
        <w:ind w:firstLine="420" w:firstLineChars="200"/>
        <w:jc w:val="left"/>
        <w:rPr>
          <w:rFonts w:ascii="宋体" w:hAnsi="宋体"/>
          <w:color w:val="auto"/>
          <w:szCs w:val="28"/>
        </w:rPr>
      </w:pPr>
      <w:r>
        <w:rPr>
          <w:rFonts w:hint="eastAsia" w:ascii="宋体" w:hAnsi="宋体"/>
          <w:color w:val="auto"/>
          <w:szCs w:val="28"/>
        </w:rPr>
        <w:t>三、承包人责任</w:t>
      </w:r>
    </w:p>
    <w:p w14:paraId="27A367C9">
      <w:pPr>
        <w:adjustRightInd w:val="0"/>
        <w:snapToGrid w:val="0"/>
        <w:spacing w:line="360" w:lineRule="auto"/>
        <w:ind w:firstLine="420" w:firstLineChars="200"/>
        <w:jc w:val="left"/>
        <w:rPr>
          <w:rFonts w:ascii="宋体" w:hAnsi="宋体"/>
          <w:color w:val="auto"/>
          <w:szCs w:val="28"/>
        </w:rPr>
      </w:pPr>
      <w:r>
        <w:rPr>
          <w:rFonts w:ascii="宋体" w:hAnsi="宋体"/>
          <w:color w:val="auto"/>
          <w:szCs w:val="28"/>
        </w:rPr>
        <w:t>应与发包人保持正常的业务交往，按照有关法律法规和程序开展业务工作，严格执行工程建设的有关方针、政策，</w:t>
      </w:r>
      <w:r>
        <w:rPr>
          <w:rFonts w:hint="eastAsia" w:ascii="宋体" w:hAnsi="宋体"/>
          <w:color w:val="auto"/>
          <w:szCs w:val="28"/>
        </w:rPr>
        <w:t>执行工程建设</w:t>
      </w:r>
      <w:r>
        <w:rPr>
          <w:rFonts w:ascii="宋体" w:hAnsi="宋体"/>
          <w:color w:val="auto"/>
          <w:szCs w:val="28"/>
        </w:rPr>
        <w:t>强制性标准，并遵守以下规定：</w:t>
      </w:r>
    </w:p>
    <w:p w14:paraId="6D8AA963">
      <w:pPr>
        <w:adjustRightInd w:val="0"/>
        <w:snapToGrid w:val="0"/>
        <w:spacing w:line="360" w:lineRule="auto"/>
        <w:ind w:firstLine="420" w:firstLineChars="200"/>
        <w:jc w:val="left"/>
        <w:rPr>
          <w:rFonts w:ascii="宋体" w:hAnsi="宋体"/>
          <w:color w:val="auto"/>
          <w:szCs w:val="28"/>
        </w:rPr>
      </w:pPr>
      <w:r>
        <w:rPr>
          <w:rFonts w:hint="eastAsia" w:ascii="宋体" w:hAnsi="宋体"/>
          <w:color w:val="auto"/>
          <w:szCs w:val="28"/>
        </w:rPr>
        <w:t>3</w:t>
      </w:r>
      <w:r>
        <w:rPr>
          <w:rFonts w:ascii="宋体" w:hAnsi="宋体"/>
          <w:color w:val="auto"/>
          <w:szCs w:val="28"/>
        </w:rPr>
        <w:t>.</w:t>
      </w:r>
      <w:r>
        <w:rPr>
          <w:rFonts w:hint="eastAsia" w:ascii="宋体" w:hAnsi="宋体"/>
          <w:color w:val="auto"/>
          <w:szCs w:val="28"/>
        </w:rPr>
        <w:t>1</w:t>
      </w:r>
      <w:r>
        <w:rPr>
          <w:rFonts w:ascii="宋体" w:hAnsi="宋体"/>
          <w:color w:val="auto"/>
          <w:szCs w:val="28"/>
        </w:rPr>
        <w:t>不得以任何理由向发包人及其工作人员索要、接受或赠送礼金、有价证券、贵重物品及回扣、好处费、感谢费等。</w:t>
      </w:r>
    </w:p>
    <w:p w14:paraId="36E3741F">
      <w:pPr>
        <w:adjustRightInd w:val="0"/>
        <w:snapToGrid w:val="0"/>
        <w:spacing w:line="360" w:lineRule="auto"/>
        <w:ind w:firstLine="420" w:firstLineChars="200"/>
        <w:jc w:val="left"/>
        <w:rPr>
          <w:rFonts w:ascii="宋体" w:hAnsi="宋体"/>
          <w:color w:val="auto"/>
          <w:szCs w:val="28"/>
        </w:rPr>
      </w:pPr>
      <w:r>
        <w:rPr>
          <w:rFonts w:hint="eastAsia" w:ascii="宋体" w:hAnsi="宋体"/>
          <w:color w:val="auto"/>
          <w:szCs w:val="28"/>
        </w:rPr>
        <w:t>3</w:t>
      </w:r>
      <w:r>
        <w:rPr>
          <w:rFonts w:ascii="宋体" w:hAnsi="宋体"/>
          <w:color w:val="auto"/>
          <w:szCs w:val="28"/>
        </w:rPr>
        <w:t>.</w:t>
      </w:r>
      <w:r>
        <w:rPr>
          <w:rFonts w:hint="eastAsia" w:ascii="宋体" w:hAnsi="宋体"/>
          <w:color w:val="auto"/>
          <w:szCs w:val="28"/>
        </w:rPr>
        <w:t>2</w:t>
      </w:r>
      <w:r>
        <w:rPr>
          <w:rFonts w:ascii="宋体" w:hAnsi="宋体"/>
          <w:color w:val="auto"/>
          <w:szCs w:val="28"/>
        </w:rPr>
        <w:t>不得以任何理由为发包人和相关单位报销应由对方或个人支付的费用。</w:t>
      </w:r>
    </w:p>
    <w:p w14:paraId="53EFDFA5">
      <w:pPr>
        <w:adjustRightInd w:val="0"/>
        <w:snapToGrid w:val="0"/>
        <w:spacing w:line="360" w:lineRule="auto"/>
        <w:ind w:firstLine="420" w:firstLineChars="200"/>
        <w:jc w:val="left"/>
        <w:rPr>
          <w:rFonts w:ascii="宋体" w:hAnsi="宋体"/>
          <w:color w:val="auto"/>
          <w:szCs w:val="28"/>
        </w:rPr>
      </w:pPr>
      <w:r>
        <w:rPr>
          <w:rFonts w:hint="eastAsia" w:ascii="宋体" w:hAnsi="宋体"/>
          <w:color w:val="auto"/>
          <w:szCs w:val="28"/>
        </w:rPr>
        <w:t>3</w:t>
      </w:r>
      <w:r>
        <w:rPr>
          <w:rFonts w:ascii="宋体" w:hAnsi="宋体"/>
          <w:color w:val="auto"/>
          <w:szCs w:val="28"/>
        </w:rPr>
        <w:t>.</w:t>
      </w:r>
      <w:r>
        <w:rPr>
          <w:rFonts w:hint="eastAsia" w:ascii="宋体" w:hAnsi="宋体"/>
          <w:color w:val="auto"/>
          <w:szCs w:val="28"/>
        </w:rPr>
        <w:t>3</w:t>
      </w:r>
      <w:r>
        <w:rPr>
          <w:rFonts w:ascii="宋体" w:hAnsi="宋体"/>
          <w:color w:val="auto"/>
          <w:szCs w:val="28"/>
        </w:rPr>
        <w:t>不得接受或暗示为发包人、相关单位或个人装修住房、婚丧嫁娶、配偶子女的工作安排以及出国（境）、旅游等提供方便。</w:t>
      </w:r>
    </w:p>
    <w:p w14:paraId="3FF9D0EC">
      <w:pPr>
        <w:adjustRightInd w:val="0"/>
        <w:snapToGrid w:val="0"/>
        <w:spacing w:line="360" w:lineRule="auto"/>
        <w:ind w:firstLine="420" w:firstLineChars="200"/>
        <w:jc w:val="left"/>
        <w:rPr>
          <w:rFonts w:ascii="宋体" w:hAnsi="宋体"/>
          <w:color w:val="auto"/>
          <w:szCs w:val="28"/>
        </w:rPr>
      </w:pPr>
      <w:r>
        <w:rPr>
          <w:rFonts w:hint="eastAsia" w:ascii="宋体" w:hAnsi="宋体"/>
          <w:color w:val="auto"/>
          <w:szCs w:val="28"/>
        </w:rPr>
        <w:t>3</w:t>
      </w:r>
      <w:r>
        <w:rPr>
          <w:rFonts w:ascii="宋体" w:hAnsi="宋体"/>
          <w:color w:val="auto"/>
          <w:szCs w:val="28"/>
        </w:rPr>
        <w:t>.</w:t>
      </w:r>
      <w:r>
        <w:rPr>
          <w:rFonts w:hint="eastAsia" w:ascii="宋体" w:hAnsi="宋体"/>
          <w:color w:val="auto"/>
          <w:szCs w:val="28"/>
        </w:rPr>
        <w:t>4</w:t>
      </w:r>
      <w:r>
        <w:rPr>
          <w:rFonts w:ascii="宋体" w:hAnsi="宋体"/>
          <w:color w:val="auto"/>
          <w:szCs w:val="28"/>
        </w:rPr>
        <w:t>不得以任何理由为发包人、相关单位或个人组织有可能影响公正执行公务的宴请、健身、娱乐等活动。</w:t>
      </w:r>
    </w:p>
    <w:p w14:paraId="02960645">
      <w:pPr>
        <w:adjustRightInd w:val="0"/>
        <w:snapToGrid w:val="0"/>
        <w:spacing w:line="360" w:lineRule="auto"/>
        <w:ind w:firstLine="420" w:firstLineChars="200"/>
        <w:jc w:val="left"/>
        <w:rPr>
          <w:rFonts w:ascii="宋体" w:hAnsi="宋体"/>
          <w:color w:val="auto"/>
          <w:szCs w:val="28"/>
        </w:rPr>
      </w:pPr>
      <w:r>
        <w:rPr>
          <w:rFonts w:hint="eastAsia" w:ascii="宋体" w:hAnsi="宋体"/>
          <w:color w:val="auto"/>
          <w:szCs w:val="28"/>
        </w:rPr>
        <w:t>四、违约责任</w:t>
      </w:r>
    </w:p>
    <w:p w14:paraId="5295B398">
      <w:pPr>
        <w:adjustRightInd w:val="0"/>
        <w:snapToGrid w:val="0"/>
        <w:spacing w:line="360" w:lineRule="auto"/>
        <w:ind w:firstLine="420" w:firstLineChars="200"/>
        <w:jc w:val="left"/>
        <w:rPr>
          <w:rFonts w:ascii="宋体" w:hAnsi="宋体"/>
          <w:color w:val="auto"/>
          <w:szCs w:val="28"/>
        </w:rPr>
      </w:pPr>
      <w:r>
        <w:rPr>
          <w:rFonts w:hint="eastAsia" w:ascii="宋体" w:hAnsi="宋体"/>
          <w:color w:val="auto"/>
          <w:szCs w:val="28"/>
        </w:rPr>
        <w:t>4</w:t>
      </w:r>
      <w:r>
        <w:rPr>
          <w:rFonts w:ascii="宋体" w:hAnsi="宋体"/>
          <w:color w:val="auto"/>
          <w:szCs w:val="28"/>
        </w:rPr>
        <w:t>.</w:t>
      </w:r>
      <w:r>
        <w:rPr>
          <w:rFonts w:hint="eastAsia" w:ascii="宋体" w:hAnsi="宋体"/>
          <w:color w:val="auto"/>
          <w:szCs w:val="28"/>
        </w:rPr>
        <w:t>1</w:t>
      </w:r>
      <w:r>
        <w:rPr>
          <w:rFonts w:ascii="宋体" w:hAnsi="宋体"/>
          <w:color w:val="auto"/>
          <w:szCs w:val="28"/>
        </w:rPr>
        <w:t>发包人工作人员有违反本责任书第一、二条责任行为的，依据有关法律</w:t>
      </w:r>
      <w:r>
        <w:rPr>
          <w:rFonts w:hint="eastAsia" w:ascii="宋体" w:hAnsi="宋体"/>
          <w:color w:val="auto"/>
          <w:szCs w:val="28"/>
        </w:rPr>
        <w:t>、</w:t>
      </w:r>
      <w:r>
        <w:rPr>
          <w:rFonts w:ascii="宋体" w:hAnsi="宋体"/>
          <w:color w:val="auto"/>
          <w:szCs w:val="28"/>
        </w:rPr>
        <w:t>法规给予处理；涉嫌犯罪的，移交司法机关追究刑事责任；给承包人单位造成经济损失的，应予以赔偿。</w:t>
      </w:r>
    </w:p>
    <w:p w14:paraId="06AB367D">
      <w:pPr>
        <w:adjustRightInd w:val="0"/>
        <w:snapToGrid w:val="0"/>
        <w:spacing w:line="360" w:lineRule="auto"/>
        <w:ind w:firstLine="420" w:firstLineChars="200"/>
        <w:jc w:val="left"/>
        <w:rPr>
          <w:rFonts w:ascii="宋体" w:hAnsi="宋体"/>
          <w:color w:val="auto"/>
          <w:szCs w:val="28"/>
        </w:rPr>
      </w:pPr>
      <w:r>
        <w:rPr>
          <w:rFonts w:hint="eastAsia" w:ascii="宋体" w:hAnsi="宋体"/>
          <w:color w:val="auto"/>
          <w:szCs w:val="28"/>
        </w:rPr>
        <w:t>4</w:t>
      </w:r>
      <w:r>
        <w:rPr>
          <w:rFonts w:ascii="宋体" w:hAnsi="宋体"/>
          <w:color w:val="auto"/>
          <w:szCs w:val="28"/>
        </w:rPr>
        <w:t>.</w:t>
      </w:r>
      <w:r>
        <w:rPr>
          <w:rFonts w:hint="eastAsia" w:ascii="宋体" w:hAnsi="宋体"/>
          <w:color w:val="auto"/>
          <w:szCs w:val="28"/>
        </w:rPr>
        <w:t>2</w:t>
      </w:r>
      <w:r>
        <w:rPr>
          <w:rFonts w:ascii="宋体" w:hAnsi="宋体"/>
          <w:color w:val="auto"/>
          <w:szCs w:val="28"/>
        </w:rPr>
        <w:t>承包人工作人员有违反本责任书第一、三条责任行为的，依据有关法律法规处理；涉嫌犯罪的，移交司法机关追究刑事责任；给发包人单位造成经济损失的，应予以赔偿。</w:t>
      </w:r>
    </w:p>
    <w:p w14:paraId="3CCC798F">
      <w:pPr>
        <w:adjustRightInd w:val="0"/>
        <w:snapToGrid w:val="0"/>
        <w:spacing w:line="360" w:lineRule="auto"/>
        <w:ind w:firstLine="420" w:firstLineChars="200"/>
        <w:jc w:val="left"/>
        <w:rPr>
          <w:rFonts w:ascii="宋体" w:hAnsi="宋体"/>
          <w:color w:val="auto"/>
          <w:szCs w:val="28"/>
        </w:rPr>
      </w:pPr>
      <w:r>
        <w:rPr>
          <w:rFonts w:hint="eastAsia" w:ascii="宋体" w:hAnsi="宋体"/>
          <w:color w:val="auto"/>
          <w:szCs w:val="28"/>
        </w:rPr>
        <w:t>4</w:t>
      </w:r>
      <w:r>
        <w:rPr>
          <w:rFonts w:ascii="宋体" w:hAnsi="宋体"/>
          <w:color w:val="auto"/>
          <w:szCs w:val="28"/>
        </w:rPr>
        <w:t>.</w:t>
      </w:r>
      <w:r>
        <w:rPr>
          <w:rFonts w:hint="eastAsia" w:ascii="宋体" w:hAnsi="宋体"/>
          <w:color w:val="auto"/>
          <w:szCs w:val="28"/>
        </w:rPr>
        <w:t>3</w:t>
      </w:r>
      <w:r>
        <w:rPr>
          <w:rFonts w:ascii="宋体" w:hAnsi="宋体"/>
          <w:color w:val="auto"/>
          <w:szCs w:val="28"/>
        </w:rPr>
        <w:t>本责任书作为</w:t>
      </w:r>
      <w:r>
        <w:rPr>
          <w:rFonts w:hint="eastAsia" w:ascii="宋体" w:hAnsi="宋体"/>
          <w:color w:val="auto"/>
          <w:szCs w:val="28"/>
        </w:rPr>
        <w:t>建设</w:t>
      </w:r>
      <w:r>
        <w:rPr>
          <w:rFonts w:ascii="宋体" w:hAnsi="宋体"/>
          <w:color w:val="auto"/>
          <w:szCs w:val="28"/>
        </w:rPr>
        <w:t>工程合同的</w:t>
      </w:r>
      <w:r>
        <w:rPr>
          <w:rFonts w:hint="eastAsia" w:ascii="宋体" w:hAnsi="宋体"/>
          <w:color w:val="auto"/>
          <w:szCs w:val="28"/>
        </w:rPr>
        <w:t>组成部分</w:t>
      </w:r>
      <w:r>
        <w:rPr>
          <w:rFonts w:ascii="宋体" w:hAnsi="宋体"/>
          <w:color w:val="auto"/>
          <w:szCs w:val="28"/>
        </w:rPr>
        <w:t>，与</w:t>
      </w:r>
      <w:r>
        <w:rPr>
          <w:rFonts w:hint="eastAsia" w:ascii="宋体" w:hAnsi="宋体"/>
          <w:color w:val="auto"/>
          <w:szCs w:val="28"/>
        </w:rPr>
        <w:t>建设</w:t>
      </w:r>
      <w:r>
        <w:rPr>
          <w:rFonts w:ascii="宋体" w:hAnsi="宋体"/>
          <w:color w:val="auto"/>
          <w:szCs w:val="28"/>
        </w:rPr>
        <w:t>工程合同具有同等法律效力。经双方签署后立即生效。</w:t>
      </w:r>
    </w:p>
    <w:p w14:paraId="431FB78E">
      <w:pPr>
        <w:adjustRightInd w:val="0"/>
        <w:snapToGrid w:val="0"/>
        <w:spacing w:line="360" w:lineRule="auto"/>
        <w:ind w:firstLine="420" w:firstLineChars="200"/>
        <w:jc w:val="left"/>
        <w:rPr>
          <w:rFonts w:ascii="宋体" w:hAnsi="宋体"/>
          <w:color w:val="auto"/>
          <w:szCs w:val="28"/>
        </w:rPr>
      </w:pPr>
      <w:r>
        <w:rPr>
          <w:rFonts w:hint="eastAsia" w:ascii="宋体" w:hAnsi="宋体"/>
          <w:color w:val="auto"/>
          <w:szCs w:val="28"/>
        </w:rPr>
        <w:t>五、责任书有效期</w:t>
      </w:r>
    </w:p>
    <w:p w14:paraId="5DD37AF1">
      <w:pPr>
        <w:adjustRightInd w:val="0"/>
        <w:snapToGrid w:val="0"/>
        <w:spacing w:line="360" w:lineRule="auto"/>
        <w:ind w:firstLine="420" w:firstLineChars="200"/>
        <w:jc w:val="left"/>
        <w:rPr>
          <w:rFonts w:ascii="宋体" w:hAnsi="宋体"/>
          <w:color w:val="auto"/>
          <w:szCs w:val="28"/>
        </w:rPr>
      </w:pPr>
      <w:r>
        <w:rPr>
          <w:rFonts w:ascii="宋体" w:hAnsi="宋体"/>
          <w:color w:val="auto"/>
          <w:szCs w:val="28"/>
        </w:rPr>
        <w:t>本责任书的有效期为双方签署之日起至该工程项目竣工验收合格时止。</w:t>
      </w:r>
    </w:p>
    <w:p w14:paraId="4EF78F03">
      <w:pPr>
        <w:adjustRightInd w:val="0"/>
        <w:snapToGrid w:val="0"/>
        <w:spacing w:line="360" w:lineRule="auto"/>
        <w:ind w:firstLine="420" w:firstLineChars="200"/>
        <w:jc w:val="left"/>
        <w:rPr>
          <w:rFonts w:ascii="宋体" w:hAnsi="宋体"/>
          <w:color w:val="auto"/>
          <w:szCs w:val="28"/>
        </w:rPr>
      </w:pPr>
      <w:r>
        <w:rPr>
          <w:rFonts w:hint="eastAsia" w:ascii="宋体" w:hAnsi="宋体"/>
          <w:color w:val="auto"/>
          <w:szCs w:val="28"/>
        </w:rPr>
        <w:t>六、责任书份数</w:t>
      </w:r>
    </w:p>
    <w:p w14:paraId="3C7D95BF">
      <w:pPr>
        <w:adjustRightInd w:val="0"/>
        <w:snapToGrid w:val="0"/>
        <w:spacing w:line="360" w:lineRule="auto"/>
        <w:ind w:firstLine="420" w:firstLineChars="200"/>
        <w:jc w:val="left"/>
        <w:rPr>
          <w:rFonts w:ascii="宋体" w:hAnsi="宋体"/>
          <w:color w:val="auto"/>
          <w:szCs w:val="28"/>
        </w:rPr>
      </w:pPr>
      <w:r>
        <w:rPr>
          <w:rFonts w:ascii="宋体" w:hAnsi="宋体"/>
          <w:color w:val="auto"/>
          <w:szCs w:val="28"/>
        </w:rPr>
        <w:t>本责任书一式</w:t>
      </w:r>
      <w:r>
        <w:rPr>
          <w:rFonts w:hint="eastAsia" w:ascii="宋体" w:hAnsi="宋体"/>
          <w:color w:val="auto"/>
          <w:szCs w:val="28"/>
        </w:rPr>
        <w:t>二</w:t>
      </w:r>
      <w:r>
        <w:rPr>
          <w:rFonts w:ascii="宋体" w:hAnsi="宋体"/>
          <w:color w:val="auto"/>
          <w:szCs w:val="28"/>
        </w:rPr>
        <w:t>份，</w:t>
      </w:r>
      <w:r>
        <w:rPr>
          <w:rFonts w:hint="eastAsia" w:ascii="宋体" w:hAnsi="宋体"/>
          <w:color w:val="auto"/>
          <w:szCs w:val="28"/>
        </w:rPr>
        <w:t>发包人承包人</w:t>
      </w:r>
      <w:r>
        <w:rPr>
          <w:rFonts w:ascii="宋体" w:hAnsi="宋体"/>
          <w:color w:val="auto"/>
          <w:szCs w:val="28"/>
        </w:rPr>
        <w:t>各执一份，</w:t>
      </w:r>
      <w:r>
        <w:rPr>
          <w:rFonts w:hint="eastAsia" w:ascii="宋体" w:hAnsi="宋体"/>
          <w:color w:val="auto"/>
          <w:szCs w:val="28"/>
        </w:rPr>
        <w:t>具有同等效力</w:t>
      </w:r>
      <w:r>
        <w:rPr>
          <w:rFonts w:ascii="宋体" w:hAnsi="宋体"/>
          <w:color w:val="auto"/>
          <w:szCs w:val="28"/>
        </w:rPr>
        <w:t>。</w:t>
      </w:r>
    </w:p>
    <w:p w14:paraId="62EE83F0">
      <w:pPr>
        <w:adjustRightInd w:val="0"/>
        <w:snapToGrid w:val="0"/>
        <w:spacing w:line="360" w:lineRule="auto"/>
        <w:ind w:firstLine="420" w:firstLineChars="200"/>
        <w:jc w:val="left"/>
        <w:rPr>
          <w:rFonts w:ascii="宋体" w:hAnsi="宋体"/>
          <w:color w:val="auto"/>
          <w:szCs w:val="28"/>
        </w:rPr>
      </w:pPr>
    </w:p>
    <w:p w14:paraId="5DFC866C">
      <w:pPr>
        <w:adjustRightInd w:val="0"/>
        <w:snapToGrid w:val="0"/>
        <w:spacing w:line="360" w:lineRule="auto"/>
        <w:jc w:val="left"/>
        <w:rPr>
          <w:rFonts w:ascii="宋体" w:hAnsi="宋体"/>
          <w:color w:val="auto"/>
        </w:rPr>
      </w:pPr>
      <w:r>
        <w:rPr>
          <w:rFonts w:hint="eastAsia" w:ascii="宋体" w:hAnsi="宋体"/>
          <w:color w:val="auto"/>
        </w:rPr>
        <w:t>发包人：</w:t>
      </w:r>
      <w:r>
        <w:rPr>
          <w:rFonts w:ascii="宋体" w:hAnsi="宋体"/>
          <w:color w:val="auto"/>
          <w:u w:val="single"/>
        </w:rPr>
        <w:t>__________________</w:t>
      </w:r>
      <w:r>
        <w:rPr>
          <w:rFonts w:hint="eastAsia" w:ascii="宋体" w:hAnsi="宋体"/>
          <w:color w:val="auto"/>
        </w:rPr>
        <w:t>（公章）   承包人：</w:t>
      </w:r>
      <w:r>
        <w:rPr>
          <w:rFonts w:ascii="宋体" w:hAnsi="宋体"/>
          <w:color w:val="auto"/>
          <w:u w:val="single"/>
        </w:rPr>
        <w:t>___________________________</w:t>
      </w:r>
      <w:r>
        <w:rPr>
          <w:rFonts w:hint="eastAsia" w:ascii="宋体" w:hAnsi="宋体"/>
          <w:color w:val="auto"/>
        </w:rPr>
        <w:t>（公章）</w:t>
      </w:r>
    </w:p>
    <w:p w14:paraId="0B1248AD">
      <w:pPr>
        <w:adjustRightInd w:val="0"/>
        <w:snapToGrid w:val="0"/>
        <w:spacing w:line="360" w:lineRule="auto"/>
        <w:jc w:val="left"/>
        <w:rPr>
          <w:rFonts w:ascii="宋体" w:hAnsi="宋体"/>
          <w:color w:val="auto"/>
        </w:rPr>
      </w:pPr>
      <w:r>
        <w:rPr>
          <w:rFonts w:hint="eastAsia" w:ascii="宋体" w:hAnsi="宋体"/>
          <w:color w:val="auto"/>
        </w:rPr>
        <w:t>法定地址：</w:t>
      </w:r>
      <w:r>
        <w:rPr>
          <w:rFonts w:ascii="宋体" w:hAnsi="宋体"/>
          <w:color w:val="auto"/>
          <w:u w:val="single"/>
        </w:rPr>
        <w:t>_______________________</w:t>
      </w:r>
      <w:r>
        <w:rPr>
          <w:rFonts w:hint="eastAsia" w:ascii="宋体" w:hAnsi="宋体"/>
          <w:color w:val="auto"/>
        </w:rPr>
        <w:t>法定地址：</w:t>
      </w:r>
      <w:r>
        <w:rPr>
          <w:rFonts w:ascii="宋体" w:hAnsi="宋体"/>
          <w:color w:val="auto"/>
          <w:u w:val="single"/>
        </w:rPr>
        <w:t>_________________________________</w:t>
      </w:r>
    </w:p>
    <w:p w14:paraId="36C285C0">
      <w:pPr>
        <w:adjustRightInd w:val="0"/>
        <w:snapToGrid w:val="0"/>
        <w:spacing w:line="360" w:lineRule="auto"/>
        <w:jc w:val="left"/>
        <w:rPr>
          <w:rFonts w:ascii="宋体" w:hAnsi="宋体"/>
          <w:color w:val="auto"/>
        </w:rPr>
      </w:pPr>
      <w:r>
        <w:rPr>
          <w:rFonts w:hint="eastAsia" w:ascii="宋体" w:hAnsi="宋体"/>
          <w:color w:val="auto"/>
        </w:rPr>
        <w:t>法定代表人或其                       法定代表人或其</w:t>
      </w:r>
    </w:p>
    <w:p w14:paraId="6DC973B8">
      <w:pPr>
        <w:adjustRightInd w:val="0"/>
        <w:snapToGrid w:val="0"/>
        <w:spacing w:line="360" w:lineRule="auto"/>
        <w:jc w:val="left"/>
        <w:rPr>
          <w:rFonts w:ascii="宋体" w:hAnsi="宋体"/>
          <w:color w:val="auto"/>
        </w:rPr>
      </w:pPr>
      <w:r>
        <w:rPr>
          <w:rFonts w:hint="eastAsia" w:ascii="宋体" w:hAnsi="宋体"/>
          <w:color w:val="auto"/>
        </w:rPr>
        <w:t>委托代理人：</w:t>
      </w:r>
      <w:r>
        <w:rPr>
          <w:rFonts w:ascii="宋体" w:hAnsi="宋体"/>
          <w:color w:val="auto"/>
          <w:u w:val="single"/>
        </w:rPr>
        <w:t>_______________</w:t>
      </w:r>
      <w:r>
        <w:rPr>
          <w:rFonts w:hint="eastAsia" w:ascii="宋体" w:hAnsi="宋体"/>
          <w:color w:val="auto"/>
        </w:rPr>
        <w:t>（签字） 委托代理人：</w:t>
      </w:r>
      <w:r>
        <w:rPr>
          <w:rFonts w:ascii="宋体" w:hAnsi="宋体"/>
          <w:color w:val="auto"/>
          <w:u w:val="single"/>
        </w:rPr>
        <w:t>_______________________</w:t>
      </w:r>
      <w:r>
        <w:rPr>
          <w:rFonts w:hint="eastAsia" w:ascii="宋体" w:hAnsi="宋体"/>
          <w:color w:val="auto"/>
        </w:rPr>
        <w:t>（签字）</w:t>
      </w:r>
    </w:p>
    <w:p w14:paraId="2EAAD697">
      <w:pPr>
        <w:adjustRightInd w:val="0"/>
        <w:snapToGrid w:val="0"/>
        <w:spacing w:line="360" w:lineRule="auto"/>
        <w:jc w:val="left"/>
        <w:rPr>
          <w:rFonts w:ascii="宋体" w:hAnsi="宋体"/>
          <w:color w:val="auto"/>
        </w:rPr>
      </w:pPr>
      <w:r>
        <w:rPr>
          <w:rFonts w:hint="eastAsia" w:ascii="宋体" w:hAnsi="宋体"/>
          <w:color w:val="auto"/>
        </w:rPr>
        <w:t>电话：</w:t>
      </w:r>
      <w:r>
        <w:rPr>
          <w:rFonts w:ascii="宋体" w:hAnsi="宋体"/>
          <w:color w:val="auto"/>
          <w:u w:val="single"/>
        </w:rPr>
        <w:t>____________________________</w:t>
      </w:r>
      <w:r>
        <w:rPr>
          <w:rFonts w:hint="eastAsia" w:ascii="宋体" w:hAnsi="宋体"/>
          <w:color w:val="auto"/>
        </w:rPr>
        <w:t>电话：</w:t>
      </w:r>
      <w:r>
        <w:rPr>
          <w:rFonts w:ascii="宋体" w:hAnsi="宋体"/>
          <w:color w:val="auto"/>
          <w:u w:val="single"/>
        </w:rPr>
        <w:t>_____________________________________</w:t>
      </w:r>
    </w:p>
    <w:p w14:paraId="51CC7E46">
      <w:pPr>
        <w:adjustRightInd w:val="0"/>
        <w:snapToGrid w:val="0"/>
        <w:spacing w:line="360" w:lineRule="auto"/>
        <w:jc w:val="left"/>
        <w:rPr>
          <w:rFonts w:ascii="宋体" w:hAnsi="宋体"/>
          <w:color w:val="auto"/>
        </w:rPr>
      </w:pPr>
      <w:r>
        <w:rPr>
          <w:rFonts w:hint="eastAsia" w:ascii="宋体" w:hAnsi="宋体"/>
          <w:color w:val="auto"/>
        </w:rPr>
        <w:t>传真：</w:t>
      </w:r>
      <w:r>
        <w:rPr>
          <w:rFonts w:ascii="宋体" w:hAnsi="宋体"/>
          <w:color w:val="auto"/>
          <w:u w:val="single"/>
        </w:rPr>
        <w:t>____________________________</w:t>
      </w:r>
      <w:r>
        <w:rPr>
          <w:rFonts w:hint="eastAsia" w:ascii="宋体" w:hAnsi="宋体"/>
          <w:color w:val="auto"/>
        </w:rPr>
        <w:t>传真：</w:t>
      </w:r>
      <w:r>
        <w:rPr>
          <w:rFonts w:ascii="宋体" w:hAnsi="宋体"/>
          <w:color w:val="auto"/>
          <w:u w:val="single"/>
        </w:rPr>
        <w:t>_____________________________________</w:t>
      </w:r>
    </w:p>
    <w:p w14:paraId="2EAE91B3">
      <w:pPr>
        <w:adjustRightInd w:val="0"/>
        <w:snapToGrid w:val="0"/>
        <w:spacing w:line="360" w:lineRule="auto"/>
        <w:jc w:val="left"/>
        <w:rPr>
          <w:rFonts w:ascii="宋体" w:hAnsi="宋体"/>
          <w:color w:val="auto"/>
        </w:rPr>
      </w:pPr>
      <w:r>
        <w:rPr>
          <w:rFonts w:hint="eastAsia" w:ascii="宋体" w:hAnsi="宋体"/>
          <w:color w:val="auto"/>
        </w:rPr>
        <w:t>电子邮箱：</w:t>
      </w:r>
      <w:r>
        <w:rPr>
          <w:rFonts w:ascii="宋体" w:hAnsi="宋体"/>
          <w:color w:val="auto"/>
          <w:u w:val="single"/>
        </w:rPr>
        <w:t>________________________</w:t>
      </w:r>
      <w:r>
        <w:rPr>
          <w:rFonts w:hint="eastAsia" w:ascii="宋体" w:hAnsi="宋体"/>
          <w:color w:val="auto"/>
        </w:rPr>
        <w:t xml:space="preserve">   电子邮箱：</w:t>
      </w:r>
      <w:r>
        <w:rPr>
          <w:rFonts w:ascii="宋体" w:hAnsi="宋体"/>
          <w:color w:val="auto"/>
          <w:u w:val="single"/>
        </w:rPr>
        <w:t>_________________________________</w:t>
      </w:r>
    </w:p>
    <w:p w14:paraId="7735C510">
      <w:pPr>
        <w:adjustRightInd w:val="0"/>
        <w:snapToGrid w:val="0"/>
        <w:spacing w:line="360" w:lineRule="auto"/>
        <w:jc w:val="left"/>
        <w:rPr>
          <w:rFonts w:ascii="宋体" w:hAnsi="宋体"/>
          <w:color w:val="auto"/>
        </w:rPr>
      </w:pPr>
      <w:r>
        <w:rPr>
          <w:rFonts w:hint="eastAsia" w:ascii="宋体" w:hAnsi="宋体"/>
          <w:color w:val="auto"/>
        </w:rPr>
        <w:t>开户银行：</w:t>
      </w:r>
      <w:r>
        <w:rPr>
          <w:rFonts w:ascii="宋体" w:hAnsi="宋体"/>
          <w:color w:val="auto"/>
          <w:u w:val="single"/>
        </w:rPr>
        <w:t>________________________</w:t>
      </w:r>
      <w:r>
        <w:rPr>
          <w:rFonts w:hint="eastAsia" w:ascii="宋体" w:hAnsi="宋体"/>
          <w:color w:val="auto"/>
        </w:rPr>
        <w:t>开户银行：</w:t>
      </w:r>
      <w:r>
        <w:rPr>
          <w:rFonts w:ascii="宋体" w:hAnsi="宋体"/>
          <w:color w:val="auto"/>
          <w:u w:val="single"/>
        </w:rPr>
        <w:t>_________________________________</w:t>
      </w:r>
    </w:p>
    <w:p w14:paraId="6187EE19">
      <w:pPr>
        <w:adjustRightInd w:val="0"/>
        <w:snapToGrid w:val="0"/>
        <w:spacing w:line="360" w:lineRule="auto"/>
        <w:jc w:val="left"/>
        <w:rPr>
          <w:rFonts w:ascii="宋体" w:hAnsi="宋体"/>
          <w:color w:val="auto"/>
        </w:rPr>
      </w:pPr>
      <w:r>
        <w:rPr>
          <w:rFonts w:hint="eastAsia" w:ascii="宋体" w:hAnsi="宋体"/>
          <w:color w:val="auto"/>
        </w:rPr>
        <w:t>帐号：</w:t>
      </w:r>
      <w:r>
        <w:rPr>
          <w:rFonts w:ascii="宋体" w:hAnsi="宋体"/>
          <w:color w:val="auto"/>
          <w:u w:val="single"/>
        </w:rPr>
        <w:t>____________________________</w:t>
      </w:r>
      <w:r>
        <w:rPr>
          <w:rFonts w:hint="eastAsia" w:ascii="宋体" w:hAnsi="宋体"/>
          <w:color w:val="auto"/>
        </w:rPr>
        <w:t>帐号：</w:t>
      </w:r>
      <w:r>
        <w:rPr>
          <w:rFonts w:ascii="宋体" w:hAnsi="宋体"/>
          <w:color w:val="auto"/>
          <w:u w:val="single"/>
        </w:rPr>
        <w:t>_____________________________________</w:t>
      </w:r>
    </w:p>
    <w:p w14:paraId="19D2D9FD">
      <w:pPr>
        <w:adjustRightInd w:val="0"/>
        <w:snapToGrid w:val="0"/>
        <w:spacing w:line="360" w:lineRule="auto"/>
        <w:jc w:val="left"/>
        <w:rPr>
          <w:rFonts w:ascii="宋体" w:hAnsi="宋体"/>
          <w:color w:val="auto"/>
        </w:rPr>
      </w:pPr>
      <w:r>
        <w:rPr>
          <w:rFonts w:hint="eastAsia" w:ascii="宋体" w:hAnsi="宋体"/>
          <w:color w:val="auto"/>
        </w:rPr>
        <w:t>邮政编码：</w:t>
      </w:r>
      <w:r>
        <w:rPr>
          <w:rFonts w:ascii="宋体" w:hAnsi="宋体"/>
          <w:color w:val="auto"/>
          <w:u w:val="single"/>
        </w:rPr>
        <w:t>________________________</w:t>
      </w:r>
      <w:r>
        <w:rPr>
          <w:rFonts w:hint="eastAsia" w:ascii="宋体" w:hAnsi="宋体"/>
          <w:color w:val="auto"/>
        </w:rPr>
        <w:t xml:space="preserve"> 邮政编码：</w:t>
      </w:r>
      <w:r>
        <w:rPr>
          <w:rFonts w:ascii="宋体" w:hAnsi="宋体"/>
          <w:color w:val="auto"/>
          <w:u w:val="single"/>
        </w:rPr>
        <w:t>_________________________________</w:t>
      </w:r>
    </w:p>
    <w:p w14:paraId="27BC7E7C">
      <w:pPr>
        <w:adjustRightInd w:val="0"/>
        <w:snapToGrid w:val="0"/>
        <w:spacing w:line="360" w:lineRule="auto"/>
        <w:jc w:val="left"/>
        <w:rPr>
          <w:rFonts w:ascii="宋体" w:hAnsi="宋体"/>
          <w:color w:val="auto"/>
          <w:szCs w:val="21"/>
        </w:rPr>
      </w:pPr>
      <w:r>
        <w:rPr>
          <w:rFonts w:hint="eastAsia" w:ascii="宋体" w:hAnsi="宋体"/>
          <w:color w:val="auto"/>
        </w:rPr>
        <w:t>监督单位：</w:t>
      </w:r>
      <w:r>
        <w:rPr>
          <w:rFonts w:ascii="宋体" w:hAnsi="宋体"/>
          <w:color w:val="auto"/>
          <w:u w:val="single"/>
        </w:rPr>
        <w:t>__________________</w:t>
      </w:r>
      <w:r>
        <w:rPr>
          <w:rFonts w:hint="eastAsia" w:ascii="宋体" w:hAnsi="宋体"/>
          <w:color w:val="auto"/>
        </w:rPr>
        <w:t>（盖章） 监督单位：</w:t>
      </w:r>
      <w:r>
        <w:rPr>
          <w:rFonts w:ascii="宋体" w:hAnsi="宋体"/>
          <w:color w:val="auto"/>
          <w:u w:val="single"/>
        </w:rPr>
        <w:t>_________________________</w:t>
      </w:r>
      <w:r>
        <w:rPr>
          <w:rFonts w:hint="eastAsia" w:ascii="宋体" w:hAnsi="宋体"/>
          <w:color w:val="auto"/>
        </w:rPr>
        <w:t>（盖章）</w:t>
      </w:r>
    </w:p>
    <w:p w14:paraId="2EB705AF">
      <w:pPr>
        <w:rPr>
          <w:color w:val="auto"/>
        </w:rPr>
      </w:pPr>
    </w:p>
    <w:p w14:paraId="63AAB68F">
      <w:pPr>
        <w:jc w:val="center"/>
        <w:rPr>
          <w:color w:val="auto"/>
          <w:szCs w:val="21"/>
        </w:rPr>
      </w:pPr>
    </w:p>
    <w:bookmarkEnd w:id="678"/>
    <w:p w14:paraId="6C2A3DA7">
      <w:pPr>
        <w:snapToGrid w:val="0"/>
        <w:spacing w:line="360" w:lineRule="auto"/>
        <w:rPr>
          <w:rFonts w:ascii="宋体"/>
          <w:color w:val="auto"/>
          <w:highlight w:val="none"/>
        </w:rPr>
      </w:pPr>
      <w:bookmarkStart w:id="1232" w:name="_Toc97371947"/>
    </w:p>
    <w:p w14:paraId="1557085C">
      <w:pPr>
        <w:pStyle w:val="41"/>
        <w:rPr>
          <w:highlight w:val="none"/>
        </w:rPr>
        <w:sectPr>
          <w:headerReference r:id="rId11" w:type="default"/>
          <w:footerReference r:id="rId12" w:type="default"/>
          <w:pgSz w:w="11907" w:h="16839"/>
          <w:pgMar w:top="1418" w:right="1417" w:bottom="1418" w:left="1418" w:header="850" w:footer="992" w:gutter="0"/>
          <w:pgNumType w:fmt="decimal"/>
          <w:cols w:space="720" w:num="1"/>
          <w:docGrid w:linePitch="286" w:charSpace="0"/>
        </w:sectPr>
      </w:pPr>
    </w:p>
    <w:p w14:paraId="7416135F">
      <w:pPr>
        <w:spacing w:line="360" w:lineRule="auto"/>
        <w:jc w:val="center"/>
        <w:outlineLvl w:val="0"/>
        <w:rPr>
          <w:rFonts w:eastAsiaTheme="minorEastAsia"/>
          <w:b/>
          <w:sz w:val="36"/>
          <w:szCs w:val="36"/>
        </w:rPr>
      </w:pPr>
      <w:r>
        <w:rPr>
          <w:rFonts w:eastAsiaTheme="minorEastAsia"/>
          <w:b/>
          <w:sz w:val="36"/>
          <w:szCs w:val="36"/>
        </w:rPr>
        <w:t>第六章   响应文件格式</w:t>
      </w:r>
      <w:bookmarkEnd w:id="1232"/>
    </w:p>
    <w:p w14:paraId="243CD27B">
      <w:pPr>
        <w:widowControl/>
        <w:spacing w:line="360" w:lineRule="auto"/>
        <w:jc w:val="left"/>
        <w:rPr>
          <w:rFonts w:eastAsiaTheme="minorEastAsia"/>
          <w:b/>
          <w:sz w:val="24"/>
        </w:rPr>
      </w:pPr>
    </w:p>
    <w:p w14:paraId="12F40B7D">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14:paraId="3769706F">
      <w:pPr>
        <w:tabs>
          <w:tab w:val="left" w:pos="900"/>
          <w:tab w:val="left" w:pos="1980"/>
        </w:tabs>
        <w:snapToGrid w:val="0"/>
        <w:spacing w:line="360" w:lineRule="auto"/>
        <w:ind w:left="142"/>
        <w:rPr>
          <w:rFonts w:eastAsiaTheme="minorEastAsia"/>
          <w:sz w:val="24"/>
        </w:rPr>
      </w:pPr>
      <w:r>
        <w:rPr>
          <w:rFonts w:eastAsiaTheme="minorEastAsia"/>
          <w:sz w:val="24"/>
        </w:rPr>
        <w:t>1、供应商按照本部分的顺序编制响应文件，编制中涉及格式资料的，应按照本部分提供的内容和格式（所有表格的格式可扩展）填写提交。</w:t>
      </w:r>
    </w:p>
    <w:p w14:paraId="16FB53FC">
      <w:pPr>
        <w:tabs>
          <w:tab w:val="left" w:pos="900"/>
          <w:tab w:val="left" w:pos="1980"/>
        </w:tabs>
        <w:snapToGrid w:val="0"/>
        <w:spacing w:line="360" w:lineRule="auto"/>
        <w:ind w:left="142"/>
        <w:rPr>
          <w:rFonts w:eastAsiaTheme="minorEastAsia"/>
          <w:kern w:val="0"/>
          <w:sz w:val="24"/>
        </w:rPr>
      </w:pPr>
      <w:r>
        <w:rPr>
          <w:rFonts w:eastAsiaTheme="minorEastAsia"/>
          <w:sz w:val="24"/>
        </w:rPr>
        <w:t>2、</w:t>
      </w:r>
      <w:r>
        <w:rPr>
          <w:rFonts w:eastAsiaTheme="minorEastAsia"/>
          <w:kern w:val="0"/>
          <w:sz w:val="24"/>
        </w:rPr>
        <w:t>对于竞争性磋商文件中标记了“实质性格式”文件的，供应商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42D19C39">
      <w:pPr>
        <w:tabs>
          <w:tab w:val="left" w:pos="900"/>
          <w:tab w:val="left" w:pos="1980"/>
        </w:tabs>
        <w:snapToGrid w:val="0"/>
        <w:spacing w:line="360" w:lineRule="auto"/>
        <w:ind w:left="142"/>
        <w:rPr>
          <w:rFonts w:eastAsiaTheme="minorEastAsia"/>
          <w:sz w:val="24"/>
        </w:rPr>
      </w:pPr>
      <w:r>
        <w:rPr>
          <w:rFonts w:eastAsiaTheme="minorEastAsia"/>
          <w:sz w:val="24"/>
        </w:rPr>
        <w:t>3、全部声明和问题的回答及所附材料必须是真实的、准确的和完整的。</w:t>
      </w:r>
    </w:p>
    <w:p w14:paraId="3E737B63">
      <w:pPr>
        <w:tabs>
          <w:tab w:val="left" w:pos="900"/>
          <w:tab w:val="left" w:pos="1980"/>
        </w:tabs>
        <w:snapToGrid w:val="0"/>
        <w:spacing w:line="360" w:lineRule="auto"/>
        <w:ind w:left="142"/>
        <w:rPr>
          <w:rFonts w:eastAsiaTheme="minorEastAsia"/>
          <w:sz w:val="24"/>
        </w:rPr>
      </w:pPr>
    </w:p>
    <w:p w14:paraId="23EF9A1D">
      <w:pPr>
        <w:widowControl/>
        <w:jc w:val="left"/>
        <w:rPr>
          <w:rFonts w:eastAsiaTheme="minorEastAsia"/>
          <w:sz w:val="24"/>
        </w:rPr>
      </w:pPr>
      <w:r>
        <w:rPr>
          <w:rFonts w:eastAsiaTheme="minorEastAsia"/>
          <w:sz w:val="24"/>
        </w:rPr>
        <w:br w:type="page"/>
      </w:r>
    </w:p>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14:paraId="53F4A70D">
      <w:pPr>
        <w:rPr>
          <w:rFonts w:eastAsiaTheme="minorEastAsia"/>
          <w:b/>
          <w:spacing w:val="20"/>
          <w:szCs w:val="21"/>
        </w:rPr>
      </w:pPr>
    </w:p>
    <w:p w14:paraId="6BB97144">
      <w:pPr>
        <w:rPr>
          <w:rFonts w:eastAsiaTheme="minorEastAsia"/>
          <w:b/>
          <w:sz w:val="24"/>
        </w:rPr>
      </w:pPr>
      <w:r>
        <w:rPr>
          <w:rFonts w:eastAsiaTheme="minorEastAsia"/>
          <w:b/>
          <w:spacing w:val="20"/>
          <w:sz w:val="24"/>
        </w:rPr>
        <w:t>响应文件</w:t>
      </w:r>
      <w:r>
        <w:rPr>
          <w:rFonts w:eastAsiaTheme="minorEastAsia"/>
          <w:b/>
          <w:sz w:val="24"/>
        </w:rPr>
        <w:t>封面（非实质性格式）</w:t>
      </w:r>
    </w:p>
    <w:p w14:paraId="443B2BD9">
      <w:pPr>
        <w:jc w:val="center"/>
        <w:rPr>
          <w:rFonts w:eastAsiaTheme="minorEastAsia"/>
          <w:szCs w:val="21"/>
        </w:rPr>
      </w:pPr>
    </w:p>
    <w:p w14:paraId="2D0DFE46">
      <w:pPr>
        <w:jc w:val="center"/>
        <w:rPr>
          <w:rFonts w:eastAsiaTheme="minorEastAsia"/>
          <w:b/>
          <w:spacing w:val="60"/>
          <w:sz w:val="84"/>
          <w:szCs w:val="84"/>
        </w:rPr>
      </w:pPr>
      <w:r>
        <w:rPr>
          <w:rFonts w:eastAsiaTheme="minorEastAsia"/>
          <w:b/>
          <w:spacing w:val="60"/>
          <w:sz w:val="84"/>
          <w:szCs w:val="84"/>
        </w:rPr>
        <w:t>响 应 文 件</w:t>
      </w:r>
    </w:p>
    <w:p w14:paraId="0CE08020">
      <w:pPr>
        <w:jc w:val="center"/>
        <w:rPr>
          <w:rFonts w:eastAsiaTheme="minorEastAsia"/>
          <w:b/>
          <w:spacing w:val="60"/>
          <w:sz w:val="52"/>
          <w:szCs w:val="52"/>
        </w:rPr>
      </w:pPr>
    </w:p>
    <w:p w14:paraId="1BA0040C">
      <w:pPr>
        <w:ind w:firstLine="542" w:firstLineChars="150"/>
        <w:rPr>
          <w:rFonts w:eastAsiaTheme="minorEastAsia"/>
          <w:b/>
          <w:spacing w:val="20"/>
          <w:sz w:val="32"/>
          <w:szCs w:val="32"/>
        </w:rPr>
      </w:pPr>
    </w:p>
    <w:p w14:paraId="64C81194">
      <w:pPr>
        <w:ind w:firstLine="542" w:firstLineChars="150"/>
        <w:rPr>
          <w:rFonts w:eastAsiaTheme="minorEastAsia"/>
          <w:b/>
          <w:spacing w:val="20"/>
          <w:sz w:val="32"/>
          <w:szCs w:val="32"/>
        </w:rPr>
      </w:pPr>
    </w:p>
    <w:p w14:paraId="6A575712">
      <w:pPr>
        <w:ind w:firstLine="542" w:firstLineChars="150"/>
        <w:rPr>
          <w:rFonts w:eastAsiaTheme="minorEastAsia"/>
          <w:b/>
          <w:spacing w:val="20"/>
          <w:sz w:val="32"/>
          <w:szCs w:val="32"/>
        </w:rPr>
      </w:pPr>
      <w:r>
        <w:rPr>
          <w:rFonts w:eastAsiaTheme="minorEastAsia"/>
          <w:b/>
          <w:spacing w:val="20"/>
          <w:sz w:val="32"/>
          <w:szCs w:val="32"/>
        </w:rPr>
        <w:t>项目名称:</w:t>
      </w:r>
    </w:p>
    <w:p w14:paraId="33B4347E">
      <w:pPr>
        <w:ind w:firstLine="542" w:firstLineChars="150"/>
        <w:rPr>
          <w:rFonts w:eastAsiaTheme="minorEastAsia"/>
          <w:b/>
          <w:spacing w:val="20"/>
          <w:sz w:val="32"/>
          <w:szCs w:val="32"/>
        </w:rPr>
      </w:pPr>
      <w:r>
        <w:rPr>
          <w:rFonts w:eastAsiaTheme="minorEastAsia"/>
          <w:b/>
          <w:spacing w:val="20"/>
          <w:sz w:val="32"/>
          <w:szCs w:val="32"/>
        </w:rPr>
        <w:t>项目编号：</w:t>
      </w:r>
    </w:p>
    <w:p w14:paraId="234E8F48">
      <w:pPr>
        <w:ind w:firstLine="542" w:firstLineChars="150"/>
        <w:rPr>
          <w:rFonts w:eastAsiaTheme="minorEastAsia"/>
          <w:b/>
          <w:spacing w:val="20"/>
          <w:sz w:val="32"/>
          <w:szCs w:val="32"/>
        </w:rPr>
      </w:pPr>
    </w:p>
    <w:p w14:paraId="17DB77E7">
      <w:pPr>
        <w:ind w:firstLine="542" w:firstLineChars="150"/>
        <w:rPr>
          <w:rFonts w:eastAsiaTheme="minorEastAsia"/>
          <w:b/>
          <w:spacing w:val="20"/>
          <w:sz w:val="32"/>
          <w:szCs w:val="32"/>
        </w:rPr>
      </w:pPr>
    </w:p>
    <w:p w14:paraId="59939BFA">
      <w:pPr>
        <w:jc w:val="center"/>
        <w:rPr>
          <w:rFonts w:eastAsiaTheme="minorEastAsia"/>
          <w:b/>
          <w:sz w:val="32"/>
          <w:szCs w:val="32"/>
        </w:rPr>
      </w:pPr>
    </w:p>
    <w:p w14:paraId="0ED3B577">
      <w:pPr>
        <w:jc w:val="center"/>
        <w:rPr>
          <w:rFonts w:eastAsiaTheme="minorEastAsia"/>
          <w:b/>
          <w:sz w:val="32"/>
          <w:szCs w:val="32"/>
        </w:rPr>
      </w:pPr>
    </w:p>
    <w:p w14:paraId="6AE5626E">
      <w:pPr>
        <w:jc w:val="center"/>
        <w:rPr>
          <w:rFonts w:eastAsiaTheme="minorEastAsia"/>
          <w:b/>
          <w:sz w:val="32"/>
          <w:szCs w:val="32"/>
        </w:rPr>
      </w:pPr>
    </w:p>
    <w:p w14:paraId="7CFE0BBF">
      <w:pPr>
        <w:jc w:val="center"/>
        <w:rPr>
          <w:rFonts w:eastAsiaTheme="minorEastAsia"/>
          <w:b/>
          <w:spacing w:val="20"/>
          <w:sz w:val="32"/>
          <w:szCs w:val="32"/>
        </w:rPr>
      </w:pPr>
    </w:p>
    <w:p w14:paraId="39158CE8">
      <w:pPr>
        <w:jc w:val="center"/>
        <w:rPr>
          <w:rFonts w:eastAsiaTheme="minorEastAsia"/>
          <w:b/>
          <w:spacing w:val="20"/>
          <w:sz w:val="32"/>
          <w:szCs w:val="32"/>
        </w:rPr>
      </w:pPr>
    </w:p>
    <w:p w14:paraId="0ACB7720">
      <w:pPr>
        <w:jc w:val="center"/>
        <w:rPr>
          <w:rFonts w:eastAsiaTheme="minorEastAsia"/>
          <w:b/>
          <w:spacing w:val="20"/>
          <w:sz w:val="32"/>
          <w:szCs w:val="32"/>
        </w:rPr>
      </w:pPr>
    </w:p>
    <w:p w14:paraId="3AA5CE1B">
      <w:pPr>
        <w:spacing w:line="360" w:lineRule="auto"/>
        <w:ind w:firstLine="1445" w:firstLineChars="400"/>
        <w:jc w:val="left"/>
        <w:rPr>
          <w:rFonts w:eastAsiaTheme="minorEastAsia"/>
          <w:b/>
          <w:spacing w:val="20"/>
          <w:sz w:val="32"/>
          <w:szCs w:val="32"/>
        </w:rPr>
      </w:pPr>
      <w:r>
        <w:rPr>
          <w:rFonts w:eastAsiaTheme="minorEastAsia"/>
          <w:b/>
          <w:spacing w:val="20"/>
          <w:sz w:val="32"/>
          <w:szCs w:val="32"/>
        </w:rPr>
        <w:t>供应商名称：</w:t>
      </w:r>
    </w:p>
    <w:p w14:paraId="1B2F4E19">
      <w:pPr>
        <w:jc w:val="center"/>
        <w:rPr>
          <w:rFonts w:eastAsiaTheme="minorEastAsia"/>
          <w:b/>
          <w:sz w:val="32"/>
          <w:szCs w:val="32"/>
        </w:rPr>
      </w:pPr>
    </w:p>
    <w:p w14:paraId="00D3D440">
      <w:pPr>
        <w:rPr>
          <w:rFonts w:eastAsiaTheme="minorEastAsia"/>
          <w:b/>
        </w:rPr>
      </w:pPr>
      <w:r>
        <w:rPr>
          <w:rFonts w:eastAsiaTheme="minorEastAsia"/>
          <w:b/>
          <w:spacing w:val="20"/>
          <w:sz w:val="32"/>
          <w:szCs w:val="32"/>
        </w:rPr>
        <w:br w:type="page"/>
      </w:r>
    </w:p>
    <w:p w14:paraId="74E8A299">
      <w:pPr>
        <w:tabs>
          <w:tab w:val="left" w:pos="360"/>
        </w:tabs>
        <w:snapToGrid w:val="0"/>
        <w:spacing w:line="360" w:lineRule="auto"/>
        <w:outlineLvl w:val="1"/>
        <w:rPr>
          <w:rFonts w:eastAsiaTheme="minorEastAsia"/>
          <w:sz w:val="24"/>
        </w:rPr>
      </w:pPr>
      <w:r>
        <w:rPr>
          <w:rFonts w:eastAsiaTheme="minorEastAsia"/>
          <w:sz w:val="24"/>
        </w:rPr>
        <w:t>1 满足《中华人民共和国政府采购法》第二十二条规定</w:t>
      </w:r>
    </w:p>
    <w:p w14:paraId="59825372">
      <w:pPr>
        <w:spacing w:line="360" w:lineRule="auto"/>
        <w:outlineLvl w:val="2"/>
        <w:rPr>
          <w:rFonts w:eastAsiaTheme="minorEastAsia"/>
          <w:color w:val="000000"/>
          <w:sz w:val="24"/>
        </w:rPr>
      </w:pPr>
      <w:r>
        <w:rPr>
          <w:rFonts w:eastAsiaTheme="minorEastAsia"/>
          <w:color w:val="000000"/>
          <w:sz w:val="24"/>
        </w:rPr>
        <w:t>1-1 营业执照等证明文件</w:t>
      </w:r>
    </w:p>
    <w:p w14:paraId="6687C7AC">
      <w:pPr>
        <w:tabs>
          <w:tab w:val="left" w:pos="1080"/>
        </w:tabs>
        <w:snapToGrid w:val="0"/>
        <w:rPr>
          <w:rFonts w:eastAsiaTheme="minorEastAsia"/>
          <w:sz w:val="24"/>
        </w:rPr>
      </w:pPr>
    </w:p>
    <w:p w14:paraId="2930F3F5">
      <w:pPr>
        <w:widowControl/>
        <w:jc w:val="left"/>
        <w:rPr>
          <w:rFonts w:eastAsiaTheme="minorEastAsia"/>
          <w:color w:val="000000"/>
          <w:sz w:val="24"/>
          <w:szCs w:val="20"/>
        </w:rPr>
      </w:pPr>
      <w:r>
        <w:rPr>
          <w:rFonts w:eastAsiaTheme="minorEastAsia"/>
          <w:color w:val="000000"/>
          <w:sz w:val="24"/>
        </w:rPr>
        <w:br w:type="page"/>
      </w:r>
    </w:p>
    <w:p w14:paraId="560BD8AB">
      <w:pPr>
        <w:pStyle w:val="4"/>
        <w:rPr>
          <w:rFonts w:ascii="Times New Roman" w:eastAsiaTheme="minorEastAsia"/>
          <w:b w:val="0"/>
          <w:bCs/>
          <w:color w:val="000000"/>
          <w:szCs w:val="24"/>
          <w:u w:val="none"/>
        </w:rPr>
      </w:pPr>
      <w:r>
        <w:rPr>
          <w:rFonts w:ascii="Times New Roman" w:eastAsiaTheme="minorEastAsia"/>
          <w:b w:val="0"/>
          <w:color w:val="000000"/>
          <w:szCs w:val="24"/>
          <w:u w:val="none"/>
        </w:rPr>
        <w:t>1-2 供应商资格声明书</w:t>
      </w:r>
    </w:p>
    <w:p w14:paraId="33011018">
      <w:pPr>
        <w:jc w:val="center"/>
        <w:rPr>
          <w:b/>
          <w:color w:val="000000"/>
          <w:sz w:val="36"/>
          <w:szCs w:val="36"/>
        </w:rPr>
      </w:pPr>
      <w:r>
        <w:rPr>
          <w:b/>
          <w:color w:val="000000"/>
          <w:sz w:val="36"/>
          <w:szCs w:val="36"/>
        </w:rPr>
        <w:t>供应商资格声明书</w:t>
      </w:r>
    </w:p>
    <w:p w14:paraId="4A387BF7">
      <w:pPr>
        <w:tabs>
          <w:tab w:val="left" w:pos="5580"/>
        </w:tabs>
        <w:spacing w:line="360" w:lineRule="auto"/>
        <w:rPr>
          <w:rFonts w:eastAsiaTheme="minorEastAsia"/>
          <w:sz w:val="24"/>
        </w:rPr>
      </w:pPr>
    </w:p>
    <w:p w14:paraId="22AA0A44">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7058A50C">
      <w:pPr>
        <w:spacing w:line="360" w:lineRule="auto"/>
        <w:ind w:firstLine="480" w:firstLineChars="200"/>
        <w:rPr>
          <w:rFonts w:eastAsiaTheme="minorEastAsia"/>
          <w:sz w:val="24"/>
        </w:rPr>
      </w:pPr>
      <w:r>
        <w:rPr>
          <w:rFonts w:eastAsiaTheme="minorEastAsia"/>
          <w:sz w:val="24"/>
        </w:rPr>
        <w:t>在参与本次项目磋商中，我单位承诺：</w:t>
      </w:r>
    </w:p>
    <w:p w14:paraId="13C0AF1B">
      <w:pPr>
        <w:numPr>
          <w:ilvl w:val="0"/>
          <w:numId w:val="15"/>
        </w:numPr>
        <w:spacing w:line="360" w:lineRule="auto"/>
        <w:ind w:left="1134"/>
        <w:rPr>
          <w:rFonts w:eastAsiaTheme="minorEastAsia"/>
          <w:sz w:val="24"/>
          <w:szCs w:val="22"/>
        </w:rPr>
      </w:pPr>
      <w:r>
        <w:rPr>
          <w:rFonts w:eastAsiaTheme="minorEastAsia"/>
          <w:sz w:val="24"/>
          <w:szCs w:val="22"/>
        </w:rPr>
        <w:t>具有良好的商业信誉和健全的财务会计制度；</w:t>
      </w:r>
    </w:p>
    <w:p w14:paraId="620A4818">
      <w:pPr>
        <w:numPr>
          <w:ilvl w:val="0"/>
          <w:numId w:val="15"/>
        </w:numPr>
        <w:spacing w:line="360" w:lineRule="auto"/>
        <w:ind w:left="1134"/>
        <w:rPr>
          <w:rFonts w:eastAsiaTheme="minorEastAsia"/>
          <w:sz w:val="24"/>
          <w:szCs w:val="22"/>
        </w:rPr>
      </w:pPr>
      <w:r>
        <w:rPr>
          <w:rFonts w:eastAsiaTheme="minorEastAsia"/>
          <w:sz w:val="24"/>
          <w:szCs w:val="22"/>
        </w:rPr>
        <w:t>具有履行合同所必需的设备和专业技术能力；</w:t>
      </w:r>
    </w:p>
    <w:p w14:paraId="3F7C9DC8">
      <w:pPr>
        <w:numPr>
          <w:ilvl w:val="0"/>
          <w:numId w:val="15"/>
        </w:numPr>
        <w:spacing w:line="360" w:lineRule="auto"/>
        <w:ind w:left="1134"/>
        <w:rPr>
          <w:rFonts w:eastAsiaTheme="minorEastAsia"/>
          <w:sz w:val="24"/>
          <w:szCs w:val="22"/>
        </w:rPr>
      </w:pPr>
      <w:r>
        <w:rPr>
          <w:rFonts w:eastAsiaTheme="minorEastAsia"/>
          <w:sz w:val="24"/>
          <w:szCs w:val="22"/>
        </w:rPr>
        <w:t>有依法缴纳税收和社会保障资金的良好记录；</w:t>
      </w:r>
    </w:p>
    <w:p w14:paraId="2ABDCC10">
      <w:pPr>
        <w:numPr>
          <w:ilvl w:val="0"/>
          <w:numId w:val="15"/>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E4A4373">
      <w:pPr>
        <w:numPr>
          <w:ilvl w:val="0"/>
          <w:numId w:val="15"/>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120A711D">
      <w:pPr>
        <w:numPr>
          <w:ilvl w:val="0"/>
          <w:numId w:val="15"/>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35A23350">
      <w:pPr>
        <w:numPr>
          <w:ilvl w:val="0"/>
          <w:numId w:val="15"/>
        </w:numPr>
        <w:spacing w:line="360" w:lineRule="auto"/>
        <w:ind w:left="1134"/>
        <w:rPr>
          <w:rFonts w:eastAsiaTheme="minorEastAsia"/>
          <w:sz w:val="24"/>
          <w:szCs w:val="22"/>
        </w:rPr>
      </w:pPr>
      <w:r>
        <w:rPr>
          <w:rFonts w:eastAsiaTheme="minorEastAsia"/>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2223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A974C5F">
            <w:pPr>
              <w:jc w:val="center"/>
              <w:rPr>
                <w:rFonts w:eastAsiaTheme="minorEastAsia"/>
                <w:sz w:val="24"/>
              </w:rPr>
            </w:pPr>
            <w:r>
              <w:rPr>
                <w:rFonts w:eastAsiaTheme="minorEastAsia"/>
                <w:sz w:val="24"/>
              </w:rPr>
              <w:t>序号</w:t>
            </w:r>
          </w:p>
        </w:tc>
        <w:tc>
          <w:tcPr>
            <w:tcW w:w="4574" w:type="dxa"/>
            <w:vAlign w:val="center"/>
          </w:tcPr>
          <w:p w14:paraId="095996DB">
            <w:pPr>
              <w:jc w:val="center"/>
              <w:rPr>
                <w:rFonts w:eastAsiaTheme="minorEastAsia"/>
                <w:sz w:val="24"/>
              </w:rPr>
            </w:pPr>
            <w:r>
              <w:rPr>
                <w:rFonts w:eastAsiaTheme="minorEastAsia"/>
                <w:sz w:val="24"/>
              </w:rPr>
              <w:t>单位名称</w:t>
            </w:r>
          </w:p>
        </w:tc>
        <w:tc>
          <w:tcPr>
            <w:tcW w:w="2976" w:type="dxa"/>
            <w:vAlign w:val="center"/>
          </w:tcPr>
          <w:p w14:paraId="4CFD07D4">
            <w:pPr>
              <w:jc w:val="center"/>
              <w:rPr>
                <w:rFonts w:eastAsiaTheme="minorEastAsia"/>
                <w:sz w:val="24"/>
              </w:rPr>
            </w:pPr>
            <w:r>
              <w:rPr>
                <w:rFonts w:eastAsiaTheme="minorEastAsia"/>
                <w:sz w:val="24"/>
              </w:rPr>
              <w:t>相互关系</w:t>
            </w:r>
          </w:p>
        </w:tc>
      </w:tr>
      <w:tr w14:paraId="64811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60B0CF2">
            <w:pPr>
              <w:jc w:val="center"/>
              <w:rPr>
                <w:rFonts w:eastAsiaTheme="minorEastAsia"/>
                <w:sz w:val="24"/>
              </w:rPr>
            </w:pPr>
            <w:r>
              <w:rPr>
                <w:rFonts w:eastAsiaTheme="minorEastAsia"/>
                <w:sz w:val="24"/>
              </w:rPr>
              <w:t>1</w:t>
            </w:r>
          </w:p>
        </w:tc>
        <w:tc>
          <w:tcPr>
            <w:tcW w:w="4574" w:type="dxa"/>
            <w:vAlign w:val="center"/>
          </w:tcPr>
          <w:p w14:paraId="40FC5FC1">
            <w:pPr>
              <w:jc w:val="center"/>
              <w:rPr>
                <w:rFonts w:eastAsiaTheme="minorEastAsia"/>
                <w:sz w:val="24"/>
              </w:rPr>
            </w:pPr>
          </w:p>
        </w:tc>
        <w:tc>
          <w:tcPr>
            <w:tcW w:w="2976" w:type="dxa"/>
            <w:vAlign w:val="center"/>
          </w:tcPr>
          <w:p w14:paraId="2CF23FAA">
            <w:pPr>
              <w:jc w:val="center"/>
              <w:rPr>
                <w:rFonts w:eastAsiaTheme="minorEastAsia"/>
                <w:sz w:val="24"/>
              </w:rPr>
            </w:pPr>
          </w:p>
        </w:tc>
      </w:tr>
      <w:tr w14:paraId="5F8C4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7DCAE02">
            <w:pPr>
              <w:jc w:val="center"/>
              <w:rPr>
                <w:rFonts w:eastAsiaTheme="minorEastAsia"/>
                <w:sz w:val="24"/>
              </w:rPr>
            </w:pPr>
            <w:r>
              <w:rPr>
                <w:rFonts w:eastAsiaTheme="minorEastAsia"/>
                <w:sz w:val="24"/>
              </w:rPr>
              <w:t>2</w:t>
            </w:r>
          </w:p>
        </w:tc>
        <w:tc>
          <w:tcPr>
            <w:tcW w:w="4574" w:type="dxa"/>
            <w:vAlign w:val="center"/>
          </w:tcPr>
          <w:p w14:paraId="780C6F38">
            <w:pPr>
              <w:jc w:val="center"/>
              <w:rPr>
                <w:rFonts w:eastAsiaTheme="minorEastAsia"/>
                <w:sz w:val="24"/>
              </w:rPr>
            </w:pPr>
          </w:p>
        </w:tc>
        <w:tc>
          <w:tcPr>
            <w:tcW w:w="2976" w:type="dxa"/>
            <w:vAlign w:val="center"/>
          </w:tcPr>
          <w:p w14:paraId="1013B826">
            <w:pPr>
              <w:jc w:val="center"/>
              <w:rPr>
                <w:rFonts w:eastAsiaTheme="minorEastAsia"/>
                <w:sz w:val="24"/>
              </w:rPr>
            </w:pPr>
          </w:p>
        </w:tc>
      </w:tr>
      <w:tr w14:paraId="5162A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37C34CB">
            <w:pPr>
              <w:jc w:val="center"/>
              <w:rPr>
                <w:rFonts w:eastAsiaTheme="minorEastAsia"/>
                <w:sz w:val="24"/>
              </w:rPr>
            </w:pPr>
            <w:r>
              <w:rPr>
                <w:rFonts w:eastAsiaTheme="minorEastAsia"/>
                <w:sz w:val="24"/>
              </w:rPr>
              <w:t>…</w:t>
            </w:r>
          </w:p>
        </w:tc>
        <w:tc>
          <w:tcPr>
            <w:tcW w:w="4574" w:type="dxa"/>
            <w:vAlign w:val="center"/>
          </w:tcPr>
          <w:p w14:paraId="6F021CD8">
            <w:pPr>
              <w:jc w:val="center"/>
              <w:rPr>
                <w:rFonts w:eastAsiaTheme="minorEastAsia"/>
                <w:sz w:val="24"/>
              </w:rPr>
            </w:pPr>
          </w:p>
        </w:tc>
        <w:tc>
          <w:tcPr>
            <w:tcW w:w="2976" w:type="dxa"/>
            <w:vAlign w:val="center"/>
          </w:tcPr>
          <w:p w14:paraId="3F198726">
            <w:pPr>
              <w:jc w:val="center"/>
              <w:rPr>
                <w:rFonts w:eastAsiaTheme="minorEastAsia"/>
                <w:sz w:val="24"/>
              </w:rPr>
            </w:pPr>
          </w:p>
        </w:tc>
      </w:tr>
    </w:tbl>
    <w:p w14:paraId="4FA9F90F">
      <w:pPr>
        <w:rPr>
          <w:rFonts w:eastAsiaTheme="minorEastAsia"/>
        </w:rPr>
      </w:pPr>
    </w:p>
    <w:p w14:paraId="46C4976E">
      <w:pPr>
        <w:ind w:firstLine="480" w:firstLineChars="200"/>
        <w:rPr>
          <w:rFonts w:eastAsiaTheme="minorEastAsia"/>
          <w:sz w:val="24"/>
          <w:szCs w:val="22"/>
        </w:rPr>
      </w:pPr>
      <w:r>
        <w:rPr>
          <w:rFonts w:eastAsiaTheme="minorEastAsia"/>
          <w:sz w:val="24"/>
        </w:rPr>
        <w:t>上述声明真实有效，否则我方负全部责任。</w:t>
      </w:r>
    </w:p>
    <w:p w14:paraId="0E1FCB0F">
      <w:pPr>
        <w:spacing w:line="360" w:lineRule="auto"/>
        <w:rPr>
          <w:rFonts w:eastAsiaTheme="minorEastAsia"/>
          <w:sz w:val="24"/>
        </w:rPr>
      </w:pPr>
    </w:p>
    <w:p w14:paraId="2BF95DA3">
      <w:pPr>
        <w:autoSpaceDE w:val="0"/>
        <w:autoSpaceDN w:val="0"/>
        <w:adjustRightInd w:val="0"/>
        <w:snapToGrid w:val="0"/>
        <w:spacing w:before="25" w:after="25" w:line="360" w:lineRule="auto"/>
        <w:ind w:right="360"/>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5ED3D8EB">
      <w:pPr>
        <w:spacing w:line="360" w:lineRule="auto"/>
        <w:ind w:right="360" w:firstLine="480"/>
        <w:jc w:val="right"/>
        <w:rPr>
          <w:rFonts w:eastAsiaTheme="minorEastAsia"/>
          <w:sz w:val="24"/>
        </w:rPr>
      </w:pPr>
      <w:r>
        <w:rPr>
          <w:rFonts w:eastAsiaTheme="minorEastAsia"/>
          <w:color w:val="000000"/>
          <w:sz w:val="24"/>
          <w:szCs w:val="20"/>
        </w:rPr>
        <w:t xml:space="preserve">日期：____年____月____日   </w:t>
      </w:r>
    </w:p>
    <w:p w14:paraId="188A0BDC">
      <w:pPr>
        <w:spacing w:line="360" w:lineRule="auto"/>
        <w:rPr>
          <w:rFonts w:eastAsiaTheme="minorEastAsia"/>
          <w:sz w:val="24"/>
        </w:rPr>
      </w:pPr>
      <w:r>
        <w:rPr>
          <w:sz w:val="24"/>
        </w:rPr>
        <w:t>说明：供应商承诺不实的，依据《政府采购法》第七十七条“提供虚假材料谋取中标、成交的”有关规定予以处理。</w:t>
      </w:r>
    </w:p>
    <w:p w14:paraId="02F5C201">
      <w:pPr>
        <w:tabs>
          <w:tab w:val="left" w:pos="5580"/>
        </w:tabs>
        <w:spacing w:line="360" w:lineRule="auto"/>
        <w:rPr>
          <w:rFonts w:eastAsiaTheme="minorEastAsia"/>
          <w:sz w:val="24"/>
        </w:rPr>
        <w:sectPr>
          <w:headerReference r:id="rId15" w:type="first"/>
          <w:footerReference r:id="rId18" w:type="first"/>
          <w:headerReference r:id="rId13" w:type="default"/>
          <w:footerReference r:id="rId16" w:type="default"/>
          <w:headerReference r:id="rId14" w:type="even"/>
          <w:footerReference r:id="rId17" w:type="even"/>
          <w:pgSz w:w="11907" w:h="16840"/>
          <w:pgMar w:top="1418" w:right="1134" w:bottom="1418" w:left="1701" w:header="851" w:footer="851" w:gutter="0"/>
          <w:cols w:space="720" w:num="1"/>
          <w:docGrid w:linePitch="462" w:charSpace="0"/>
        </w:sectPr>
      </w:pPr>
    </w:p>
    <w:p w14:paraId="292053FE">
      <w:pPr>
        <w:tabs>
          <w:tab w:val="left" w:pos="360"/>
        </w:tabs>
        <w:snapToGrid w:val="0"/>
        <w:spacing w:line="360" w:lineRule="auto"/>
        <w:outlineLvl w:val="1"/>
        <w:rPr>
          <w:rFonts w:eastAsiaTheme="minorEastAsia"/>
          <w:sz w:val="24"/>
        </w:rPr>
      </w:pPr>
      <w:r>
        <w:rPr>
          <w:rFonts w:eastAsiaTheme="minorEastAsia"/>
          <w:sz w:val="24"/>
        </w:rPr>
        <w:t>2 落实政府采购政策需满足的资格要求（如有）</w:t>
      </w:r>
    </w:p>
    <w:p w14:paraId="5842F085">
      <w:pPr>
        <w:spacing w:line="360" w:lineRule="auto"/>
        <w:outlineLvl w:val="2"/>
        <w:rPr>
          <w:rFonts w:eastAsiaTheme="minorEastAsia"/>
          <w:color w:val="000000"/>
          <w:sz w:val="24"/>
          <w:szCs w:val="20"/>
        </w:rPr>
      </w:pPr>
      <w:r>
        <w:rPr>
          <w:rFonts w:eastAsiaTheme="minorEastAsia"/>
          <w:color w:val="000000"/>
          <w:sz w:val="24"/>
          <w:szCs w:val="20"/>
        </w:rPr>
        <w:t>2-1 中小企业</w:t>
      </w:r>
      <w:r>
        <w:rPr>
          <w:rFonts w:hint="eastAsia" w:eastAsiaTheme="minorEastAsia"/>
          <w:color w:val="000000"/>
          <w:sz w:val="24"/>
          <w:szCs w:val="20"/>
        </w:rPr>
        <w:t>政策</w:t>
      </w:r>
      <w:r>
        <w:rPr>
          <w:rFonts w:eastAsiaTheme="minorEastAsia"/>
          <w:color w:val="000000"/>
          <w:sz w:val="24"/>
          <w:szCs w:val="20"/>
        </w:rPr>
        <w:t>证明文件</w:t>
      </w:r>
    </w:p>
    <w:p w14:paraId="7BACB782">
      <w:pPr>
        <w:tabs>
          <w:tab w:val="left" w:pos="5580"/>
        </w:tabs>
        <w:spacing w:line="360" w:lineRule="auto"/>
        <w:rPr>
          <w:rFonts w:eastAsiaTheme="minorEastAsia"/>
          <w:sz w:val="24"/>
        </w:rPr>
      </w:pPr>
      <w:r>
        <w:rPr>
          <w:rFonts w:eastAsiaTheme="minorEastAsia"/>
          <w:sz w:val="24"/>
        </w:rPr>
        <w:t>说明：</w:t>
      </w:r>
    </w:p>
    <w:p w14:paraId="2C09008C">
      <w:pPr>
        <w:tabs>
          <w:tab w:val="left" w:pos="5580"/>
        </w:tabs>
        <w:spacing w:line="360" w:lineRule="auto"/>
        <w:rPr>
          <w:sz w:val="24"/>
        </w:rPr>
      </w:pPr>
      <w:r>
        <w:rPr>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14:textFill>
            <w14:solidFill>
              <w14:schemeClr w14:val="tx1"/>
            </w14:solidFill>
          </w14:textFill>
        </w:rPr>
        <w:t>否则不享受相关中小企业扶持政策</w:t>
      </w:r>
      <w:r>
        <w:rPr>
          <w:sz w:val="24"/>
        </w:rPr>
        <w:t>。</w:t>
      </w:r>
    </w:p>
    <w:p w14:paraId="7066BA52">
      <w:pPr>
        <w:tabs>
          <w:tab w:val="left" w:pos="5580"/>
        </w:tabs>
        <w:spacing w:line="360" w:lineRule="auto"/>
        <w:rPr>
          <w:rFonts w:eastAsiaTheme="minorEastAsia"/>
          <w:sz w:val="24"/>
        </w:rPr>
      </w:pPr>
      <w:r>
        <w:rPr>
          <w:rFonts w:eastAsiaTheme="minorEastAsia"/>
          <w:sz w:val="24"/>
        </w:rPr>
        <w:t>（2）如本项目（包）专门面向中小企业采购，响应文件中须提供《中小企业声明函》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446084CC">
      <w:pPr>
        <w:tabs>
          <w:tab w:val="left" w:pos="5580"/>
        </w:tabs>
        <w:spacing w:line="360" w:lineRule="auto"/>
        <w:rPr>
          <w:rFonts w:eastAsiaTheme="minorEastAsia"/>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5614F69F">
      <w:pPr>
        <w:tabs>
          <w:tab w:val="left" w:pos="5580"/>
        </w:tabs>
        <w:spacing w:line="360" w:lineRule="auto"/>
        <w:rPr>
          <w:sz w:val="24"/>
        </w:rPr>
      </w:pPr>
      <w:r>
        <w:rPr>
          <w:rFonts w:eastAsiaTheme="minorEastAsia"/>
          <w:sz w:val="24"/>
        </w:rPr>
        <w:t>（4）</w:t>
      </w:r>
      <w:r>
        <w:rPr>
          <w:sz w:val="24"/>
        </w:rPr>
        <w:t>中小企业声明函填写注意事项</w:t>
      </w:r>
    </w:p>
    <w:p w14:paraId="2B701AFF">
      <w:pPr>
        <w:tabs>
          <w:tab w:val="left" w:pos="5580"/>
        </w:tabs>
        <w:spacing w:line="360" w:lineRule="auto"/>
        <w:rPr>
          <w:sz w:val="24"/>
        </w:rPr>
      </w:pPr>
      <w:r>
        <w:rPr>
          <w:sz w:val="24"/>
        </w:rPr>
        <w:t>1）《中小企业声明函》由参加政府采购活动的供应商出具。联合体参与的，《中小企业声明函》可由牵头人出具。</w:t>
      </w:r>
    </w:p>
    <w:p w14:paraId="06C87AFD">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F68F40E">
      <w:pPr>
        <w:tabs>
          <w:tab w:val="left" w:pos="5580"/>
        </w:tabs>
        <w:spacing w:line="360" w:lineRule="auto"/>
        <w:rPr>
          <w:rFonts w:eastAsiaTheme="minorEastAsia"/>
          <w:sz w:val="24"/>
        </w:rPr>
      </w:pPr>
      <w:r>
        <w:rPr>
          <w:sz w:val="24"/>
        </w:rPr>
        <w:t>3）对于多标的采购项目，供应商应充分、准确地了解所提供货物的制造企业、提供服务的承接企业信息。对相关情况了解不清楚的，不建议填报本声明函。</w:t>
      </w:r>
    </w:p>
    <w:p w14:paraId="59657272">
      <w:pPr>
        <w:tabs>
          <w:tab w:val="left" w:pos="5580"/>
        </w:tabs>
        <w:spacing w:line="360" w:lineRule="auto"/>
        <w:rPr>
          <w:rFonts w:eastAsiaTheme="minorEastAsia"/>
          <w:b/>
          <w:bCs/>
          <w:color w:val="000000"/>
          <w:sz w:val="36"/>
          <w:szCs w:val="36"/>
        </w:rPr>
      </w:pPr>
      <w:r>
        <w:rPr>
          <w:rFonts w:eastAsiaTheme="minor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rFonts w:eastAsiaTheme="minorEastAsia"/>
          <w:b/>
          <w:bCs/>
          <w:color w:val="000000"/>
          <w:sz w:val="36"/>
          <w:szCs w:val="36"/>
        </w:rPr>
        <w:br w:type="page"/>
      </w:r>
    </w:p>
    <w:p w14:paraId="13867AF1">
      <w:pPr>
        <w:pStyle w:val="5"/>
        <w:rPr>
          <w:rFonts w:ascii="Times New Roman" w:hAnsi="Times New Roman" w:eastAsiaTheme="majorEastAsia"/>
          <w:sz w:val="24"/>
          <w:szCs w:val="24"/>
        </w:rPr>
      </w:pPr>
      <w:r>
        <w:rPr>
          <w:rFonts w:ascii="Times New Roman" w:hAnsi="Times New Roman" w:eastAsiaTheme="majorEastAsia"/>
          <w:sz w:val="24"/>
          <w:szCs w:val="24"/>
        </w:rPr>
        <w:t>2-</w:t>
      </w:r>
      <w:r>
        <w:rPr>
          <w:rFonts w:hint="eastAsia" w:ascii="Times New Roman" w:hAnsi="Times New Roman" w:eastAsiaTheme="majorEastAsia"/>
          <w:sz w:val="24"/>
          <w:szCs w:val="24"/>
          <w:lang w:val="en-US" w:eastAsia="zh-CN"/>
        </w:rPr>
        <w:t>2</w:t>
      </w:r>
      <w:r>
        <w:rPr>
          <w:rFonts w:ascii="Times New Roman" w:hAnsi="Times New Roman" w:eastAsiaTheme="majorEastAsia"/>
          <w:sz w:val="24"/>
          <w:szCs w:val="24"/>
        </w:rPr>
        <w:t xml:space="preserve"> 中小企业</w:t>
      </w:r>
      <w:r>
        <w:rPr>
          <w:rFonts w:hint="eastAsia" w:ascii="Times New Roman" w:hAnsi="Times New Roman" w:eastAsiaTheme="majorEastAsia"/>
          <w:sz w:val="24"/>
          <w:szCs w:val="24"/>
        </w:rPr>
        <w:t>证明文件</w:t>
      </w:r>
    </w:p>
    <w:p w14:paraId="039EA76E">
      <w:pPr>
        <w:spacing w:before="240" w:beforeLines="100" w:after="240" w:afterLines="100" w:line="360" w:lineRule="auto"/>
        <w:jc w:val="center"/>
        <w:rPr>
          <w:rFonts w:eastAsiaTheme="minorEastAsia"/>
          <w:b/>
          <w:bCs/>
          <w:color w:val="000000"/>
          <w:sz w:val="36"/>
          <w:szCs w:val="36"/>
        </w:rPr>
      </w:pPr>
      <w:r>
        <w:rPr>
          <w:rFonts w:eastAsiaTheme="minorEastAsia"/>
          <w:b/>
          <w:bCs/>
          <w:color w:val="000000"/>
          <w:sz w:val="36"/>
          <w:szCs w:val="36"/>
        </w:rPr>
        <w:t>中小企业声明函（工程、服务）格式</w:t>
      </w:r>
    </w:p>
    <w:p w14:paraId="7889DE68">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C262581">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14:paraId="3E79AB18">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 xml:space="preserve">（标的名称）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5CA57A67">
      <w:pPr>
        <w:spacing w:line="360" w:lineRule="auto"/>
        <w:ind w:firstLine="504"/>
        <w:rPr>
          <w:rFonts w:eastAsiaTheme="minorEastAsia"/>
          <w:spacing w:val="6"/>
          <w:sz w:val="24"/>
        </w:rPr>
      </w:pPr>
    </w:p>
    <w:p w14:paraId="5355B495">
      <w:pPr>
        <w:spacing w:line="360" w:lineRule="auto"/>
        <w:ind w:firstLine="504"/>
        <w:rPr>
          <w:rFonts w:eastAsiaTheme="minorEastAsia"/>
          <w:spacing w:val="6"/>
          <w:sz w:val="24"/>
        </w:rPr>
      </w:pPr>
      <w:r>
        <w:rPr>
          <w:rFonts w:eastAsiaTheme="minorEastAsia"/>
          <w:spacing w:val="6"/>
          <w:sz w:val="24"/>
        </w:rPr>
        <w:t>……</w:t>
      </w:r>
    </w:p>
    <w:p w14:paraId="19FD98F0">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30E0FCBD">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424CB86D">
      <w:pPr>
        <w:spacing w:line="360" w:lineRule="auto"/>
        <w:ind w:right="360" w:firstLine="480"/>
        <w:jc w:val="right"/>
        <w:rPr>
          <w:rFonts w:eastAsiaTheme="minorEastAsia"/>
          <w:color w:val="000000"/>
          <w:sz w:val="24"/>
        </w:rPr>
      </w:pPr>
    </w:p>
    <w:p w14:paraId="144BF84E">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41817F7C">
      <w:pPr>
        <w:spacing w:line="360" w:lineRule="auto"/>
        <w:ind w:right="360" w:firstLine="480"/>
        <w:jc w:val="right"/>
        <w:rPr>
          <w:rFonts w:eastAsiaTheme="minorEastAsia"/>
          <w:color w:val="000000"/>
          <w:sz w:val="24"/>
        </w:rPr>
      </w:pPr>
      <w:r>
        <w:rPr>
          <w:rFonts w:eastAsiaTheme="minorEastAsia"/>
          <w:color w:val="000000"/>
          <w:sz w:val="24"/>
        </w:rPr>
        <w:t>日 期：</w:t>
      </w:r>
      <w:r>
        <w:rPr>
          <w:rFonts w:eastAsiaTheme="minorEastAsia"/>
          <w:sz w:val="24"/>
        </w:rPr>
        <w:t>______</w:t>
      </w:r>
    </w:p>
    <w:p w14:paraId="200485E6">
      <w:pPr>
        <w:adjustRightInd w:val="0"/>
        <w:snapToGrid w:val="0"/>
        <w:jc w:val="left"/>
        <w:rPr>
          <w:rFonts w:eastAsiaTheme="minorEastAsia"/>
          <w:color w:val="000000"/>
          <w:sz w:val="24"/>
          <w:szCs w:val="21"/>
        </w:rPr>
      </w:pPr>
    </w:p>
    <w:p w14:paraId="689197D4">
      <w:pPr>
        <w:adjustRightInd w:val="0"/>
        <w:snapToGrid w:val="0"/>
        <w:jc w:val="left"/>
        <w:rPr>
          <w:rFonts w:eastAsiaTheme="minorEastAsia"/>
          <w:color w:val="000000"/>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AA44C9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347A8099">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6C1B22FB">
      <w:pPr>
        <w:adjustRightInd w:val="0"/>
        <w:snapToGrid w:val="0"/>
        <w:jc w:val="left"/>
        <w:rPr>
          <w:rFonts w:eastAsiaTheme="minorEastAsia"/>
          <w:color w:val="000000"/>
          <w:szCs w:val="21"/>
          <w:vertAlign w:val="superscript"/>
        </w:rPr>
      </w:pPr>
    </w:p>
    <w:p w14:paraId="6819E720">
      <w:pPr>
        <w:spacing w:line="360" w:lineRule="auto"/>
        <w:ind w:right="360" w:firstLine="480"/>
        <w:jc w:val="right"/>
        <w:rPr>
          <w:rFonts w:eastAsiaTheme="minorEastAsia"/>
          <w:color w:val="000000"/>
          <w:sz w:val="24"/>
        </w:rPr>
      </w:pPr>
    </w:p>
    <w:p w14:paraId="44C49EDA">
      <w:pPr>
        <w:spacing w:line="360" w:lineRule="auto"/>
        <w:ind w:right="360" w:firstLine="480"/>
        <w:jc w:val="right"/>
        <w:rPr>
          <w:rFonts w:eastAsiaTheme="minorEastAsia"/>
          <w:color w:val="000000"/>
          <w:sz w:val="24"/>
        </w:rPr>
      </w:pPr>
    </w:p>
    <w:p w14:paraId="460EDE12">
      <w:pPr>
        <w:spacing w:line="360" w:lineRule="auto"/>
        <w:ind w:right="360" w:firstLine="480"/>
        <w:jc w:val="right"/>
        <w:rPr>
          <w:rFonts w:eastAsiaTheme="minorEastAsia"/>
          <w:color w:val="000000"/>
          <w:sz w:val="24"/>
          <w:szCs w:val="20"/>
        </w:rPr>
      </w:pPr>
      <w:r>
        <w:rPr>
          <w:rFonts w:eastAsiaTheme="minorEastAsia"/>
          <w:color w:val="000000"/>
          <w:sz w:val="24"/>
          <w:szCs w:val="20"/>
        </w:rPr>
        <w:br w:type="page"/>
      </w:r>
    </w:p>
    <w:p w14:paraId="436A4051">
      <w:pPr>
        <w:spacing w:before="240" w:beforeLines="100" w:after="240" w:afterLines="100" w:line="360" w:lineRule="auto"/>
        <w:jc w:val="center"/>
        <w:rPr>
          <w:rFonts w:eastAsiaTheme="minorEastAsia"/>
          <w:b/>
          <w:color w:val="000000"/>
          <w:sz w:val="36"/>
          <w:szCs w:val="36"/>
        </w:rPr>
      </w:pPr>
      <w:r>
        <w:rPr>
          <w:rFonts w:eastAsiaTheme="minorEastAsia"/>
          <w:b/>
          <w:bCs/>
          <w:color w:val="000000"/>
          <w:sz w:val="36"/>
          <w:szCs w:val="36"/>
        </w:rPr>
        <w:t>残疾人福利性单位声明函格式</w:t>
      </w:r>
      <w:r>
        <w:rPr>
          <w:rFonts w:eastAsiaTheme="minorEastAsia"/>
          <w:b/>
          <w:color w:val="000000"/>
          <w:sz w:val="36"/>
          <w:szCs w:val="36"/>
        </w:rPr>
        <w:t xml:space="preserve">       </w:t>
      </w:r>
    </w:p>
    <w:p w14:paraId="5E322CDB">
      <w:pPr>
        <w:spacing w:line="588" w:lineRule="exact"/>
        <w:ind w:firstLine="504"/>
        <w:rPr>
          <w:rFonts w:eastAsiaTheme="minorEastAsia"/>
          <w:spacing w:val="6"/>
          <w:sz w:val="24"/>
        </w:rPr>
      </w:pPr>
      <w:r>
        <w:rPr>
          <w:rFonts w:eastAsiaTheme="minorEastAsia"/>
          <w:spacing w:val="6"/>
          <w:sz w:val="24"/>
        </w:rPr>
        <w:t>本单位郑重声明，根据《财政部 民政部 中国残疾人联合会关于促进残疾人就业政府采购政策的通知》（财库</w:t>
      </w:r>
      <w:r>
        <w:rPr>
          <w:rFonts w:eastAsiaTheme="minorEastAsia"/>
          <w:sz w:val="24"/>
        </w:rPr>
        <w:t>〔2017〕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14:paraId="45EFA7B3">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14:paraId="16014536">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项目采购活动提供本单位制造的货物（由本单位承担工程/提供服务），或者提供其他残疾人福利性单位制造的货物（不包括使用非残疾人福利性单位注册商标的货物）。</w:t>
      </w:r>
    </w:p>
    <w:p w14:paraId="49C8F186">
      <w:pPr>
        <w:spacing w:line="588" w:lineRule="exact"/>
        <w:ind w:firstLine="506" w:firstLineChars="200"/>
        <w:rPr>
          <w:rFonts w:eastAsiaTheme="minorEastAsia"/>
          <w:spacing w:val="6"/>
          <w:sz w:val="24"/>
        </w:rPr>
      </w:pPr>
      <w:r>
        <w:rPr>
          <w:rFonts w:eastAsiaTheme="minorEastAsia"/>
          <w:b/>
          <w:spacing w:val="6"/>
          <w:sz w:val="24"/>
        </w:rPr>
        <w:t>本单位对上述声明的真实性负责。如有虚假，将依法承担相应责任。</w:t>
      </w:r>
    </w:p>
    <w:p w14:paraId="3CE67167">
      <w:pPr>
        <w:spacing w:line="588" w:lineRule="exact"/>
        <w:ind w:firstLine="504" w:firstLineChars="200"/>
        <w:rPr>
          <w:rFonts w:eastAsiaTheme="minorEastAsia"/>
          <w:spacing w:val="6"/>
          <w:sz w:val="24"/>
        </w:rPr>
      </w:pPr>
    </w:p>
    <w:p w14:paraId="6F996072">
      <w:pPr>
        <w:spacing w:line="588" w:lineRule="exact"/>
        <w:ind w:firstLine="504" w:firstLineChars="200"/>
        <w:rPr>
          <w:rFonts w:eastAsiaTheme="minorEastAsia"/>
          <w:spacing w:val="6"/>
          <w:sz w:val="24"/>
        </w:rPr>
      </w:pPr>
    </w:p>
    <w:p w14:paraId="6A15E20F">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单位名称（盖章）：</w:t>
      </w:r>
      <w:r>
        <w:rPr>
          <w:rFonts w:eastAsiaTheme="minorEastAsia"/>
          <w:sz w:val="24"/>
        </w:rPr>
        <w:t>______</w:t>
      </w:r>
    </w:p>
    <w:p w14:paraId="648E41F9">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日  期：</w:t>
      </w:r>
      <w:r>
        <w:rPr>
          <w:rFonts w:eastAsiaTheme="minorEastAsia"/>
          <w:sz w:val="24"/>
        </w:rPr>
        <w:t>______</w:t>
      </w:r>
    </w:p>
    <w:p w14:paraId="31758847">
      <w:pPr>
        <w:tabs>
          <w:tab w:val="left" w:pos="360"/>
        </w:tabs>
        <w:snapToGrid w:val="0"/>
        <w:spacing w:line="360" w:lineRule="auto"/>
        <w:outlineLvl w:val="1"/>
        <w:rPr>
          <w:rFonts w:eastAsiaTheme="minorEastAsia"/>
          <w:sz w:val="24"/>
        </w:rPr>
      </w:pPr>
      <w:r>
        <w:rPr>
          <w:rFonts w:eastAsiaTheme="minorEastAsia"/>
          <w:color w:val="000000"/>
          <w:sz w:val="24"/>
          <w:szCs w:val="20"/>
        </w:rPr>
        <w:br w:type="page"/>
      </w:r>
      <w:r>
        <w:rPr>
          <w:rFonts w:eastAsiaTheme="minorEastAsia"/>
          <w:sz w:val="24"/>
        </w:rPr>
        <w:t>3 本项目的特定资格要求（如有）</w:t>
      </w:r>
    </w:p>
    <w:p w14:paraId="7CFE7165">
      <w:pPr>
        <w:spacing w:line="360" w:lineRule="auto"/>
        <w:outlineLvl w:val="2"/>
        <w:rPr>
          <w:rFonts w:eastAsiaTheme="minorEastAsia"/>
          <w:sz w:val="24"/>
          <w:szCs w:val="20"/>
        </w:rPr>
      </w:pPr>
      <w:r>
        <w:rPr>
          <w:rFonts w:eastAsiaTheme="minorEastAsia"/>
          <w:color w:val="000000"/>
          <w:sz w:val="24"/>
          <w:szCs w:val="20"/>
        </w:rPr>
        <w:t>3-</w:t>
      </w:r>
      <w:r>
        <w:rPr>
          <w:rFonts w:hint="eastAsia" w:eastAsiaTheme="minorEastAsia"/>
          <w:color w:val="000000"/>
          <w:sz w:val="24"/>
          <w:szCs w:val="20"/>
          <w:lang w:val="en-US" w:eastAsia="zh-CN"/>
        </w:rPr>
        <w:t>1</w:t>
      </w:r>
      <w:r>
        <w:rPr>
          <w:rFonts w:eastAsiaTheme="minorEastAsia"/>
          <w:color w:val="000000"/>
          <w:sz w:val="24"/>
          <w:szCs w:val="20"/>
        </w:rPr>
        <w:t xml:space="preserve"> 其他</w:t>
      </w:r>
      <w:r>
        <w:rPr>
          <w:rFonts w:eastAsiaTheme="minorEastAsia"/>
          <w:sz w:val="24"/>
          <w:szCs w:val="20"/>
        </w:rPr>
        <w:t>特定资格要求</w:t>
      </w:r>
    </w:p>
    <w:p w14:paraId="6B571094">
      <w:pPr>
        <w:tabs>
          <w:tab w:val="left" w:pos="5580"/>
        </w:tabs>
        <w:spacing w:line="360" w:lineRule="auto"/>
        <w:rPr>
          <w:rFonts w:eastAsiaTheme="minorEastAsia"/>
          <w:sz w:val="24"/>
        </w:rPr>
      </w:pPr>
    </w:p>
    <w:p w14:paraId="0623E313">
      <w:pPr>
        <w:widowControl/>
        <w:jc w:val="left"/>
        <w:rPr>
          <w:rFonts w:eastAsiaTheme="minorEastAsia"/>
          <w:sz w:val="24"/>
          <w:szCs w:val="20"/>
        </w:rPr>
      </w:pPr>
      <w:r>
        <w:rPr>
          <w:rFonts w:eastAsiaTheme="minorEastAsia"/>
          <w:sz w:val="24"/>
          <w:szCs w:val="20"/>
        </w:rPr>
        <w:br w:type="page"/>
      </w:r>
    </w:p>
    <w:p w14:paraId="00BBB879">
      <w:pPr>
        <w:tabs>
          <w:tab w:val="left" w:pos="360"/>
        </w:tabs>
        <w:snapToGrid w:val="0"/>
        <w:spacing w:line="360" w:lineRule="auto"/>
        <w:outlineLvl w:val="1"/>
        <w:rPr>
          <w:rFonts w:eastAsiaTheme="minorEastAsia"/>
          <w:sz w:val="24"/>
        </w:rPr>
      </w:pPr>
      <w:bookmarkStart w:id="1233" w:name="_Ref467988698"/>
      <w:bookmarkStart w:id="1234" w:name="_Toc480942349"/>
      <w:bookmarkStart w:id="1235" w:name="_Toc150774761"/>
      <w:bookmarkStart w:id="1236" w:name="_Toc150480794"/>
      <w:bookmarkStart w:id="1237" w:name="_Toc127151556"/>
      <w:bookmarkStart w:id="1238" w:name="_Toc142311058"/>
      <w:bookmarkStart w:id="1239" w:name="_Toc195842921"/>
      <w:bookmarkStart w:id="1240" w:name="_Toc226965746"/>
      <w:bookmarkStart w:id="1241" w:name="_Toc226965829"/>
      <w:bookmarkStart w:id="1242" w:name="_Toc226337252"/>
      <w:bookmarkStart w:id="1243" w:name="_Toc226309800"/>
      <w:bookmarkStart w:id="1244" w:name="_Toc520356217"/>
      <w:r>
        <w:rPr>
          <w:rFonts w:hint="eastAsia" w:ascii="Times New Roman" w:hAnsi="Times New Roman" w:cs="Times New Roman" w:eastAsiaTheme="minorEastAsia"/>
          <w:sz w:val="24"/>
          <w:lang w:val="en-US" w:eastAsia="zh-CN"/>
        </w:rPr>
        <w:t>4</w:t>
      </w:r>
      <w:r>
        <w:rPr>
          <w:rFonts w:eastAsiaTheme="minorEastAsia"/>
          <w:sz w:val="24"/>
        </w:rPr>
        <w:t xml:space="preserve">  </w:t>
      </w:r>
      <w:bookmarkEnd w:id="1233"/>
      <w:bookmarkEnd w:id="1234"/>
      <w:r>
        <w:rPr>
          <w:rFonts w:eastAsiaTheme="minorEastAsia"/>
          <w:sz w:val="24"/>
        </w:rPr>
        <w:t>响应书</w:t>
      </w:r>
      <w:bookmarkEnd w:id="1235"/>
      <w:bookmarkEnd w:id="1236"/>
      <w:bookmarkEnd w:id="1237"/>
      <w:bookmarkEnd w:id="1238"/>
      <w:bookmarkEnd w:id="1239"/>
      <w:bookmarkEnd w:id="1240"/>
      <w:bookmarkEnd w:id="1241"/>
      <w:bookmarkEnd w:id="1242"/>
      <w:bookmarkEnd w:id="1243"/>
      <w:bookmarkEnd w:id="1244"/>
      <w:r>
        <w:rPr>
          <w:rFonts w:eastAsiaTheme="minorEastAsia"/>
          <w:sz w:val="24"/>
        </w:rPr>
        <w:t>（实质性格式）</w:t>
      </w:r>
    </w:p>
    <w:p w14:paraId="69A0A397">
      <w:pPr>
        <w:tabs>
          <w:tab w:val="left" w:pos="5580"/>
        </w:tabs>
        <w:spacing w:line="360" w:lineRule="auto"/>
        <w:rPr>
          <w:rFonts w:eastAsiaTheme="minorEastAsia"/>
          <w:color w:val="000000"/>
          <w:sz w:val="24"/>
        </w:rPr>
      </w:pPr>
    </w:p>
    <w:p w14:paraId="52B0B836">
      <w:pPr>
        <w:spacing w:line="360" w:lineRule="auto"/>
        <w:jc w:val="center"/>
        <w:rPr>
          <w:rFonts w:eastAsiaTheme="minorEastAsia"/>
          <w:b/>
          <w:color w:val="000000"/>
          <w:sz w:val="36"/>
          <w:szCs w:val="36"/>
        </w:rPr>
      </w:pPr>
      <w:r>
        <w:rPr>
          <w:rFonts w:eastAsiaTheme="minorEastAsia"/>
          <w:b/>
          <w:color w:val="000000"/>
          <w:sz w:val="36"/>
          <w:szCs w:val="36"/>
        </w:rPr>
        <w:t>响应书</w:t>
      </w:r>
    </w:p>
    <w:p w14:paraId="6097E015">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3D7C781F">
      <w:pPr>
        <w:tabs>
          <w:tab w:val="left" w:pos="5580"/>
        </w:tabs>
        <w:spacing w:line="360" w:lineRule="auto"/>
        <w:rPr>
          <w:rFonts w:eastAsiaTheme="minorEastAsia"/>
          <w:color w:val="000000"/>
          <w:sz w:val="24"/>
          <w:szCs w:val="20"/>
        </w:rPr>
      </w:pPr>
    </w:p>
    <w:p w14:paraId="6B1905B7">
      <w:pPr>
        <w:tabs>
          <w:tab w:val="left" w:pos="5580"/>
        </w:tabs>
        <w:spacing w:line="360" w:lineRule="auto"/>
        <w:ind w:firstLine="408"/>
        <w:rPr>
          <w:rFonts w:eastAsiaTheme="minorEastAsia"/>
          <w:color w:val="000000"/>
          <w:sz w:val="24"/>
          <w:szCs w:val="20"/>
        </w:rPr>
      </w:pPr>
      <w:r>
        <w:rPr>
          <w:rFonts w:eastAsiaTheme="minorEastAsia"/>
          <w:color w:val="000000"/>
          <w:sz w:val="24"/>
          <w:szCs w:val="20"/>
        </w:rPr>
        <w:t>我方参加你方就</w:t>
      </w:r>
      <w:r>
        <w:rPr>
          <w:rFonts w:eastAsiaTheme="minorEastAsia"/>
          <w:sz w:val="24"/>
        </w:rPr>
        <w:t>______</w:t>
      </w:r>
      <w:r>
        <w:rPr>
          <w:rFonts w:eastAsiaTheme="minorEastAsia"/>
          <w:color w:val="000000"/>
          <w:sz w:val="24"/>
          <w:szCs w:val="20"/>
        </w:rPr>
        <w:t>（项目名称，项目编号/包号）组织的采购活动，并对此项目进行磋商。</w:t>
      </w:r>
    </w:p>
    <w:p w14:paraId="39FD301F">
      <w:pPr>
        <w:tabs>
          <w:tab w:val="left" w:pos="5580"/>
        </w:tabs>
        <w:spacing w:line="360" w:lineRule="auto"/>
        <w:ind w:firstLine="408"/>
        <w:rPr>
          <w:rFonts w:eastAsiaTheme="minorEastAsia"/>
          <w:color w:val="000000"/>
          <w:sz w:val="24"/>
          <w:szCs w:val="20"/>
        </w:rPr>
      </w:pPr>
      <w:r>
        <w:rPr>
          <w:rFonts w:eastAsiaTheme="minorEastAsia"/>
          <w:color w:val="000000"/>
          <w:sz w:val="24"/>
          <w:szCs w:val="20"/>
        </w:rPr>
        <w:t>1. 我方</w:t>
      </w:r>
      <w:r>
        <w:rPr>
          <w:rFonts w:eastAsiaTheme="minorEastAsia"/>
          <w:color w:val="000000"/>
          <w:sz w:val="24"/>
        </w:rPr>
        <w:t>已详细审查全部竞争性磋商文件</w:t>
      </w:r>
      <w:r>
        <w:rPr>
          <w:rFonts w:eastAsiaTheme="minorEastAsia"/>
          <w:color w:val="000000"/>
          <w:sz w:val="24"/>
          <w:szCs w:val="20"/>
        </w:rPr>
        <w:t>，自愿参与磋商并承诺如下：</w:t>
      </w:r>
    </w:p>
    <w:p w14:paraId="412BEBCE">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（1）本响应有效期为自响应文件提交截止之日起</w:t>
      </w:r>
      <w:r>
        <w:rPr>
          <w:rFonts w:eastAsiaTheme="minorEastAsia"/>
          <w:sz w:val="24"/>
        </w:rPr>
        <w:t>______</w:t>
      </w:r>
      <w:r>
        <w:rPr>
          <w:rFonts w:eastAsiaTheme="minorEastAsia"/>
          <w:color w:val="000000"/>
          <w:sz w:val="24"/>
          <w:szCs w:val="20"/>
        </w:rPr>
        <w:t>个日历日。</w:t>
      </w:r>
    </w:p>
    <w:p w14:paraId="4D020FCF">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（2）除合同条款及采购需求偏离表列出的偏离外，我方响应竞争性磋商文件的全部要求。</w:t>
      </w:r>
    </w:p>
    <w:p w14:paraId="63254719">
      <w:pPr>
        <w:tabs>
          <w:tab w:val="left" w:pos="5580"/>
        </w:tabs>
        <w:spacing w:line="360" w:lineRule="auto"/>
        <w:ind w:firstLine="420" w:firstLineChars="175"/>
        <w:rPr>
          <w:rFonts w:eastAsiaTheme="minorEastAsia"/>
          <w:color w:val="000000"/>
          <w:sz w:val="24"/>
          <w:szCs w:val="20"/>
        </w:rPr>
      </w:pPr>
      <w:r>
        <w:rPr>
          <w:rFonts w:eastAsiaTheme="minorEastAsia"/>
          <w:color w:val="000000"/>
          <w:sz w:val="24"/>
          <w:szCs w:val="20"/>
        </w:rPr>
        <w:t>（3）我方已提供的全部文件资料是真实、准确的，并对此承担一切法律后果。</w:t>
      </w:r>
    </w:p>
    <w:p w14:paraId="28256E30">
      <w:pPr>
        <w:tabs>
          <w:tab w:val="left" w:pos="5580"/>
        </w:tabs>
        <w:spacing w:line="360" w:lineRule="auto"/>
        <w:ind w:firstLine="420" w:firstLineChars="175"/>
        <w:rPr>
          <w:rFonts w:eastAsiaTheme="minorEastAsia"/>
          <w:color w:val="000000"/>
          <w:sz w:val="24"/>
        </w:rPr>
      </w:pPr>
      <w:r>
        <w:rPr>
          <w:rFonts w:eastAsiaTheme="minorEastAsia"/>
          <w:color w:val="000000"/>
          <w:sz w:val="24"/>
          <w:szCs w:val="20"/>
        </w:rPr>
        <w:t>（4）如我方成交，我方将在法律规定的期限内与你方签订合同，按照竞争性磋商文件要求提交履约保证金，并在合同约定的期限内完成合同规定的全部义务。</w:t>
      </w:r>
    </w:p>
    <w:p w14:paraId="3F00F4B0">
      <w:pPr>
        <w:spacing w:line="360" w:lineRule="auto"/>
        <w:ind w:left="420"/>
        <w:rPr>
          <w:rFonts w:eastAsiaTheme="minorEastAsia"/>
          <w:color w:val="000000"/>
          <w:sz w:val="24"/>
        </w:rPr>
      </w:pPr>
      <w:r>
        <w:rPr>
          <w:rFonts w:eastAsiaTheme="minorEastAsia"/>
          <w:color w:val="000000"/>
          <w:sz w:val="24"/>
        </w:rPr>
        <w:t>2. 其他补充条款（如有）：</w:t>
      </w:r>
      <w:r>
        <w:rPr>
          <w:rFonts w:eastAsiaTheme="minorEastAsia"/>
          <w:sz w:val="24"/>
        </w:rPr>
        <w:t>______</w:t>
      </w:r>
      <w:r>
        <w:rPr>
          <w:rFonts w:eastAsiaTheme="minorEastAsia"/>
          <w:color w:val="000000"/>
          <w:sz w:val="24"/>
        </w:rPr>
        <w:t>。</w:t>
      </w:r>
    </w:p>
    <w:p w14:paraId="22B7E832">
      <w:pPr>
        <w:spacing w:line="360" w:lineRule="auto"/>
        <w:ind w:firstLine="480" w:firstLineChars="200"/>
        <w:rPr>
          <w:rFonts w:eastAsiaTheme="minorEastAsia"/>
          <w:color w:val="000000"/>
          <w:sz w:val="24"/>
        </w:rPr>
      </w:pPr>
      <w:r>
        <w:rPr>
          <w:rFonts w:eastAsiaTheme="minorEastAsia"/>
          <w:color w:val="000000"/>
          <w:sz w:val="24"/>
        </w:rPr>
        <w:t>与本磋商有关的一切正式往来信函请寄：</w:t>
      </w:r>
    </w:p>
    <w:p w14:paraId="04537AFE">
      <w:pPr>
        <w:tabs>
          <w:tab w:val="left" w:pos="5580"/>
        </w:tabs>
        <w:spacing w:line="360" w:lineRule="auto"/>
        <w:ind w:left="420"/>
        <w:rPr>
          <w:rFonts w:eastAsiaTheme="minorEastAsia"/>
          <w:color w:val="000000"/>
          <w:sz w:val="24"/>
          <w:szCs w:val="20"/>
        </w:rPr>
      </w:pPr>
    </w:p>
    <w:p w14:paraId="11A217ED">
      <w:pPr>
        <w:tabs>
          <w:tab w:val="left" w:pos="5580"/>
        </w:tabs>
        <w:spacing w:line="360" w:lineRule="auto"/>
        <w:ind w:left="420"/>
        <w:rPr>
          <w:rFonts w:eastAsiaTheme="minorEastAsia"/>
          <w:color w:val="000000"/>
          <w:sz w:val="24"/>
          <w:szCs w:val="20"/>
        </w:rPr>
      </w:pPr>
      <w:r>
        <w:rPr>
          <w:rFonts w:eastAsiaTheme="minorEastAsia"/>
          <w:color w:val="000000"/>
          <w:sz w:val="24"/>
          <w:szCs w:val="20"/>
        </w:rPr>
        <w:t>地址</w:t>
      </w:r>
      <w:r>
        <w:rPr>
          <w:rFonts w:eastAsiaTheme="minorEastAsia"/>
          <w:bCs/>
          <w:color w:val="000000"/>
          <w:sz w:val="24"/>
        </w:rPr>
        <w:t>_________________________</w:t>
      </w:r>
      <w:r>
        <w:rPr>
          <w:rFonts w:eastAsiaTheme="minorEastAsia"/>
          <w:color w:val="000000"/>
          <w:sz w:val="24"/>
          <w:szCs w:val="20"/>
        </w:rPr>
        <w:t xml:space="preserve">      传   真</w:t>
      </w:r>
      <w:r>
        <w:rPr>
          <w:rFonts w:eastAsiaTheme="minorEastAsia"/>
          <w:bCs/>
          <w:color w:val="000000"/>
          <w:sz w:val="24"/>
        </w:rPr>
        <w:t>_________________________</w:t>
      </w:r>
    </w:p>
    <w:p w14:paraId="127C94AD">
      <w:pPr>
        <w:tabs>
          <w:tab w:val="left" w:pos="5580"/>
        </w:tabs>
        <w:spacing w:line="360" w:lineRule="auto"/>
        <w:ind w:left="420"/>
        <w:rPr>
          <w:rFonts w:eastAsiaTheme="minorEastAsia"/>
          <w:color w:val="000000"/>
          <w:sz w:val="24"/>
          <w:szCs w:val="20"/>
        </w:rPr>
      </w:pPr>
      <w:r>
        <w:rPr>
          <w:rFonts w:eastAsiaTheme="minorEastAsia"/>
          <w:color w:val="000000"/>
          <w:sz w:val="24"/>
          <w:szCs w:val="20"/>
        </w:rPr>
        <w:t>电话</w:t>
      </w:r>
      <w:r>
        <w:rPr>
          <w:rFonts w:eastAsiaTheme="minorEastAsia"/>
          <w:bCs/>
          <w:color w:val="000000"/>
          <w:sz w:val="24"/>
        </w:rPr>
        <w:t>_________________________</w:t>
      </w:r>
      <w:r>
        <w:rPr>
          <w:rFonts w:eastAsiaTheme="minorEastAsia"/>
          <w:color w:val="000000"/>
          <w:sz w:val="24"/>
          <w:szCs w:val="20"/>
        </w:rPr>
        <w:t xml:space="preserve">      电子函件</w:t>
      </w:r>
      <w:r>
        <w:rPr>
          <w:rFonts w:eastAsiaTheme="minorEastAsia"/>
          <w:bCs/>
          <w:color w:val="000000"/>
          <w:sz w:val="24"/>
        </w:rPr>
        <w:t>_________________________</w:t>
      </w:r>
    </w:p>
    <w:p w14:paraId="50605F74">
      <w:pPr>
        <w:tabs>
          <w:tab w:val="left" w:pos="5580"/>
        </w:tabs>
        <w:spacing w:line="360" w:lineRule="auto"/>
        <w:ind w:left="420"/>
        <w:rPr>
          <w:rFonts w:eastAsiaTheme="minorEastAsia"/>
          <w:color w:val="000000"/>
          <w:sz w:val="24"/>
          <w:szCs w:val="20"/>
        </w:rPr>
      </w:pPr>
    </w:p>
    <w:p w14:paraId="5D1DF59A">
      <w:pPr>
        <w:tabs>
          <w:tab w:val="left" w:pos="5580"/>
        </w:tabs>
        <w:spacing w:line="360" w:lineRule="auto"/>
        <w:ind w:left="420"/>
        <w:rPr>
          <w:rFonts w:eastAsiaTheme="minorEastAsia"/>
          <w:color w:val="000000"/>
          <w:sz w:val="24"/>
          <w:szCs w:val="20"/>
        </w:rPr>
      </w:pPr>
    </w:p>
    <w:p w14:paraId="3BF5231B">
      <w:pPr>
        <w:tabs>
          <w:tab w:val="left" w:pos="5580"/>
        </w:tabs>
        <w:spacing w:line="360" w:lineRule="auto"/>
        <w:ind w:left="420"/>
        <w:rPr>
          <w:rFonts w:eastAsiaTheme="minorEastAsia"/>
          <w:color w:val="000000"/>
          <w:sz w:val="24"/>
          <w:szCs w:val="20"/>
        </w:rPr>
      </w:pPr>
    </w:p>
    <w:p w14:paraId="04D1BFA1">
      <w:pPr>
        <w:autoSpaceDE w:val="0"/>
        <w:autoSpaceDN w:val="0"/>
        <w:adjustRightInd w:val="0"/>
        <w:snapToGrid w:val="0"/>
        <w:spacing w:before="25" w:after="25" w:line="360" w:lineRule="auto"/>
        <w:ind w:right="360" w:firstLine="360" w:firstLineChars="15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14A0B627">
      <w:pPr>
        <w:tabs>
          <w:tab w:val="left" w:pos="5580"/>
        </w:tabs>
        <w:spacing w:line="360" w:lineRule="auto"/>
        <w:ind w:firstLine="360" w:firstLineChars="150"/>
        <w:rPr>
          <w:rFonts w:eastAsiaTheme="minorEastAsia"/>
          <w:color w:val="000000"/>
          <w:sz w:val="24"/>
          <w:szCs w:val="20"/>
        </w:rPr>
      </w:pPr>
      <w:r>
        <w:rPr>
          <w:rFonts w:eastAsiaTheme="minorEastAsia"/>
          <w:color w:val="000000"/>
          <w:sz w:val="24"/>
          <w:szCs w:val="20"/>
        </w:rPr>
        <w:t xml:space="preserve">日期：____年____月____日  </w:t>
      </w:r>
    </w:p>
    <w:p w14:paraId="7478AC0A">
      <w:pPr>
        <w:tabs>
          <w:tab w:val="left" w:pos="5580"/>
        </w:tabs>
        <w:spacing w:line="360" w:lineRule="auto"/>
        <w:ind w:left="420"/>
        <w:jc w:val="left"/>
        <w:rPr>
          <w:rFonts w:eastAsiaTheme="minorEastAsia"/>
          <w:color w:val="000000"/>
          <w:sz w:val="24"/>
          <w:szCs w:val="20"/>
        </w:rPr>
      </w:pPr>
    </w:p>
    <w:p w14:paraId="546CEC79">
      <w:pPr>
        <w:widowControl/>
        <w:jc w:val="left"/>
        <w:rPr>
          <w:rFonts w:eastAsiaTheme="minorEastAsia"/>
          <w:b/>
          <w:color w:val="000000"/>
          <w:sz w:val="24"/>
          <w:szCs w:val="20"/>
        </w:rPr>
      </w:pPr>
      <w:r>
        <w:rPr>
          <w:rFonts w:eastAsiaTheme="minorEastAsia"/>
          <w:b/>
          <w:color w:val="000000"/>
          <w:sz w:val="24"/>
          <w:szCs w:val="20"/>
        </w:rPr>
        <w:br w:type="page"/>
      </w:r>
    </w:p>
    <w:p w14:paraId="6E14AF97">
      <w:pPr>
        <w:tabs>
          <w:tab w:val="left" w:pos="360"/>
        </w:tabs>
        <w:snapToGrid w:val="0"/>
        <w:spacing w:line="360" w:lineRule="auto"/>
        <w:outlineLvl w:val="1"/>
        <w:rPr>
          <w:rFonts w:eastAsiaTheme="minorEastAsia"/>
          <w:sz w:val="24"/>
        </w:rPr>
      </w:pPr>
      <w:bookmarkStart w:id="1245" w:name="_Hlt520356243"/>
      <w:bookmarkEnd w:id="1245"/>
      <w:bookmarkStart w:id="1246" w:name="_Hlt520355938"/>
      <w:bookmarkEnd w:id="1246"/>
      <w:bookmarkStart w:id="1247" w:name="_Toc264969247"/>
      <w:bookmarkStart w:id="1248" w:name="_Toc265228395"/>
      <w:bookmarkStart w:id="1249" w:name="_Toc226309801"/>
      <w:bookmarkStart w:id="1250" w:name="_Toc195842922"/>
      <w:bookmarkStart w:id="1251" w:name="_Toc226965830"/>
      <w:bookmarkStart w:id="1252" w:name="_Toc480942350"/>
      <w:bookmarkStart w:id="1253" w:name="_Toc142311059"/>
      <w:bookmarkStart w:id="1254" w:name="_Toc305158899"/>
      <w:bookmarkStart w:id="1255" w:name="_Toc226337253"/>
      <w:bookmarkStart w:id="1256" w:name="_Toc150480795"/>
      <w:bookmarkStart w:id="1257" w:name="_Toc127151557"/>
      <w:bookmarkStart w:id="1258" w:name="_Toc520356218"/>
      <w:bookmarkStart w:id="1259" w:name="_Toc305158825"/>
      <w:bookmarkStart w:id="1260" w:name="_Toc226965747"/>
      <w:bookmarkStart w:id="1261" w:name="_Toc150774762"/>
      <w:bookmarkStart w:id="1262" w:name="_Ref467988705"/>
      <w:r>
        <w:rPr>
          <w:rFonts w:hint="eastAsia" w:eastAsiaTheme="minorEastAsia"/>
          <w:sz w:val="24"/>
          <w:lang w:val="en-US" w:eastAsia="zh-CN"/>
        </w:rPr>
        <w:t>5</w:t>
      </w:r>
      <w:r>
        <w:rPr>
          <w:rFonts w:eastAsiaTheme="minorEastAsia"/>
          <w:sz w:val="24"/>
        </w:rPr>
        <w:t xml:space="preserve">  授权委托书（实质性格式）</w:t>
      </w:r>
    </w:p>
    <w:p w14:paraId="2AA135A2">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授权委托书</w:t>
      </w:r>
    </w:p>
    <w:p w14:paraId="63A3CFC9">
      <w:pPr>
        <w:spacing w:line="360" w:lineRule="auto"/>
        <w:ind w:firstLine="420"/>
        <w:rPr>
          <w:rFonts w:eastAsiaTheme="minorEastAsia"/>
          <w:color w:val="000000"/>
          <w:sz w:val="24"/>
          <w:szCs w:val="20"/>
        </w:rPr>
      </w:pPr>
      <w:r>
        <w:rPr>
          <w:rFonts w:eastAsiaTheme="minorEastAsia"/>
          <w:color w:val="000000"/>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1E673CDF">
      <w:pPr>
        <w:spacing w:line="360" w:lineRule="auto"/>
        <w:ind w:firstLine="420"/>
        <w:rPr>
          <w:rFonts w:eastAsiaTheme="minorEastAsia"/>
          <w:color w:val="000000"/>
          <w:sz w:val="24"/>
          <w:szCs w:val="20"/>
        </w:rPr>
      </w:pPr>
      <w:r>
        <w:rPr>
          <w:rFonts w:eastAsiaTheme="minorEastAsia"/>
          <w:color w:val="000000"/>
          <w:sz w:val="24"/>
          <w:szCs w:val="20"/>
        </w:rPr>
        <w:t>委托期限：自本授权委托书签署之日起至响应有效期届满之日止。</w:t>
      </w:r>
    </w:p>
    <w:p w14:paraId="7996EB3C">
      <w:pPr>
        <w:spacing w:line="360" w:lineRule="auto"/>
        <w:ind w:firstLine="420"/>
        <w:rPr>
          <w:rFonts w:eastAsiaTheme="minorEastAsia"/>
          <w:color w:val="000000"/>
          <w:sz w:val="24"/>
          <w:szCs w:val="20"/>
        </w:rPr>
      </w:pPr>
      <w:r>
        <w:rPr>
          <w:rFonts w:eastAsiaTheme="minorEastAsia"/>
          <w:color w:val="000000"/>
          <w:sz w:val="24"/>
          <w:szCs w:val="20"/>
        </w:rPr>
        <w:t>代理人无转委托权。</w:t>
      </w:r>
      <w:r>
        <w:rPr>
          <w:rFonts w:eastAsiaTheme="minorEastAsia"/>
          <w:color w:val="000000"/>
          <w:sz w:val="24"/>
          <w:szCs w:val="20"/>
        </w:rPr>
        <w:cr/>
      </w:r>
    </w:p>
    <w:p w14:paraId="2DCB4DCA">
      <w:pPr>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szCs w:val="20"/>
        </w:rPr>
        <w:t>______________</w:t>
      </w:r>
    </w:p>
    <w:p w14:paraId="6B7414EC">
      <w:pPr>
        <w:spacing w:line="360" w:lineRule="auto"/>
        <w:rPr>
          <w:rFonts w:eastAsiaTheme="minorEastAsia"/>
          <w:color w:val="000000"/>
          <w:sz w:val="24"/>
          <w:szCs w:val="20"/>
        </w:rPr>
      </w:pPr>
      <w:r>
        <w:rPr>
          <w:rFonts w:eastAsiaTheme="minorEastAsia"/>
          <w:color w:val="000000"/>
          <w:sz w:val="24"/>
          <w:szCs w:val="20"/>
        </w:rPr>
        <w:t>法定代表人（单位负责人）（签字</w:t>
      </w:r>
      <w:r>
        <w:rPr>
          <w:color w:val="000000"/>
          <w:sz w:val="24"/>
          <w:szCs w:val="20"/>
        </w:rPr>
        <w:t>或</w:t>
      </w:r>
      <w:r>
        <w:rPr>
          <w:rFonts w:hint="eastAsia"/>
          <w:color w:val="000000"/>
          <w:sz w:val="24"/>
          <w:szCs w:val="20"/>
          <w:lang w:val="en-US" w:eastAsia="zh-CN"/>
        </w:rPr>
        <w:t>盖章</w:t>
      </w:r>
      <w:r>
        <w:rPr>
          <w:rFonts w:eastAsiaTheme="minorEastAsia"/>
          <w:color w:val="000000"/>
          <w:sz w:val="24"/>
          <w:szCs w:val="20"/>
        </w:rPr>
        <w:t>）：______________</w:t>
      </w:r>
    </w:p>
    <w:p w14:paraId="5F539A11">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委托代理人（签字</w:t>
      </w:r>
      <w:r>
        <w:rPr>
          <w:color w:val="000000"/>
          <w:sz w:val="24"/>
          <w:szCs w:val="20"/>
        </w:rPr>
        <w:t>或</w:t>
      </w:r>
      <w:r>
        <w:rPr>
          <w:rFonts w:hint="eastAsia"/>
          <w:color w:val="000000"/>
          <w:sz w:val="24"/>
          <w:szCs w:val="20"/>
          <w:lang w:val="en-US" w:eastAsia="zh-CN"/>
        </w:rPr>
        <w:t>盖章</w:t>
      </w:r>
      <w:r>
        <w:rPr>
          <w:rFonts w:eastAsiaTheme="minorEastAsia"/>
          <w:color w:val="000000"/>
          <w:sz w:val="24"/>
        </w:rPr>
        <w:t>）：</w:t>
      </w:r>
      <w:r>
        <w:rPr>
          <w:rFonts w:eastAsiaTheme="minorEastAsia"/>
          <w:color w:val="000000"/>
          <w:sz w:val="24"/>
          <w:szCs w:val="20"/>
        </w:rPr>
        <w:t>______________</w:t>
      </w:r>
      <w:r>
        <w:rPr>
          <w:rFonts w:eastAsiaTheme="minorEastAsia"/>
          <w:color w:val="000000"/>
          <w:sz w:val="24"/>
          <w:lang w:val="zh-CN"/>
        </w:rPr>
        <w:t xml:space="preserve">        </w:t>
      </w:r>
    </w:p>
    <w:p w14:paraId="254A7397">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rPr>
        <w:t>年</w:t>
      </w:r>
      <w:r>
        <w:rPr>
          <w:rFonts w:eastAsiaTheme="minorEastAsia"/>
          <w:color w:val="000000"/>
          <w:sz w:val="24"/>
          <w:szCs w:val="20"/>
        </w:rPr>
        <w:t>____</w:t>
      </w:r>
      <w:r>
        <w:rPr>
          <w:rFonts w:eastAsiaTheme="minorEastAsia"/>
          <w:color w:val="000000"/>
          <w:sz w:val="24"/>
        </w:rPr>
        <w:t>月</w:t>
      </w:r>
      <w:r>
        <w:rPr>
          <w:rFonts w:eastAsiaTheme="minorEastAsia"/>
          <w:color w:val="000000"/>
          <w:sz w:val="24"/>
          <w:szCs w:val="20"/>
        </w:rPr>
        <w:t>____</w:t>
      </w:r>
      <w:r>
        <w:rPr>
          <w:rFonts w:eastAsiaTheme="minorEastAsia"/>
          <w:color w:val="000000"/>
          <w:sz w:val="24"/>
        </w:rPr>
        <w:t>日</w:t>
      </w:r>
    </w:p>
    <w:p w14:paraId="34413389">
      <w:pPr>
        <w:tabs>
          <w:tab w:val="left" w:pos="5580"/>
        </w:tabs>
        <w:spacing w:line="360" w:lineRule="auto"/>
        <w:ind w:firstLine="480" w:firstLineChars="200"/>
        <w:rPr>
          <w:rFonts w:eastAsiaTheme="minorEastAsia"/>
          <w:color w:val="000000"/>
          <w:sz w:val="24"/>
          <w:szCs w:val="20"/>
        </w:rPr>
      </w:pPr>
    </w:p>
    <w:p w14:paraId="65D7E8C5">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及委托代理人身份证明文件电子件：</w:t>
      </w:r>
    </w:p>
    <w:p w14:paraId="65020FF3">
      <w:pPr>
        <w:tabs>
          <w:tab w:val="left" w:pos="5580"/>
        </w:tabs>
        <w:spacing w:line="360" w:lineRule="auto"/>
        <w:jc w:val="left"/>
        <w:rPr>
          <w:rFonts w:eastAsiaTheme="minorEastAsia"/>
          <w:color w:val="000000"/>
          <w:sz w:val="24"/>
          <w:szCs w:val="20"/>
        </w:rPr>
      </w:pPr>
    </w:p>
    <w:p w14:paraId="55BC1226">
      <w:pPr>
        <w:tabs>
          <w:tab w:val="left" w:pos="5580"/>
        </w:tabs>
        <w:spacing w:line="360" w:lineRule="auto"/>
        <w:jc w:val="left"/>
        <w:rPr>
          <w:rFonts w:eastAsiaTheme="minorEastAsia"/>
          <w:color w:val="000000"/>
          <w:sz w:val="24"/>
          <w:szCs w:val="20"/>
        </w:rPr>
      </w:pPr>
    </w:p>
    <w:p w14:paraId="4B275937">
      <w:pPr>
        <w:tabs>
          <w:tab w:val="left" w:pos="5580"/>
        </w:tabs>
        <w:spacing w:line="360" w:lineRule="auto"/>
        <w:jc w:val="left"/>
        <w:rPr>
          <w:rFonts w:eastAsiaTheme="minorEastAsia"/>
          <w:color w:val="000000"/>
          <w:sz w:val="24"/>
          <w:szCs w:val="20"/>
        </w:rPr>
      </w:pPr>
    </w:p>
    <w:p w14:paraId="08218E3E">
      <w:pPr>
        <w:tabs>
          <w:tab w:val="left" w:pos="5580"/>
        </w:tabs>
        <w:spacing w:line="360" w:lineRule="auto"/>
        <w:jc w:val="left"/>
        <w:rPr>
          <w:rFonts w:eastAsiaTheme="minorEastAsia"/>
          <w:color w:val="000000"/>
          <w:sz w:val="24"/>
          <w:szCs w:val="20"/>
        </w:rPr>
      </w:pPr>
    </w:p>
    <w:p w14:paraId="4F235EB9">
      <w:pPr>
        <w:tabs>
          <w:tab w:val="left" w:pos="5580"/>
        </w:tabs>
        <w:spacing w:line="360" w:lineRule="auto"/>
        <w:jc w:val="left"/>
        <w:rPr>
          <w:rFonts w:eastAsiaTheme="minorEastAsia"/>
          <w:color w:val="000000"/>
          <w:sz w:val="24"/>
          <w:szCs w:val="20"/>
        </w:rPr>
      </w:pPr>
    </w:p>
    <w:p w14:paraId="62CC18D9">
      <w:pPr>
        <w:tabs>
          <w:tab w:val="left" w:pos="5580"/>
        </w:tabs>
        <w:spacing w:line="360" w:lineRule="auto"/>
        <w:jc w:val="left"/>
        <w:rPr>
          <w:rFonts w:eastAsiaTheme="minorEastAsia"/>
          <w:color w:val="000000"/>
          <w:sz w:val="24"/>
          <w:szCs w:val="20"/>
        </w:rPr>
      </w:pPr>
      <w:r>
        <w:rPr>
          <w:rFonts w:eastAsiaTheme="minorEastAsia"/>
          <w:color w:val="000000"/>
          <w:sz w:val="24"/>
          <w:szCs w:val="20"/>
        </w:rPr>
        <w:t>说明：</w:t>
      </w:r>
    </w:p>
    <w:p w14:paraId="4AE22D4D">
      <w:pPr>
        <w:tabs>
          <w:tab w:val="left" w:pos="5580"/>
        </w:tabs>
        <w:spacing w:line="360" w:lineRule="auto"/>
        <w:jc w:val="left"/>
        <w:rPr>
          <w:rFonts w:eastAsiaTheme="minorEastAsia"/>
          <w:color w:val="000000"/>
          <w:sz w:val="24"/>
          <w:szCs w:val="20"/>
        </w:rPr>
      </w:pPr>
      <w:r>
        <w:rPr>
          <w:rFonts w:eastAsiaTheme="minorEastAsia"/>
          <w:color w:val="000000"/>
          <w:sz w:val="24"/>
          <w:szCs w:val="20"/>
        </w:rPr>
        <w:t>1.若供应商为事业单位或其他组织或分支机构，则法定代表人（单位负责人）处的签署人可为单位负责人。</w:t>
      </w:r>
    </w:p>
    <w:p w14:paraId="61F0AF19">
      <w:pPr>
        <w:tabs>
          <w:tab w:val="left" w:pos="5580"/>
        </w:tabs>
        <w:spacing w:line="360" w:lineRule="auto"/>
        <w:jc w:val="left"/>
        <w:rPr>
          <w:rFonts w:eastAsiaTheme="minorEastAsia"/>
          <w:color w:val="000000"/>
          <w:sz w:val="24"/>
          <w:szCs w:val="20"/>
        </w:rPr>
      </w:pPr>
      <w:r>
        <w:rPr>
          <w:rFonts w:eastAsiaTheme="minorEastAsia"/>
          <w:color w:val="000000"/>
          <w:sz w:val="24"/>
          <w:szCs w:val="20"/>
        </w:rPr>
        <w:t>2.若响应文件中签字之处均为法定代表人（单位负责人）本人签署，则可不提供本《授权委托书》，但须提供《法定代表人（单位负责人）身份证明》</w:t>
      </w:r>
      <w:r>
        <w:rPr>
          <w:color w:val="000000"/>
          <w:sz w:val="24"/>
          <w:szCs w:val="20"/>
        </w:rPr>
        <w:t>；否则，不需要提供《法定代表人（单位负责人）身份证明》</w:t>
      </w:r>
      <w:r>
        <w:rPr>
          <w:rFonts w:eastAsiaTheme="minorEastAsia"/>
          <w:color w:val="000000"/>
          <w:sz w:val="24"/>
          <w:szCs w:val="20"/>
        </w:rPr>
        <w:t>。</w:t>
      </w:r>
    </w:p>
    <w:p w14:paraId="5D19144D">
      <w:pPr>
        <w:tabs>
          <w:tab w:val="left" w:pos="5580"/>
        </w:tabs>
        <w:spacing w:line="360" w:lineRule="auto"/>
        <w:jc w:val="left"/>
        <w:rPr>
          <w:rFonts w:eastAsiaTheme="minorEastAsia"/>
          <w:color w:val="000000"/>
          <w:sz w:val="24"/>
          <w:szCs w:val="20"/>
        </w:rPr>
      </w:pPr>
      <w:r>
        <w:rPr>
          <w:rFonts w:eastAsiaTheme="minorEastAsia"/>
          <w:color w:val="000000"/>
          <w:sz w:val="24"/>
          <w:szCs w:val="20"/>
        </w:rPr>
        <w:t>3.供应商为自然人的情形，可不提供本《授权委托书》。</w:t>
      </w:r>
    </w:p>
    <w:p w14:paraId="262CC3E9">
      <w:pPr>
        <w:tabs>
          <w:tab w:val="left" w:pos="5580"/>
        </w:tabs>
        <w:spacing w:line="360" w:lineRule="auto"/>
        <w:jc w:val="left"/>
        <w:rPr>
          <w:rFonts w:eastAsiaTheme="minorEastAsia"/>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rFonts w:eastAsiaTheme="minorEastAsia"/>
          <w:color w:val="000000"/>
          <w:sz w:val="30"/>
          <w:szCs w:val="30"/>
        </w:rPr>
        <w:br w:type="page"/>
      </w:r>
    </w:p>
    <w:p w14:paraId="1E6497BD">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法定代表人（单位负责人）身份证明</w:t>
      </w:r>
    </w:p>
    <w:p w14:paraId="141DFC30">
      <w:pPr>
        <w:kinsoku w:val="0"/>
        <w:overflowPunct w:val="0"/>
        <w:spacing w:line="200" w:lineRule="exact"/>
        <w:rPr>
          <w:rFonts w:eastAsiaTheme="minorEastAsia"/>
          <w:sz w:val="20"/>
          <w:szCs w:val="20"/>
        </w:rPr>
      </w:pPr>
    </w:p>
    <w:p w14:paraId="5D607EB3">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szCs w:val="20"/>
        </w:rPr>
        <w:t>____</w:t>
      </w:r>
      <w:r>
        <w:rPr>
          <w:rFonts w:eastAsiaTheme="minorEastAsia"/>
          <w:color w:val="000000"/>
          <w:sz w:val="24"/>
        </w:rPr>
        <w:t>（采购人或采购代理机构）</w:t>
      </w:r>
    </w:p>
    <w:p w14:paraId="59E97AE2">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rPr>
      </w:pPr>
      <w:r>
        <w:rPr>
          <w:rFonts w:ascii="Times New Roman" w:hAnsi="Times New Roman" w:eastAsiaTheme="minorEastAsia"/>
        </w:rPr>
        <w:t>兹证明，</w:t>
      </w:r>
    </w:p>
    <w:p w14:paraId="6D1C127B">
      <w:pPr>
        <w:pStyle w:val="17"/>
        <w:tabs>
          <w:tab w:val="left" w:pos="1690"/>
          <w:tab w:val="left" w:pos="3400"/>
          <w:tab w:val="left" w:pos="5110"/>
          <w:tab w:val="left" w:pos="6821"/>
        </w:tabs>
        <w:kinsoku w:val="0"/>
        <w:overflowPunct w:val="0"/>
        <w:spacing w:line="335" w:lineRule="exact"/>
        <w:rPr>
          <w:rFonts w:ascii="Times New Roman" w:hAnsi="Times New Roman" w:eastAsiaTheme="minorEastAsia"/>
        </w:rPr>
      </w:pPr>
      <w:r>
        <w:rPr>
          <w:rFonts w:ascii="Times New Roman" w:hAnsi="Times New Roman" w:eastAsiaTheme="minorEastAsia"/>
        </w:rPr>
        <w:t>姓名：</w:t>
      </w:r>
      <w:r>
        <w:rPr>
          <w:rFonts w:ascii="Times New Roman" w:hAnsi="Times New Roman" w:eastAsiaTheme="minorEastAsia"/>
          <w:color w:val="000000"/>
          <w:szCs w:val="20"/>
        </w:rPr>
        <w:t>____</w:t>
      </w:r>
      <w:r>
        <w:rPr>
          <w:rFonts w:ascii="Times New Roman" w:hAnsi="Times New Roman" w:eastAsiaTheme="minorEastAsia"/>
        </w:rPr>
        <w:t>性别：</w:t>
      </w:r>
      <w:r>
        <w:rPr>
          <w:rFonts w:ascii="Times New Roman" w:hAnsi="Times New Roman" w:eastAsiaTheme="minorEastAsia"/>
          <w:color w:val="000000"/>
          <w:szCs w:val="20"/>
        </w:rPr>
        <w:t>____</w:t>
      </w:r>
      <w:r>
        <w:rPr>
          <w:rFonts w:ascii="Times New Roman" w:hAnsi="Times New Roman" w:eastAsiaTheme="minorEastAsia"/>
        </w:rPr>
        <w:t>年龄：</w:t>
      </w:r>
      <w:r>
        <w:rPr>
          <w:rFonts w:ascii="Times New Roman" w:hAnsi="Times New Roman" w:eastAsiaTheme="minorEastAsia"/>
          <w:color w:val="000000"/>
          <w:szCs w:val="20"/>
        </w:rPr>
        <w:t>____</w:t>
      </w:r>
      <w:r>
        <w:rPr>
          <w:rFonts w:ascii="Times New Roman" w:hAnsi="Times New Roman" w:eastAsiaTheme="minorEastAsia"/>
        </w:rPr>
        <w:t>职务：</w:t>
      </w:r>
      <w:r>
        <w:rPr>
          <w:rFonts w:ascii="Times New Roman" w:hAnsi="Times New Roman" w:eastAsiaTheme="minorEastAsia"/>
          <w:color w:val="000000"/>
          <w:szCs w:val="20"/>
        </w:rPr>
        <w:t>____</w:t>
      </w:r>
    </w:p>
    <w:p w14:paraId="68FDE57A">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6F596FA1">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rPr>
      </w:pPr>
      <w:r>
        <w:rPr>
          <w:rFonts w:ascii="Times New Roman" w:hAnsi="Times New Roman" w:eastAsiaTheme="minorEastAsia"/>
        </w:rPr>
        <w:t>系</w:t>
      </w:r>
      <w:r>
        <w:rPr>
          <w:rFonts w:ascii="Times New Roman" w:hAnsi="Times New Roman" w:eastAsiaTheme="minorEastAsia"/>
          <w:color w:val="000000"/>
          <w:szCs w:val="20"/>
        </w:rPr>
        <w:t>__________</w:t>
      </w:r>
      <w:r>
        <w:rPr>
          <w:rFonts w:ascii="Times New Roman" w:hAnsi="Times New Roman" w:eastAsiaTheme="minorEastAsia"/>
        </w:rPr>
        <w:t>（供应商名称）的法定代表人（单位负责人）。</w:t>
      </w:r>
    </w:p>
    <w:p w14:paraId="551C6C6C">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3E784BAB">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6399F401">
      <w:pPr>
        <w:pStyle w:val="17"/>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p w14:paraId="32E57387">
      <w:pPr>
        <w:pStyle w:val="17"/>
        <w:kinsoku w:val="0"/>
        <w:overflowPunct w:val="0"/>
        <w:spacing w:line="583" w:lineRule="auto"/>
        <w:ind w:right="4305"/>
        <w:rPr>
          <w:rFonts w:ascii="Times New Roman" w:hAnsi="Times New Roman" w:eastAsiaTheme="minorEastAsia"/>
          <w:spacing w:val="-3"/>
        </w:rPr>
      </w:pPr>
    </w:p>
    <w:p w14:paraId="38708BBD">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473D94F2">
      <w:pPr>
        <w:autoSpaceDE w:val="0"/>
        <w:autoSpaceDN w:val="0"/>
        <w:adjustRightInd w:val="0"/>
        <w:snapToGrid w:val="0"/>
        <w:spacing w:line="360" w:lineRule="auto"/>
        <w:rPr>
          <w:rFonts w:eastAsiaTheme="minorEastAsia"/>
          <w:color w:val="000000"/>
          <w:sz w:val="24"/>
          <w:lang w:val="zh-CN"/>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color w:val="000000"/>
          <w:sz w:val="24"/>
          <w:szCs w:val="20"/>
        </w:rPr>
        <w:t>或</w:t>
      </w:r>
      <w:r>
        <w:rPr>
          <w:rFonts w:hint="eastAsia"/>
          <w:color w:val="000000"/>
          <w:sz w:val="24"/>
          <w:szCs w:val="20"/>
          <w:lang w:val="en-US" w:eastAsia="zh-CN"/>
        </w:rPr>
        <w:t>盖章</w:t>
      </w:r>
      <w:r>
        <w:rPr>
          <w:rFonts w:eastAsiaTheme="minorEastAsia"/>
          <w:spacing w:val="-3"/>
          <w:sz w:val="24"/>
        </w:rPr>
        <w:t>）：</w:t>
      </w:r>
      <w:r>
        <w:rPr>
          <w:rFonts w:eastAsiaTheme="minorEastAsia"/>
          <w:sz w:val="24"/>
        </w:rPr>
        <w:t>______</w:t>
      </w:r>
    </w:p>
    <w:p w14:paraId="18543152">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14:paraId="27F8E4EC">
      <w:pPr>
        <w:widowControl/>
        <w:jc w:val="left"/>
        <w:rPr>
          <w:rFonts w:eastAsiaTheme="minorEastAsia"/>
          <w:i/>
          <w:color w:val="000000"/>
          <w:sz w:val="24"/>
          <w:szCs w:val="20"/>
          <w:u w:val="single"/>
        </w:rPr>
      </w:pPr>
    </w:p>
    <w:p w14:paraId="1272EAD5">
      <w:pPr>
        <w:widowControl/>
        <w:jc w:val="left"/>
        <w:rPr>
          <w:rFonts w:eastAsiaTheme="minorEastAsia"/>
          <w:color w:val="000000"/>
          <w:sz w:val="24"/>
          <w:szCs w:val="20"/>
        </w:rPr>
      </w:pPr>
      <w:r>
        <w:rPr>
          <w:rFonts w:eastAsiaTheme="minorEastAsia"/>
          <w:color w:val="000000"/>
          <w:sz w:val="24"/>
          <w:szCs w:val="20"/>
        </w:rPr>
        <w:br w:type="page"/>
      </w:r>
    </w:p>
    <w:p w14:paraId="5DA7B097">
      <w:pPr>
        <w:tabs>
          <w:tab w:val="left" w:pos="360"/>
        </w:tabs>
        <w:snapToGrid w:val="0"/>
        <w:spacing w:line="360" w:lineRule="auto"/>
        <w:outlineLvl w:val="1"/>
        <w:rPr>
          <w:rFonts w:eastAsiaTheme="minorEastAsia"/>
          <w:sz w:val="24"/>
        </w:rPr>
      </w:pPr>
      <w:r>
        <w:rPr>
          <w:rFonts w:hint="eastAsia" w:eastAsiaTheme="minorEastAsia"/>
          <w:sz w:val="24"/>
          <w:lang w:val="en-US" w:eastAsia="zh-CN"/>
        </w:rPr>
        <w:t>6</w:t>
      </w:r>
      <w:r>
        <w:rPr>
          <w:rFonts w:eastAsiaTheme="minorEastAsia"/>
          <w:sz w:val="24"/>
        </w:rPr>
        <w:t xml:space="preserve">  报价一览表</w:t>
      </w:r>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p>
    <w:p w14:paraId="052E6813">
      <w:pPr>
        <w:spacing w:line="360" w:lineRule="exact"/>
        <w:jc w:val="center"/>
        <w:rPr>
          <w:rFonts w:eastAsiaTheme="minorEastAsia"/>
          <w:b/>
          <w:color w:val="000000"/>
          <w:sz w:val="36"/>
          <w:szCs w:val="36"/>
        </w:rPr>
      </w:pPr>
      <w:bookmarkStart w:id="1263" w:name="_Toc164608672"/>
      <w:bookmarkStart w:id="1264" w:name="_Toc265228396"/>
      <w:bookmarkStart w:id="1265" w:name="_Toc226965831"/>
      <w:bookmarkStart w:id="1266" w:name="_Toc264969248"/>
      <w:bookmarkStart w:id="1267" w:name="_Toc226965748"/>
      <w:bookmarkStart w:id="1268" w:name="_Toc164608827"/>
      <w:bookmarkStart w:id="1269" w:name="_Toc305158900"/>
      <w:bookmarkStart w:id="1270" w:name="_Toc226337254"/>
      <w:bookmarkStart w:id="1271" w:name="_Toc195842923"/>
      <w:bookmarkStart w:id="1272" w:name="_Toc226309802"/>
      <w:bookmarkStart w:id="1273" w:name="_Toc305158826"/>
      <w:r>
        <w:rPr>
          <w:rFonts w:eastAsiaTheme="minorEastAsia"/>
          <w:b/>
          <w:color w:val="000000"/>
          <w:sz w:val="36"/>
          <w:szCs w:val="36"/>
        </w:rPr>
        <w:t>报价一览表</w:t>
      </w:r>
      <w:bookmarkEnd w:id="1263"/>
      <w:bookmarkEnd w:id="1264"/>
      <w:bookmarkEnd w:id="1265"/>
      <w:bookmarkEnd w:id="1266"/>
      <w:bookmarkEnd w:id="1267"/>
      <w:bookmarkEnd w:id="1268"/>
      <w:bookmarkEnd w:id="1269"/>
      <w:bookmarkEnd w:id="1270"/>
      <w:bookmarkEnd w:id="1271"/>
      <w:bookmarkEnd w:id="1272"/>
      <w:bookmarkEnd w:id="1273"/>
    </w:p>
    <w:p w14:paraId="605B64DC">
      <w:pPr>
        <w:tabs>
          <w:tab w:val="left" w:pos="1800"/>
          <w:tab w:val="left" w:pos="5580"/>
        </w:tabs>
        <w:spacing w:line="360" w:lineRule="auto"/>
        <w:jc w:val="left"/>
        <w:rPr>
          <w:rFonts w:eastAsiaTheme="minorEastAsia"/>
          <w:color w:val="000000"/>
          <w:sz w:val="24"/>
        </w:rPr>
      </w:pPr>
    </w:p>
    <w:p w14:paraId="2D394276">
      <w:pPr>
        <w:tabs>
          <w:tab w:val="left" w:pos="1800"/>
          <w:tab w:val="left" w:pos="5580"/>
        </w:tabs>
        <w:spacing w:line="360" w:lineRule="auto"/>
        <w:ind w:firstLine="240" w:firstLineChars="100"/>
        <w:jc w:val="left"/>
        <w:rPr>
          <w:rFonts w:eastAsiaTheme="minorEastAsia"/>
          <w:color w:val="000000"/>
          <w:sz w:val="24"/>
          <w:u w:val="single"/>
        </w:rPr>
      </w:pPr>
      <w:r>
        <w:rPr>
          <w:rFonts w:eastAsiaTheme="minorEastAsia"/>
          <w:color w:val="000000"/>
          <w:sz w:val="24"/>
        </w:rPr>
        <w:t>项目编号：</w:t>
      </w:r>
      <w:r>
        <w:rPr>
          <w:rFonts w:eastAsiaTheme="minorEastAsia"/>
          <w:sz w:val="24"/>
        </w:rPr>
        <w:t>___________</w:t>
      </w:r>
      <w:r>
        <w:rPr>
          <w:rFonts w:eastAsiaTheme="minorEastAsia"/>
          <w:color w:val="000000"/>
          <w:sz w:val="24"/>
        </w:rPr>
        <w:t xml:space="preserve">     项目名称：</w:t>
      </w:r>
      <w:r>
        <w:rPr>
          <w:rFonts w:eastAsiaTheme="minorEastAsia"/>
          <w:sz w:val="24"/>
        </w:rPr>
        <w:t>___________</w:t>
      </w:r>
    </w:p>
    <w:tbl>
      <w:tblPr>
        <w:tblStyle w:val="42"/>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6DFCE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109E1C7A">
            <w:pPr>
              <w:tabs>
                <w:tab w:val="left" w:pos="5580"/>
              </w:tabs>
              <w:jc w:val="center"/>
              <w:rPr>
                <w:rFonts w:eastAsiaTheme="minorEastAsia"/>
                <w:b/>
                <w:sz w:val="24"/>
              </w:rPr>
            </w:pPr>
            <w:r>
              <w:rPr>
                <w:rFonts w:eastAsiaTheme="minorEastAsia"/>
                <w:b/>
                <w:sz w:val="24"/>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1CB74086">
            <w:pPr>
              <w:tabs>
                <w:tab w:val="left" w:pos="5580"/>
              </w:tabs>
              <w:jc w:val="center"/>
              <w:rPr>
                <w:rFonts w:eastAsiaTheme="minorEastAsia"/>
                <w:b/>
                <w:sz w:val="24"/>
              </w:rPr>
            </w:pPr>
            <w:r>
              <w:rPr>
                <w:rFonts w:eastAsiaTheme="minorEastAsia"/>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3D33241B">
            <w:pPr>
              <w:tabs>
                <w:tab w:val="left" w:pos="5580"/>
              </w:tabs>
              <w:jc w:val="center"/>
              <w:rPr>
                <w:rFonts w:eastAsiaTheme="minorEastAsia"/>
                <w:b/>
                <w:sz w:val="24"/>
              </w:rPr>
            </w:pPr>
            <w:r>
              <w:rPr>
                <w:rFonts w:eastAsiaTheme="minorEastAsia"/>
                <w:b/>
                <w:sz w:val="24"/>
              </w:rPr>
              <w:t>报价</w:t>
            </w:r>
          </w:p>
        </w:tc>
      </w:tr>
      <w:tr w14:paraId="150BE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A5BC580">
            <w:pPr>
              <w:widowControl/>
              <w:jc w:val="left"/>
              <w:rPr>
                <w:rFonts w:eastAsiaTheme="minorEastAsia"/>
                <w:b/>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DB4802A">
            <w:pPr>
              <w:widowControl/>
              <w:jc w:val="left"/>
              <w:rPr>
                <w:rFonts w:eastAsiaTheme="minorEastAsia"/>
                <w:b/>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20A59BBC">
            <w:pPr>
              <w:tabs>
                <w:tab w:val="left" w:pos="5580"/>
              </w:tabs>
              <w:jc w:val="center"/>
              <w:rPr>
                <w:rFonts w:eastAsiaTheme="minorEastAsia"/>
                <w:b/>
                <w:sz w:val="24"/>
              </w:rPr>
            </w:pPr>
            <w:r>
              <w:rPr>
                <w:rFonts w:eastAsiaTheme="minorEastAsia"/>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0C5431EC">
            <w:pPr>
              <w:tabs>
                <w:tab w:val="left" w:pos="5580"/>
              </w:tabs>
              <w:jc w:val="center"/>
              <w:rPr>
                <w:rFonts w:eastAsiaTheme="minorEastAsia"/>
                <w:b/>
                <w:sz w:val="24"/>
              </w:rPr>
            </w:pPr>
            <w:r>
              <w:rPr>
                <w:rFonts w:eastAsiaTheme="minorEastAsia"/>
                <w:b/>
                <w:sz w:val="24"/>
              </w:rPr>
              <w:t>小写</w:t>
            </w:r>
          </w:p>
        </w:tc>
      </w:tr>
      <w:tr w14:paraId="0C520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05BCD3BF">
            <w:pPr>
              <w:tabs>
                <w:tab w:val="left" w:pos="5580"/>
              </w:tabs>
              <w:jc w:val="center"/>
              <w:rPr>
                <w:rFonts w:eastAsiaTheme="minorEastAsia"/>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3813FDFC">
            <w:pPr>
              <w:tabs>
                <w:tab w:val="left" w:pos="5580"/>
              </w:tabs>
              <w:jc w:val="center"/>
              <w:rPr>
                <w:rFonts w:eastAsiaTheme="minorEastAsia"/>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72037DD7">
            <w:pPr>
              <w:tabs>
                <w:tab w:val="left" w:pos="5580"/>
              </w:tabs>
              <w:jc w:val="center"/>
              <w:rPr>
                <w:rFonts w:eastAsiaTheme="minorEastAsia"/>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0AFFA462">
            <w:pPr>
              <w:tabs>
                <w:tab w:val="left" w:pos="5580"/>
              </w:tabs>
              <w:jc w:val="center"/>
              <w:rPr>
                <w:rFonts w:eastAsiaTheme="minorEastAsia"/>
                <w:sz w:val="24"/>
              </w:rPr>
            </w:pPr>
          </w:p>
        </w:tc>
      </w:tr>
    </w:tbl>
    <w:p w14:paraId="74DF088D">
      <w:pPr>
        <w:autoSpaceDE w:val="0"/>
        <w:autoSpaceDN w:val="0"/>
        <w:adjustRightInd w:val="0"/>
        <w:jc w:val="left"/>
        <w:rPr>
          <w:rFonts w:eastAsiaTheme="minorEastAsia"/>
          <w:color w:val="000000"/>
          <w:kern w:val="0"/>
          <w:sz w:val="24"/>
        </w:rPr>
      </w:pPr>
    </w:p>
    <w:p w14:paraId="6C7CA02F">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.此表中，每包的报价应和《分项报价表》中的总价相一致。</w:t>
      </w:r>
    </w:p>
    <w:p w14:paraId="041A2E0E">
      <w:pPr>
        <w:tabs>
          <w:tab w:val="left" w:pos="5580"/>
        </w:tabs>
        <w:ind w:firstLine="480" w:firstLineChars="200"/>
        <w:rPr>
          <w:rFonts w:eastAsiaTheme="minorEastAsia"/>
          <w:color w:val="000000"/>
          <w:sz w:val="24"/>
          <w:szCs w:val="20"/>
        </w:rPr>
      </w:pPr>
      <w:r>
        <w:rPr>
          <w:rFonts w:eastAsiaTheme="minorEastAsia"/>
          <w:color w:val="000000"/>
          <w:sz w:val="24"/>
          <w:szCs w:val="20"/>
        </w:rPr>
        <w:t>2.本表必须按包分别填写。</w:t>
      </w:r>
    </w:p>
    <w:p w14:paraId="02D6B3FD">
      <w:pPr>
        <w:tabs>
          <w:tab w:val="left" w:pos="5580"/>
        </w:tabs>
        <w:ind w:firstLine="480" w:firstLineChars="200"/>
        <w:rPr>
          <w:rFonts w:eastAsiaTheme="minorEastAsia"/>
          <w:color w:val="000000"/>
          <w:sz w:val="24"/>
          <w:szCs w:val="20"/>
        </w:rPr>
      </w:pPr>
    </w:p>
    <w:p w14:paraId="7B656FAD">
      <w:pPr>
        <w:autoSpaceDE w:val="0"/>
        <w:autoSpaceDN w:val="0"/>
        <w:adjustRightInd w:val="0"/>
        <w:snapToGrid w:val="0"/>
        <w:spacing w:before="25" w:after="25" w:line="360" w:lineRule="auto"/>
        <w:rPr>
          <w:rFonts w:eastAsiaTheme="minorEastAsia"/>
          <w:color w:val="000000"/>
          <w:sz w:val="24"/>
          <w:lang w:val="zh-CN"/>
        </w:rPr>
      </w:pPr>
    </w:p>
    <w:p w14:paraId="7D7A4092">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560C23A3">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___________</w:t>
      </w:r>
    </w:p>
    <w:p w14:paraId="00FB9262">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14:paraId="30A92E19">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  </w:t>
      </w:r>
    </w:p>
    <w:p w14:paraId="13DFE5AE">
      <w:pPr>
        <w:tabs>
          <w:tab w:val="left" w:pos="360"/>
        </w:tabs>
        <w:snapToGrid w:val="0"/>
        <w:spacing w:line="360" w:lineRule="auto"/>
        <w:outlineLvl w:val="1"/>
        <w:rPr>
          <w:rFonts w:eastAsiaTheme="minorEastAsia"/>
          <w:sz w:val="24"/>
        </w:rPr>
        <w:sectPr>
          <w:headerReference r:id="rId20" w:type="first"/>
          <w:footerReference r:id="rId22" w:type="first"/>
          <w:headerReference r:id="rId19" w:type="even"/>
          <w:footerReference r:id="rId21" w:type="even"/>
          <w:pgSz w:w="11907" w:h="16840"/>
          <w:pgMar w:top="1418" w:right="1134" w:bottom="1418" w:left="1701" w:header="851" w:footer="851" w:gutter="0"/>
          <w:cols w:space="720" w:num="1"/>
          <w:docGrid w:linePitch="462" w:charSpace="0"/>
        </w:sectPr>
      </w:pPr>
      <w:bookmarkStart w:id="1274" w:name="_Toc265228397"/>
      <w:bookmarkStart w:id="1275" w:name="_Toc127151558"/>
      <w:bookmarkStart w:id="1276" w:name="_Toc226309803"/>
      <w:bookmarkStart w:id="1277" w:name="_Toc150480796"/>
      <w:bookmarkStart w:id="1278" w:name="_Toc226965749"/>
      <w:bookmarkStart w:id="1279" w:name="_Toc226965832"/>
      <w:bookmarkStart w:id="1280" w:name="_Toc150774763"/>
      <w:bookmarkStart w:id="1281" w:name="_Toc142311060"/>
      <w:bookmarkStart w:id="1282" w:name="_Toc264969249"/>
      <w:bookmarkStart w:id="1283" w:name="_Toc305158827"/>
      <w:bookmarkStart w:id="1284" w:name="_Toc305158901"/>
      <w:bookmarkStart w:id="1285" w:name="_Toc195842924"/>
      <w:bookmarkStart w:id="1286" w:name="_Toc226337255"/>
    </w:p>
    <w:p w14:paraId="25F788ED">
      <w:pPr>
        <w:tabs>
          <w:tab w:val="left" w:pos="360"/>
        </w:tabs>
        <w:snapToGrid w:val="0"/>
        <w:spacing w:line="360" w:lineRule="auto"/>
        <w:outlineLvl w:val="1"/>
        <w:rPr>
          <w:rFonts w:eastAsiaTheme="minorEastAsia"/>
          <w:sz w:val="24"/>
        </w:rPr>
      </w:pPr>
      <w:r>
        <w:rPr>
          <w:rFonts w:hint="eastAsia" w:eastAsiaTheme="minorEastAsia"/>
          <w:sz w:val="24"/>
          <w:lang w:val="en-US" w:eastAsia="zh-CN"/>
        </w:rPr>
        <w:t>7</w:t>
      </w:r>
      <w:r>
        <w:rPr>
          <w:rFonts w:eastAsiaTheme="minorEastAsia"/>
          <w:sz w:val="24"/>
        </w:rPr>
        <w:t xml:space="preserve">  分项报价表</w:t>
      </w:r>
      <w:bookmarkEnd w:id="1274"/>
      <w:bookmarkEnd w:id="1275"/>
      <w:bookmarkEnd w:id="1276"/>
      <w:bookmarkEnd w:id="1277"/>
      <w:bookmarkEnd w:id="1278"/>
      <w:bookmarkEnd w:id="1279"/>
      <w:bookmarkEnd w:id="1280"/>
      <w:bookmarkEnd w:id="1281"/>
      <w:bookmarkEnd w:id="1282"/>
      <w:bookmarkEnd w:id="1283"/>
      <w:bookmarkEnd w:id="1284"/>
      <w:bookmarkEnd w:id="1285"/>
      <w:bookmarkEnd w:id="1286"/>
    </w:p>
    <w:p w14:paraId="2FC2A054">
      <w:pPr>
        <w:spacing w:line="360" w:lineRule="exact"/>
        <w:jc w:val="center"/>
        <w:rPr>
          <w:rFonts w:eastAsiaTheme="minorEastAsia"/>
          <w:b/>
          <w:color w:val="000000"/>
          <w:sz w:val="36"/>
          <w:szCs w:val="36"/>
        </w:rPr>
      </w:pPr>
      <w:r>
        <w:rPr>
          <w:rFonts w:eastAsiaTheme="minorEastAsia"/>
          <w:b/>
          <w:color w:val="000000"/>
          <w:sz w:val="36"/>
          <w:szCs w:val="36"/>
        </w:rPr>
        <w:t>分项报价表</w:t>
      </w:r>
    </w:p>
    <w:p w14:paraId="588D77C7">
      <w:pPr>
        <w:spacing w:line="260" w:lineRule="exact"/>
        <w:jc w:val="center"/>
        <w:rPr>
          <w:rFonts w:eastAsiaTheme="minorEastAsia"/>
          <w:color w:val="000000"/>
          <w:sz w:val="36"/>
          <w:szCs w:val="36"/>
        </w:rPr>
      </w:pPr>
    </w:p>
    <w:p w14:paraId="4638EF26">
      <w:pPr>
        <w:adjustRightInd w:val="0"/>
        <w:snapToGrid w:val="0"/>
        <w:spacing w:before="240" w:beforeLines="100" w:after="240" w:afterLines="100"/>
        <w:jc w:val="left"/>
        <w:rPr>
          <w:rFonts w:eastAsiaTheme="minorEastAsia"/>
          <w:b/>
          <w:i/>
          <w:color w:val="FF0000"/>
          <w:sz w:val="24"/>
        </w:rPr>
      </w:pPr>
    </w:p>
    <w:p w14:paraId="49C5A4DB">
      <w:pPr>
        <w:tabs>
          <w:tab w:val="left" w:pos="1800"/>
          <w:tab w:val="left" w:pos="5580"/>
        </w:tabs>
        <w:rPr>
          <w:rFonts w:eastAsiaTheme="minorEastAsia"/>
          <w:color w:val="000000"/>
          <w:sz w:val="24"/>
        </w:rPr>
      </w:pPr>
      <w:r>
        <w:rPr>
          <w:rFonts w:eastAsiaTheme="minorEastAsia"/>
          <w:color w:val="000000"/>
          <w:sz w:val="24"/>
        </w:rPr>
        <w:t>项目编号/包号：_________ 项目名称：_________报价单位：人民币元</w:t>
      </w:r>
    </w:p>
    <w:p w14:paraId="3A6C15CA">
      <w:pPr>
        <w:tabs>
          <w:tab w:val="left" w:pos="1800"/>
          <w:tab w:val="left" w:pos="5580"/>
        </w:tabs>
        <w:jc w:val="left"/>
        <w:rPr>
          <w:rFonts w:eastAsiaTheme="minorEastAsia"/>
          <w:color w:val="000000"/>
          <w:sz w:val="24"/>
        </w:rPr>
      </w:pPr>
    </w:p>
    <w:p w14:paraId="5F8CC158">
      <w:pPr>
        <w:tabs>
          <w:tab w:val="left" w:pos="1800"/>
          <w:tab w:val="left" w:pos="5580"/>
        </w:tabs>
        <w:jc w:val="left"/>
        <w:rPr>
          <w:rFonts w:eastAsiaTheme="minorEastAsia"/>
          <w:b w:val="0"/>
          <w:bCs/>
          <w:i/>
          <w:color w:val="auto"/>
          <w:sz w:val="24"/>
        </w:rPr>
      </w:pPr>
      <w:r>
        <w:rPr>
          <w:rFonts w:eastAsiaTheme="minorEastAsia"/>
          <w:b w:val="0"/>
          <w:bCs/>
          <w:i/>
          <w:color w:val="auto"/>
          <w:sz w:val="24"/>
        </w:rPr>
        <w:t>（采用工程量清单计价方式的采购项目，应在本部分放置清单计价表格）</w:t>
      </w:r>
    </w:p>
    <w:p w14:paraId="3D861506">
      <w:pPr>
        <w:tabs>
          <w:tab w:val="left" w:pos="1800"/>
          <w:tab w:val="left" w:pos="5580"/>
        </w:tabs>
        <w:jc w:val="left"/>
        <w:rPr>
          <w:rFonts w:eastAsiaTheme="minorEastAsia"/>
          <w:color w:val="000000"/>
          <w:sz w:val="24"/>
        </w:rPr>
      </w:pPr>
    </w:p>
    <w:p w14:paraId="35E23A71">
      <w:pPr>
        <w:tabs>
          <w:tab w:val="left" w:pos="1800"/>
          <w:tab w:val="left" w:pos="5580"/>
        </w:tabs>
        <w:jc w:val="left"/>
        <w:rPr>
          <w:rFonts w:eastAsiaTheme="minorEastAsia"/>
          <w:color w:val="000000"/>
          <w:sz w:val="24"/>
        </w:rPr>
      </w:pPr>
    </w:p>
    <w:p w14:paraId="7E163BD0">
      <w:pPr>
        <w:tabs>
          <w:tab w:val="left" w:pos="1800"/>
          <w:tab w:val="left" w:pos="5580"/>
        </w:tabs>
        <w:ind w:firstLine="480" w:firstLineChars="200"/>
        <w:jc w:val="left"/>
        <w:rPr>
          <w:rFonts w:eastAsiaTheme="minorEastAsia"/>
          <w:color w:val="000000"/>
          <w:sz w:val="24"/>
        </w:rPr>
      </w:pPr>
    </w:p>
    <w:p w14:paraId="464418FC">
      <w:pPr>
        <w:pStyle w:val="41"/>
      </w:pPr>
    </w:p>
    <w:p w14:paraId="3A085DF2">
      <w:pPr>
        <w:autoSpaceDE w:val="0"/>
        <w:autoSpaceDN w:val="0"/>
        <w:adjustRightInd w:val="0"/>
        <w:snapToGrid w:val="0"/>
        <w:spacing w:before="25" w:after="25" w:line="360" w:lineRule="auto"/>
        <w:rPr>
          <w:rFonts w:eastAsiaTheme="minorEastAsia"/>
          <w:color w:val="000000"/>
          <w:sz w:val="24"/>
        </w:rPr>
      </w:pPr>
    </w:p>
    <w:p w14:paraId="0DB45552">
      <w:pPr>
        <w:autoSpaceDE w:val="0"/>
        <w:autoSpaceDN w:val="0"/>
        <w:adjustRightInd w:val="0"/>
        <w:snapToGrid w:val="0"/>
        <w:spacing w:before="25" w:after="25" w:line="360" w:lineRule="auto"/>
        <w:rPr>
          <w:rFonts w:eastAsiaTheme="minorEastAsia"/>
          <w:color w:val="000000"/>
          <w:sz w:val="24"/>
        </w:rPr>
      </w:pPr>
    </w:p>
    <w:p w14:paraId="4E0E965D">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5F821D97">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21610EFD">
      <w:pPr>
        <w:tabs>
          <w:tab w:val="left" w:pos="360"/>
        </w:tabs>
        <w:snapToGrid w:val="0"/>
        <w:spacing w:line="360" w:lineRule="auto"/>
        <w:outlineLvl w:val="1"/>
        <w:rPr>
          <w:rFonts w:eastAsiaTheme="minorEastAsia"/>
          <w:sz w:val="24"/>
        </w:rPr>
        <w:sectPr>
          <w:pgSz w:w="11907" w:h="16840"/>
          <w:pgMar w:top="1418" w:right="1134" w:bottom="1418" w:left="1701" w:header="851" w:footer="851" w:gutter="0"/>
          <w:cols w:space="720" w:num="1"/>
          <w:docGrid w:linePitch="462" w:charSpace="0"/>
        </w:sectPr>
      </w:pPr>
      <w:bookmarkStart w:id="1287" w:name="_Toc226309806"/>
      <w:bookmarkStart w:id="1288" w:name="_Toc226337258"/>
      <w:bookmarkStart w:id="1289" w:name="_Toc265228400"/>
      <w:bookmarkStart w:id="1290" w:name="_Toc142311062"/>
      <w:bookmarkStart w:id="1291" w:name="_Toc150774765"/>
      <w:bookmarkStart w:id="1292" w:name="_Toc305158830"/>
      <w:bookmarkStart w:id="1293" w:name="_Toc195842927"/>
      <w:bookmarkStart w:id="1294" w:name="_Toc127151562"/>
      <w:bookmarkStart w:id="1295" w:name="_Toc264969252"/>
      <w:bookmarkStart w:id="1296" w:name="_Toc226965835"/>
      <w:bookmarkStart w:id="1297" w:name="_Toc150480798"/>
      <w:bookmarkStart w:id="1298" w:name="_Toc305158904"/>
      <w:bookmarkStart w:id="1299" w:name="_Toc226965752"/>
      <w:bookmarkStart w:id="1300" w:name="_Toc265228399"/>
      <w:bookmarkStart w:id="1301" w:name="_Toc226309805"/>
      <w:bookmarkStart w:id="1302" w:name="_Toc305158829"/>
      <w:bookmarkStart w:id="1303" w:name="_Toc127151561"/>
      <w:bookmarkStart w:id="1304" w:name="_Toc150774764"/>
      <w:bookmarkStart w:id="1305" w:name="_Toc226965834"/>
      <w:bookmarkStart w:id="1306" w:name="_Toc264969251"/>
      <w:bookmarkStart w:id="1307" w:name="_Toc195842926"/>
      <w:bookmarkStart w:id="1308" w:name="_Toc305158903"/>
      <w:bookmarkStart w:id="1309" w:name="_Toc226337257"/>
      <w:bookmarkStart w:id="1310" w:name="_Toc142311061"/>
      <w:bookmarkStart w:id="1311" w:name="_Toc226965751"/>
      <w:bookmarkStart w:id="1312" w:name="_Toc150480797"/>
    </w:p>
    <w:p w14:paraId="1FC57EB6">
      <w:pPr>
        <w:tabs>
          <w:tab w:val="left" w:pos="360"/>
        </w:tabs>
        <w:snapToGrid w:val="0"/>
        <w:spacing w:line="360" w:lineRule="auto"/>
        <w:outlineLvl w:val="1"/>
        <w:rPr>
          <w:rFonts w:eastAsiaTheme="minorEastAsia"/>
          <w:color w:val="000000"/>
          <w:sz w:val="24"/>
          <w:szCs w:val="20"/>
        </w:rPr>
      </w:pPr>
      <w:r>
        <w:rPr>
          <w:rFonts w:hint="eastAsia" w:eastAsiaTheme="minorEastAsia"/>
          <w:sz w:val="24"/>
          <w:lang w:val="en-US" w:eastAsia="zh-CN"/>
        </w:rPr>
        <w:t>8</w:t>
      </w:r>
      <w:r>
        <w:rPr>
          <w:rFonts w:eastAsiaTheme="minorEastAsia"/>
          <w:sz w:val="24"/>
        </w:rPr>
        <w:t xml:space="preserve">  合同条款偏离表</w:t>
      </w:r>
      <w:bookmarkEnd w:id="1287"/>
      <w:bookmarkEnd w:id="1288"/>
      <w:bookmarkEnd w:id="1289"/>
      <w:bookmarkEnd w:id="1290"/>
      <w:bookmarkEnd w:id="1291"/>
      <w:bookmarkEnd w:id="1292"/>
      <w:bookmarkEnd w:id="1293"/>
      <w:bookmarkEnd w:id="1294"/>
      <w:bookmarkEnd w:id="1295"/>
      <w:bookmarkEnd w:id="1296"/>
      <w:bookmarkEnd w:id="1297"/>
      <w:bookmarkEnd w:id="1298"/>
      <w:bookmarkEnd w:id="1299"/>
      <w:r>
        <w:rPr>
          <w:rFonts w:eastAsiaTheme="minorEastAsia"/>
          <w:sz w:val="24"/>
        </w:rPr>
        <w:t>（实质性格式）</w:t>
      </w:r>
    </w:p>
    <w:p w14:paraId="769AD7A4">
      <w:pPr>
        <w:spacing w:line="360" w:lineRule="auto"/>
        <w:rPr>
          <w:rFonts w:eastAsiaTheme="minorEastAsia"/>
          <w:color w:val="000000"/>
          <w:sz w:val="24"/>
          <w:szCs w:val="20"/>
        </w:rPr>
      </w:pPr>
    </w:p>
    <w:p w14:paraId="2D4FB261">
      <w:pPr>
        <w:tabs>
          <w:tab w:val="left" w:pos="2775"/>
          <w:tab w:val="center" w:pos="4153"/>
        </w:tabs>
        <w:autoSpaceDE w:val="0"/>
        <w:autoSpaceDN w:val="0"/>
        <w:adjustRightInd w:val="0"/>
        <w:spacing w:line="360" w:lineRule="auto"/>
        <w:jc w:val="left"/>
        <w:rPr>
          <w:rFonts w:eastAsiaTheme="minorEastAsia"/>
          <w:b/>
          <w:color w:val="000000"/>
          <w:sz w:val="36"/>
          <w:szCs w:val="36"/>
        </w:rPr>
      </w:pPr>
      <w:r>
        <w:rPr>
          <w:rFonts w:eastAsiaTheme="minorEastAsia"/>
          <w:color w:val="000000"/>
          <w:sz w:val="36"/>
          <w:szCs w:val="36"/>
        </w:rPr>
        <w:tab/>
      </w:r>
      <w:r>
        <w:rPr>
          <w:rFonts w:eastAsiaTheme="minorEastAsia"/>
          <w:b/>
          <w:color w:val="000000"/>
          <w:sz w:val="36"/>
          <w:szCs w:val="36"/>
        </w:rPr>
        <w:tab/>
      </w:r>
      <w:r>
        <w:rPr>
          <w:rFonts w:eastAsiaTheme="minorEastAsia"/>
          <w:b/>
          <w:color w:val="000000"/>
          <w:sz w:val="36"/>
          <w:szCs w:val="36"/>
        </w:rPr>
        <w:t>合同条款偏离表</w:t>
      </w:r>
    </w:p>
    <w:p w14:paraId="657AFA32">
      <w:pPr>
        <w:spacing w:line="360" w:lineRule="auto"/>
        <w:rPr>
          <w:rFonts w:eastAsiaTheme="minorEastAsia"/>
          <w:color w:val="000000"/>
          <w:sz w:val="24"/>
          <w:szCs w:val="20"/>
        </w:rPr>
      </w:pPr>
    </w:p>
    <w:p w14:paraId="39DD2A87">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1561"/>
        <w:gridCol w:w="1776"/>
        <w:gridCol w:w="1778"/>
        <w:gridCol w:w="2183"/>
        <w:gridCol w:w="980"/>
      </w:tblGrid>
      <w:tr w14:paraId="6441E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445B337">
            <w:pPr>
              <w:adjustRightInd w:val="0"/>
              <w:snapToGrid w:val="0"/>
              <w:jc w:val="center"/>
              <w:rPr>
                <w:rFonts w:eastAsiaTheme="minorEastAsia"/>
                <w:color w:val="000000"/>
                <w:sz w:val="24"/>
              </w:rPr>
            </w:pPr>
            <w:r>
              <w:rPr>
                <w:rFonts w:eastAsiaTheme="minorEastAsia"/>
                <w:color w:val="000000"/>
                <w:sz w:val="24"/>
              </w:rPr>
              <w:t>序号</w:t>
            </w:r>
          </w:p>
        </w:tc>
        <w:tc>
          <w:tcPr>
            <w:tcW w:w="1394" w:type="dxa"/>
            <w:vAlign w:val="center"/>
          </w:tcPr>
          <w:p w14:paraId="50F8FFCC">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1808" w:type="dxa"/>
            <w:vAlign w:val="center"/>
          </w:tcPr>
          <w:p w14:paraId="7B7A2580">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1809" w:type="dxa"/>
            <w:vAlign w:val="center"/>
          </w:tcPr>
          <w:p w14:paraId="17FD8B06">
            <w:pPr>
              <w:adjustRightInd w:val="0"/>
              <w:snapToGrid w:val="0"/>
              <w:jc w:val="center"/>
              <w:rPr>
                <w:rFonts w:eastAsiaTheme="minorEastAsia"/>
                <w:color w:val="000000"/>
                <w:sz w:val="24"/>
              </w:rPr>
            </w:pPr>
            <w:r>
              <w:rPr>
                <w:rFonts w:eastAsiaTheme="minorEastAsia"/>
                <w:color w:val="000000"/>
                <w:sz w:val="24"/>
              </w:rPr>
              <w:t>响应文件内容</w:t>
            </w:r>
          </w:p>
        </w:tc>
        <w:tc>
          <w:tcPr>
            <w:tcW w:w="2290" w:type="dxa"/>
            <w:vAlign w:val="center"/>
          </w:tcPr>
          <w:p w14:paraId="74CB31D4">
            <w:pPr>
              <w:adjustRightInd w:val="0"/>
              <w:snapToGrid w:val="0"/>
              <w:jc w:val="center"/>
              <w:rPr>
                <w:rFonts w:eastAsiaTheme="minorEastAsia"/>
                <w:color w:val="000000"/>
                <w:sz w:val="24"/>
              </w:rPr>
            </w:pPr>
            <w:r>
              <w:rPr>
                <w:rFonts w:eastAsiaTheme="minorEastAsia"/>
                <w:color w:val="000000"/>
                <w:sz w:val="24"/>
              </w:rPr>
              <w:t>偏离情况</w:t>
            </w:r>
          </w:p>
        </w:tc>
        <w:tc>
          <w:tcPr>
            <w:tcW w:w="863" w:type="dxa"/>
            <w:vAlign w:val="center"/>
          </w:tcPr>
          <w:p w14:paraId="32438B40">
            <w:pPr>
              <w:adjustRightInd w:val="0"/>
              <w:snapToGrid w:val="0"/>
              <w:jc w:val="center"/>
              <w:rPr>
                <w:rFonts w:eastAsiaTheme="minorEastAsia"/>
                <w:color w:val="000000"/>
                <w:sz w:val="24"/>
              </w:rPr>
            </w:pPr>
            <w:r>
              <w:rPr>
                <w:rFonts w:eastAsiaTheme="minorEastAsia"/>
                <w:color w:val="000000"/>
                <w:sz w:val="24"/>
              </w:rPr>
              <w:t>说明</w:t>
            </w:r>
          </w:p>
        </w:tc>
      </w:tr>
      <w:tr w14:paraId="5F76D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500EFAC0">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69B6879E">
            <w:pPr>
              <w:adjustRightInd w:val="0"/>
              <w:snapToGrid w:val="0"/>
              <w:jc w:val="left"/>
              <w:rPr>
                <w:rFonts w:eastAsiaTheme="minorEastAsia"/>
                <w:b/>
                <w:color w:val="000000"/>
                <w:sz w:val="24"/>
              </w:rPr>
            </w:pP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14:paraId="1A7D9982">
            <w:pPr>
              <w:adjustRightInd w:val="0"/>
              <w:snapToGrid w:val="0"/>
              <w:jc w:val="left"/>
              <w:rPr>
                <w:rFonts w:eastAsiaTheme="minorEastAsia"/>
                <w:color w:val="000000"/>
                <w:sz w:val="24"/>
              </w:rPr>
            </w:pP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hint="eastAsia" w:eastAsiaTheme="minor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14:paraId="0672F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6C948729">
            <w:pPr>
              <w:adjustRightInd w:val="0"/>
              <w:snapToGrid w:val="0"/>
              <w:jc w:val="center"/>
              <w:rPr>
                <w:rFonts w:eastAsiaTheme="minorEastAsia"/>
                <w:color w:val="000000"/>
                <w:sz w:val="24"/>
              </w:rPr>
            </w:pPr>
          </w:p>
        </w:tc>
        <w:tc>
          <w:tcPr>
            <w:tcW w:w="1394" w:type="dxa"/>
            <w:vAlign w:val="center"/>
          </w:tcPr>
          <w:p w14:paraId="19122276">
            <w:pPr>
              <w:adjustRightInd w:val="0"/>
              <w:snapToGrid w:val="0"/>
              <w:jc w:val="center"/>
              <w:rPr>
                <w:rFonts w:eastAsiaTheme="minorEastAsia"/>
                <w:color w:val="000000"/>
                <w:sz w:val="24"/>
              </w:rPr>
            </w:pPr>
          </w:p>
        </w:tc>
        <w:tc>
          <w:tcPr>
            <w:tcW w:w="1808" w:type="dxa"/>
            <w:vAlign w:val="center"/>
          </w:tcPr>
          <w:p w14:paraId="67C0D85D">
            <w:pPr>
              <w:adjustRightInd w:val="0"/>
              <w:snapToGrid w:val="0"/>
              <w:jc w:val="center"/>
              <w:rPr>
                <w:rFonts w:eastAsiaTheme="minorEastAsia"/>
                <w:color w:val="000000"/>
                <w:sz w:val="24"/>
              </w:rPr>
            </w:pPr>
          </w:p>
        </w:tc>
        <w:tc>
          <w:tcPr>
            <w:tcW w:w="1809" w:type="dxa"/>
            <w:vAlign w:val="center"/>
          </w:tcPr>
          <w:p w14:paraId="6C395D45">
            <w:pPr>
              <w:adjustRightInd w:val="0"/>
              <w:snapToGrid w:val="0"/>
              <w:jc w:val="center"/>
              <w:rPr>
                <w:rFonts w:eastAsiaTheme="minorEastAsia"/>
                <w:color w:val="000000"/>
                <w:sz w:val="24"/>
              </w:rPr>
            </w:pPr>
          </w:p>
        </w:tc>
        <w:tc>
          <w:tcPr>
            <w:tcW w:w="2290" w:type="dxa"/>
            <w:vAlign w:val="center"/>
          </w:tcPr>
          <w:p w14:paraId="6FBC1913">
            <w:pPr>
              <w:adjustRightInd w:val="0"/>
              <w:snapToGrid w:val="0"/>
              <w:jc w:val="center"/>
              <w:rPr>
                <w:rFonts w:eastAsiaTheme="minorEastAsia"/>
                <w:color w:val="000000"/>
                <w:sz w:val="24"/>
              </w:rPr>
            </w:pPr>
          </w:p>
        </w:tc>
        <w:tc>
          <w:tcPr>
            <w:tcW w:w="863" w:type="dxa"/>
            <w:vAlign w:val="center"/>
          </w:tcPr>
          <w:p w14:paraId="1E1AD53B">
            <w:pPr>
              <w:adjustRightInd w:val="0"/>
              <w:snapToGrid w:val="0"/>
              <w:jc w:val="center"/>
              <w:rPr>
                <w:rFonts w:eastAsiaTheme="minorEastAsia"/>
                <w:color w:val="000000"/>
                <w:sz w:val="24"/>
              </w:rPr>
            </w:pPr>
          </w:p>
        </w:tc>
      </w:tr>
      <w:tr w14:paraId="54D9F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499FB3F">
            <w:pPr>
              <w:adjustRightInd w:val="0"/>
              <w:snapToGrid w:val="0"/>
              <w:jc w:val="center"/>
              <w:rPr>
                <w:rFonts w:eastAsiaTheme="minorEastAsia"/>
                <w:color w:val="000000"/>
                <w:sz w:val="24"/>
              </w:rPr>
            </w:pPr>
          </w:p>
        </w:tc>
        <w:tc>
          <w:tcPr>
            <w:tcW w:w="1394" w:type="dxa"/>
            <w:vAlign w:val="center"/>
          </w:tcPr>
          <w:p w14:paraId="224860B4">
            <w:pPr>
              <w:adjustRightInd w:val="0"/>
              <w:snapToGrid w:val="0"/>
              <w:jc w:val="center"/>
              <w:rPr>
                <w:rFonts w:eastAsiaTheme="minorEastAsia"/>
                <w:color w:val="000000"/>
                <w:sz w:val="24"/>
              </w:rPr>
            </w:pPr>
          </w:p>
        </w:tc>
        <w:tc>
          <w:tcPr>
            <w:tcW w:w="1808" w:type="dxa"/>
            <w:vAlign w:val="center"/>
          </w:tcPr>
          <w:p w14:paraId="4DB29170">
            <w:pPr>
              <w:adjustRightInd w:val="0"/>
              <w:snapToGrid w:val="0"/>
              <w:jc w:val="center"/>
              <w:rPr>
                <w:rFonts w:eastAsiaTheme="minorEastAsia"/>
                <w:color w:val="000000"/>
                <w:sz w:val="24"/>
              </w:rPr>
            </w:pPr>
          </w:p>
        </w:tc>
        <w:tc>
          <w:tcPr>
            <w:tcW w:w="1809" w:type="dxa"/>
            <w:vAlign w:val="center"/>
          </w:tcPr>
          <w:p w14:paraId="56824A6E">
            <w:pPr>
              <w:adjustRightInd w:val="0"/>
              <w:snapToGrid w:val="0"/>
              <w:jc w:val="center"/>
              <w:rPr>
                <w:rFonts w:eastAsiaTheme="minorEastAsia"/>
                <w:color w:val="000000"/>
                <w:sz w:val="24"/>
              </w:rPr>
            </w:pPr>
          </w:p>
        </w:tc>
        <w:tc>
          <w:tcPr>
            <w:tcW w:w="2290" w:type="dxa"/>
            <w:vAlign w:val="center"/>
          </w:tcPr>
          <w:p w14:paraId="5F6E4882">
            <w:pPr>
              <w:adjustRightInd w:val="0"/>
              <w:snapToGrid w:val="0"/>
              <w:jc w:val="center"/>
              <w:rPr>
                <w:rFonts w:eastAsiaTheme="minorEastAsia"/>
                <w:color w:val="000000"/>
                <w:sz w:val="24"/>
              </w:rPr>
            </w:pPr>
          </w:p>
        </w:tc>
        <w:tc>
          <w:tcPr>
            <w:tcW w:w="863" w:type="dxa"/>
            <w:vAlign w:val="center"/>
          </w:tcPr>
          <w:p w14:paraId="24E0884F">
            <w:pPr>
              <w:adjustRightInd w:val="0"/>
              <w:snapToGrid w:val="0"/>
              <w:jc w:val="center"/>
              <w:rPr>
                <w:rFonts w:eastAsiaTheme="minorEastAsia"/>
                <w:color w:val="000000"/>
                <w:sz w:val="24"/>
              </w:rPr>
            </w:pPr>
          </w:p>
        </w:tc>
      </w:tr>
      <w:tr w14:paraId="59176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485D57D2">
            <w:pPr>
              <w:adjustRightInd w:val="0"/>
              <w:snapToGrid w:val="0"/>
              <w:jc w:val="center"/>
              <w:rPr>
                <w:rFonts w:eastAsiaTheme="minorEastAsia"/>
                <w:color w:val="000000"/>
                <w:sz w:val="24"/>
              </w:rPr>
            </w:pPr>
          </w:p>
        </w:tc>
        <w:tc>
          <w:tcPr>
            <w:tcW w:w="1394" w:type="dxa"/>
            <w:vAlign w:val="center"/>
          </w:tcPr>
          <w:p w14:paraId="3FFEF359">
            <w:pPr>
              <w:adjustRightInd w:val="0"/>
              <w:snapToGrid w:val="0"/>
              <w:jc w:val="center"/>
              <w:rPr>
                <w:rFonts w:eastAsiaTheme="minorEastAsia"/>
                <w:color w:val="000000"/>
                <w:sz w:val="24"/>
              </w:rPr>
            </w:pPr>
          </w:p>
        </w:tc>
        <w:tc>
          <w:tcPr>
            <w:tcW w:w="1808" w:type="dxa"/>
            <w:vAlign w:val="center"/>
          </w:tcPr>
          <w:p w14:paraId="32CA71ED">
            <w:pPr>
              <w:adjustRightInd w:val="0"/>
              <w:snapToGrid w:val="0"/>
              <w:jc w:val="center"/>
              <w:rPr>
                <w:rFonts w:eastAsiaTheme="minorEastAsia"/>
                <w:color w:val="000000"/>
                <w:sz w:val="24"/>
              </w:rPr>
            </w:pPr>
          </w:p>
        </w:tc>
        <w:tc>
          <w:tcPr>
            <w:tcW w:w="1809" w:type="dxa"/>
            <w:vAlign w:val="center"/>
          </w:tcPr>
          <w:p w14:paraId="1B816DB6">
            <w:pPr>
              <w:adjustRightInd w:val="0"/>
              <w:snapToGrid w:val="0"/>
              <w:jc w:val="center"/>
              <w:rPr>
                <w:rFonts w:eastAsiaTheme="minorEastAsia"/>
                <w:color w:val="000000"/>
                <w:sz w:val="24"/>
              </w:rPr>
            </w:pPr>
          </w:p>
        </w:tc>
        <w:tc>
          <w:tcPr>
            <w:tcW w:w="2290" w:type="dxa"/>
            <w:vAlign w:val="center"/>
          </w:tcPr>
          <w:p w14:paraId="4F5AA613">
            <w:pPr>
              <w:adjustRightInd w:val="0"/>
              <w:snapToGrid w:val="0"/>
              <w:jc w:val="center"/>
              <w:rPr>
                <w:rFonts w:eastAsiaTheme="minorEastAsia"/>
                <w:color w:val="000000"/>
                <w:sz w:val="24"/>
              </w:rPr>
            </w:pPr>
          </w:p>
        </w:tc>
        <w:tc>
          <w:tcPr>
            <w:tcW w:w="863" w:type="dxa"/>
            <w:vAlign w:val="center"/>
          </w:tcPr>
          <w:p w14:paraId="63A20144">
            <w:pPr>
              <w:adjustRightInd w:val="0"/>
              <w:snapToGrid w:val="0"/>
              <w:jc w:val="center"/>
              <w:rPr>
                <w:rFonts w:eastAsiaTheme="minorEastAsia"/>
                <w:color w:val="000000"/>
                <w:sz w:val="24"/>
              </w:rPr>
            </w:pPr>
          </w:p>
        </w:tc>
      </w:tr>
      <w:tr w14:paraId="4012F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72424D49">
            <w:pPr>
              <w:adjustRightInd w:val="0"/>
              <w:snapToGrid w:val="0"/>
              <w:jc w:val="center"/>
              <w:rPr>
                <w:rFonts w:eastAsiaTheme="minorEastAsia"/>
                <w:color w:val="000000"/>
                <w:sz w:val="24"/>
              </w:rPr>
            </w:pPr>
          </w:p>
        </w:tc>
        <w:tc>
          <w:tcPr>
            <w:tcW w:w="1394" w:type="dxa"/>
            <w:vAlign w:val="center"/>
          </w:tcPr>
          <w:p w14:paraId="749BE0BA">
            <w:pPr>
              <w:adjustRightInd w:val="0"/>
              <w:snapToGrid w:val="0"/>
              <w:jc w:val="center"/>
              <w:rPr>
                <w:rFonts w:eastAsiaTheme="minorEastAsia"/>
                <w:color w:val="000000"/>
                <w:sz w:val="24"/>
              </w:rPr>
            </w:pPr>
          </w:p>
        </w:tc>
        <w:tc>
          <w:tcPr>
            <w:tcW w:w="1808" w:type="dxa"/>
            <w:vAlign w:val="center"/>
          </w:tcPr>
          <w:p w14:paraId="1B093F7A">
            <w:pPr>
              <w:adjustRightInd w:val="0"/>
              <w:snapToGrid w:val="0"/>
              <w:jc w:val="center"/>
              <w:rPr>
                <w:rFonts w:eastAsiaTheme="minorEastAsia"/>
                <w:color w:val="000000"/>
                <w:sz w:val="24"/>
              </w:rPr>
            </w:pPr>
          </w:p>
        </w:tc>
        <w:tc>
          <w:tcPr>
            <w:tcW w:w="1809" w:type="dxa"/>
            <w:vAlign w:val="center"/>
          </w:tcPr>
          <w:p w14:paraId="4CD4E131">
            <w:pPr>
              <w:adjustRightInd w:val="0"/>
              <w:snapToGrid w:val="0"/>
              <w:jc w:val="center"/>
              <w:rPr>
                <w:rFonts w:eastAsiaTheme="minorEastAsia"/>
                <w:color w:val="000000"/>
                <w:sz w:val="24"/>
              </w:rPr>
            </w:pPr>
          </w:p>
        </w:tc>
        <w:tc>
          <w:tcPr>
            <w:tcW w:w="2290" w:type="dxa"/>
            <w:vAlign w:val="center"/>
          </w:tcPr>
          <w:p w14:paraId="1DD005A5">
            <w:pPr>
              <w:adjustRightInd w:val="0"/>
              <w:snapToGrid w:val="0"/>
              <w:jc w:val="center"/>
              <w:rPr>
                <w:rFonts w:eastAsiaTheme="minorEastAsia"/>
                <w:color w:val="000000"/>
                <w:sz w:val="24"/>
              </w:rPr>
            </w:pPr>
          </w:p>
        </w:tc>
        <w:tc>
          <w:tcPr>
            <w:tcW w:w="863" w:type="dxa"/>
            <w:vAlign w:val="center"/>
          </w:tcPr>
          <w:p w14:paraId="5075538C">
            <w:pPr>
              <w:adjustRightInd w:val="0"/>
              <w:snapToGrid w:val="0"/>
              <w:jc w:val="center"/>
              <w:rPr>
                <w:rFonts w:eastAsiaTheme="minorEastAsia"/>
                <w:color w:val="000000"/>
                <w:sz w:val="24"/>
              </w:rPr>
            </w:pPr>
          </w:p>
        </w:tc>
      </w:tr>
      <w:tr w14:paraId="72F97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335D330E">
            <w:pPr>
              <w:adjustRightInd w:val="0"/>
              <w:snapToGrid w:val="0"/>
              <w:jc w:val="center"/>
              <w:rPr>
                <w:rFonts w:eastAsiaTheme="minorEastAsia"/>
                <w:color w:val="000000"/>
                <w:sz w:val="24"/>
              </w:rPr>
            </w:pPr>
          </w:p>
        </w:tc>
        <w:tc>
          <w:tcPr>
            <w:tcW w:w="1394" w:type="dxa"/>
            <w:vAlign w:val="center"/>
          </w:tcPr>
          <w:p w14:paraId="197C64DF">
            <w:pPr>
              <w:adjustRightInd w:val="0"/>
              <w:snapToGrid w:val="0"/>
              <w:jc w:val="center"/>
              <w:rPr>
                <w:rFonts w:eastAsiaTheme="minorEastAsia"/>
                <w:color w:val="000000"/>
                <w:sz w:val="24"/>
              </w:rPr>
            </w:pPr>
          </w:p>
        </w:tc>
        <w:tc>
          <w:tcPr>
            <w:tcW w:w="1808" w:type="dxa"/>
            <w:vAlign w:val="center"/>
          </w:tcPr>
          <w:p w14:paraId="54368F1C">
            <w:pPr>
              <w:adjustRightInd w:val="0"/>
              <w:snapToGrid w:val="0"/>
              <w:jc w:val="center"/>
              <w:rPr>
                <w:rFonts w:eastAsiaTheme="minorEastAsia"/>
                <w:color w:val="000000"/>
                <w:sz w:val="24"/>
              </w:rPr>
            </w:pPr>
          </w:p>
        </w:tc>
        <w:tc>
          <w:tcPr>
            <w:tcW w:w="1809" w:type="dxa"/>
            <w:vAlign w:val="center"/>
          </w:tcPr>
          <w:p w14:paraId="4C1D05AE">
            <w:pPr>
              <w:adjustRightInd w:val="0"/>
              <w:snapToGrid w:val="0"/>
              <w:jc w:val="center"/>
              <w:rPr>
                <w:rFonts w:eastAsiaTheme="minorEastAsia"/>
                <w:color w:val="000000"/>
                <w:sz w:val="24"/>
              </w:rPr>
            </w:pPr>
          </w:p>
        </w:tc>
        <w:tc>
          <w:tcPr>
            <w:tcW w:w="2290" w:type="dxa"/>
            <w:vAlign w:val="center"/>
          </w:tcPr>
          <w:p w14:paraId="106FBC41">
            <w:pPr>
              <w:adjustRightInd w:val="0"/>
              <w:snapToGrid w:val="0"/>
              <w:jc w:val="center"/>
              <w:rPr>
                <w:rFonts w:eastAsiaTheme="minorEastAsia"/>
                <w:color w:val="000000"/>
                <w:sz w:val="24"/>
              </w:rPr>
            </w:pPr>
          </w:p>
        </w:tc>
        <w:tc>
          <w:tcPr>
            <w:tcW w:w="863" w:type="dxa"/>
            <w:vAlign w:val="center"/>
          </w:tcPr>
          <w:p w14:paraId="2995CD80">
            <w:pPr>
              <w:adjustRightInd w:val="0"/>
              <w:snapToGrid w:val="0"/>
              <w:jc w:val="center"/>
              <w:rPr>
                <w:rFonts w:eastAsiaTheme="minorEastAsia"/>
                <w:color w:val="000000"/>
                <w:sz w:val="24"/>
              </w:rPr>
            </w:pPr>
          </w:p>
        </w:tc>
      </w:tr>
    </w:tbl>
    <w:p w14:paraId="0DED314F">
      <w:pPr>
        <w:tabs>
          <w:tab w:val="left" w:pos="1800"/>
          <w:tab w:val="left" w:pos="5580"/>
        </w:tabs>
        <w:jc w:val="left"/>
        <w:rPr>
          <w:rFonts w:eastAsiaTheme="minorEastAsia"/>
          <w:color w:val="000000"/>
          <w:sz w:val="24"/>
        </w:rPr>
      </w:pPr>
    </w:p>
    <w:p w14:paraId="087FD454">
      <w:pPr>
        <w:tabs>
          <w:tab w:val="left" w:pos="1800"/>
          <w:tab w:val="left" w:pos="5580"/>
        </w:tabs>
        <w:jc w:val="left"/>
        <w:rPr>
          <w:color w:val="000000"/>
          <w:sz w:val="24"/>
        </w:rPr>
      </w:pPr>
      <w:r>
        <w:rPr>
          <w:color w:val="000000"/>
          <w:sz w:val="24"/>
        </w:rPr>
        <w:t>注：</w:t>
      </w:r>
      <w:r>
        <w:rPr>
          <w:sz w:val="24"/>
        </w:rPr>
        <w:t xml:space="preserve"> “偏离情况”列应</w:t>
      </w:r>
      <w:r>
        <w:rPr>
          <w:color w:val="000000"/>
          <w:sz w:val="24"/>
        </w:rPr>
        <w:t>据实</w:t>
      </w:r>
      <w:r>
        <w:rPr>
          <w:sz w:val="24"/>
        </w:rPr>
        <w:t>填写“正偏离”或“负偏离”。</w:t>
      </w:r>
    </w:p>
    <w:p w14:paraId="30F3C144">
      <w:pPr>
        <w:spacing w:line="360" w:lineRule="auto"/>
        <w:rPr>
          <w:rFonts w:eastAsiaTheme="minorEastAsia"/>
          <w:color w:val="000000"/>
          <w:sz w:val="24"/>
          <w:szCs w:val="20"/>
        </w:rPr>
      </w:pPr>
    </w:p>
    <w:p w14:paraId="4A4A4F01">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rPr>
        <w:t>_______________</w:t>
      </w:r>
    </w:p>
    <w:p w14:paraId="1034E693">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2196E1F9">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hint="eastAsia" w:eastAsiaTheme="minorEastAsia"/>
          <w:sz w:val="24"/>
          <w:lang w:val="en-US" w:eastAsia="zh-CN"/>
        </w:rPr>
        <w:t>9</w:t>
      </w:r>
      <w:r>
        <w:rPr>
          <w:rFonts w:eastAsiaTheme="minorEastAsia"/>
          <w:sz w:val="24"/>
        </w:rPr>
        <w:t xml:space="preserve">  </w:t>
      </w:r>
      <w:bookmarkEnd w:id="1300"/>
      <w:bookmarkEnd w:id="1301"/>
      <w:bookmarkEnd w:id="1302"/>
      <w:bookmarkEnd w:id="1303"/>
      <w:bookmarkEnd w:id="1304"/>
      <w:bookmarkEnd w:id="1305"/>
      <w:bookmarkEnd w:id="1306"/>
      <w:bookmarkEnd w:id="1307"/>
      <w:bookmarkEnd w:id="1308"/>
      <w:bookmarkEnd w:id="1309"/>
      <w:bookmarkEnd w:id="1310"/>
      <w:bookmarkEnd w:id="1311"/>
      <w:bookmarkEnd w:id="1312"/>
      <w:r>
        <w:rPr>
          <w:rFonts w:eastAsiaTheme="minorEastAsia"/>
          <w:sz w:val="24"/>
        </w:rPr>
        <w:t>采购需求偏离表（实质性格式）</w:t>
      </w:r>
    </w:p>
    <w:p w14:paraId="3467C1C2">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14:paraId="3317038E">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6F05C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6F130852">
            <w:pPr>
              <w:adjustRightInd w:val="0"/>
              <w:snapToGrid w:val="0"/>
              <w:jc w:val="center"/>
              <w:rPr>
                <w:rFonts w:eastAsiaTheme="minorEastAsia"/>
                <w:color w:val="000000"/>
                <w:sz w:val="24"/>
              </w:rPr>
            </w:pPr>
            <w:r>
              <w:rPr>
                <w:rFonts w:eastAsiaTheme="minorEastAsia"/>
                <w:color w:val="000000"/>
                <w:sz w:val="24"/>
              </w:rPr>
              <w:t>序号</w:t>
            </w:r>
          </w:p>
        </w:tc>
        <w:tc>
          <w:tcPr>
            <w:tcW w:w="1482" w:type="dxa"/>
            <w:vAlign w:val="center"/>
          </w:tcPr>
          <w:p w14:paraId="48332A80">
            <w:pPr>
              <w:adjustRightInd w:val="0"/>
              <w:snapToGrid w:val="0"/>
              <w:jc w:val="center"/>
              <w:rPr>
                <w:rFonts w:eastAsiaTheme="minorEastAsia"/>
                <w:color w:val="000000"/>
                <w:sz w:val="24"/>
              </w:rPr>
            </w:pPr>
            <w:r>
              <w:rPr>
                <w:rFonts w:eastAsiaTheme="minorEastAsia"/>
                <w:color w:val="000000"/>
                <w:sz w:val="24"/>
              </w:rPr>
              <w:t>竞争性磋商文件条目号(页码)</w:t>
            </w:r>
          </w:p>
        </w:tc>
        <w:tc>
          <w:tcPr>
            <w:tcW w:w="2384" w:type="dxa"/>
            <w:vAlign w:val="center"/>
          </w:tcPr>
          <w:p w14:paraId="6DF23BF3">
            <w:pPr>
              <w:adjustRightInd w:val="0"/>
              <w:snapToGrid w:val="0"/>
              <w:jc w:val="center"/>
              <w:rPr>
                <w:rFonts w:eastAsiaTheme="minorEastAsia"/>
                <w:color w:val="000000"/>
                <w:sz w:val="24"/>
              </w:rPr>
            </w:pPr>
            <w:r>
              <w:rPr>
                <w:rFonts w:eastAsiaTheme="minorEastAsia"/>
                <w:color w:val="000000"/>
                <w:sz w:val="24"/>
              </w:rPr>
              <w:t>竞争性磋商文件要求</w:t>
            </w:r>
          </w:p>
        </w:tc>
        <w:tc>
          <w:tcPr>
            <w:tcW w:w="2126" w:type="dxa"/>
            <w:vAlign w:val="center"/>
          </w:tcPr>
          <w:p w14:paraId="00F2D61D">
            <w:pPr>
              <w:adjustRightInd w:val="0"/>
              <w:snapToGrid w:val="0"/>
              <w:jc w:val="center"/>
              <w:rPr>
                <w:rFonts w:eastAsiaTheme="minorEastAsia"/>
                <w:color w:val="000000"/>
                <w:sz w:val="24"/>
              </w:rPr>
            </w:pPr>
            <w:r>
              <w:rPr>
                <w:rFonts w:eastAsiaTheme="minorEastAsia"/>
                <w:color w:val="000000"/>
                <w:sz w:val="24"/>
              </w:rPr>
              <w:t>响应内容</w:t>
            </w:r>
          </w:p>
        </w:tc>
        <w:tc>
          <w:tcPr>
            <w:tcW w:w="1875" w:type="dxa"/>
            <w:vAlign w:val="center"/>
          </w:tcPr>
          <w:p w14:paraId="267B401D">
            <w:pPr>
              <w:adjustRightInd w:val="0"/>
              <w:snapToGrid w:val="0"/>
              <w:jc w:val="center"/>
              <w:rPr>
                <w:rFonts w:eastAsiaTheme="minorEastAsia"/>
                <w:color w:val="000000"/>
                <w:sz w:val="24"/>
              </w:rPr>
            </w:pPr>
            <w:r>
              <w:rPr>
                <w:rFonts w:eastAsiaTheme="minorEastAsia"/>
                <w:color w:val="000000"/>
                <w:sz w:val="24"/>
              </w:rPr>
              <w:t>偏离情况</w:t>
            </w:r>
          </w:p>
        </w:tc>
        <w:tc>
          <w:tcPr>
            <w:tcW w:w="1009" w:type="dxa"/>
            <w:vAlign w:val="center"/>
          </w:tcPr>
          <w:p w14:paraId="61575932">
            <w:pPr>
              <w:adjustRightInd w:val="0"/>
              <w:snapToGrid w:val="0"/>
              <w:jc w:val="center"/>
              <w:rPr>
                <w:rFonts w:eastAsiaTheme="minorEastAsia"/>
                <w:color w:val="000000"/>
                <w:sz w:val="24"/>
              </w:rPr>
            </w:pPr>
            <w:r>
              <w:rPr>
                <w:rFonts w:eastAsiaTheme="minorEastAsia"/>
                <w:color w:val="000000"/>
                <w:sz w:val="24"/>
              </w:rPr>
              <w:t>说明</w:t>
            </w:r>
          </w:p>
        </w:tc>
      </w:tr>
      <w:tr w14:paraId="2063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C233EFC">
            <w:pPr>
              <w:adjustRightInd w:val="0"/>
              <w:snapToGrid w:val="0"/>
              <w:jc w:val="center"/>
              <w:rPr>
                <w:rFonts w:eastAsiaTheme="minorEastAsia"/>
                <w:color w:val="000000"/>
                <w:sz w:val="24"/>
              </w:rPr>
            </w:pPr>
          </w:p>
        </w:tc>
        <w:tc>
          <w:tcPr>
            <w:tcW w:w="1482" w:type="dxa"/>
            <w:vAlign w:val="center"/>
          </w:tcPr>
          <w:p w14:paraId="7F34336B">
            <w:pPr>
              <w:adjustRightInd w:val="0"/>
              <w:snapToGrid w:val="0"/>
              <w:jc w:val="center"/>
              <w:rPr>
                <w:rFonts w:eastAsiaTheme="minorEastAsia"/>
                <w:color w:val="000000"/>
                <w:sz w:val="24"/>
              </w:rPr>
            </w:pPr>
          </w:p>
        </w:tc>
        <w:tc>
          <w:tcPr>
            <w:tcW w:w="2384" w:type="dxa"/>
            <w:vAlign w:val="center"/>
          </w:tcPr>
          <w:p w14:paraId="10A582F7">
            <w:pPr>
              <w:adjustRightInd w:val="0"/>
              <w:snapToGrid w:val="0"/>
              <w:jc w:val="center"/>
              <w:rPr>
                <w:rFonts w:eastAsiaTheme="minorEastAsia"/>
                <w:color w:val="000000"/>
                <w:sz w:val="24"/>
              </w:rPr>
            </w:pPr>
          </w:p>
        </w:tc>
        <w:tc>
          <w:tcPr>
            <w:tcW w:w="2126" w:type="dxa"/>
            <w:vAlign w:val="center"/>
          </w:tcPr>
          <w:p w14:paraId="389DF135">
            <w:pPr>
              <w:adjustRightInd w:val="0"/>
              <w:snapToGrid w:val="0"/>
              <w:jc w:val="center"/>
              <w:rPr>
                <w:rFonts w:eastAsiaTheme="minorEastAsia"/>
                <w:color w:val="000000"/>
                <w:sz w:val="24"/>
              </w:rPr>
            </w:pPr>
          </w:p>
        </w:tc>
        <w:tc>
          <w:tcPr>
            <w:tcW w:w="1875" w:type="dxa"/>
            <w:vAlign w:val="center"/>
          </w:tcPr>
          <w:p w14:paraId="1E3B4FEE">
            <w:pPr>
              <w:adjustRightInd w:val="0"/>
              <w:snapToGrid w:val="0"/>
              <w:jc w:val="center"/>
              <w:rPr>
                <w:rFonts w:eastAsiaTheme="minorEastAsia"/>
                <w:color w:val="000000"/>
                <w:sz w:val="24"/>
              </w:rPr>
            </w:pPr>
          </w:p>
        </w:tc>
        <w:tc>
          <w:tcPr>
            <w:tcW w:w="1009" w:type="dxa"/>
            <w:vAlign w:val="center"/>
          </w:tcPr>
          <w:p w14:paraId="6476107C">
            <w:pPr>
              <w:adjustRightInd w:val="0"/>
              <w:snapToGrid w:val="0"/>
              <w:jc w:val="center"/>
              <w:rPr>
                <w:rFonts w:eastAsiaTheme="minorEastAsia"/>
                <w:color w:val="000000"/>
                <w:sz w:val="24"/>
              </w:rPr>
            </w:pPr>
          </w:p>
        </w:tc>
      </w:tr>
      <w:tr w14:paraId="1BD88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E728DF8">
            <w:pPr>
              <w:adjustRightInd w:val="0"/>
              <w:snapToGrid w:val="0"/>
              <w:jc w:val="center"/>
              <w:rPr>
                <w:rFonts w:eastAsiaTheme="minorEastAsia"/>
                <w:color w:val="000000"/>
                <w:sz w:val="24"/>
              </w:rPr>
            </w:pPr>
          </w:p>
        </w:tc>
        <w:tc>
          <w:tcPr>
            <w:tcW w:w="1482" w:type="dxa"/>
            <w:vAlign w:val="center"/>
          </w:tcPr>
          <w:p w14:paraId="2BBD2F13">
            <w:pPr>
              <w:adjustRightInd w:val="0"/>
              <w:snapToGrid w:val="0"/>
              <w:jc w:val="center"/>
              <w:rPr>
                <w:rFonts w:eastAsiaTheme="minorEastAsia"/>
                <w:color w:val="000000"/>
                <w:sz w:val="24"/>
              </w:rPr>
            </w:pPr>
          </w:p>
        </w:tc>
        <w:tc>
          <w:tcPr>
            <w:tcW w:w="2384" w:type="dxa"/>
            <w:vAlign w:val="center"/>
          </w:tcPr>
          <w:p w14:paraId="13C3A66D">
            <w:pPr>
              <w:adjustRightInd w:val="0"/>
              <w:snapToGrid w:val="0"/>
              <w:jc w:val="center"/>
              <w:rPr>
                <w:rFonts w:eastAsiaTheme="minorEastAsia"/>
                <w:color w:val="000000"/>
                <w:sz w:val="24"/>
              </w:rPr>
            </w:pPr>
          </w:p>
        </w:tc>
        <w:tc>
          <w:tcPr>
            <w:tcW w:w="2126" w:type="dxa"/>
            <w:vAlign w:val="center"/>
          </w:tcPr>
          <w:p w14:paraId="53D451C1">
            <w:pPr>
              <w:adjustRightInd w:val="0"/>
              <w:snapToGrid w:val="0"/>
              <w:jc w:val="center"/>
              <w:rPr>
                <w:rFonts w:eastAsiaTheme="minorEastAsia"/>
                <w:color w:val="000000"/>
                <w:sz w:val="24"/>
              </w:rPr>
            </w:pPr>
          </w:p>
        </w:tc>
        <w:tc>
          <w:tcPr>
            <w:tcW w:w="1875" w:type="dxa"/>
            <w:vAlign w:val="center"/>
          </w:tcPr>
          <w:p w14:paraId="13512EC2">
            <w:pPr>
              <w:adjustRightInd w:val="0"/>
              <w:snapToGrid w:val="0"/>
              <w:jc w:val="center"/>
              <w:rPr>
                <w:rFonts w:eastAsiaTheme="minorEastAsia"/>
                <w:color w:val="000000"/>
                <w:sz w:val="24"/>
              </w:rPr>
            </w:pPr>
          </w:p>
        </w:tc>
        <w:tc>
          <w:tcPr>
            <w:tcW w:w="1009" w:type="dxa"/>
            <w:vAlign w:val="center"/>
          </w:tcPr>
          <w:p w14:paraId="2C7B938E">
            <w:pPr>
              <w:adjustRightInd w:val="0"/>
              <w:snapToGrid w:val="0"/>
              <w:jc w:val="center"/>
              <w:rPr>
                <w:rFonts w:eastAsiaTheme="minorEastAsia"/>
                <w:color w:val="000000"/>
                <w:sz w:val="24"/>
              </w:rPr>
            </w:pPr>
          </w:p>
        </w:tc>
      </w:tr>
      <w:tr w14:paraId="366C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CFC4F02">
            <w:pPr>
              <w:adjustRightInd w:val="0"/>
              <w:snapToGrid w:val="0"/>
              <w:jc w:val="center"/>
              <w:rPr>
                <w:rFonts w:eastAsiaTheme="minorEastAsia"/>
                <w:color w:val="000000"/>
                <w:sz w:val="24"/>
              </w:rPr>
            </w:pPr>
          </w:p>
        </w:tc>
        <w:tc>
          <w:tcPr>
            <w:tcW w:w="1482" w:type="dxa"/>
            <w:vAlign w:val="center"/>
          </w:tcPr>
          <w:p w14:paraId="566FF73C">
            <w:pPr>
              <w:adjustRightInd w:val="0"/>
              <w:snapToGrid w:val="0"/>
              <w:jc w:val="center"/>
              <w:rPr>
                <w:rFonts w:eastAsiaTheme="minorEastAsia"/>
                <w:color w:val="000000"/>
                <w:sz w:val="24"/>
              </w:rPr>
            </w:pPr>
          </w:p>
        </w:tc>
        <w:tc>
          <w:tcPr>
            <w:tcW w:w="2384" w:type="dxa"/>
            <w:vAlign w:val="center"/>
          </w:tcPr>
          <w:p w14:paraId="206CAE23">
            <w:pPr>
              <w:adjustRightInd w:val="0"/>
              <w:snapToGrid w:val="0"/>
              <w:jc w:val="center"/>
              <w:rPr>
                <w:rFonts w:eastAsiaTheme="minorEastAsia"/>
                <w:color w:val="000000"/>
                <w:sz w:val="24"/>
              </w:rPr>
            </w:pPr>
          </w:p>
        </w:tc>
        <w:tc>
          <w:tcPr>
            <w:tcW w:w="2126" w:type="dxa"/>
            <w:vAlign w:val="center"/>
          </w:tcPr>
          <w:p w14:paraId="0461396E">
            <w:pPr>
              <w:adjustRightInd w:val="0"/>
              <w:snapToGrid w:val="0"/>
              <w:jc w:val="center"/>
              <w:rPr>
                <w:rFonts w:eastAsiaTheme="minorEastAsia"/>
                <w:color w:val="000000"/>
                <w:sz w:val="24"/>
              </w:rPr>
            </w:pPr>
          </w:p>
        </w:tc>
        <w:tc>
          <w:tcPr>
            <w:tcW w:w="1875" w:type="dxa"/>
            <w:vAlign w:val="center"/>
          </w:tcPr>
          <w:p w14:paraId="20E4D3BB">
            <w:pPr>
              <w:adjustRightInd w:val="0"/>
              <w:snapToGrid w:val="0"/>
              <w:jc w:val="center"/>
              <w:rPr>
                <w:rFonts w:eastAsiaTheme="minorEastAsia"/>
                <w:color w:val="000000"/>
                <w:sz w:val="24"/>
              </w:rPr>
            </w:pPr>
          </w:p>
        </w:tc>
        <w:tc>
          <w:tcPr>
            <w:tcW w:w="1009" w:type="dxa"/>
            <w:vAlign w:val="center"/>
          </w:tcPr>
          <w:p w14:paraId="059B6B34">
            <w:pPr>
              <w:adjustRightInd w:val="0"/>
              <w:snapToGrid w:val="0"/>
              <w:jc w:val="center"/>
              <w:rPr>
                <w:rFonts w:eastAsiaTheme="minorEastAsia"/>
                <w:color w:val="000000"/>
                <w:sz w:val="24"/>
              </w:rPr>
            </w:pPr>
          </w:p>
        </w:tc>
      </w:tr>
      <w:tr w14:paraId="7DDD4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5F35491">
            <w:pPr>
              <w:adjustRightInd w:val="0"/>
              <w:snapToGrid w:val="0"/>
              <w:jc w:val="center"/>
              <w:rPr>
                <w:rFonts w:eastAsiaTheme="minorEastAsia"/>
                <w:color w:val="000000"/>
                <w:sz w:val="24"/>
              </w:rPr>
            </w:pPr>
          </w:p>
        </w:tc>
        <w:tc>
          <w:tcPr>
            <w:tcW w:w="1482" w:type="dxa"/>
            <w:vAlign w:val="center"/>
          </w:tcPr>
          <w:p w14:paraId="130042DA">
            <w:pPr>
              <w:adjustRightInd w:val="0"/>
              <w:snapToGrid w:val="0"/>
              <w:jc w:val="center"/>
              <w:rPr>
                <w:rFonts w:eastAsiaTheme="minorEastAsia"/>
                <w:color w:val="000000"/>
                <w:sz w:val="24"/>
              </w:rPr>
            </w:pPr>
          </w:p>
        </w:tc>
        <w:tc>
          <w:tcPr>
            <w:tcW w:w="2384" w:type="dxa"/>
            <w:vAlign w:val="center"/>
          </w:tcPr>
          <w:p w14:paraId="0C11688F">
            <w:pPr>
              <w:adjustRightInd w:val="0"/>
              <w:snapToGrid w:val="0"/>
              <w:jc w:val="center"/>
              <w:rPr>
                <w:rFonts w:eastAsiaTheme="minorEastAsia"/>
                <w:color w:val="000000"/>
                <w:sz w:val="24"/>
              </w:rPr>
            </w:pPr>
          </w:p>
        </w:tc>
        <w:tc>
          <w:tcPr>
            <w:tcW w:w="2126" w:type="dxa"/>
            <w:vAlign w:val="center"/>
          </w:tcPr>
          <w:p w14:paraId="12E4F4BE">
            <w:pPr>
              <w:adjustRightInd w:val="0"/>
              <w:snapToGrid w:val="0"/>
              <w:jc w:val="center"/>
              <w:rPr>
                <w:rFonts w:eastAsiaTheme="minorEastAsia"/>
                <w:color w:val="000000"/>
                <w:sz w:val="24"/>
              </w:rPr>
            </w:pPr>
          </w:p>
        </w:tc>
        <w:tc>
          <w:tcPr>
            <w:tcW w:w="1875" w:type="dxa"/>
            <w:vAlign w:val="center"/>
          </w:tcPr>
          <w:p w14:paraId="748DD8BD">
            <w:pPr>
              <w:adjustRightInd w:val="0"/>
              <w:snapToGrid w:val="0"/>
              <w:jc w:val="center"/>
              <w:rPr>
                <w:rFonts w:eastAsiaTheme="minorEastAsia"/>
                <w:color w:val="000000"/>
                <w:sz w:val="24"/>
              </w:rPr>
            </w:pPr>
          </w:p>
        </w:tc>
        <w:tc>
          <w:tcPr>
            <w:tcW w:w="1009" w:type="dxa"/>
            <w:vAlign w:val="center"/>
          </w:tcPr>
          <w:p w14:paraId="00C0C1F3">
            <w:pPr>
              <w:adjustRightInd w:val="0"/>
              <w:snapToGrid w:val="0"/>
              <w:jc w:val="center"/>
              <w:rPr>
                <w:rFonts w:eastAsiaTheme="minorEastAsia"/>
                <w:color w:val="000000"/>
                <w:sz w:val="24"/>
              </w:rPr>
            </w:pPr>
          </w:p>
        </w:tc>
      </w:tr>
      <w:tr w14:paraId="4B6EA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C20C468">
            <w:pPr>
              <w:adjustRightInd w:val="0"/>
              <w:snapToGrid w:val="0"/>
              <w:jc w:val="center"/>
              <w:rPr>
                <w:rFonts w:eastAsiaTheme="minorEastAsia"/>
                <w:color w:val="000000"/>
                <w:sz w:val="24"/>
              </w:rPr>
            </w:pPr>
          </w:p>
        </w:tc>
        <w:tc>
          <w:tcPr>
            <w:tcW w:w="1482" w:type="dxa"/>
            <w:vAlign w:val="center"/>
          </w:tcPr>
          <w:p w14:paraId="001B9D55">
            <w:pPr>
              <w:adjustRightInd w:val="0"/>
              <w:snapToGrid w:val="0"/>
              <w:jc w:val="center"/>
              <w:rPr>
                <w:rFonts w:eastAsiaTheme="minorEastAsia"/>
                <w:color w:val="000000"/>
                <w:sz w:val="24"/>
              </w:rPr>
            </w:pPr>
          </w:p>
        </w:tc>
        <w:tc>
          <w:tcPr>
            <w:tcW w:w="2384" w:type="dxa"/>
            <w:vAlign w:val="center"/>
          </w:tcPr>
          <w:p w14:paraId="3E6F674C">
            <w:pPr>
              <w:adjustRightInd w:val="0"/>
              <w:snapToGrid w:val="0"/>
              <w:jc w:val="center"/>
              <w:rPr>
                <w:rFonts w:eastAsiaTheme="minorEastAsia"/>
                <w:color w:val="000000"/>
                <w:sz w:val="24"/>
              </w:rPr>
            </w:pPr>
          </w:p>
        </w:tc>
        <w:tc>
          <w:tcPr>
            <w:tcW w:w="2126" w:type="dxa"/>
            <w:vAlign w:val="center"/>
          </w:tcPr>
          <w:p w14:paraId="52DAA8E6">
            <w:pPr>
              <w:adjustRightInd w:val="0"/>
              <w:snapToGrid w:val="0"/>
              <w:jc w:val="center"/>
              <w:rPr>
                <w:rFonts w:eastAsiaTheme="minorEastAsia"/>
                <w:color w:val="000000"/>
                <w:sz w:val="24"/>
              </w:rPr>
            </w:pPr>
          </w:p>
        </w:tc>
        <w:tc>
          <w:tcPr>
            <w:tcW w:w="1875" w:type="dxa"/>
            <w:vAlign w:val="center"/>
          </w:tcPr>
          <w:p w14:paraId="298E6310">
            <w:pPr>
              <w:adjustRightInd w:val="0"/>
              <w:snapToGrid w:val="0"/>
              <w:jc w:val="center"/>
              <w:rPr>
                <w:rFonts w:eastAsiaTheme="minorEastAsia"/>
                <w:color w:val="000000"/>
                <w:sz w:val="24"/>
              </w:rPr>
            </w:pPr>
          </w:p>
        </w:tc>
        <w:tc>
          <w:tcPr>
            <w:tcW w:w="1009" w:type="dxa"/>
            <w:vAlign w:val="center"/>
          </w:tcPr>
          <w:p w14:paraId="567B18AE">
            <w:pPr>
              <w:adjustRightInd w:val="0"/>
              <w:snapToGrid w:val="0"/>
              <w:jc w:val="center"/>
              <w:rPr>
                <w:rFonts w:eastAsiaTheme="minorEastAsia"/>
                <w:color w:val="000000"/>
                <w:sz w:val="24"/>
              </w:rPr>
            </w:pPr>
          </w:p>
        </w:tc>
      </w:tr>
      <w:tr w14:paraId="2DFDF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F7F4CBA">
            <w:pPr>
              <w:adjustRightInd w:val="0"/>
              <w:snapToGrid w:val="0"/>
              <w:jc w:val="center"/>
              <w:rPr>
                <w:rFonts w:eastAsiaTheme="minorEastAsia"/>
                <w:color w:val="000000"/>
                <w:sz w:val="24"/>
              </w:rPr>
            </w:pPr>
          </w:p>
        </w:tc>
        <w:tc>
          <w:tcPr>
            <w:tcW w:w="1482" w:type="dxa"/>
            <w:vAlign w:val="center"/>
          </w:tcPr>
          <w:p w14:paraId="01AF73C2">
            <w:pPr>
              <w:adjustRightInd w:val="0"/>
              <w:snapToGrid w:val="0"/>
              <w:jc w:val="center"/>
              <w:rPr>
                <w:rFonts w:eastAsiaTheme="minorEastAsia"/>
                <w:color w:val="000000"/>
                <w:sz w:val="24"/>
              </w:rPr>
            </w:pPr>
          </w:p>
        </w:tc>
        <w:tc>
          <w:tcPr>
            <w:tcW w:w="2384" w:type="dxa"/>
            <w:vAlign w:val="center"/>
          </w:tcPr>
          <w:p w14:paraId="42F89A71">
            <w:pPr>
              <w:adjustRightInd w:val="0"/>
              <w:snapToGrid w:val="0"/>
              <w:jc w:val="center"/>
              <w:rPr>
                <w:rFonts w:eastAsiaTheme="minorEastAsia"/>
                <w:color w:val="000000"/>
                <w:sz w:val="24"/>
              </w:rPr>
            </w:pPr>
          </w:p>
        </w:tc>
        <w:tc>
          <w:tcPr>
            <w:tcW w:w="2126" w:type="dxa"/>
            <w:vAlign w:val="center"/>
          </w:tcPr>
          <w:p w14:paraId="5649A709">
            <w:pPr>
              <w:adjustRightInd w:val="0"/>
              <w:snapToGrid w:val="0"/>
              <w:jc w:val="center"/>
              <w:rPr>
                <w:rFonts w:eastAsiaTheme="minorEastAsia"/>
                <w:color w:val="000000"/>
                <w:sz w:val="24"/>
              </w:rPr>
            </w:pPr>
          </w:p>
        </w:tc>
        <w:tc>
          <w:tcPr>
            <w:tcW w:w="1875" w:type="dxa"/>
            <w:vAlign w:val="center"/>
          </w:tcPr>
          <w:p w14:paraId="6299E7C6">
            <w:pPr>
              <w:adjustRightInd w:val="0"/>
              <w:snapToGrid w:val="0"/>
              <w:jc w:val="center"/>
              <w:rPr>
                <w:rFonts w:eastAsiaTheme="minorEastAsia"/>
                <w:color w:val="000000"/>
                <w:sz w:val="24"/>
              </w:rPr>
            </w:pPr>
          </w:p>
        </w:tc>
        <w:tc>
          <w:tcPr>
            <w:tcW w:w="1009" w:type="dxa"/>
            <w:vAlign w:val="center"/>
          </w:tcPr>
          <w:p w14:paraId="455D7929">
            <w:pPr>
              <w:adjustRightInd w:val="0"/>
              <w:snapToGrid w:val="0"/>
              <w:jc w:val="center"/>
              <w:rPr>
                <w:rFonts w:eastAsiaTheme="minorEastAsia"/>
                <w:color w:val="000000"/>
                <w:sz w:val="24"/>
              </w:rPr>
            </w:pPr>
          </w:p>
        </w:tc>
      </w:tr>
    </w:tbl>
    <w:p w14:paraId="033CDC4F">
      <w:pPr>
        <w:tabs>
          <w:tab w:val="left" w:pos="1800"/>
          <w:tab w:val="left" w:pos="5580"/>
        </w:tabs>
        <w:spacing w:line="360" w:lineRule="auto"/>
        <w:ind w:firstLine="360" w:firstLineChars="150"/>
        <w:jc w:val="left"/>
        <w:rPr>
          <w:rFonts w:eastAsiaTheme="minorEastAsia"/>
          <w:color w:val="000000"/>
          <w:sz w:val="24"/>
          <w:u w:val="single"/>
        </w:rPr>
      </w:pPr>
    </w:p>
    <w:p w14:paraId="50DC6E28">
      <w:pPr>
        <w:tabs>
          <w:tab w:val="left" w:pos="1800"/>
          <w:tab w:val="left" w:pos="5580"/>
        </w:tabs>
        <w:spacing w:line="360" w:lineRule="auto"/>
        <w:ind w:firstLine="360" w:firstLineChars="150"/>
        <w:jc w:val="left"/>
        <w:rPr>
          <w:rFonts w:eastAsiaTheme="minorEastAsia"/>
          <w:color w:val="000000"/>
          <w:sz w:val="24"/>
          <w:u w:val="single"/>
        </w:rPr>
      </w:pPr>
    </w:p>
    <w:p w14:paraId="59714B49">
      <w:pPr>
        <w:tabs>
          <w:tab w:val="left" w:pos="1800"/>
          <w:tab w:val="left" w:pos="5580"/>
        </w:tabs>
        <w:jc w:val="left"/>
        <w:rPr>
          <w:rFonts w:eastAsiaTheme="minorEastAsia"/>
          <w:color w:val="000000"/>
          <w:sz w:val="24"/>
        </w:rPr>
      </w:pPr>
      <w:r>
        <w:rPr>
          <w:rFonts w:eastAsiaTheme="minorEastAsia"/>
          <w:color w:val="000000"/>
          <w:sz w:val="24"/>
        </w:rPr>
        <w:t>注：</w:t>
      </w:r>
    </w:p>
    <w:p w14:paraId="337ADBDC">
      <w:pPr>
        <w:tabs>
          <w:tab w:val="left" w:pos="1800"/>
          <w:tab w:val="left" w:pos="5580"/>
        </w:tabs>
        <w:jc w:val="left"/>
        <w:rPr>
          <w:rFonts w:eastAsiaTheme="minorEastAsia"/>
          <w:sz w:val="24"/>
        </w:rPr>
      </w:pPr>
      <w:r>
        <w:rPr>
          <w:rFonts w:eastAsiaTheme="minorEastAsia"/>
          <w:color w:val="000000"/>
          <w:sz w:val="24"/>
        </w:rPr>
        <w:t xml:space="preserve">1. </w:t>
      </w:r>
      <w:r>
        <w:rPr>
          <w:rFonts w:eastAsiaTheme="minorEastAsia"/>
          <w:sz w:val="24"/>
        </w:rPr>
        <w:t>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14:paraId="0C75F308">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0B5163E9">
      <w:pPr>
        <w:tabs>
          <w:tab w:val="left" w:pos="1800"/>
          <w:tab w:val="left" w:pos="5580"/>
        </w:tabs>
        <w:jc w:val="left"/>
        <w:rPr>
          <w:rFonts w:eastAsiaTheme="minorEastAsia"/>
          <w:color w:val="000000"/>
          <w:sz w:val="24"/>
        </w:rPr>
      </w:pPr>
    </w:p>
    <w:p w14:paraId="4C72A514">
      <w:pPr>
        <w:rPr>
          <w:rFonts w:eastAsiaTheme="minorEastAsia"/>
          <w:color w:val="000000"/>
          <w:sz w:val="24"/>
          <w:szCs w:val="20"/>
        </w:rPr>
      </w:pPr>
    </w:p>
    <w:p w14:paraId="514A9652">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489D3146">
      <w:pPr>
        <w:autoSpaceDE w:val="0"/>
        <w:autoSpaceDN w:val="0"/>
        <w:adjustRightInd w:val="0"/>
        <w:snapToGrid w:val="0"/>
        <w:spacing w:before="25" w:after="25" w:line="360" w:lineRule="auto"/>
        <w:ind w:right="360"/>
        <w:jc w:val="left"/>
        <w:rPr>
          <w:rFonts w:eastAsiaTheme="minorEastAsia"/>
          <w:color w:val="000000"/>
          <w:sz w:val="24"/>
          <w:szCs w:val="20"/>
        </w:rPr>
      </w:pPr>
      <w:r>
        <w:rPr>
          <w:rFonts w:eastAsiaTheme="minorEastAsia"/>
          <w:color w:val="000000"/>
          <w:sz w:val="24"/>
          <w:szCs w:val="20"/>
        </w:rPr>
        <w:t xml:space="preserve">日期：____年____月____日 </w:t>
      </w:r>
    </w:p>
    <w:p w14:paraId="2880330E">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hint="eastAsia" w:eastAsiaTheme="minorEastAsia"/>
          <w:sz w:val="24"/>
          <w:lang w:val="en-US" w:eastAsia="zh-CN"/>
        </w:rPr>
        <w:t>10</w:t>
      </w:r>
      <w:r>
        <w:rPr>
          <w:rFonts w:eastAsiaTheme="minorEastAsia"/>
          <w:sz w:val="24"/>
        </w:rPr>
        <w:t xml:space="preserve">  竞争性磋商文件要求提供或供应商认为应附的其他材料</w:t>
      </w:r>
    </w:p>
    <w:p w14:paraId="59335608">
      <w:pPr>
        <w:widowControl/>
        <w:jc w:val="left"/>
        <w:rPr>
          <w:rFonts w:eastAsiaTheme="minorEastAsia"/>
          <w:b/>
          <w:sz w:val="36"/>
          <w:szCs w:val="36"/>
        </w:rPr>
      </w:pPr>
    </w:p>
    <w:p w14:paraId="48B97C9A">
      <w:pPr>
        <w:widowControl/>
        <w:jc w:val="left"/>
        <w:rPr>
          <w:color w:val="000000"/>
          <w:sz w:val="24"/>
          <w:szCs w:val="20"/>
        </w:rPr>
      </w:pPr>
      <w:bookmarkStart w:id="1313" w:name="_Hlk167094858"/>
      <w:r>
        <w:rPr>
          <w:rFonts w:hint="eastAsia"/>
          <w:color w:val="000000"/>
          <w:sz w:val="24"/>
          <w:szCs w:val="20"/>
        </w:rPr>
        <w:t>1</w:t>
      </w:r>
      <w:r>
        <w:rPr>
          <w:rFonts w:hint="eastAsia"/>
          <w:color w:val="000000"/>
          <w:sz w:val="24"/>
          <w:szCs w:val="20"/>
          <w:lang w:val="en-US" w:eastAsia="zh-CN"/>
        </w:rPr>
        <w:t>0</w:t>
      </w:r>
      <w:r>
        <w:rPr>
          <w:color w:val="000000"/>
          <w:sz w:val="24"/>
          <w:szCs w:val="20"/>
        </w:rPr>
        <w:t>-1</w:t>
      </w:r>
      <w:r>
        <w:rPr>
          <w:rFonts w:hint="eastAsia"/>
          <w:color w:val="000000"/>
          <w:sz w:val="24"/>
          <w:szCs w:val="20"/>
        </w:rPr>
        <w:t>供应商信息采集表</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404C8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0EEDF36B">
            <w:pPr>
              <w:rPr>
                <w:sz w:val="24"/>
              </w:rPr>
            </w:pPr>
            <w:r>
              <w:rPr>
                <w:rFonts w:hint="eastAsia"/>
                <w:sz w:val="24"/>
              </w:rPr>
              <w:t>供应商名称</w:t>
            </w:r>
          </w:p>
        </w:tc>
        <w:tc>
          <w:tcPr>
            <w:tcW w:w="1667" w:type="pct"/>
          </w:tcPr>
          <w:p w14:paraId="59A010AF">
            <w:pPr>
              <w:rPr>
                <w:sz w:val="24"/>
              </w:rPr>
            </w:pPr>
            <w:r>
              <w:rPr>
                <w:rFonts w:hint="eastAsia"/>
                <w:sz w:val="24"/>
              </w:rPr>
              <w:t>供应商所属性别</w:t>
            </w:r>
          </w:p>
        </w:tc>
        <w:tc>
          <w:tcPr>
            <w:tcW w:w="1667" w:type="pct"/>
          </w:tcPr>
          <w:p w14:paraId="6CACE7FB">
            <w:pPr>
              <w:rPr>
                <w:sz w:val="24"/>
              </w:rPr>
            </w:pPr>
            <w:r>
              <w:rPr>
                <w:rFonts w:hint="eastAsia"/>
                <w:sz w:val="24"/>
              </w:rPr>
              <w:t>外商投资类型</w:t>
            </w:r>
          </w:p>
        </w:tc>
      </w:tr>
      <w:tr w14:paraId="30229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52559881">
            <w:pPr>
              <w:rPr>
                <w:sz w:val="24"/>
              </w:rPr>
            </w:pPr>
          </w:p>
        </w:tc>
        <w:tc>
          <w:tcPr>
            <w:tcW w:w="1667" w:type="pct"/>
          </w:tcPr>
          <w:p w14:paraId="38C878E9">
            <w:pPr>
              <w:rPr>
                <w:sz w:val="24"/>
              </w:rPr>
            </w:pPr>
          </w:p>
        </w:tc>
        <w:tc>
          <w:tcPr>
            <w:tcW w:w="1667" w:type="pct"/>
          </w:tcPr>
          <w:p w14:paraId="7DD359A2">
            <w:pPr>
              <w:rPr>
                <w:sz w:val="24"/>
              </w:rPr>
            </w:pPr>
          </w:p>
        </w:tc>
      </w:tr>
      <w:tr w14:paraId="2B0DB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3A1FFE64"/>
        </w:tc>
        <w:tc>
          <w:tcPr>
            <w:tcW w:w="1667" w:type="pct"/>
          </w:tcPr>
          <w:p w14:paraId="786F0250"/>
        </w:tc>
        <w:tc>
          <w:tcPr>
            <w:tcW w:w="1667" w:type="pct"/>
          </w:tcPr>
          <w:p w14:paraId="55B8BBE9"/>
        </w:tc>
      </w:tr>
      <w:tr w14:paraId="43909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47F62A5B"/>
        </w:tc>
        <w:tc>
          <w:tcPr>
            <w:tcW w:w="1667" w:type="pct"/>
          </w:tcPr>
          <w:p w14:paraId="49C3C664"/>
        </w:tc>
        <w:tc>
          <w:tcPr>
            <w:tcW w:w="1667" w:type="pct"/>
          </w:tcPr>
          <w:p w14:paraId="769EC24A"/>
        </w:tc>
      </w:tr>
      <w:tr w14:paraId="77F0E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1D84FA72"/>
        </w:tc>
        <w:tc>
          <w:tcPr>
            <w:tcW w:w="1667" w:type="pct"/>
          </w:tcPr>
          <w:p w14:paraId="1188B33F"/>
        </w:tc>
        <w:tc>
          <w:tcPr>
            <w:tcW w:w="1667" w:type="pct"/>
          </w:tcPr>
          <w:p w14:paraId="44512478"/>
        </w:tc>
      </w:tr>
    </w:tbl>
    <w:p w14:paraId="70A833F3">
      <w:pPr>
        <w:tabs>
          <w:tab w:val="left" w:pos="1800"/>
          <w:tab w:val="left" w:pos="5580"/>
        </w:tabs>
        <w:jc w:val="left"/>
        <w:rPr>
          <w:color w:val="000000"/>
          <w:sz w:val="24"/>
        </w:rPr>
      </w:pPr>
      <w:r>
        <w:rPr>
          <w:rFonts w:hint="eastAsia"/>
          <w:color w:val="000000"/>
          <w:sz w:val="24"/>
        </w:rPr>
        <w:t>注：1.供应商如为联合体，则应填写联合体各成员信息。</w:t>
      </w:r>
    </w:p>
    <w:p w14:paraId="7FDDE9D5">
      <w:pPr>
        <w:tabs>
          <w:tab w:val="left" w:pos="1800"/>
          <w:tab w:val="left" w:pos="5580"/>
        </w:tabs>
        <w:ind w:firstLine="480" w:firstLineChars="200"/>
        <w:jc w:val="left"/>
        <w:rPr>
          <w:color w:val="000000"/>
          <w:sz w:val="24"/>
        </w:rPr>
      </w:pPr>
      <w:r>
        <w:rPr>
          <w:rFonts w:hint="eastAsia"/>
          <w:color w:val="000000"/>
          <w:sz w:val="24"/>
        </w:rPr>
        <w:t>2.供应商所属性别请填写“男”或“女”，指拥有供应商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14:paraId="7F609A9E">
      <w:pPr>
        <w:tabs>
          <w:tab w:val="left" w:pos="1800"/>
          <w:tab w:val="left" w:pos="5580"/>
        </w:tabs>
        <w:ind w:firstLine="480" w:firstLineChars="200"/>
        <w:jc w:val="left"/>
        <w:rPr>
          <w:color w:val="000000"/>
          <w:sz w:val="24"/>
        </w:rPr>
      </w:pPr>
      <w:r>
        <w:rPr>
          <w:rFonts w:hint="eastAsia"/>
          <w:color w:val="000000"/>
          <w:sz w:val="24"/>
        </w:rPr>
        <w:t>3.外商投资类型请填写“外商单独投资”、“外商部分投资”或“内资”。</w:t>
      </w:r>
    </w:p>
    <w:bookmarkEnd w:id="1313"/>
    <w:p w14:paraId="655A55EB">
      <w:pPr>
        <w:widowControl/>
        <w:jc w:val="left"/>
        <w:rPr>
          <w:rFonts w:eastAsiaTheme="minorEastAsia"/>
          <w:b/>
          <w:sz w:val="36"/>
          <w:szCs w:val="36"/>
        </w:rPr>
      </w:pPr>
      <w:r>
        <w:rPr>
          <w:rFonts w:eastAsiaTheme="minorEastAsia"/>
          <w:b/>
          <w:sz w:val="36"/>
          <w:szCs w:val="36"/>
        </w:rPr>
        <w:br w:type="page"/>
      </w:r>
    </w:p>
    <w:p w14:paraId="41A3A9DA">
      <w:pPr>
        <w:tabs>
          <w:tab w:val="left" w:pos="360"/>
        </w:tabs>
        <w:snapToGrid w:val="0"/>
        <w:spacing w:line="360" w:lineRule="auto"/>
        <w:outlineLvl w:val="1"/>
        <w:rPr>
          <w:rFonts w:eastAsiaTheme="minorEastAsia"/>
          <w:sz w:val="24"/>
        </w:rPr>
      </w:pPr>
      <w:r>
        <w:rPr>
          <w:rFonts w:eastAsiaTheme="minorEastAsia"/>
          <w:sz w:val="24"/>
        </w:rPr>
        <w:t>1</w:t>
      </w:r>
      <w:r>
        <w:rPr>
          <w:rFonts w:hint="eastAsia" w:eastAsiaTheme="minorEastAsia"/>
          <w:sz w:val="24"/>
          <w:lang w:val="en-US" w:eastAsia="zh-CN"/>
        </w:rPr>
        <w:t>1</w:t>
      </w:r>
      <w:r>
        <w:rPr>
          <w:rFonts w:eastAsiaTheme="minorEastAsia"/>
          <w:sz w:val="24"/>
        </w:rPr>
        <w:t xml:space="preserve">  最后报价一览表（实质性格式，磋商后提交）</w:t>
      </w:r>
    </w:p>
    <w:p w14:paraId="72492316">
      <w:pPr>
        <w:widowControl/>
        <w:jc w:val="left"/>
        <w:rPr>
          <w:rFonts w:eastAsiaTheme="minorEastAsia"/>
          <w:kern w:val="0"/>
          <w:sz w:val="24"/>
          <w:szCs w:val="20"/>
        </w:rPr>
      </w:pPr>
    </w:p>
    <w:p w14:paraId="1F3CF4F4">
      <w:pPr>
        <w:spacing w:line="360" w:lineRule="exact"/>
        <w:ind w:firstLine="720"/>
        <w:jc w:val="center"/>
        <w:rPr>
          <w:rFonts w:eastAsiaTheme="minorEastAsia"/>
          <w:b/>
          <w:color w:val="000000"/>
          <w:sz w:val="36"/>
          <w:szCs w:val="36"/>
        </w:rPr>
      </w:pPr>
      <w:r>
        <w:rPr>
          <w:rFonts w:eastAsiaTheme="minorEastAsia"/>
          <w:b/>
          <w:color w:val="000000"/>
          <w:sz w:val="36"/>
          <w:szCs w:val="36"/>
        </w:rPr>
        <w:t>最后报价一览表</w:t>
      </w:r>
    </w:p>
    <w:p w14:paraId="008DF9A7">
      <w:pPr>
        <w:tabs>
          <w:tab w:val="left" w:pos="1800"/>
          <w:tab w:val="left" w:pos="5580"/>
        </w:tabs>
        <w:spacing w:line="360" w:lineRule="auto"/>
        <w:jc w:val="left"/>
        <w:rPr>
          <w:rFonts w:eastAsiaTheme="minorEastAsia"/>
          <w:color w:val="000000"/>
          <w:sz w:val="24"/>
        </w:rPr>
      </w:pPr>
    </w:p>
    <w:p w14:paraId="570D405A">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2"/>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14:paraId="6831B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1A5CBCD9">
            <w:pPr>
              <w:tabs>
                <w:tab w:val="left" w:pos="5580"/>
              </w:tabs>
              <w:jc w:val="center"/>
              <w:rPr>
                <w:rFonts w:eastAsiaTheme="minorEastAsia"/>
                <w:b/>
                <w:sz w:val="24"/>
              </w:rPr>
            </w:pPr>
            <w:r>
              <w:rPr>
                <w:rFonts w:eastAsiaTheme="minorEastAsia"/>
                <w:b/>
                <w:sz w:val="24"/>
              </w:rPr>
              <w:t>序号</w:t>
            </w:r>
          </w:p>
        </w:tc>
        <w:tc>
          <w:tcPr>
            <w:tcW w:w="1498" w:type="pct"/>
            <w:vMerge w:val="restart"/>
            <w:vAlign w:val="center"/>
          </w:tcPr>
          <w:p w14:paraId="72C58F18">
            <w:pPr>
              <w:tabs>
                <w:tab w:val="left" w:pos="5580"/>
              </w:tabs>
              <w:jc w:val="center"/>
              <w:rPr>
                <w:rFonts w:eastAsiaTheme="minorEastAsia"/>
                <w:b/>
                <w:sz w:val="24"/>
              </w:rPr>
            </w:pPr>
            <w:r>
              <w:rPr>
                <w:rFonts w:eastAsiaTheme="minorEastAsia"/>
                <w:b/>
                <w:sz w:val="24"/>
              </w:rPr>
              <w:t>供应商名称</w:t>
            </w:r>
          </w:p>
        </w:tc>
        <w:tc>
          <w:tcPr>
            <w:tcW w:w="2106" w:type="pct"/>
            <w:gridSpan w:val="2"/>
            <w:vAlign w:val="center"/>
          </w:tcPr>
          <w:p w14:paraId="200F89C0">
            <w:pPr>
              <w:tabs>
                <w:tab w:val="left" w:pos="5580"/>
              </w:tabs>
              <w:jc w:val="center"/>
              <w:rPr>
                <w:rFonts w:eastAsiaTheme="minorEastAsia"/>
                <w:b/>
                <w:sz w:val="24"/>
              </w:rPr>
            </w:pPr>
            <w:r>
              <w:rPr>
                <w:rFonts w:eastAsiaTheme="minorEastAsia"/>
                <w:b/>
                <w:sz w:val="24"/>
              </w:rPr>
              <w:t>最后报价</w:t>
            </w:r>
          </w:p>
        </w:tc>
        <w:tc>
          <w:tcPr>
            <w:tcW w:w="949" w:type="pct"/>
            <w:vMerge w:val="restart"/>
            <w:vAlign w:val="center"/>
          </w:tcPr>
          <w:p w14:paraId="7F766614">
            <w:pPr>
              <w:tabs>
                <w:tab w:val="left" w:pos="5580"/>
              </w:tabs>
              <w:jc w:val="center"/>
              <w:rPr>
                <w:rFonts w:eastAsiaTheme="minorEastAsia"/>
                <w:b/>
                <w:sz w:val="24"/>
              </w:rPr>
            </w:pPr>
            <w:r>
              <w:rPr>
                <w:rFonts w:eastAsiaTheme="minorEastAsia"/>
                <w:b/>
                <w:sz w:val="24"/>
              </w:rPr>
              <w:t>其他</w:t>
            </w:r>
          </w:p>
          <w:p w14:paraId="7C37151B">
            <w:pPr>
              <w:tabs>
                <w:tab w:val="left" w:pos="5580"/>
              </w:tabs>
              <w:jc w:val="center"/>
              <w:rPr>
                <w:rFonts w:eastAsiaTheme="minorEastAsia"/>
                <w:b/>
                <w:sz w:val="24"/>
              </w:rPr>
            </w:pPr>
            <w:r>
              <w:rPr>
                <w:rFonts w:eastAsiaTheme="minorEastAsia"/>
                <w:b/>
                <w:sz w:val="24"/>
              </w:rPr>
              <w:t>声明</w:t>
            </w:r>
          </w:p>
        </w:tc>
      </w:tr>
      <w:tr w14:paraId="0E744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5698C8E3">
            <w:pPr>
              <w:tabs>
                <w:tab w:val="left" w:pos="5580"/>
              </w:tabs>
              <w:jc w:val="center"/>
              <w:rPr>
                <w:rFonts w:eastAsiaTheme="minorEastAsia"/>
                <w:sz w:val="24"/>
              </w:rPr>
            </w:pPr>
          </w:p>
        </w:tc>
        <w:tc>
          <w:tcPr>
            <w:tcW w:w="1498" w:type="pct"/>
            <w:vMerge w:val="continue"/>
            <w:vAlign w:val="center"/>
          </w:tcPr>
          <w:p w14:paraId="3E5F7D63">
            <w:pPr>
              <w:tabs>
                <w:tab w:val="left" w:pos="5580"/>
              </w:tabs>
              <w:jc w:val="center"/>
              <w:rPr>
                <w:rFonts w:eastAsiaTheme="minorEastAsia"/>
                <w:sz w:val="24"/>
              </w:rPr>
            </w:pPr>
          </w:p>
        </w:tc>
        <w:tc>
          <w:tcPr>
            <w:tcW w:w="1114" w:type="pct"/>
            <w:vAlign w:val="center"/>
          </w:tcPr>
          <w:p w14:paraId="705A1F65">
            <w:pPr>
              <w:tabs>
                <w:tab w:val="left" w:pos="5580"/>
              </w:tabs>
              <w:jc w:val="center"/>
              <w:rPr>
                <w:rFonts w:eastAsiaTheme="minorEastAsia"/>
                <w:b/>
                <w:sz w:val="24"/>
              </w:rPr>
            </w:pPr>
            <w:r>
              <w:rPr>
                <w:rFonts w:eastAsiaTheme="minorEastAsia"/>
                <w:b/>
                <w:sz w:val="24"/>
              </w:rPr>
              <w:t>大写</w:t>
            </w:r>
          </w:p>
        </w:tc>
        <w:tc>
          <w:tcPr>
            <w:tcW w:w="992" w:type="pct"/>
            <w:vAlign w:val="center"/>
          </w:tcPr>
          <w:p w14:paraId="4C735D20">
            <w:pPr>
              <w:tabs>
                <w:tab w:val="left" w:pos="5580"/>
              </w:tabs>
              <w:jc w:val="center"/>
              <w:rPr>
                <w:rFonts w:eastAsiaTheme="minorEastAsia"/>
                <w:b/>
                <w:sz w:val="24"/>
              </w:rPr>
            </w:pPr>
            <w:r>
              <w:rPr>
                <w:rFonts w:eastAsiaTheme="minorEastAsia"/>
                <w:b/>
                <w:sz w:val="24"/>
              </w:rPr>
              <w:t>小写</w:t>
            </w:r>
          </w:p>
        </w:tc>
        <w:tc>
          <w:tcPr>
            <w:tcW w:w="949" w:type="pct"/>
            <w:vMerge w:val="continue"/>
            <w:vAlign w:val="center"/>
          </w:tcPr>
          <w:p w14:paraId="275BF936">
            <w:pPr>
              <w:tabs>
                <w:tab w:val="left" w:pos="5580"/>
              </w:tabs>
              <w:ind w:firstLine="482"/>
              <w:jc w:val="center"/>
              <w:rPr>
                <w:rFonts w:eastAsiaTheme="minorEastAsia"/>
                <w:b/>
                <w:sz w:val="24"/>
              </w:rPr>
            </w:pPr>
          </w:p>
        </w:tc>
      </w:tr>
      <w:tr w14:paraId="5D33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1EBFDF64">
            <w:pPr>
              <w:tabs>
                <w:tab w:val="left" w:pos="5580"/>
              </w:tabs>
              <w:jc w:val="center"/>
              <w:rPr>
                <w:rFonts w:eastAsiaTheme="minorEastAsia"/>
                <w:sz w:val="24"/>
              </w:rPr>
            </w:pPr>
          </w:p>
        </w:tc>
        <w:tc>
          <w:tcPr>
            <w:tcW w:w="1498" w:type="pct"/>
            <w:vAlign w:val="center"/>
          </w:tcPr>
          <w:p w14:paraId="41E9CCD7">
            <w:pPr>
              <w:tabs>
                <w:tab w:val="left" w:pos="5580"/>
              </w:tabs>
              <w:jc w:val="center"/>
              <w:rPr>
                <w:rFonts w:eastAsiaTheme="minorEastAsia"/>
                <w:sz w:val="24"/>
              </w:rPr>
            </w:pPr>
          </w:p>
        </w:tc>
        <w:tc>
          <w:tcPr>
            <w:tcW w:w="1114" w:type="pct"/>
            <w:vAlign w:val="center"/>
          </w:tcPr>
          <w:p w14:paraId="41643D91">
            <w:pPr>
              <w:tabs>
                <w:tab w:val="left" w:pos="5580"/>
              </w:tabs>
              <w:jc w:val="center"/>
              <w:rPr>
                <w:rFonts w:eastAsiaTheme="minorEastAsia"/>
                <w:sz w:val="24"/>
              </w:rPr>
            </w:pPr>
          </w:p>
        </w:tc>
        <w:tc>
          <w:tcPr>
            <w:tcW w:w="992" w:type="pct"/>
            <w:vAlign w:val="center"/>
          </w:tcPr>
          <w:p w14:paraId="3D9AC396">
            <w:pPr>
              <w:tabs>
                <w:tab w:val="left" w:pos="5580"/>
              </w:tabs>
              <w:jc w:val="center"/>
              <w:rPr>
                <w:rFonts w:eastAsiaTheme="minorEastAsia"/>
                <w:sz w:val="24"/>
              </w:rPr>
            </w:pPr>
          </w:p>
        </w:tc>
        <w:tc>
          <w:tcPr>
            <w:tcW w:w="949" w:type="pct"/>
            <w:vAlign w:val="center"/>
          </w:tcPr>
          <w:p w14:paraId="50014EA8">
            <w:pPr>
              <w:tabs>
                <w:tab w:val="left" w:pos="5580"/>
              </w:tabs>
              <w:jc w:val="center"/>
              <w:rPr>
                <w:rFonts w:eastAsiaTheme="minorEastAsia"/>
                <w:sz w:val="24"/>
              </w:rPr>
            </w:pPr>
          </w:p>
        </w:tc>
      </w:tr>
    </w:tbl>
    <w:p w14:paraId="19530819">
      <w:pPr>
        <w:autoSpaceDE w:val="0"/>
        <w:autoSpaceDN w:val="0"/>
        <w:adjustRightInd w:val="0"/>
        <w:jc w:val="left"/>
        <w:rPr>
          <w:rFonts w:eastAsiaTheme="minorEastAsia"/>
          <w:color w:val="000000"/>
          <w:kern w:val="0"/>
          <w:sz w:val="24"/>
        </w:rPr>
      </w:pPr>
    </w:p>
    <w:p w14:paraId="05F722E9">
      <w:pPr>
        <w:autoSpaceDE w:val="0"/>
        <w:autoSpaceDN w:val="0"/>
        <w:adjustRightInd w:val="0"/>
        <w:jc w:val="left"/>
        <w:rPr>
          <w:rFonts w:eastAsiaTheme="minorEastAsia"/>
          <w:color w:val="000000"/>
          <w:kern w:val="0"/>
          <w:sz w:val="24"/>
        </w:rPr>
      </w:pPr>
    </w:p>
    <w:p w14:paraId="16512DDD">
      <w:pPr>
        <w:autoSpaceDE w:val="0"/>
        <w:autoSpaceDN w:val="0"/>
        <w:adjustRightInd w:val="0"/>
        <w:jc w:val="left"/>
        <w:rPr>
          <w:rFonts w:eastAsiaTheme="minorEastAsia"/>
          <w:color w:val="000000"/>
          <w:kern w:val="0"/>
          <w:sz w:val="24"/>
        </w:rPr>
      </w:pPr>
    </w:p>
    <w:p w14:paraId="2EB942D9">
      <w:pPr>
        <w:autoSpaceDE w:val="0"/>
        <w:autoSpaceDN w:val="0"/>
        <w:adjustRightInd w:val="0"/>
        <w:jc w:val="left"/>
        <w:rPr>
          <w:rFonts w:eastAsiaTheme="minorEastAsia"/>
          <w:color w:val="000000"/>
          <w:kern w:val="0"/>
          <w:sz w:val="24"/>
        </w:rPr>
      </w:pPr>
    </w:p>
    <w:p w14:paraId="216A576A">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w:t>
      </w:r>
      <w:r>
        <w:rPr>
          <w:color w:val="000000"/>
          <w:sz w:val="24"/>
          <w:szCs w:val="20"/>
        </w:rPr>
        <w:t>最后</w:t>
      </w:r>
      <w:r>
        <w:rPr>
          <w:rFonts w:eastAsiaTheme="minorEastAsia"/>
          <w:color w:val="000000"/>
          <w:sz w:val="24"/>
          <w:szCs w:val="20"/>
        </w:rPr>
        <w:t>报价应和《最后分项报价表》中的总价相一致。</w:t>
      </w:r>
    </w:p>
    <w:p w14:paraId="07A8370E">
      <w:pPr>
        <w:tabs>
          <w:tab w:val="left" w:pos="5580"/>
        </w:tabs>
        <w:ind w:firstLine="480" w:firstLineChars="200"/>
        <w:rPr>
          <w:rFonts w:eastAsiaTheme="minorEastAsia"/>
          <w:color w:val="000000"/>
          <w:sz w:val="24"/>
          <w:szCs w:val="20"/>
        </w:rPr>
      </w:pPr>
      <w:r>
        <w:rPr>
          <w:rFonts w:eastAsiaTheme="minorEastAsia"/>
          <w:color w:val="000000"/>
          <w:sz w:val="24"/>
          <w:szCs w:val="20"/>
        </w:rPr>
        <w:t>2.本表必须按包分别填写。</w:t>
      </w:r>
    </w:p>
    <w:p w14:paraId="1BE92286">
      <w:pPr>
        <w:pStyle w:val="177"/>
        <w:ind w:left="642" w:leftChars="227" w:hanging="165" w:hangingChars="69"/>
        <w:rPr>
          <w:rFonts w:ascii="Times New Roman" w:hAnsi="Times New Roman"/>
          <w:sz w:val="24"/>
          <w:szCs w:val="24"/>
        </w:rPr>
      </w:pPr>
      <w:r>
        <w:rPr>
          <w:rFonts w:ascii="Times New Roman" w:hAnsi="Times New Roman"/>
          <w:sz w:val="24"/>
          <w:szCs w:val="24"/>
        </w:rPr>
        <w:t>3.</w:t>
      </w:r>
      <w:bookmarkStart w:id="1314" w:name="_Hlk137145809"/>
      <w:r>
        <w:rPr>
          <w:rFonts w:ascii="Times New Roman" w:hAnsi="Times New Roman"/>
          <w:sz w:val="24"/>
          <w:szCs w:val="24"/>
        </w:rPr>
        <w:t>此表无需在响应文件中提交，磋商后供应商按磋商小组要求提交。</w:t>
      </w:r>
      <w:bookmarkEnd w:id="1314"/>
    </w:p>
    <w:p w14:paraId="008DC131">
      <w:pPr>
        <w:tabs>
          <w:tab w:val="left" w:pos="5580"/>
        </w:tabs>
        <w:ind w:firstLine="480" w:firstLineChars="200"/>
        <w:rPr>
          <w:rFonts w:eastAsiaTheme="minorEastAsia"/>
          <w:color w:val="000000"/>
          <w:sz w:val="24"/>
          <w:szCs w:val="20"/>
        </w:rPr>
      </w:pPr>
    </w:p>
    <w:p w14:paraId="5B54DABE">
      <w:pPr>
        <w:autoSpaceDE w:val="0"/>
        <w:autoSpaceDN w:val="0"/>
        <w:adjustRightInd w:val="0"/>
        <w:snapToGrid w:val="0"/>
        <w:spacing w:before="25" w:after="25" w:line="360" w:lineRule="auto"/>
        <w:rPr>
          <w:rFonts w:eastAsiaTheme="minorEastAsia"/>
          <w:color w:val="000000"/>
          <w:sz w:val="24"/>
          <w:lang w:val="zh-CN"/>
        </w:rPr>
      </w:pPr>
    </w:p>
    <w:p w14:paraId="61588FE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1D9470F3">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供应商授权代表签字（或加盖供应商公章）</w:t>
      </w:r>
      <w:r>
        <w:rPr>
          <w:rFonts w:eastAsiaTheme="minorEastAsia"/>
          <w:color w:val="000000"/>
          <w:sz w:val="24"/>
          <w:lang w:val="zh-CN"/>
        </w:rPr>
        <w:t xml:space="preserve">：___________ </w:t>
      </w:r>
    </w:p>
    <w:p w14:paraId="7EEEF3C2">
      <w:pPr>
        <w:widowControl/>
        <w:jc w:val="left"/>
        <w:rPr>
          <w:rFonts w:eastAsiaTheme="minorEastAsia"/>
          <w:color w:val="000000"/>
          <w:sz w:val="24"/>
          <w:szCs w:val="20"/>
        </w:rPr>
      </w:pPr>
      <w:r>
        <w:rPr>
          <w:rFonts w:eastAsiaTheme="minorEastAsia"/>
          <w:color w:val="000000"/>
          <w:sz w:val="24"/>
          <w:szCs w:val="20"/>
        </w:rPr>
        <w:t xml:space="preserve">日期：____年____月____日   </w:t>
      </w:r>
    </w:p>
    <w:p w14:paraId="5AE3CE75">
      <w:pPr>
        <w:widowControl/>
        <w:jc w:val="left"/>
        <w:rPr>
          <w:rFonts w:eastAsiaTheme="minorEastAsia"/>
          <w:color w:val="000000"/>
          <w:sz w:val="24"/>
          <w:szCs w:val="20"/>
        </w:rPr>
      </w:pPr>
    </w:p>
    <w:p w14:paraId="7A0B826E">
      <w:pPr>
        <w:tabs>
          <w:tab w:val="left" w:pos="360"/>
        </w:tabs>
        <w:snapToGrid w:val="0"/>
        <w:spacing w:line="360" w:lineRule="auto"/>
        <w:outlineLvl w:val="1"/>
        <w:rPr>
          <w:rFonts w:eastAsiaTheme="minorEastAsia"/>
          <w:sz w:val="24"/>
        </w:rPr>
        <w:sectPr>
          <w:pgSz w:w="11907" w:h="16840"/>
          <w:pgMar w:top="1418" w:right="1134" w:bottom="1418" w:left="1701" w:header="851" w:footer="851" w:gutter="0"/>
          <w:cols w:space="720" w:num="1"/>
          <w:docGrid w:linePitch="462" w:charSpace="0"/>
        </w:sectPr>
      </w:pPr>
    </w:p>
    <w:p w14:paraId="4BFE0C85">
      <w:pPr>
        <w:tabs>
          <w:tab w:val="left" w:pos="360"/>
        </w:tabs>
        <w:snapToGrid w:val="0"/>
        <w:spacing w:line="360" w:lineRule="auto"/>
        <w:outlineLvl w:val="1"/>
        <w:rPr>
          <w:rFonts w:eastAsiaTheme="minorEastAsia"/>
          <w:sz w:val="24"/>
        </w:rPr>
      </w:pPr>
      <w:r>
        <w:rPr>
          <w:rFonts w:eastAsiaTheme="minorEastAsia"/>
          <w:sz w:val="24"/>
        </w:rPr>
        <w:t>1</w:t>
      </w:r>
      <w:r>
        <w:rPr>
          <w:rFonts w:hint="eastAsia" w:eastAsiaTheme="minorEastAsia"/>
          <w:sz w:val="24"/>
          <w:lang w:val="en-US" w:eastAsia="zh-CN"/>
        </w:rPr>
        <w:t>2</w:t>
      </w:r>
      <w:r>
        <w:rPr>
          <w:rFonts w:eastAsiaTheme="minorEastAsia"/>
          <w:sz w:val="24"/>
        </w:rPr>
        <w:t xml:space="preserve">  最后分项报价表（实质性格式</w:t>
      </w:r>
      <w:r>
        <w:rPr>
          <w:rFonts w:hint="eastAsia" w:eastAsiaTheme="minorEastAsia"/>
          <w:sz w:val="24"/>
        </w:rPr>
        <w:t>，磋商后提交</w:t>
      </w:r>
      <w:r>
        <w:rPr>
          <w:rFonts w:eastAsiaTheme="minorEastAsia"/>
          <w:sz w:val="24"/>
        </w:rPr>
        <w:t>）</w:t>
      </w:r>
    </w:p>
    <w:p w14:paraId="6C3323DA">
      <w:pPr>
        <w:spacing w:line="360" w:lineRule="exact"/>
        <w:jc w:val="center"/>
        <w:rPr>
          <w:rFonts w:eastAsiaTheme="minorEastAsia"/>
          <w:color w:val="000000"/>
          <w:sz w:val="36"/>
          <w:szCs w:val="36"/>
        </w:rPr>
      </w:pPr>
      <w:r>
        <w:rPr>
          <w:rFonts w:eastAsiaTheme="minorEastAsia"/>
          <w:color w:val="000000"/>
          <w:sz w:val="36"/>
          <w:szCs w:val="36"/>
        </w:rPr>
        <w:t>最后分项报价表</w:t>
      </w:r>
    </w:p>
    <w:p w14:paraId="00F364B9">
      <w:pPr>
        <w:spacing w:line="260" w:lineRule="exact"/>
        <w:jc w:val="center"/>
        <w:rPr>
          <w:rFonts w:eastAsiaTheme="minorEastAsia"/>
          <w:color w:val="000000"/>
          <w:sz w:val="36"/>
          <w:szCs w:val="36"/>
        </w:rPr>
      </w:pPr>
    </w:p>
    <w:p w14:paraId="096C0C50">
      <w:pPr>
        <w:tabs>
          <w:tab w:val="left" w:pos="1800"/>
          <w:tab w:val="left" w:pos="5580"/>
        </w:tabs>
        <w:jc w:val="left"/>
        <w:rPr>
          <w:rFonts w:eastAsiaTheme="minorEastAsia"/>
          <w:color w:val="000000"/>
          <w:sz w:val="24"/>
        </w:rPr>
      </w:pP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4536"/>
        <w:gridCol w:w="1418"/>
        <w:gridCol w:w="1559"/>
      </w:tblGrid>
      <w:tr w14:paraId="76F0F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00" w:type="dxa"/>
            <w:vAlign w:val="center"/>
          </w:tcPr>
          <w:p w14:paraId="7DF9DDE1">
            <w:pPr>
              <w:adjustRightInd w:val="0"/>
              <w:jc w:val="center"/>
              <w:textAlignment w:val="baseline"/>
              <w:rPr>
                <w:kern w:val="0"/>
                <w:sz w:val="24"/>
                <w:szCs w:val="20"/>
              </w:rPr>
            </w:pPr>
            <w:r>
              <w:rPr>
                <w:kern w:val="0"/>
                <w:sz w:val="24"/>
                <w:szCs w:val="20"/>
              </w:rPr>
              <w:t>序号</w:t>
            </w:r>
          </w:p>
        </w:tc>
        <w:tc>
          <w:tcPr>
            <w:tcW w:w="4536" w:type="dxa"/>
            <w:vAlign w:val="center"/>
          </w:tcPr>
          <w:p w14:paraId="75C1EB95">
            <w:pPr>
              <w:adjustRightInd w:val="0"/>
              <w:jc w:val="center"/>
              <w:textAlignment w:val="baseline"/>
              <w:rPr>
                <w:kern w:val="0"/>
                <w:sz w:val="24"/>
                <w:szCs w:val="20"/>
              </w:rPr>
            </w:pPr>
            <w:r>
              <w:rPr>
                <w:kern w:val="0"/>
                <w:sz w:val="24"/>
                <w:szCs w:val="20"/>
              </w:rPr>
              <w:t>最后报价计算过程或说明（</w:t>
            </w:r>
            <w:r>
              <w:rPr>
                <w:color w:val="000000"/>
                <w:sz w:val="24"/>
              </w:rPr>
              <w:t>可以填写按第一次报价下浮/上浮比例，也可以填写相对第一次报价某部分价格变化情况</w:t>
            </w:r>
            <w:r>
              <w:rPr>
                <w:kern w:val="0"/>
                <w:sz w:val="24"/>
                <w:szCs w:val="20"/>
              </w:rPr>
              <w:t>）</w:t>
            </w:r>
          </w:p>
        </w:tc>
        <w:tc>
          <w:tcPr>
            <w:tcW w:w="1418" w:type="dxa"/>
            <w:vAlign w:val="center"/>
          </w:tcPr>
          <w:p w14:paraId="2B77B43B">
            <w:pPr>
              <w:adjustRightInd w:val="0"/>
              <w:jc w:val="center"/>
              <w:textAlignment w:val="baseline"/>
              <w:rPr>
                <w:kern w:val="0"/>
                <w:sz w:val="24"/>
                <w:szCs w:val="20"/>
              </w:rPr>
            </w:pPr>
            <w:r>
              <w:rPr>
                <w:kern w:val="0"/>
                <w:sz w:val="24"/>
                <w:szCs w:val="20"/>
              </w:rPr>
              <w:t>总价（元）</w:t>
            </w:r>
          </w:p>
        </w:tc>
        <w:tc>
          <w:tcPr>
            <w:tcW w:w="1559" w:type="dxa"/>
            <w:vAlign w:val="center"/>
          </w:tcPr>
          <w:p w14:paraId="2A4A1413">
            <w:pPr>
              <w:adjustRightInd w:val="0"/>
              <w:jc w:val="center"/>
              <w:textAlignment w:val="baseline"/>
              <w:rPr>
                <w:kern w:val="0"/>
                <w:sz w:val="24"/>
                <w:szCs w:val="20"/>
              </w:rPr>
            </w:pPr>
            <w:r>
              <w:rPr>
                <w:kern w:val="0"/>
                <w:sz w:val="24"/>
                <w:szCs w:val="20"/>
              </w:rPr>
              <w:t>备注</w:t>
            </w:r>
          </w:p>
        </w:tc>
      </w:tr>
      <w:tr w14:paraId="25B64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900" w:type="dxa"/>
            <w:vAlign w:val="center"/>
          </w:tcPr>
          <w:p w14:paraId="14875096">
            <w:pPr>
              <w:adjustRightInd w:val="0"/>
              <w:jc w:val="center"/>
              <w:textAlignment w:val="baseline"/>
              <w:rPr>
                <w:kern w:val="0"/>
                <w:sz w:val="24"/>
                <w:szCs w:val="20"/>
              </w:rPr>
            </w:pPr>
            <w:r>
              <w:rPr>
                <w:kern w:val="0"/>
                <w:sz w:val="24"/>
                <w:szCs w:val="20"/>
              </w:rPr>
              <w:t>1</w:t>
            </w:r>
          </w:p>
        </w:tc>
        <w:tc>
          <w:tcPr>
            <w:tcW w:w="4536" w:type="dxa"/>
            <w:vAlign w:val="center"/>
          </w:tcPr>
          <w:p w14:paraId="262B52CD">
            <w:pPr>
              <w:adjustRightInd w:val="0"/>
              <w:jc w:val="center"/>
              <w:textAlignment w:val="baseline"/>
              <w:rPr>
                <w:kern w:val="0"/>
                <w:sz w:val="24"/>
                <w:szCs w:val="20"/>
              </w:rPr>
            </w:pPr>
          </w:p>
        </w:tc>
        <w:tc>
          <w:tcPr>
            <w:tcW w:w="1418" w:type="dxa"/>
            <w:vAlign w:val="center"/>
          </w:tcPr>
          <w:p w14:paraId="671440D0">
            <w:pPr>
              <w:adjustRightInd w:val="0"/>
              <w:jc w:val="center"/>
              <w:textAlignment w:val="baseline"/>
              <w:rPr>
                <w:kern w:val="0"/>
                <w:sz w:val="24"/>
                <w:szCs w:val="20"/>
              </w:rPr>
            </w:pPr>
          </w:p>
        </w:tc>
        <w:tc>
          <w:tcPr>
            <w:tcW w:w="1559" w:type="dxa"/>
            <w:vAlign w:val="center"/>
          </w:tcPr>
          <w:p w14:paraId="0F074A33">
            <w:pPr>
              <w:adjustRightInd w:val="0"/>
              <w:jc w:val="center"/>
              <w:textAlignment w:val="baseline"/>
              <w:rPr>
                <w:kern w:val="0"/>
                <w:sz w:val="24"/>
                <w:szCs w:val="20"/>
              </w:rPr>
            </w:pPr>
          </w:p>
        </w:tc>
      </w:tr>
      <w:tr w14:paraId="0AA19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436" w:type="dxa"/>
            <w:gridSpan w:val="2"/>
            <w:vAlign w:val="center"/>
          </w:tcPr>
          <w:p w14:paraId="5D3A8EBF">
            <w:pPr>
              <w:adjustRightInd w:val="0"/>
              <w:jc w:val="right"/>
              <w:textAlignment w:val="baseline"/>
              <w:rPr>
                <w:kern w:val="0"/>
                <w:sz w:val="24"/>
                <w:szCs w:val="20"/>
              </w:rPr>
            </w:pPr>
            <w:r>
              <w:rPr>
                <w:kern w:val="0"/>
                <w:sz w:val="24"/>
                <w:szCs w:val="20"/>
              </w:rPr>
              <w:t>合计（元）</w:t>
            </w:r>
          </w:p>
        </w:tc>
        <w:tc>
          <w:tcPr>
            <w:tcW w:w="1418" w:type="dxa"/>
            <w:vAlign w:val="center"/>
          </w:tcPr>
          <w:p w14:paraId="2A831B97">
            <w:pPr>
              <w:adjustRightInd w:val="0"/>
              <w:jc w:val="center"/>
              <w:textAlignment w:val="baseline"/>
              <w:rPr>
                <w:kern w:val="0"/>
                <w:sz w:val="24"/>
                <w:szCs w:val="20"/>
              </w:rPr>
            </w:pPr>
          </w:p>
        </w:tc>
        <w:tc>
          <w:tcPr>
            <w:tcW w:w="1559" w:type="dxa"/>
            <w:vAlign w:val="center"/>
          </w:tcPr>
          <w:p w14:paraId="02C64068">
            <w:pPr>
              <w:adjustRightInd w:val="0"/>
              <w:jc w:val="center"/>
              <w:textAlignment w:val="baseline"/>
              <w:rPr>
                <w:kern w:val="0"/>
                <w:sz w:val="24"/>
                <w:szCs w:val="20"/>
              </w:rPr>
            </w:pPr>
          </w:p>
        </w:tc>
      </w:tr>
    </w:tbl>
    <w:p w14:paraId="6540318F">
      <w:pPr>
        <w:tabs>
          <w:tab w:val="left" w:pos="1800"/>
          <w:tab w:val="left" w:pos="5580"/>
        </w:tabs>
        <w:jc w:val="left"/>
        <w:rPr>
          <w:rFonts w:eastAsiaTheme="minorEastAsia"/>
          <w:color w:val="000000"/>
          <w:sz w:val="24"/>
        </w:rPr>
      </w:pPr>
    </w:p>
    <w:p w14:paraId="5090E604">
      <w:pPr>
        <w:tabs>
          <w:tab w:val="left" w:pos="1800"/>
          <w:tab w:val="left" w:pos="5580"/>
        </w:tabs>
        <w:jc w:val="left"/>
        <w:rPr>
          <w:rFonts w:eastAsiaTheme="minorEastAsia"/>
          <w:color w:val="000000"/>
          <w:sz w:val="24"/>
        </w:rPr>
      </w:pPr>
    </w:p>
    <w:p w14:paraId="11210905">
      <w:pPr>
        <w:tabs>
          <w:tab w:val="left" w:pos="1800"/>
          <w:tab w:val="left" w:pos="5580"/>
        </w:tabs>
        <w:jc w:val="left"/>
        <w:rPr>
          <w:rFonts w:eastAsiaTheme="minorEastAsia"/>
          <w:color w:val="000000"/>
          <w:sz w:val="24"/>
        </w:rPr>
      </w:pPr>
    </w:p>
    <w:p w14:paraId="3B63C1E2">
      <w:pPr>
        <w:tabs>
          <w:tab w:val="left" w:pos="1800"/>
          <w:tab w:val="left" w:pos="5580"/>
        </w:tabs>
        <w:jc w:val="left"/>
        <w:rPr>
          <w:rFonts w:eastAsiaTheme="minorEastAsia"/>
          <w:color w:val="000000"/>
          <w:sz w:val="24"/>
        </w:rPr>
      </w:pPr>
      <w:r>
        <w:rPr>
          <w:rFonts w:eastAsiaTheme="minorEastAsia"/>
          <w:color w:val="000000"/>
          <w:sz w:val="24"/>
        </w:rPr>
        <w:t>注：1.本表应按包分别填写。</w:t>
      </w:r>
    </w:p>
    <w:p w14:paraId="5818E80A">
      <w:pPr>
        <w:tabs>
          <w:tab w:val="left" w:pos="1800"/>
          <w:tab w:val="left" w:pos="5580"/>
        </w:tabs>
        <w:ind w:firstLine="480" w:firstLineChars="200"/>
        <w:jc w:val="left"/>
        <w:rPr>
          <w:rFonts w:eastAsiaTheme="minorEastAsia"/>
          <w:color w:val="000000"/>
          <w:sz w:val="24"/>
        </w:rPr>
      </w:pPr>
      <w:r>
        <w:rPr>
          <w:rFonts w:eastAsiaTheme="minorEastAsia"/>
          <w:color w:val="000000"/>
          <w:sz w:val="24"/>
        </w:rPr>
        <w:t>2.上述各项的详细规格（如有），可另页描述。</w:t>
      </w:r>
    </w:p>
    <w:p w14:paraId="255B1D05">
      <w:pPr>
        <w:tabs>
          <w:tab w:val="left" w:pos="1800"/>
          <w:tab w:val="left" w:pos="5580"/>
        </w:tabs>
        <w:ind w:firstLine="480" w:firstLineChars="200"/>
        <w:jc w:val="left"/>
        <w:rPr>
          <w:sz w:val="24"/>
        </w:rPr>
      </w:pPr>
      <w:r>
        <w:rPr>
          <w:sz w:val="24"/>
        </w:rPr>
        <w:t>3.此表无需在响应文件中提交，磋商后供应商按磋商小组要求提交。</w:t>
      </w:r>
    </w:p>
    <w:p w14:paraId="5F9A80CD">
      <w:pPr>
        <w:tabs>
          <w:tab w:val="left" w:pos="1800"/>
          <w:tab w:val="left" w:pos="5580"/>
        </w:tabs>
        <w:ind w:firstLine="480" w:firstLineChars="200"/>
        <w:jc w:val="left"/>
        <w:rPr>
          <w:rFonts w:eastAsiaTheme="minorEastAsia"/>
          <w:color w:val="000000"/>
          <w:sz w:val="24"/>
        </w:rPr>
      </w:pPr>
    </w:p>
    <w:p w14:paraId="7C898213">
      <w:pPr>
        <w:autoSpaceDE w:val="0"/>
        <w:autoSpaceDN w:val="0"/>
        <w:adjustRightInd w:val="0"/>
        <w:snapToGrid w:val="0"/>
        <w:spacing w:before="25" w:after="25" w:line="360" w:lineRule="auto"/>
        <w:rPr>
          <w:rFonts w:eastAsiaTheme="minorEastAsia"/>
          <w:color w:val="000000"/>
          <w:sz w:val="24"/>
          <w:lang w:val="zh-CN"/>
        </w:rPr>
      </w:pPr>
    </w:p>
    <w:p w14:paraId="43328008">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 xml:space="preserve">：____________ </w:t>
      </w:r>
    </w:p>
    <w:p w14:paraId="368E2AA0">
      <w:pPr>
        <w:widowControl/>
        <w:autoSpaceDE w:val="0"/>
        <w:autoSpaceDN w:val="0"/>
        <w:adjustRightInd w:val="0"/>
        <w:snapToGrid w:val="0"/>
        <w:spacing w:before="25" w:after="25" w:line="360" w:lineRule="auto"/>
        <w:jc w:val="left"/>
        <w:rPr>
          <w:rFonts w:eastAsiaTheme="minorEastAsia"/>
          <w:b/>
          <w:sz w:val="36"/>
          <w:szCs w:val="36"/>
        </w:rPr>
      </w:pPr>
      <w:r>
        <w:rPr>
          <w:rFonts w:eastAsiaTheme="minorEastAsia"/>
          <w:color w:val="000000"/>
          <w:sz w:val="24"/>
          <w:szCs w:val="20"/>
        </w:rPr>
        <w:t xml:space="preserve">日期：____年____月____日   </w:t>
      </w:r>
    </w:p>
    <w:p w14:paraId="37AB7F42">
      <w:pPr>
        <w:tabs>
          <w:tab w:val="left" w:pos="1800"/>
          <w:tab w:val="left" w:pos="5580"/>
        </w:tabs>
        <w:jc w:val="left"/>
        <w:rPr>
          <w:rFonts w:eastAsiaTheme="minorEastAsia"/>
          <w:color w:val="000000"/>
          <w:sz w:val="24"/>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C2E6A">
    <w:pPr>
      <w:pStyle w:val="28"/>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C9D27">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3F05934C">
    <w:pPr>
      <w:pStyle w:val="28"/>
      <w:ind w:right="360"/>
    </w:pPr>
  </w:p>
  <w:p w14:paraId="7B895ED9"/>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1E7C3">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34726">
    <w:pPr>
      <w:pStyle w:val="28"/>
      <w:framePr w:wrap="around" w:vAnchor="text" w:hAnchor="margin" w:xAlign="center" w:y="1"/>
      <w:rPr>
        <w:rStyle w:val="47"/>
      </w:rPr>
    </w:pPr>
    <w:r>
      <w:fldChar w:fldCharType="begin"/>
    </w:r>
    <w:r>
      <w:rPr>
        <w:rStyle w:val="47"/>
      </w:rPr>
      <w:instrText xml:space="preserve">PAGE  </w:instrText>
    </w:r>
    <w:r>
      <w:fldChar w:fldCharType="end"/>
    </w:r>
  </w:p>
  <w:p w14:paraId="1B5D5E70">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1B8C9">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9740931"/>
      <w:docPartObj>
        <w:docPartGallery w:val="autotext"/>
      </w:docPartObj>
    </w:sdtPr>
    <w:sdtEndPr>
      <w:rPr>
        <w:rFonts w:ascii="Times New Roman"/>
      </w:rPr>
    </w:sdtEndPr>
    <w:sdtContent>
      <w:p w14:paraId="68E37A53">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8440998"/>
      <w:docPartObj>
        <w:docPartGallery w:val="autotext"/>
      </w:docPartObj>
    </w:sdtPr>
    <w:sdtContent>
      <w:p w14:paraId="48865FEA">
        <w:pPr>
          <w:pStyle w:val="28"/>
          <w:jc w:val="center"/>
        </w:pPr>
        <w:r>
          <w:fldChar w:fldCharType="begin"/>
        </w:r>
        <w:r>
          <w:instrText xml:space="preserve">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00EF3">
    <w:pPr>
      <w:spacing w:line="169" w:lineRule="exact"/>
      <w:rPr>
        <w:rFonts w:ascii="宋体" w:hAnsi="宋体" w:eastAsia="宋体" w:cs="宋体"/>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1792E4">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B1792E4">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852F2">
    <w:pPr>
      <w:spacing w:line="169" w:lineRule="exact"/>
      <w:rPr>
        <w:rFonts w:ascii="宋体" w:hAnsi="宋体" w:eastAsia="宋体" w:cs="宋体"/>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9F24BC">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A9F24BC">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09578">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27E2DFF5">
    <w:pPr>
      <w:pStyle w:val="28"/>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5DE8B">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18D91">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744E8">
    <w:pPr>
      <w:pStyle w:val="29"/>
      <w:jc w:val="right"/>
    </w:pPr>
    <w:r>
      <w:rPr>
        <w:rFonts w:hint="eastAsia"/>
      </w:rPr>
      <w:t xml:space="preserve">中咨华源(北京)咨询有限公司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3EE66">
    <w:pPr>
      <w:pStyle w:val="29"/>
      <w:pBdr>
        <w:bottom w:val="single" w:color="auto" w:sz="4" w:space="1"/>
      </w:pBdr>
      <w:jc w:val="right"/>
      <w:rPr>
        <w:rFonts w:hint="eastAsia" w:eastAsia="宋体"/>
        <w:lang w:eastAsia="zh-CN"/>
      </w:rPr>
    </w:pPr>
    <w:r>
      <w:rPr>
        <w:rFonts w:hint="eastAsia"/>
        <w:lang w:eastAsia="zh-CN"/>
      </w:rPr>
      <w:t>中咨华源(北京)咨询有限公司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ACC54">
    <w:pPr>
      <w:pStyle w:val="29"/>
      <w:pBdr>
        <w:bottom w:val="none" w:color="auto" w:sz="0" w:space="1"/>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BA80D">
    <w:pPr>
      <w:pStyle w:val="29"/>
      <w:pBdr>
        <w:bottom w:val="none" w:color="auto" w:sz="0" w:space="1"/>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1A08B">
    <w:pPr>
      <w:pStyle w:val="2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2593A">
    <w:pPr>
      <w:pStyle w:val="2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2ED5C">
    <w:pPr>
      <w:pStyle w:val="29"/>
    </w:pPr>
  </w:p>
  <w:p w14:paraId="57C6874B"/>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BA164">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6073C4"/>
    <w:multiLevelType w:val="singleLevel"/>
    <w:tmpl w:val="AF6073C4"/>
    <w:lvl w:ilvl="0" w:tentative="0">
      <w:start w:val="1"/>
      <w:numFmt w:val="decimal"/>
      <w:suff w:val="space"/>
      <w:lvlText w:val="%1."/>
      <w:lvlJc w:val="left"/>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7FBF8122"/>
    <w:multiLevelType w:val="singleLevel"/>
    <w:tmpl w:val="7FBF8122"/>
    <w:lvl w:ilvl="0" w:tentative="0">
      <w:start w:val="1"/>
      <w:numFmt w:val="decimal"/>
      <w:lvlText w:val="(%1)"/>
      <w:lvlJc w:val="left"/>
      <w:pPr>
        <w:tabs>
          <w:tab w:val="left" w:pos="312"/>
        </w:tabs>
      </w:p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7"/>
  </w:num>
  <w:num w:numId="9">
    <w:abstractNumId w:val="12"/>
  </w:num>
  <w:num w:numId="10">
    <w:abstractNumId w:val="1"/>
  </w:num>
  <w:num w:numId="11">
    <w:abstractNumId w:val="10"/>
  </w:num>
  <w:num w:numId="12">
    <w:abstractNumId w:val="11"/>
  </w:num>
  <w:num w:numId="13">
    <w:abstractNumId w:val="0"/>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2DB2AB6"/>
    <w:rsid w:val="058D6A05"/>
    <w:rsid w:val="066E18B6"/>
    <w:rsid w:val="0A17226A"/>
    <w:rsid w:val="0B660C1A"/>
    <w:rsid w:val="0C495B59"/>
    <w:rsid w:val="10016AE2"/>
    <w:rsid w:val="13C4505D"/>
    <w:rsid w:val="14247316"/>
    <w:rsid w:val="15954C6F"/>
    <w:rsid w:val="16147E87"/>
    <w:rsid w:val="17F93E0B"/>
    <w:rsid w:val="195E346D"/>
    <w:rsid w:val="1A7070A5"/>
    <w:rsid w:val="1C455CA5"/>
    <w:rsid w:val="1D2C69D2"/>
    <w:rsid w:val="1EF032BF"/>
    <w:rsid w:val="219D6726"/>
    <w:rsid w:val="21B33AB2"/>
    <w:rsid w:val="22FA72AB"/>
    <w:rsid w:val="2344407A"/>
    <w:rsid w:val="239E00B4"/>
    <w:rsid w:val="251E74A4"/>
    <w:rsid w:val="26750206"/>
    <w:rsid w:val="27843CE5"/>
    <w:rsid w:val="28252E5A"/>
    <w:rsid w:val="2B2C5759"/>
    <w:rsid w:val="2C4A353E"/>
    <w:rsid w:val="2DCF704D"/>
    <w:rsid w:val="31AB3D03"/>
    <w:rsid w:val="32B21A4F"/>
    <w:rsid w:val="32EB653A"/>
    <w:rsid w:val="35F33E04"/>
    <w:rsid w:val="36227C91"/>
    <w:rsid w:val="3BCB6780"/>
    <w:rsid w:val="3F875F4A"/>
    <w:rsid w:val="42223C0F"/>
    <w:rsid w:val="42CD0A98"/>
    <w:rsid w:val="431A0C09"/>
    <w:rsid w:val="453738DE"/>
    <w:rsid w:val="458A5058"/>
    <w:rsid w:val="46FA3F26"/>
    <w:rsid w:val="47D25C51"/>
    <w:rsid w:val="480E2158"/>
    <w:rsid w:val="48A24A0A"/>
    <w:rsid w:val="4B3C395E"/>
    <w:rsid w:val="4B65373A"/>
    <w:rsid w:val="4D00163A"/>
    <w:rsid w:val="4D9A2951"/>
    <w:rsid w:val="4ED47388"/>
    <w:rsid w:val="4F0F5BE3"/>
    <w:rsid w:val="502D6146"/>
    <w:rsid w:val="52422029"/>
    <w:rsid w:val="52F9785D"/>
    <w:rsid w:val="54A725F9"/>
    <w:rsid w:val="54DE0B59"/>
    <w:rsid w:val="55040901"/>
    <w:rsid w:val="55CD73F2"/>
    <w:rsid w:val="56DF05DE"/>
    <w:rsid w:val="57FC6189"/>
    <w:rsid w:val="58D72319"/>
    <w:rsid w:val="5B726329"/>
    <w:rsid w:val="5CFA4192"/>
    <w:rsid w:val="5D0006D0"/>
    <w:rsid w:val="5F073306"/>
    <w:rsid w:val="5F5F73B9"/>
    <w:rsid w:val="60333008"/>
    <w:rsid w:val="617B3ED8"/>
    <w:rsid w:val="61E92922"/>
    <w:rsid w:val="622E07B1"/>
    <w:rsid w:val="658958DA"/>
    <w:rsid w:val="6838144E"/>
    <w:rsid w:val="686953AB"/>
    <w:rsid w:val="68AA7398"/>
    <w:rsid w:val="70D75809"/>
    <w:rsid w:val="713B6CCF"/>
    <w:rsid w:val="7318735E"/>
    <w:rsid w:val="737C7D45"/>
    <w:rsid w:val="740D4B7F"/>
    <w:rsid w:val="742C597A"/>
    <w:rsid w:val="751551F6"/>
    <w:rsid w:val="76500149"/>
    <w:rsid w:val="76D90BB5"/>
    <w:rsid w:val="78ED2575"/>
    <w:rsid w:val="79C827F1"/>
    <w:rsid w:val="7A186B17"/>
    <w:rsid w:val="7B900E7B"/>
    <w:rsid w:val="7BD3398A"/>
    <w:rsid w:val="7DB02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link w:val="22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Normal Indent"/>
    <w:basedOn w:val="1"/>
    <w:link w:val="61"/>
    <w:qFormat/>
    <w:uiPriority w:val="0"/>
    <w:pPr>
      <w:autoSpaceDE w:val="0"/>
      <w:autoSpaceDN w:val="0"/>
      <w:adjustRightInd w:val="0"/>
      <w:ind w:firstLine="420"/>
      <w:jc w:val="left"/>
    </w:pPr>
    <w:rPr>
      <w:rFonts w:ascii="宋体"/>
      <w:sz w:val="24"/>
    </w:r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5"/>
    <w:qFormat/>
    <w:uiPriority w:val="0"/>
    <w:pPr>
      <w:shd w:val="clear" w:color="auto" w:fill="000080"/>
    </w:pPr>
  </w:style>
  <w:style w:type="paragraph" w:styleId="15">
    <w:name w:val="annotation text"/>
    <w:basedOn w:val="1"/>
    <w:link w:val="181"/>
    <w:qFormat/>
    <w:uiPriority w:val="99"/>
    <w:pPr>
      <w:jc w:val="left"/>
    </w:pPr>
  </w:style>
  <w:style w:type="paragraph" w:styleId="16">
    <w:name w:val="Body Text 3"/>
    <w:basedOn w:val="1"/>
    <w:link w:val="236"/>
    <w:qFormat/>
    <w:uiPriority w:val="0"/>
    <w:pPr>
      <w:spacing w:after="120"/>
    </w:pPr>
    <w:rPr>
      <w:sz w:val="16"/>
      <w:szCs w:val="16"/>
    </w:rPr>
  </w:style>
  <w:style w:type="paragraph" w:styleId="17">
    <w:name w:val="Body Text"/>
    <w:basedOn w:val="1"/>
    <w:link w:val="237"/>
    <w:qFormat/>
    <w:uiPriority w:val="0"/>
    <w:pPr>
      <w:tabs>
        <w:tab w:val="left" w:pos="567"/>
      </w:tabs>
      <w:spacing w:before="120" w:line="22" w:lineRule="atLeast"/>
    </w:pPr>
    <w:rPr>
      <w:rFonts w:ascii="宋体" w:hAnsi="宋体"/>
      <w:sz w:val="24"/>
    </w:rPr>
  </w:style>
  <w:style w:type="paragraph" w:styleId="18">
    <w:name w:val="Body Text Indent"/>
    <w:basedOn w:val="1"/>
    <w:next w:val="1"/>
    <w:link w:val="66"/>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1"/>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8"/>
    <w:qFormat/>
    <w:uiPriority w:val="0"/>
    <w:pPr>
      <w:ind w:left="100" w:leftChars="2500"/>
    </w:pPr>
    <w:rPr>
      <w:rFonts w:ascii="仿宋_GB2312" w:hAnsi="宋体" w:eastAsia="仿宋_GB2312"/>
      <w:color w:val="000000"/>
      <w:sz w:val="24"/>
    </w:rPr>
  </w:style>
  <w:style w:type="paragraph" w:styleId="26">
    <w:name w:val="Body Text Indent 2"/>
    <w:basedOn w:val="1"/>
    <w:link w:val="239"/>
    <w:qFormat/>
    <w:uiPriority w:val="0"/>
    <w:pPr>
      <w:ind w:firstLine="480" w:firstLineChars="200"/>
    </w:pPr>
    <w:rPr>
      <w:rFonts w:ascii="仿宋_GB2312" w:eastAsia="仿宋_GB2312"/>
      <w:sz w:val="24"/>
    </w:rPr>
  </w:style>
  <w:style w:type="paragraph" w:styleId="27">
    <w:name w:val="Balloon Text"/>
    <w:basedOn w:val="1"/>
    <w:link w:val="240"/>
    <w:qFormat/>
    <w:uiPriority w:val="0"/>
    <w:rPr>
      <w:sz w:val="18"/>
      <w:szCs w:val="18"/>
    </w:rPr>
  </w:style>
  <w:style w:type="paragraph" w:styleId="28">
    <w:name w:val="footer"/>
    <w:basedOn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5"/>
    <w:next w:val="15"/>
    <w:link w:val="243"/>
    <w:qFormat/>
    <w:uiPriority w:val="0"/>
    <w:rPr>
      <w:b/>
      <w:bCs/>
    </w:rPr>
  </w:style>
  <w:style w:type="paragraph" w:styleId="41">
    <w:name w:val="Body Text First Indent 2"/>
    <w:basedOn w:val="18"/>
    <w:next w:val="1"/>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字符"/>
    <w:link w:val="3"/>
    <w:qFormat/>
    <w:uiPriority w:val="0"/>
    <w:rPr>
      <w:rFonts w:ascii="Arial" w:hAnsi="Arial" w:eastAsia="黑体"/>
      <w:b/>
      <w:sz w:val="30"/>
      <w:lang w:val="en-US" w:eastAsia="zh-CN" w:bidi="ar-SA"/>
    </w:rPr>
  </w:style>
  <w:style w:type="character" w:customStyle="1" w:styleId="54">
    <w:name w:val="标题 3 字符"/>
    <w:link w:val="4"/>
    <w:qFormat/>
    <w:uiPriority w:val="0"/>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12"/>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18"/>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表段落 字符"/>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29"/>
    <w:qFormat/>
    <w:uiPriority w:val="99"/>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4"/>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8"/>
    <w:qFormat/>
    <w:uiPriority w:val="99"/>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lang w:val="zh-CN" w:eastAsia="zh-CN"/>
    </w:rPr>
  </w:style>
  <w:style w:type="paragraph" w:customStyle="1" w:styleId="174">
    <w:name w:val="1"/>
    <w:link w:val="173"/>
    <w:qFormat/>
    <w:uiPriority w:val="0"/>
    <w:rPr>
      <w:rFonts w:ascii="Times New Roman" w:hAnsi="Times New Roman" w:eastAsia="宋体" w:cs="Times New Roman"/>
      <w:kern w:val="2"/>
      <w:sz w:val="21"/>
      <w:szCs w:val="24"/>
      <w:lang w:val="zh-CN"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5"/>
    <w:qFormat/>
    <w:uiPriority w:val="99"/>
    <w:rPr>
      <w:kern w:val="2"/>
      <w:sz w:val="21"/>
      <w:szCs w:val="24"/>
    </w:rPr>
  </w:style>
  <w:style w:type="paragraph" w:customStyle="1" w:styleId="182">
    <w:name w:val="标题1-附件"/>
    <w:basedOn w:val="2"/>
    <w:qFormat/>
    <w:uiPriority w:val="0"/>
    <w:pPr>
      <w:jc w:val="left"/>
    </w:pPr>
    <w:rPr>
      <w:sz w:val="24"/>
      <w:szCs w:val="24"/>
    </w:rPr>
  </w:style>
  <w:style w:type="paragraph" w:customStyle="1" w:styleId="183">
    <w:name w:val="正文小标题"/>
    <w:basedOn w:val="1"/>
    <w:next w:val="12"/>
    <w:link w:val="18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12"/>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3"/>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0">
    <w:name w:val="Revision"/>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2"/>
    <w:qFormat/>
    <w:uiPriority w:val="0"/>
    <w:rPr>
      <w:rFonts w:ascii="宋体"/>
      <w:b/>
      <w:kern w:val="44"/>
      <w:sz w:val="32"/>
    </w:rPr>
  </w:style>
  <w:style w:type="character" w:customStyle="1" w:styleId="229">
    <w:name w:val="标题 4 字符"/>
    <w:basedOn w:val="45"/>
    <w:link w:val="5"/>
    <w:qFormat/>
    <w:uiPriority w:val="0"/>
    <w:rPr>
      <w:rFonts w:ascii="Arial" w:hAnsi="Arial" w:eastAsia="黑体"/>
      <w:b/>
      <w:sz w:val="28"/>
    </w:rPr>
  </w:style>
  <w:style w:type="character" w:customStyle="1" w:styleId="230">
    <w:name w:val="标题 5 字符"/>
    <w:basedOn w:val="45"/>
    <w:link w:val="6"/>
    <w:qFormat/>
    <w:uiPriority w:val="0"/>
    <w:rPr>
      <w:b/>
      <w:sz w:val="28"/>
    </w:rPr>
  </w:style>
  <w:style w:type="character" w:customStyle="1" w:styleId="231">
    <w:name w:val="标题 6 字符"/>
    <w:basedOn w:val="45"/>
    <w:link w:val="7"/>
    <w:qFormat/>
    <w:uiPriority w:val="0"/>
    <w:rPr>
      <w:rFonts w:ascii="Arial" w:hAnsi="Arial" w:eastAsia="黑体"/>
      <w:b/>
      <w:sz w:val="24"/>
    </w:rPr>
  </w:style>
  <w:style w:type="character" w:customStyle="1" w:styleId="232">
    <w:name w:val="标题 7 字符"/>
    <w:basedOn w:val="45"/>
    <w:link w:val="8"/>
    <w:qFormat/>
    <w:uiPriority w:val="0"/>
    <w:rPr>
      <w:b/>
      <w:sz w:val="24"/>
    </w:rPr>
  </w:style>
  <w:style w:type="character" w:customStyle="1" w:styleId="233">
    <w:name w:val="标题 8 字符"/>
    <w:basedOn w:val="45"/>
    <w:link w:val="9"/>
    <w:qFormat/>
    <w:uiPriority w:val="0"/>
    <w:rPr>
      <w:rFonts w:ascii="Arial" w:hAnsi="Arial" w:eastAsia="黑体"/>
      <w:sz w:val="24"/>
    </w:rPr>
  </w:style>
  <w:style w:type="character" w:customStyle="1" w:styleId="234">
    <w:name w:val="标题 9 字符"/>
    <w:basedOn w:val="45"/>
    <w:link w:val="10"/>
    <w:qFormat/>
    <w:uiPriority w:val="0"/>
    <w:rPr>
      <w:rFonts w:ascii="Arial" w:hAnsi="Arial" w:eastAsia="黑体"/>
      <w:sz w:val="21"/>
    </w:rPr>
  </w:style>
  <w:style w:type="character" w:customStyle="1" w:styleId="235">
    <w:name w:val="文档结构图 字符"/>
    <w:basedOn w:val="45"/>
    <w:link w:val="14"/>
    <w:qFormat/>
    <w:uiPriority w:val="0"/>
    <w:rPr>
      <w:kern w:val="2"/>
      <w:sz w:val="21"/>
      <w:szCs w:val="24"/>
      <w:shd w:val="clear" w:color="auto" w:fill="000080"/>
    </w:rPr>
  </w:style>
  <w:style w:type="character" w:customStyle="1" w:styleId="236">
    <w:name w:val="正文文本 3 字符"/>
    <w:basedOn w:val="45"/>
    <w:link w:val="16"/>
    <w:qFormat/>
    <w:uiPriority w:val="0"/>
    <w:rPr>
      <w:kern w:val="2"/>
      <w:sz w:val="16"/>
      <w:szCs w:val="16"/>
    </w:rPr>
  </w:style>
  <w:style w:type="character" w:customStyle="1" w:styleId="237">
    <w:name w:val="正文文本 字符"/>
    <w:basedOn w:val="45"/>
    <w:link w:val="17"/>
    <w:qFormat/>
    <w:uiPriority w:val="0"/>
    <w:rPr>
      <w:rFonts w:ascii="宋体" w:hAnsi="宋体"/>
      <w:kern w:val="2"/>
      <w:sz w:val="24"/>
      <w:szCs w:val="24"/>
    </w:rPr>
  </w:style>
  <w:style w:type="character" w:customStyle="1" w:styleId="238">
    <w:name w:val="日期 字符"/>
    <w:basedOn w:val="45"/>
    <w:link w:val="25"/>
    <w:qFormat/>
    <w:uiPriority w:val="0"/>
    <w:rPr>
      <w:rFonts w:ascii="仿宋_GB2312" w:hAnsi="宋体" w:eastAsia="仿宋_GB2312"/>
      <w:color w:val="000000"/>
      <w:kern w:val="2"/>
      <w:sz w:val="24"/>
      <w:szCs w:val="24"/>
    </w:rPr>
  </w:style>
  <w:style w:type="character" w:customStyle="1" w:styleId="239">
    <w:name w:val="正文文本缩进 2 字符"/>
    <w:basedOn w:val="45"/>
    <w:link w:val="26"/>
    <w:qFormat/>
    <w:uiPriority w:val="0"/>
    <w:rPr>
      <w:rFonts w:ascii="仿宋_GB2312" w:eastAsia="仿宋_GB2312"/>
      <w:kern w:val="2"/>
      <w:sz w:val="24"/>
      <w:szCs w:val="24"/>
    </w:rPr>
  </w:style>
  <w:style w:type="character" w:customStyle="1" w:styleId="240">
    <w:name w:val="批注框文本 字符"/>
    <w:basedOn w:val="45"/>
    <w:link w:val="27"/>
    <w:qFormat/>
    <w:uiPriority w:val="0"/>
    <w:rPr>
      <w:kern w:val="2"/>
      <w:sz w:val="18"/>
      <w:szCs w:val="18"/>
    </w:rPr>
  </w:style>
  <w:style w:type="character" w:customStyle="1" w:styleId="241">
    <w:name w:val="正文文本缩进 3 字符"/>
    <w:basedOn w:val="45"/>
    <w:link w:val="33"/>
    <w:qFormat/>
    <w:uiPriority w:val="0"/>
    <w:rPr>
      <w:rFonts w:ascii="宋体"/>
      <w:sz w:val="24"/>
    </w:rPr>
  </w:style>
  <w:style w:type="character" w:customStyle="1" w:styleId="242">
    <w:name w:val="HTML 预设格式 字符"/>
    <w:basedOn w:val="45"/>
    <w:link w:val="36"/>
    <w:qFormat/>
    <w:uiPriority w:val="0"/>
    <w:rPr>
      <w:rFonts w:ascii="宋体" w:hAnsi="宋体" w:cs="宋体"/>
      <w:sz w:val="24"/>
      <w:szCs w:val="24"/>
    </w:rPr>
  </w:style>
  <w:style w:type="character" w:customStyle="1" w:styleId="243">
    <w:name w:val="批注主题 字符"/>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文本首行缩进 2 字符"/>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paragraph" w:customStyle="1" w:styleId="246">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7">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49">
    <w:name w:val="样式 小四"/>
    <w:qFormat/>
    <w:uiPriority w:val="0"/>
    <w:pPr>
      <w:widowControl w:val="0"/>
      <w:adjustRightInd w:val="0"/>
      <w:spacing w:line="360" w:lineRule="atLeast"/>
      <w:textAlignment w:val="baseline"/>
    </w:pPr>
    <w:rPr>
      <w:rFonts w:ascii="Calibri" w:hAnsi="Calibri" w:eastAsia="宋体" w:cs="Arial"/>
      <w:sz w:val="24"/>
      <w:szCs w:val="22"/>
      <w:lang w:val="en-US" w:eastAsia="zh-CN" w:bidi="ar-SA"/>
    </w:rPr>
  </w:style>
  <w:style w:type="paragraph" w:customStyle="1" w:styleId="250">
    <w:name w:val="Table Text"/>
    <w:basedOn w:val="1"/>
    <w:semiHidden/>
    <w:qFormat/>
    <w:uiPriority w:val="0"/>
    <w:rPr>
      <w:rFonts w:ascii="宋体" w:hAnsi="宋体" w:eastAsia="宋体" w:cs="宋体"/>
      <w:sz w:val="24"/>
      <w:szCs w:val="24"/>
      <w:lang w:val="en-US" w:eastAsia="en-US" w:bidi="ar-SA"/>
    </w:rPr>
  </w:style>
  <w:style w:type="paragraph" w:customStyle="1" w:styleId="251">
    <w:name w:val="样式 标题 3 + (中文) 黑体 小四 非加粗 段前: 7.8 磅 段后: 0 磅 行距: 固定值 20 磅"/>
    <w:basedOn w:val="4"/>
    <w:qFormat/>
    <w:uiPriority w:val="0"/>
    <w:pPr>
      <w:spacing w:beforeLines="50" w:afterLines="50" w:line="360" w:lineRule="auto"/>
    </w:pPr>
    <w:rPr>
      <w:rFonts w:ascii="宋体"/>
      <w:b w:val="0"/>
      <w:sz w:val="24"/>
      <w:szCs w:val="20"/>
    </w:rPr>
  </w:style>
  <w:style w:type="character" w:customStyle="1" w:styleId="252">
    <w:name w:val="not([class*=suffix])"/>
    <w:basedOn w:val="45"/>
    <w:qFormat/>
    <w:uiPriority w:val="0"/>
    <w:rPr>
      <w:sz w:val="19"/>
      <w:szCs w:val="19"/>
    </w:rPr>
  </w:style>
  <w:style w:type="character" w:customStyle="1" w:styleId="253">
    <w:name w:val="not([class*=suffix])1"/>
    <w:basedOn w:val="45"/>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CFC125-CB4D-469E-B613-909613273AF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135</Pages>
  <Words>10763</Words>
  <Characters>11446</Characters>
  <Lines>230</Lines>
  <Paragraphs>65</Paragraphs>
  <TotalTime>2</TotalTime>
  <ScaleCrop>false</ScaleCrop>
  <LinksUpToDate>false</LinksUpToDate>
  <CharactersWithSpaces>11662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2024-06-04T14:21:00Z</dcterms:created>
  <dc:creator>Yin Hao</dc:creator>
  <cp:lastModifiedBy>hello</cp:lastModifiedBy>
  <cp:lastPrinted>2020-04-01T03:13:00Z</cp:lastPrinted>
  <dcterms:modified xsi:type="dcterms:W3CDTF">2025-09-28T08:26:50Z</dcterms:modified>
  <dc:title>政府采购示范文本（2023）</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6B4349F886B34D9BA02F087DD736E5FB_13</vt:lpwstr>
  </property>
  <property fmtid="{D5CDD505-2E9C-101B-9397-08002B2CF9AE}" pid="4" name="KSOTemplateDocerSaveRecord">
    <vt:lpwstr>eyJoZGlkIjoiMDI0NmVlOGY1MWE0OGMyMzA3MDk5ZTdmNGE0M2E1NmMiLCJ1c2VySWQiOiIzMDgwNTgxMjkifQ==</vt:lpwstr>
  </property>
</Properties>
</file>