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61FA0">
      <w:pPr>
        <w:pStyle w:val="6"/>
        <w:spacing w:line="245" w:lineRule="auto"/>
        <w:rPr>
          <w:color w:val="auto"/>
          <w:highlight w:val="none"/>
        </w:rPr>
      </w:pPr>
    </w:p>
    <w:p w14:paraId="36948D3A">
      <w:pPr>
        <w:pStyle w:val="6"/>
        <w:spacing w:line="245" w:lineRule="auto"/>
        <w:rPr>
          <w:color w:val="auto"/>
          <w:highlight w:val="none"/>
        </w:rPr>
      </w:pPr>
    </w:p>
    <w:p w14:paraId="01F0BB07">
      <w:pPr>
        <w:pStyle w:val="6"/>
        <w:spacing w:line="245" w:lineRule="auto"/>
        <w:rPr>
          <w:color w:val="auto"/>
          <w:highlight w:val="none"/>
        </w:rPr>
      </w:pPr>
    </w:p>
    <w:p w14:paraId="687C01C5">
      <w:pPr>
        <w:pStyle w:val="6"/>
        <w:spacing w:line="245" w:lineRule="auto"/>
        <w:rPr>
          <w:color w:val="auto"/>
          <w:highlight w:val="none"/>
        </w:rPr>
      </w:pPr>
    </w:p>
    <w:p w14:paraId="65B48B0E">
      <w:pPr>
        <w:pStyle w:val="6"/>
        <w:spacing w:line="245" w:lineRule="auto"/>
        <w:rPr>
          <w:color w:val="auto"/>
          <w:highlight w:val="none"/>
        </w:rPr>
      </w:pPr>
    </w:p>
    <w:p w14:paraId="157444AB">
      <w:pPr>
        <w:pStyle w:val="6"/>
        <w:spacing w:line="246" w:lineRule="auto"/>
        <w:rPr>
          <w:color w:val="auto"/>
          <w:highlight w:val="none"/>
        </w:rPr>
      </w:pPr>
    </w:p>
    <w:p w14:paraId="55E160FB">
      <w:pPr>
        <w:pStyle w:val="6"/>
        <w:spacing w:line="246" w:lineRule="auto"/>
        <w:rPr>
          <w:color w:val="auto"/>
          <w:highlight w:val="none"/>
        </w:rPr>
      </w:pPr>
    </w:p>
    <w:p w14:paraId="7A3E6DF3">
      <w:pPr>
        <w:widowControl w:val="0"/>
        <w:tabs>
          <w:tab w:val="center" w:pos="4156"/>
        </w:tabs>
        <w:kinsoku/>
        <w:autoSpaceDE/>
        <w:autoSpaceDN/>
        <w:adjustRightInd/>
        <w:snapToGrid/>
        <w:spacing w:line="360" w:lineRule="auto"/>
        <w:ind w:left="0" w:leftChars="0" w:right="525" w:rightChars="250" w:firstLine="0" w:firstLineChars="0"/>
        <w:jc w:val="center"/>
        <w:textAlignment w:val="auto"/>
        <w:rPr>
          <w:rFonts w:hint="eastAsia" w:ascii="宋体" w:hAnsi="宋体" w:eastAsia="宋体" w:cs="Times New Roman"/>
          <w:snapToGrid/>
          <w:kern w:val="2"/>
          <w:sz w:val="38"/>
          <w:szCs w:val="38"/>
          <w:highlight w:val="none"/>
          <w:lang w:eastAsia="zh-CN"/>
        </w:rPr>
      </w:pPr>
      <w:r>
        <w:rPr>
          <w:rFonts w:hint="eastAsia" w:ascii="宋体" w:hAnsi="宋体" w:eastAsia="宋体" w:cs="Times New Roman"/>
          <w:snapToGrid/>
          <w:kern w:val="2"/>
          <w:sz w:val="38"/>
          <w:szCs w:val="38"/>
          <w:highlight w:val="none"/>
          <w:lang w:eastAsia="zh-CN"/>
        </w:rPr>
        <w:t>2025年通州区西集镇通香旧路（K0+479-K1+326）养护工程</w:t>
      </w:r>
    </w:p>
    <w:p w14:paraId="021F35F6">
      <w:pPr>
        <w:pStyle w:val="6"/>
        <w:spacing w:line="246" w:lineRule="auto"/>
        <w:rPr>
          <w:color w:val="auto"/>
          <w:highlight w:val="none"/>
        </w:rPr>
      </w:pPr>
    </w:p>
    <w:p w14:paraId="7DA372AF">
      <w:pPr>
        <w:pStyle w:val="6"/>
        <w:spacing w:line="246" w:lineRule="auto"/>
        <w:rPr>
          <w:color w:val="auto"/>
          <w:highlight w:val="none"/>
        </w:rPr>
      </w:pPr>
    </w:p>
    <w:p w14:paraId="4418AE0B">
      <w:pPr>
        <w:pStyle w:val="6"/>
        <w:spacing w:line="246" w:lineRule="auto"/>
        <w:rPr>
          <w:color w:val="auto"/>
          <w:highlight w:val="none"/>
        </w:rPr>
      </w:pPr>
    </w:p>
    <w:p w14:paraId="35082FD4">
      <w:pPr>
        <w:pStyle w:val="6"/>
        <w:spacing w:line="246" w:lineRule="auto"/>
        <w:rPr>
          <w:color w:val="auto"/>
          <w:highlight w:val="none"/>
        </w:rPr>
      </w:pPr>
    </w:p>
    <w:p w14:paraId="4DEA1CED">
      <w:pPr>
        <w:pStyle w:val="6"/>
        <w:spacing w:line="247" w:lineRule="auto"/>
        <w:rPr>
          <w:color w:val="auto"/>
          <w:highlight w:val="none"/>
        </w:rPr>
      </w:pPr>
    </w:p>
    <w:p w14:paraId="35FDD1DE">
      <w:pPr>
        <w:pStyle w:val="6"/>
        <w:spacing w:line="247" w:lineRule="auto"/>
        <w:rPr>
          <w:color w:val="auto"/>
          <w:highlight w:val="none"/>
        </w:rPr>
      </w:pPr>
    </w:p>
    <w:p w14:paraId="2C3FBB16">
      <w:pPr>
        <w:pStyle w:val="6"/>
        <w:spacing w:line="247" w:lineRule="auto"/>
        <w:rPr>
          <w:color w:val="auto"/>
          <w:highlight w:val="none"/>
        </w:rPr>
      </w:pPr>
    </w:p>
    <w:p w14:paraId="6963ECFB">
      <w:pPr>
        <w:pStyle w:val="6"/>
        <w:spacing w:line="247" w:lineRule="auto"/>
        <w:jc w:val="center"/>
        <w:rPr>
          <w:rFonts w:hint="eastAsia" w:eastAsia="宋体"/>
          <w:b/>
          <w:bCs/>
          <w:color w:val="auto"/>
          <w:sz w:val="60"/>
          <w:szCs w:val="60"/>
          <w:highlight w:val="none"/>
          <w:lang w:val="en-US" w:eastAsia="zh-CN"/>
        </w:rPr>
      </w:pPr>
      <w:r>
        <w:rPr>
          <w:rFonts w:hint="eastAsia" w:eastAsia="宋体"/>
          <w:b/>
          <w:bCs/>
          <w:color w:val="auto"/>
          <w:sz w:val="60"/>
          <w:szCs w:val="60"/>
          <w:highlight w:val="none"/>
          <w:lang w:val="en-US" w:eastAsia="zh-CN"/>
        </w:rPr>
        <w:t>竞争性磋商文件</w:t>
      </w:r>
    </w:p>
    <w:p w14:paraId="74C3EA68">
      <w:pPr>
        <w:pStyle w:val="6"/>
        <w:spacing w:line="247" w:lineRule="auto"/>
        <w:jc w:val="center"/>
        <w:rPr>
          <w:rFonts w:hint="eastAsia" w:eastAsia="宋体"/>
          <w:b/>
          <w:bCs/>
          <w:color w:val="auto"/>
          <w:sz w:val="60"/>
          <w:szCs w:val="60"/>
          <w:highlight w:val="none"/>
          <w:lang w:val="en-US" w:eastAsia="zh-CN"/>
        </w:rPr>
      </w:pPr>
    </w:p>
    <w:p w14:paraId="5ABFDAA1">
      <w:pPr>
        <w:pStyle w:val="6"/>
        <w:spacing w:line="247" w:lineRule="auto"/>
        <w:jc w:val="center"/>
        <w:rPr>
          <w:rFonts w:hint="eastAsia" w:eastAsia="宋体"/>
          <w:b/>
          <w:bCs/>
          <w:color w:val="auto"/>
          <w:sz w:val="60"/>
          <w:szCs w:val="60"/>
          <w:highlight w:val="none"/>
          <w:lang w:val="en-US" w:eastAsia="zh-CN"/>
        </w:rPr>
      </w:pPr>
    </w:p>
    <w:p w14:paraId="4E9E4096">
      <w:pPr>
        <w:pStyle w:val="6"/>
        <w:spacing w:line="247" w:lineRule="auto"/>
        <w:jc w:val="center"/>
        <w:rPr>
          <w:rFonts w:hint="eastAsia" w:eastAsia="宋体"/>
          <w:b/>
          <w:bCs/>
          <w:color w:val="auto"/>
          <w:sz w:val="60"/>
          <w:szCs w:val="60"/>
          <w:highlight w:val="none"/>
          <w:lang w:val="en-US" w:eastAsia="zh-CN"/>
        </w:rPr>
      </w:pPr>
    </w:p>
    <w:p w14:paraId="0BC83CCA">
      <w:pPr>
        <w:pStyle w:val="6"/>
        <w:spacing w:line="247" w:lineRule="auto"/>
        <w:jc w:val="center"/>
        <w:rPr>
          <w:rFonts w:hint="eastAsia" w:eastAsia="宋体"/>
          <w:b/>
          <w:bCs/>
          <w:color w:val="auto"/>
          <w:sz w:val="60"/>
          <w:szCs w:val="60"/>
          <w:highlight w:val="none"/>
          <w:lang w:val="en-US" w:eastAsia="zh-CN"/>
        </w:rPr>
      </w:pPr>
    </w:p>
    <w:p w14:paraId="509886C9">
      <w:pPr>
        <w:pStyle w:val="6"/>
        <w:spacing w:line="247" w:lineRule="auto"/>
        <w:jc w:val="center"/>
        <w:rPr>
          <w:rFonts w:hint="default" w:eastAsia="宋体"/>
          <w:b/>
          <w:bCs/>
          <w:color w:val="auto"/>
          <w:sz w:val="60"/>
          <w:szCs w:val="60"/>
          <w:highlight w:val="none"/>
          <w:lang w:val="en-US" w:eastAsia="zh-CN"/>
        </w:rPr>
      </w:pPr>
    </w:p>
    <w:p w14:paraId="6F81D07F">
      <w:pPr>
        <w:pStyle w:val="6"/>
        <w:spacing w:line="247" w:lineRule="auto"/>
        <w:rPr>
          <w:color w:val="auto"/>
          <w:highlight w:val="none"/>
        </w:rPr>
      </w:pPr>
    </w:p>
    <w:p w14:paraId="33E16F9B">
      <w:pPr>
        <w:pStyle w:val="6"/>
        <w:spacing w:line="247" w:lineRule="auto"/>
        <w:rPr>
          <w:color w:val="auto"/>
          <w:highlight w:val="none"/>
        </w:rPr>
      </w:pPr>
    </w:p>
    <w:p w14:paraId="6773FAB5">
      <w:pPr>
        <w:widowControl w:val="0"/>
        <w:tabs>
          <w:tab w:val="center" w:pos="4156"/>
        </w:tabs>
        <w:kinsoku/>
        <w:autoSpaceDE/>
        <w:autoSpaceDN/>
        <w:adjustRightInd/>
        <w:snapToGrid/>
        <w:spacing w:line="360" w:lineRule="auto"/>
        <w:ind w:left="0" w:leftChars="0" w:right="525" w:rightChars="250" w:firstLine="0" w:firstLineChars="0"/>
        <w:jc w:val="center"/>
        <w:textAlignment w:val="auto"/>
        <w:rPr>
          <w:rFonts w:hint="eastAsia" w:ascii="宋体" w:hAnsi="宋体" w:eastAsia="宋体" w:cs="Times New Roman"/>
          <w:snapToGrid/>
          <w:kern w:val="2"/>
          <w:sz w:val="38"/>
          <w:szCs w:val="38"/>
          <w:highlight w:val="none"/>
          <w:lang w:eastAsia="zh-CN"/>
        </w:rPr>
      </w:pPr>
      <w:r>
        <w:rPr>
          <w:rFonts w:hint="eastAsia" w:ascii="宋体" w:hAnsi="宋体" w:eastAsia="宋体" w:cs="宋体"/>
          <w:color w:val="auto"/>
          <w:spacing w:val="-3"/>
          <w:sz w:val="32"/>
          <w:szCs w:val="32"/>
          <w:highlight w:val="none"/>
          <w:lang w:val="en-US" w:eastAsia="zh-CN"/>
        </w:rPr>
        <w:t>项目名称：2025年通州区西集镇通香旧路（K0+479-K1+326）养护工程</w:t>
      </w:r>
    </w:p>
    <w:p w14:paraId="5CD9525B">
      <w:pPr>
        <w:spacing w:before="104" w:line="359" w:lineRule="auto"/>
        <w:ind w:left="0" w:leftChars="0" w:right="-109" w:rightChars="-52" w:firstLine="0" w:firstLineChars="0"/>
        <w:rPr>
          <w:rFonts w:hint="default"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项目编号/包号：11011225210200018047-XM001/01</w:t>
      </w:r>
    </w:p>
    <w:p w14:paraId="057B33E0">
      <w:pPr>
        <w:spacing w:before="104" w:line="359" w:lineRule="auto"/>
        <w:ind w:left="0" w:leftChars="0" w:right="-109" w:rightChars="-52" w:firstLine="0" w:firstLineChars="0"/>
        <w:rPr>
          <w:rFonts w:hint="eastAsia"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 xml:space="preserve">采 购 人：北京市通州区西集镇人民政府 </w:t>
      </w:r>
    </w:p>
    <w:p w14:paraId="540519DC">
      <w:pPr>
        <w:spacing w:before="104" w:line="359" w:lineRule="auto"/>
        <w:ind w:left="0" w:leftChars="0" w:right="-109" w:rightChars="-52" w:firstLine="0" w:firstLineChars="0"/>
        <w:rPr>
          <w:rFonts w:hint="default" w:ascii="宋体" w:hAnsi="宋体" w:eastAsia="宋体" w:cs="宋体"/>
          <w:color w:val="auto"/>
          <w:spacing w:val="-3"/>
          <w:sz w:val="32"/>
          <w:szCs w:val="32"/>
          <w:highlight w:val="none"/>
          <w:lang w:val="en-US" w:eastAsia="zh-CN"/>
        </w:rPr>
      </w:pPr>
      <w:r>
        <w:rPr>
          <w:rFonts w:hint="eastAsia" w:ascii="宋体" w:hAnsi="宋体" w:eastAsia="宋体" w:cs="宋体"/>
          <w:color w:val="auto"/>
          <w:spacing w:val="-3"/>
          <w:sz w:val="32"/>
          <w:szCs w:val="32"/>
          <w:highlight w:val="none"/>
          <w:lang w:val="en-US" w:eastAsia="zh-CN"/>
        </w:rPr>
        <w:t>采购代理机构：北京飞焱工程管理咨询有限公司</w:t>
      </w:r>
    </w:p>
    <w:p w14:paraId="30A5086C">
      <w:pPr>
        <w:spacing w:line="219" w:lineRule="auto"/>
        <w:rPr>
          <w:rFonts w:ascii="宋体" w:hAnsi="宋体" w:eastAsia="宋体" w:cs="宋体"/>
          <w:color w:val="auto"/>
          <w:sz w:val="32"/>
          <w:szCs w:val="32"/>
          <w:highlight w:val="none"/>
        </w:rPr>
        <w:sectPr>
          <w:headerReference r:id="rId5" w:type="default"/>
          <w:pgSz w:w="11907" w:h="16840"/>
          <w:pgMar w:top="1162" w:right="1105" w:bottom="0" w:left="1672" w:header="830" w:footer="0" w:gutter="0"/>
          <w:cols w:space="720" w:num="1"/>
        </w:sectPr>
      </w:pPr>
    </w:p>
    <w:p w14:paraId="56C626FE">
      <w:pPr>
        <w:spacing w:before="305" w:line="222" w:lineRule="auto"/>
        <w:ind w:left="3746"/>
        <w:outlineLvl w:val="0"/>
        <w:rPr>
          <w:rFonts w:ascii="宋体" w:hAnsi="宋体" w:eastAsia="宋体" w:cs="宋体"/>
          <w:color w:val="auto"/>
          <w:sz w:val="36"/>
          <w:szCs w:val="36"/>
          <w:highlight w:val="none"/>
        </w:rPr>
      </w:pPr>
      <w:bookmarkStart w:id="0" w:name="bookmark1"/>
      <w:bookmarkEnd w:id="0"/>
      <w:r>
        <w:rPr>
          <w:rFonts w:ascii="宋体" w:hAnsi="宋体" w:eastAsia="宋体" w:cs="宋体"/>
          <w:b/>
          <w:bCs/>
          <w:color w:val="auto"/>
          <w:spacing w:val="-46"/>
          <w:sz w:val="36"/>
          <w:szCs w:val="36"/>
          <w:highlight w:val="none"/>
        </w:rPr>
        <w:t>目</w:t>
      </w:r>
      <w:r>
        <w:rPr>
          <w:rFonts w:ascii="宋体" w:hAnsi="宋体" w:eastAsia="宋体" w:cs="宋体"/>
          <w:color w:val="auto"/>
          <w:spacing w:val="2"/>
          <w:sz w:val="36"/>
          <w:szCs w:val="36"/>
          <w:highlight w:val="none"/>
        </w:rPr>
        <w:t xml:space="preserve">      </w:t>
      </w:r>
      <w:r>
        <w:rPr>
          <w:rFonts w:ascii="宋体" w:hAnsi="宋体" w:eastAsia="宋体" w:cs="宋体"/>
          <w:b/>
          <w:bCs/>
          <w:color w:val="auto"/>
          <w:spacing w:val="-46"/>
          <w:sz w:val="36"/>
          <w:szCs w:val="36"/>
          <w:highlight w:val="none"/>
        </w:rPr>
        <w:t>录</w:t>
      </w:r>
    </w:p>
    <w:p w14:paraId="10798157">
      <w:pPr>
        <w:pStyle w:val="6"/>
        <w:spacing w:line="282" w:lineRule="auto"/>
        <w:rPr>
          <w:color w:val="auto"/>
          <w:highlight w:val="none"/>
        </w:rPr>
      </w:pPr>
    </w:p>
    <w:p w14:paraId="38033121">
      <w:pPr>
        <w:pStyle w:val="6"/>
        <w:spacing w:line="282" w:lineRule="auto"/>
        <w:rPr>
          <w:color w:val="auto"/>
          <w:highlight w:val="none"/>
        </w:rPr>
      </w:pPr>
    </w:p>
    <w:p w14:paraId="7AF8D6E0">
      <w:pPr>
        <w:pStyle w:val="6"/>
        <w:spacing w:line="282" w:lineRule="auto"/>
        <w:rPr>
          <w:color w:val="auto"/>
          <w:highlight w:val="none"/>
        </w:rPr>
      </w:pPr>
    </w:p>
    <w:p w14:paraId="27FA624B">
      <w:pPr>
        <w:pStyle w:val="6"/>
        <w:spacing w:line="283" w:lineRule="auto"/>
        <w:rPr>
          <w:color w:val="auto"/>
          <w:highlight w:val="none"/>
        </w:rPr>
      </w:pPr>
    </w:p>
    <w:sdt>
      <w:sdtPr>
        <w:rPr>
          <w:rFonts w:ascii="宋体" w:hAnsi="宋体" w:eastAsia="宋体" w:cs="宋体"/>
          <w:color w:val="auto"/>
          <w:sz w:val="24"/>
          <w:szCs w:val="24"/>
          <w:highlight w:val="none"/>
        </w:rPr>
        <w:id w:val="147474601"/>
        <w:docPartObj>
          <w:docPartGallery w:val="Table of Contents"/>
          <w:docPartUnique/>
        </w:docPartObj>
      </w:sdtPr>
      <w:sdtEndPr>
        <w:rPr>
          <w:rFonts w:ascii="Times New Roman" w:hAnsi="Times New Roman" w:eastAsia="Times New Roman" w:cs="Times New Roman"/>
          <w:color w:val="auto"/>
          <w:sz w:val="24"/>
          <w:szCs w:val="24"/>
          <w:highlight w:val="none"/>
        </w:rPr>
      </w:sdtEndPr>
      <w:sdtContent>
        <w:p w14:paraId="5160D136">
          <w:pPr>
            <w:tabs>
              <w:tab w:val="right" w:leader="dot" w:pos="8965"/>
            </w:tabs>
            <w:spacing w:before="78"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b/>
              <w:bCs/>
              <w:color w:val="auto"/>
              <w:spacing w:val="-3"/>
              <w:sz w:val="24"/>
              <w:szCs w:val="24"/>
              <w:highlight w:val="none"/>
            </w:rPr>
            <w:t>第一章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采购邀请</w:t>
          </w:r>
          <w:r>
            <w:rPr>
              <w:rFonts w:ascii="宋体" w:hAnsi="宋体" w:eastAsia="宋体" w:cs="宋体"/>
              <w:color w:val="auto"/>
              <w:spacing w:val="-51"/>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4</w:t>
          </w:r>
          <w:r>
            <w:rPr>
              <w:rFonts w:ascii="Times New Roman" w:hAnsi="Times New Roman" w:eastAsia="Times New Roman" w:cs="Times New Roman"/>
              <w:b/>
              <w:bCs/>
              <w:color w:val="auto"/>
              <w:sz w:val="24"/>
              <w:szCs w:val="24"/>
              <w:highlight w:val="none"/>
            </w:rPr>
            <w:fldChar w:fldCharType="end"/>
          </w:r>
        </w:p>
        <w:p w14:paraId="2CA8FAD9">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宋体" w:hAnsi="宋体" w:eastAsia="宋体" w:cs="宋体"/>
              <w:b/>
              <w:bCs/>
              <w:color w:val="auto"/>
              <w:spacing w:val="-3"/>
              <w:sz w:val="24"/>
              <w:szCs w:val="24"/>
              <w:highlight w:val="none"/>
            </w:rPr>
            <w:t>第二章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供应商须知</w:t>
          </w:r>
          <w:r>
            <w:rPr>
              <w:rFonts w:ascii="宋体" w:hAnsi="宋体" w:eastAsia="宋体" w:cs="宋体"/>
              <w:color w:val="auto"/>
              <w:spacing w:val="-50"/>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5</w:t>
          </w:r>
          <w:r>
            <w:rPr>
              <w:rFonts w:ascii="Times New Roman" w:hAnsi="Times New Roman" w:eastAsia="Times New Roman" w:cs="Times New Roman"/>
              <w:b/>
              <w:bCs/>
              <w:color w:val="auto"/>
              <w:sz w:val="24"/>
              <w:szCs w:val="24"/>
              <w:highlight w:val="none"/>
            </w:rPr>
            <w:fldChar w:fldCharType="end"/>
          </w:r>
        </w:p>
        <w:p w14:paraId="73D89F8F">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"bookmark3" </w:instrText>
          </w:r>
          <w:r>
            <w:rPr>
              <w:color w:val="auto"/>
              <w:highlight w:val="none"/>
            </w:rPr>
            <w:fldChar w:fldCharType="separate"/>
          </w:r>
          <w:r>
            <w:rPr>
              <w:rFonts w:ascii="宋体" w:hAnsi="宋体" w:eastAsia="宋体" w:cs="宋体"/>
              <w:b/>
              <w:bCs/>
              <w:color w:val="auto"/>
              <w:spacing w:val="-2"/>
              <w:sz w:val="24"/>
              <w:szCs w:val="24"/>
              <w:highlight w:val="none"/>
            </w:rPr>
            <w:t>第三章</w:t>
          </w:r>
          <w:r>
            <w:rPr>
              <w:rFonts w:ascii="宋体" w:hAnsi="宋体" w:eastAsia="宋体" w:cs="宋体"/>
              <w:color w:val="auto"/>
              <w:spacing w:val="-2"/>
              <w:sz w:val="24"/>
              <w:szCs w:val="24"/>
              <w:highlight w:val="none"/>
            </w:rPr>
            <w:t xml:space="preserve">   </w:t>
          </w:r>
          <w:r>
            <w:rPr>
              <w:rFonts w:ascii="宋体" w:hAnsi="宋体" w:eastAsia="宋体" w:cs="宋体"/>
              <w:b/>
              <w:bCs/>
              <w:color w:val="auto"/>
              <w:spacing w:val="-2"/>
              <w:sz w:val="24"/>
              <w:szCs w:val="24"/>
              <w:highlight w:val="none"/>
            </w:rPr>
            <w:t>评审方法和评审标准</w:t>
          </w:r>
          <w:r>
            <w:rPr>
              <w:rFonts w:ascii="宋体" w:hAnsi="宋体" w:eastAsia="宋体" w:cs="宋体"/>
              <w:color w:val="auto"/>
              <w:spacing w:val="-63"/>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21</w:t>
          </w:r>
          <w:r>
            <w:rPr>
              <w:rFonts w:ascii="Times New Roman" w:hAnsi="Times New Roman" w:eastAsia="Times New Roman" w:cs="Times New Roman"/>
              <w:b/>
              <w:bCs/>
              <w:color w:val="auto"/>
              <w:sz w:val="24"/>
              <w:szCs w:val="24"/>
              <w:highlight w:val="none"/>
            </w:rPr>
            <w:fldChar w:fldCharType="end"/>
          </w:r>
        </w:p>
        <w:p w14:paraId="59674DDC">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宋体" w:hAnsi="宋体" w:eastAsia="宋体" w:cs="宋体"/>
              <w:b/>
              <w:bCs/>
              <w:color w:val="auto"/>
              <w:spacing w:val="-3"/>
              <w:sz w:val="24"/>
              <w:szCs w:val="24"/>
              <w:highlight w:val="none"/>
            </w:rPr>
            <w:t>第四章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采购需求</w:t>
          </w:r>
          <w:r>
            <w:rPr>
              <w:rFonts w:ascii="宋体" w:hAnsi="宋体" w:eastAsia="宋体" w:cs="宋体"/>
              <w:color w:val="auto"/>
              <w:spacing w:val="-51"/>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31</w:t>
          </w:r>
          <w:r>
            <w:rPr>
              <w:rFonts w:ascii="Times New Roman" w:hAnsi="Times New Roman" w:eastAsia="Times New Roman" w:cs="Times New Roman"/>
              <w:b/>
              <w:bCs/>
              <w:color w:val="auto"/>
              <w:sz w:val="24"/>
              <w:szCs w:val="24"/>
              <w:highlight w:val="none"/>
            </w:rPr>
            <w:fldChar w:fldCharType="end"/>
          </w:r>
        </w:p>
        <w:p w14:paraId="7C5AEBFA">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"bookmark5" </w:instrText>
          </w:r>
          <w:r>
            <w:rPr>
              <w:color w:val="auto"/>
              <w:highlight w:val="none"/>
            </w:rPr>
            <w:fldChar w:fldCharType="separate"/>
          </w:r>
          <w:r>
            <w:rPr>
              <w:rFonts w:ascii="宋体" w:hAnsi="宋体" w:eastAsia="宋体" w:cs="宋体"/>
              <w:b/>
              <w:bCs/>
              <w:color w:val="auto"/>
              <w:spacing w:val="-3"/>
              <w:sz w:val="24"/>
              <w:szCs w:val="24"/>
              <w:highlight w:val="none"/>
            </w:rPr>
            <w:t>第五章</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合同草案条款</w:t>
          </w:r>
          <w:r>
            <w:rPr>
              <w:rFonts w:ascii="宋体" w:hAnsi="宋体" w:eastAsia="宋体" w:cs="宋体"/>
              <w:color w:val="auto"/>
              <w:spacing w:val="-50"/>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38</w:t>
          </w:r>
          <w:r>
            <w:rPr>
              <w:rFonts w:ascii="Times New Roman" w:hAnsi="Times New Roman" w:eastAsia="Times New Roman" w:cs="Times New Roman"/>
              <w:b/>
              <w:bCs/>
              <w:color w:val="auto"/>
              <w:sz w:val="24"/>
              <w:szCs w:val="24"/>
              <w:highlight w:val="none"/>
            </w:rPr>
            <w:fldChar w:fldCharType="end"/>
          </w:r>
        </w:p>
        <w:p w14:paraId="620C0DA7">
          <w:pPr>
            <w:tabs>
              <w:tab w:val="right" w:leader="dot" w:pos="8965"/>
            </w:tabs>
            <w:spacing w:before="182" w:line="219" w:lineRule="auto"/>
            <w:ind w:left="38"/>
            <w:rPr>
              <w:rFonts w:ascii="Times New Roman" w:hAnsi="Times New Roman" w:eastAsia="Times New Roman" w:cs="Times New Roman"/>
              <w:color w:val="auto"/>
              <w:sz w:val="24"/>
              <w:szCs w:val="24"/>
              <w:highlight w:val="none"/>
            </w:rPr>
          </w:pPr>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宋体" w:hAnsi="宋体" w:eastAsia="宋体" w:cs="宋体"/>
              <w:b/>
              <w:bCs/>
              <w:color w:val="auto"/>
              <w:spacing w:val="-6"/>
              <w:sz w:val="24"/>
              <w:szCs w:val="24"/>
              <w:highlight w:val="none"/>
            </w:rPr>
            <w:t>第六章</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6"/>
              <w:sz w:val="24"/>
              <w:szCs w:val="24"/>
              <w:highlight w:val="none"/>
            </w:rPr>
            <w:t>响应文件格式</w:t>
          </w:r>
          <w:r>
            <w:rPr>
              <w:rFonts w:ascii="宋体" w:hAnsi="宋体" w:eastAsia="宋体" w:cs="宋体"/>
              <w:color w:val="auto"/>
              <w:spacing w:val="-59"/>
              <w:sz w:val="24"/>
              <w:szCs w:val="24"/>
              <w:highlight w:val="none"/>
            </w:rPr>
            <w:t xml:space="preserve"> </w:t>
          </w:r>
          <w:r>
            <w:rPr>
              <w:rFonts w:ascii="宋体" w:hAnsi="宋体" w:eastAsia="宋体" w:cs="宋体"/>
              <w:color w:val="auto"/>
              <w:sz w:val="24"/>
              <w:szCs w:val="24"/>
              <w:highlight w:val="none"/>
            </w:rPr>
            <w:tab/>
          </w:r>
          <w:r>
            <w:rPr>
              <w:rFonts w:ascii="Times New Roman" w:hAnsi="Times New Roman" w:eastAsia="Times New Roman" w:cs="Times New Roman"/>
              <w:b/>
              <w:bCs/>
              <w:color w:val="auto"/>
              <w:sz w:val="24"/>
              <w:szCs w:val="24"/>
              <w:highlight w:val="none"/>
            </w:rPr>
            <w:t>103</w:t>
          </w:r>
          <w:r>
            <w:rPr>
              <w:rFonts w:ascii="Times New Roman" w:hAnsi="Times New Roman" w:eastAsia="Times New Roman" w:cs="Times New Roman"/>
              <w:b/>
              <w:bCs/>
              <w:color w:val="auto"/>
              <w:sz w:val="24"/>
              <w:szCs w:val="24"/>
              <w:highlight w:val="none"/>
            </w:rPr>
            <w:fldChar w:fldCharType="end"/>
          </w:r>
        </w:p>
      </w:sdtContent>
    </w:sdt>
    <w:p w14:paraId="78FF7C0D">
      <w:pPr>
        <w:pStyle w:val="6"/>
        <w:spacing w:line="297" w:lineRule="auto"/>
        <w:rPr>
          <w:color w:val="auto"/>
          <w:highlight w:val="none"/>
        </w:rPr>
      </w:pPr>
    </w:p>
    <w:p w14:paraId="75493AD0">
      <w:pPr>
        <w:pStyle w:val="6"/>
        <w:spacing w:line="297" w:lineRule="auto"/>
        <w:rPr>
          <w:color w:val="auto"/>
          <w:highlight w:val="none"/>
        </w:rPr>
      </w:pPr>
    </w:p>
    <w:p w14:paraId="3D389D2A">
      <w:pPr>
        <w:pStyle w:val="6"/>
        <w:spacing w:line="297" w:lineRule="auto"/>
        <w:rPr>
          <w:color w:val="auto"/>
          <w:highlight w:val="none"/>
        </w:rPr>
      </w:pPr>
    </w:p>
    <w:p w14:paraId="1CEDD88B">
      <w:pPr>
        <w:spacing w:before="79" w:line="361" w:lineRule="auto"/>
        <w:ind w:left="39" w:right="29" w:hanging="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 xml:space="preserve">注：采购文件条款中以 </w:t>
      </w:r>
      <w:r>
        <w:rPr>
          <w:rFonts w:ascii="Times New Roman" w:hAnsi="Times New Roman" w:eastAsia="Times New Roman" w:cs="Times New Roman"/>
          <w:color w:val="auto"/>
          <w:spacing w:val="2"/>
          <w:sz w:val="24"/>
          <w:szCs w:val="24"/>
          <w:highlight w:val="none"/>
        </w:rPr>
        <w:t>“■”</w:t>
      </w:r>
      <w:r>
        <w:rPr>
          <w:rFonts w:ascii="宋体" w:hAnsi="宋体" w:eastAsia="宋体" w:cs="宋体"/>
          <w:color w:val="auto"/>
          <w:spacing w:val="2"/>
          <w:sz w:val="24"/>
          <w:szCs w:val="24"/>
          <w:highlight w:val="none"/>
        </w:rPr>
        <w:t>形式标记的内容适用于</w:t>
      </w:r>
      <w:r>
        <w:rPr>
          <w:rFonts w:ascii="宋体" w:hAnsi="宋体" w:eastAsia="宋体" w:cs="宋体"/>
          <w:color w:val="auto"/>
          <w:spacing w:val="1"/>
          <w:sz w:val="24"/>
          <w:szCs w:val="24"/>
          <w:highlight w:val="none"/>
        </w:rPr>
        <w:t>本项目，以</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形式标记的内容不适</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用于本项目。</w:t>
      </w:r>
    </w:p>
    <w:p w14:paraId="236FAB44">
      <w:pPr>
        <w:spacing w:line="361" w:lineRule="auto"/>
        <w:rPr>
          <w:rFonts w:ascii="宋体" w:hAnsi="宋体" w:eastAsia="宋体" w:cs="宋体"/>
          <w:color w:val="auto"/>
          <w:sz w:val="24"/>
          <w:szCs w:val="24"/>
          <w:highlight w:val="none"/>
        </w:rPr>
        <w:sectPr>
          <w:headerReference r:id="rId6" w:type="default"/>
          <w:pgSz w:w="11907" w:h="16840"/>
          <w:pgMar w:top="1167" w:right="1105" w:bottom="0" w:left="1672" w:header="830" w:footer="0" w:gutter="0"/>
          <w:cols w:space="720" w:num="1"/>
        </w:sectPr>
      </w:pPr>
    </w:p>
    <w:p w14:paraId="3B2C4937">
      <w:pPr>
        <w:spacing w:before="311" w:line="219" w:lineRule="auto"/>
        <w:ind w:left="3043"/>
        <w:outlineLvl w:val="0"/>
        <w:rPr>
          <w:rFonts w:ascii="宋体" w:hAnsi="宋体" w:eastAsia="宋体" w:cs="宋体"/>
          <w:color w:val="auto"/>
          <w:sz w:val="36"/>
          <w:szCs w:val="36"/>
          <w:highlight w:val="none"/>
        </w:rPr>
      </w:pPr>
      <w:bookmarkStart w:id="1" w:name="bookmark7"/>
      <w:bookmarkEnd w:id="1"/>
      <w:r>
        <w:rPr>
          <w:rFonts w:ascii="宋体" w:hAnsi="宋体" w:eastAsia="宋体" w:cs="宋体"/>
          <w:b/>
          <w:bCs/>
          <w:color w:val="auto"/>
          <w:spacing w:val="-4"/>
          <w:sz w:val="36"/>
          <w:szCs w:val="36"/>
          <w:highlight w:val="none"/>
        </w:rPr>
        <w:t>第一章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采购邀请</w:t>
      </w:r>
    </w:p>
    <w:p w14:paraId="266B38DE">
      <w:pPr>
        <w:pStyle w:val="6"/>
        <w:spacing w:line="293" w:lineRule="auto"/>
        <w:rPr>
          <w:color w:val="auto"/>
          <w:highlight w:val="none"/>
        </w:rPr>
      </w:pPr>
    </w:p>
    <w:p w14:paraId="1B1C0752">
      <w:pPr>
        <w:pStyle w:val="6"/>
        <w:spacing w:line="293" w:lineRule="auto"/>
        <w:rPr>
          <w:color w:val="auto"/>
          <w:highlight w:val="none"/>
        </w:rPr>
      </w:pPr>
    </w:p>
    <w:p w14:paraId="3911F81A">
      <w:pPr>
        <w:spacing w:before="78" w:line="219"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一、项目基本情况</w:t>
      </w:r>
    </w:p>
    <w:p w14:paraId="2C2FA891">
      <w:pPr>
        <w:spacing w:before="183" w:line="240" w:lineRule="auto"/>
        <w:ind w:left="638" w:leftChars="304" w:right="28"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1.项目编号：</w:t>
      </w:r>
      <w:r>
        <w:rPr>
          <w:rFonts w:hint="eastAsia" w:ascii="宋体" w:hAnsi="宋体" w:eastAsia="宋体" w:cs="宋体"/>
          <w:color w:val="auto"/>
          <w:sz w:val="21"/>
          <w:szCs w:val="21"/>
          <w:highlight w:val="none"/>
          <w:u w:val="single"/>
          <w:lang w:val="en-US" w:eastAsia="zh-CN"/>
        </w:rPr>
        <w:t xml:space="preserve">11011225210200018047-XM001 </w:t>
      </w:r>
      <w:r>
        <w:rPr>
          <w:rFonts w:hint="eastAsia" w:ascii="宋体" w:hAnsi="宋体" w:eastAsia="宋体" w:cs="宋体"/>
          <w:color w:val="auto"/>
          <w:sz w:val="21"/>
          <w:szCs w:val="21"/>
          <w:highlight w:val="none"/>
          <w:lang w:val="en-US" w:eastAsia="zh-CN"/>
        </w:rPr>
        <w:t xml:space="preserve">                         </w:t>
      </w:r>
    </w:p>
    <w:p w14:paraId="3CF3DF2B">
      <w:pPr>
        <w:spacing w:before="183" w:line="240" w:lineRule="auto"/>
        <w:ind w:left="638" w:leftChars="304" w:right="28" w:firstLine="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2.项目名称：</w:t>
      </w:r>
      <w:r>
        <w:rPr>
          <w:rFonts w:hint="eastAsia" w:ascii="宋体" w:hAnsi="宋体" w:eastAsia="宋体" w:cs="宋体"/>
          <w:color w:val="auto"/>
          <w:sz w:val="21"/>
          <w:szCs w:val="21"/>
          <w:highlight w:val="none"/>
          <w:u w:val="single"/>
          <w:lang w:val="en-US" w:eastAsia="zh-CN"/>
        </w:rPr>
        <w:t>2025年通州区西集镇通香旧路（K0+479-K1+326）养护工程</w:t>
      </w:r>
    </w:p>
    <w:p w14:paraId="57A19F4A">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3.采购方式：竞争性磋商</w:t>
      </w:r>
    </w:p>
    <w:p w14:paraId="34D8287E">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4.项目预算金额：119.171539万元、项目最高限价（如有）：</w:t>
      </w:r>
      <w:r>
        <w:rPr>
          <w:rFonts w:hint="eastAsia" w:ascii="宋体" w:hAnsi="宋体" w:eastAsia="宋体" w:cs="宋体"/>
          <w:snapToGrid w:val="0"/>
          <w:color w:val="auto"/>
          <w:spacing w:val="-2"/>
          <w:kern w:val="0"/>
          <w:sz w:val="21"/>
          <w:szCs w:val="21"/>
          <w:highlight w:val="none"/>
          <w:lang w:val="en-US" w:eastAsia="zh-CN" w:bidi="ar-SA"/>
        </w:rPr>
        <w:t>108</w:t>
      </w:r>
      <w:r>
        <w:rPr>
          <w:rFonts w:hint="eastAsia" w:cs="宋体"/>
          <w:snapToGrid w:val="0"/>
          <w:color w:val="auto"/>
          <w:spacing w:val="-2"/>
          <w:kern w:val="0"/>
          <w:sz w:val="21"/>
          <w:szCs w:val="21"/>
          <w:highlight w:val="none"/>
          <w:lang w:val="en-US" w:eastAsia="zh-CN" w:bidi="ar-SA"/>
        </w:rPr>
        <w:t>.</w:t>
      </w:r>
      <w:r>
        <w:rPr>
          <w:rFonts w:hint="eastAsia" w:ascii="宋体" w:hAnsi="宋体" w:eastAsia="宋体" w:cs="宋体"/>
          <w:snapToGrid w:val="0"/>
          <w:color w:val="auto"/>
          <w:spacing w:val="-2"/>
          <w:kern w:val="0"/>
          <w:sz w:val="21"/>
          <w:szCs w:val="21"/>
          <w:highlight w:val="none"/>
          <w:lang w:val="en-US" w:eastAsia="zh-CN" w:bidi="ar-SA"/>
        </w:rPr>
        <w:t>047442</w:t>
      </w:r>
      <w:r>
        <w:rPr>
          <w:rFonts w:hint="eastAsia" w:ascii="宋体" w:hAnsi="宋体" w:eastAsia="宋体" w:cs="宋体"/>
          <w:color w:val="auto"/>
          <w:sz w:val="21"/>
          <w:szCs w:val="21"/>
          <w:highlight w:val="none"/>
        </w:rPr>
        <w:t>万元</w:t>
      </w:r>
    </w:p>
    <w:p w14:paraId="72F1AAD7">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5.采购需求：</w:t>
      </w:r>
    </w:p>
    <w:p w14:paraId="6CDBA628">
      <w:pPr>
        <w:spacing w:line="145" w:lineRule="exact"/>
        <w:rPr>
          <w:rFonts w:hint="eastAsia" w:ascii="宋体" w:hAnsi="宋体" w:eastAsia="宋体" w:cs="宋体"/>
          <w:color w:val="auto"/>
          <w:sz w:val="21"/>
          <w:szCs w:val="21"/>
          <w:highlight w:val="none"/>
        </w:rPr>
      </w:pPr>
    </w:p>
    <w:tbl>
      <w:tblPr>
        <w:tblStyle w:val="18"/>
        <w:tblW w:w="9010"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2"/>
        <w:gridCol w:w="1710"/>
        <w:gridCol w:w="1432"/>
        <w:gridCol w:w="831"/>
        <w:gridCol w:w="4345"/>
      </w:tblGrid>
      <w:tr w14:paraId="69847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92" w:type="dxa"/>
            <w:textDirection w:val="tbRlV"/>
            <w:vAlign w:val="center"/>
          </w:tcPr>
          <w:p w14:paraId="65F7B58E">
            <w:pPr>
              <w:pStyle w:val="19"/>
              <w:spacing w:before="223" w:line="209" w:lineRule="auto"/>
              <w:ind w:left="193"/>
              <w:jc w:val="both"/>
              <w:rPr>
                <w:rFonts w:hint="eastAsia" w:ascii="宋体" w:hAnsi="宋体" w:eastAsia="宋体" w:cs="宋体"/>
                <w:color w:val="auto"/>
                <w:sz w:val="21"/>
                <w:szCs w:val="21"/>
                <w:highlight w:val="none"/>
              </w:rPr>
            </w:pPr>
            <w:r>
              <w:rPr>
                <w:rFonts w:hint="eastAsia" w:ascii="宋体" w:hAnsi="宋体" w:eastAsia="宋体" w:cs="宋体"/>
                <w:color w:val="auto"/>
                <w:spacing w:val="35"/>
                <w:sz w:val="21"/>
                <w:szCs w:val="21"/>
                <w:highlight w:val="none"/>
              </w:rPr>
              <w:t>包号</w:t>
            </w:r>
          </w:p>
        </w:tc>
        <w:tc>
          <w:tcPr>
            <w:tcW w:w="1710" w:type="dxa"/>
            <w:vAlign w:val="center"/>
          </w:tcPr>
          <w:p w14:paraId="3F2B0652">
            <w:pPr>
              <w:pStyle w:val="19"/>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标的名称</w:t>
            </w:r>
          </w:p>
        </w:tc>
        <w:tc>
          <w:tcPr>
            <w:tcW w:w="1432" w:type="dxa"/>
            <w:vAlign w:val="center"/>
          </w:tcPr>
          <w:p w14:paraId="091FD058">
            <w:pPr>
              <w:pStyle w:val="19"/>
              <w:spacing w:before="37" w:line="219" w:lineRule="auto"/>
              <w:ind w:left="11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采购包预算金额（万元）</w:t>
            </w:r>
          </w:p>
        </w:tc>
        <w:tc>
          <w:tcPr>
            <w:tcW w:w="831" w:type="dxa"/>
            <w:vAlign w:val="center"/>
          </w:tcPr>
          <w:p w14:paraId="16EED1A0">
            <w:pPr>
              <w:pStyle w:val="19"/>
              <w:spacing w:before="78" w:line="220" w:lineRule="auto"/>
              <w:ind w:left="252"/>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数量</w:t>
            </w:r>
          </w:p>
        </w:tc>
        <w:tc>
          <w:tcPr>
            <w:tcW w:w="4345" w:type="dxa"/>
            <w:vAlign w:val="center"/>
          </w:tcPr>
          <w:p w14:paraId="38542D3A">
            <w:pPr>
              <w:pStyle w:val="19"/>
              <w:spacing w:before="78" w:line="219" w:lineRule="auto"/>
              <w:ind w:left="775"/>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简要技术需求或服务要求</w:t>
            </w:r>
          </w:p>
        </w:tc>
      </w:tr>
      <w:tr w14:paraId="580A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trPr>
        <w:tc>
          <w:tcPr>
            <w:tcW w:w="692" w:type="dxa"/>
            <w:vAlign w:val="top"/>
          </w:tcPr>
          <w:p w14:paraId="07B1AC8E">
            <w:pPr>
              <w:spacing w:line="260" w:lineRule="auto"/>
              <w:rPr>
                <w:rFonts w:hint="eastAsia" w:ascii="宋体" w:hAnsi="宋体" w:eastAsia="宋体" w:cs="宋体"/>
                <w:color w:val="auto"/>
                <w:sz w:val="21"/>
                <w:szCs w:val="21"/>
                <w:highlight w:val="none"/>
              </w:rPr>
            </w:pPr>
          </w:p>
          <w:p w14:paraId="3C561F66">
            <w:pPr>
              <w:spacing w:line="261" w:lineRule="auto"/>
              <w:rPr>
                <w:rFonts w:hint="eastAsia" w:ascii="宋体" w:hAnsi="宋体" w:eastAsia="宋体" w:cs="宋体"/>
                <w:color w:val="auto"/>
                <w:sz w:val="21"/>
                <w:szCs w:val="21"/>
                <w:highlight w:val="none"/>
              </w:rPr>
            </w:pPr>
          </w:p>
          <w:p w14:paraId="2073B22B">
            <w:pPr>
              <w:spacing w:before="69" w:line="186" w:lineRule="auto"/>
              <w:ind w:left="22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01</w:t>
            </w:r>
          </w:p>
        </w:tc>
        <w:tc>
          <w:tcPr>
            <w:tcW w:w="1710" w:type="dxa"/>
            <w:vAlign w:val="top"/>
          </w:tcPr>
          <w:p w14:paraId="2BC3304C">
            <w:pPr>
              <w:pStyle w:val="19"/>
              <w:spacing w:before="78" w:line="220" w:lineRule="auto"/>
              <w:ind w:left="220" w:leftChars="0" w:firstLine="0" w:firstLineChars="0"/>
              <w:jc w:val="left"/>
              <w:rPr>
                <w:rFonts w:hint="eastAsia" w:ascii="宋体" w:hAnsi="宋体" w:eastAsia="宋体" w:cs="宋体"/>
                <w:snapToGrid w:val="0"/>
                <w:color w:val="auto"/>
                <w:spacing w:val="-2"/>
                <w:kern w:val="0"/>
                <w:sz w:val="21"/>
                <w:szCs w:val="21"/>
                <w:highlight w:val="none"/>
                <w:lang w:val="en-US" w:eastAsia="en-US" w:bidi="ar-SA"/>
              </w:rPr>
            </w:pPr>
            <w:r>
              <w:rPr>
                <w:rFonts w:hint="eastAsia" w:cs="宋体"/>
                <w:snapToGrid w:val="0"/>
                <w:color w:val="auto"/>
                <w:spacing w:val="-2"/>
                <w:kern w:val="0"/>
                <w:sz w:val="21"/>
                <w:szCs w:val="21"/>
                <w:highlight w:val="none"/>
                <w:lang w:val="en-US" w:eastAsia="zh-CN" w:bidi="ar-SA"/>
              </w:rPr>
              <w:t>2025年通州区西集镇通香旧路（K0+479-K1+326）养护工程</w:t>
            </w:r>
          </w:p>
        </w:tc>
        <w:tc>
          <w:tcPr>
            <w:tcW w:w="1432" w:type="dxa"/>
            <w:vAlign w:val="top"/>
          </w:tcPr>
          <w:p w14:paraId="5832469D">
            <w:pPr>
              <w:pStyle w:val="19"/>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p>
          <w:p w14:paraId="48A0D423">
            <w:pPr>
              <w:pStyle w:val="19"/>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color w:val="auto"/>
                <w:sz w:val="21"/>
                <w:szCs w:val="21"/>
                <w:highlight w:val="none"/>
              </w:rPr>
              <w:t>119.171539</w:t>
            </w:r>
          </w:p>
        </w:tc>
        <w:tc>
          <w:tcPr>
            <w:tcW w:w="831" w:type="dxa"/>
            <w:vAlign w:val="top"/>
          </w:tcPr>
          <w:p w14:paraId="65BF9B84">
            <w:pPr>
              <w:pStyle w:val="19"/>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p>
          <w:p w14:paraId="42190892">
            <w:pPr>
              <w:pStyle w:val="19"/>
              <w:spacing w:before="78" w:line="220" w:lineRule="auto"/>
              <w:ind w:left="281"/>
              <w:jc w:val="both"/>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1</w:t>
            </w:r>
          </w:p>
        </w:tc>
        <w:tc>
          <w:tcPr>
            <w:tcW w:w="4345" w:type="dxa"/>
            <w:vAlign w:val="top"/>
          </w:tcPr>
          <w:p w14:paraId="077B65B7">
            <w:pPr>
              <w:pStyle w:val="19"/>
              <w:spacing w:before="78" w:line="220" w:lineRule="auto"/>
              <w:ind w:left="0" w:leftChars="0" w:firstLine="0" w:firstLineChars="0"/>
              <w:jc w:val="both"/>
              <w:rPr>
                <w:rFonts w:hint="eastAsia" w:ascii="宋体" w:hAnsi="宋体" w:eastAsia="宋体" w:cs="宋体"/>
                <w:snapToGrid w:val="0"/>
                <w:color w:val="auto"/>
                <w:spacing w:val="-2"/>
                <w:kern w:val="0"/>
                <w:sz w:val="21"/>
                <w:szCs w:val="21"/>
                <w:highlight w:val="none"/>
                <w:lang w:val="en-US" w:eastAsia="en-US" w:bidi="ar-SA"/>
              </w:rPr>
            </w:pPr>
            <w:r>
              <w:rPr>
                <w:rFonts w:hint="eastAsia" w:cs="宋体"/>
                <w:snapToGrid w:val="0"/>
                <w:color w:val="auto"/>
                <w:spacing w:val="-2"/>
                <w:kern w:val="0"/>
                <w:sz w:val="21"/>
                <w:szCs w:val="21"/>
                <w:highlight w:val="none"/>
                <w:lang w:val="en-US" w:eastAsia="zh-CN" w:bidi="ar-SA"/>
              </w:rPr>
              <w:t>2025年通州区西集镇通香旧路（K0+479-K1+326）养护工程</w:t>
            </w:r>
            <w:r>
              <w:rPr>
                <w:rFonts w:hint="eastAsia" w:ascii="宋体" w:hAnsi="宋体" w:eastAsia="宋体" w:cs="宋体"/>
                <w:snapToGrid w:val="0"/>
                <w:color w:val="auto"/>
                <w:spacing w:val="-2"/>
                <w:kern w:val="0"/>
                <w:sz w:val="21"/>
                <w:szCs w:val="21"/>
                <w:highlight w:val="none"/>
                <w:lang w:val="en-US" w:eastAsia="en-US" w:bidi="ar-SA"/>
              </w:rPr>
              <w:t>（具体详见竞争性磋商文件“采购需求”）</w:t>
            </w:r>
          </w:p>
        </w:tc>
      </w:tr>
    </w:tbl>
    <w:p w14:paraId="20F99196">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6.合同履行期限：</w:t>
      </w:r>
      <w:r>
        <w:rPr>
          <w:rFonts w:hint="eastAsia" w:ascii="宋体" w:hAnsi="宋体" w:eastAsia="宋体" w:cs="宋体"/>
          <w:color w:val="auto"/>
          <w:sz w:val="21"/>
          <w:szCs w:val="21"/>
          <w:highlight w:val="none"/>
          <w:lang w:val="en-US" w:eastAsia="zh-CN"/>
        </w:rPr>
        <w:t>60日历天（具体以甲方指定时间为准）</w:t>
      </w:r>
      <w:r>
        <w:rPr>
          <w:rFonts w:hint="eastAsia" w:ascii="宋体" w:hAnsi="宋体" w:eastAsia="宋体" w:cs="宋体"/>
          <w:color w:val="auto"/>
          <w:sz w:val="21"/>
          <w:szCs w:val="21"/>
          <w:highlight w:val="none"/>
        </w:rPr>
        <w:t>。</w:t>
      </w:r>
    </w:p>
    <w:p w14:paraId="5FBC44FF">
      <w:pPr>
        <w:spacing w:before="183" w:line="240" w:lineRule="auto"/>
        <w:ind w:left="638" w:leftChars="304" w:right="28"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7.本项目是否接受联合体：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是  ■否。</w:t>
      </w:r>
    </w:p>
    <w:p w14:paraId="64E1A352">
      <w:pPr>
        <w:pStyle w:val="6"/>
        <w:spacing w:line="257" w:lineRule="auto"/>
        <w:rPr>
          <w:color w:val="auto"/>
          <w:highlight w:val="none"/>
        </w:rPr>
      </w:pPr>
    </w:p>
    <w:p w14:paraId="00CBF642">
      <w:pPr>
        <w:spacing w:before="79" w:line="220"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二、申请人的资格要求（须同时满足）</w:t>
      </w:r>
    </w:p>
    <w:p w14:paraId="4A472DA5">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1.满足《中华人民共和国政府采购法》第二十二条规定；</w:t>
      </w:r>
    </w:p>
    <w:p w14:paraId="1ACC5179">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2.落实政府采购政策需满足的资格要求：</w:t>
      </w:r>
    </w:p>
    <w:p w14:paraId="0A0B498F">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2.1  中小企业政策</w:t>
      </w:r>
    </w:p>
    <w:p w14:paraId="118F1736">
      <w:pPr>
        <w:spacing w:before="183" w:line="240" w:lineRule="auto"/>
        <w:ind w:left="638" w:leftChars="304" w:right="28"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本项目不专门面向中小企业预留采购份额。</w:t>
      </w:r>
    </w:p>
    <w:p w14:paraId="52ACADF0">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■本项目专门面向  ■中小 </w:t>
      </w:r>
      <w:r>
        <w:rPr>
          <w:rFonts w:hint="eastAsia" w:ascii="宋体" w:hAnsi="宋体" w:eastAsia="宋体" w:cs="宋体"/>
          <w:color w:val="auto"/>
          <w:sz w:val="21"/>
          <w:szCs w:val="21"/>
          <w:highlight w:val="none"/>
          <w:lang w:eastAsia="zh-CN"/>
        </w:rPr>
        <w:t xml:space="preserve">□ </w:t>
      </w:r>
      <w:r>
        <w:rPr>
          <w:rFonts w:ascii="宋体" w:hAnsi="宋体" w:eastAsia="宋体" w:cs="宋体"/>
          <w:color w:val="auto"/>
          <w:sz w:val="21"/>
          <w:szCs w:val="21"/>
          <w:highlight w:val="none"/>
        </w:rPr>
        <w:t>小微企业  采购。即：提供的货物全部由符合政策要求的中小/小微企业制造、服务全部由符合政策要求的中小/小微企业承接。</w:t>
      </w:r>
    </w:p>
    <w:p w14:paraId="58E228B4">
      <w:pPr>
        <w:spacing w:before="183" w:line="240" w:lineRule="auto"/>
        <w:ind w:left="638" w:leftChars="304" w:right="28"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本项目预留部分采购项目预算专门面向中小企业采购。对于预留份额，提供的货物由符合政策要求的中小企业制造、服务由符合政策要求的中小企业承接。预留份额通过以下措施进行：____/_______。</w:t>
      </w:r>
    </w:p>
    <w:p w14:paraId="667A234B">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2.2  其它落实政府采购政策的资格要求（如有）：____/_______。</w:t>
      </w:r>
    </w:p>
    <w:p w14:paraId="1820158B">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3.本项目的特定资格要求：</w:t>
      </w:r>
    </w:p>
    <w:p w14:paraId="50795CC1">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3.1 本项目是否属于政府购买服务：</w:t>
      </w:r>
    </w:p>
    <w:p w14:paraId="079BE224">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■否</w:t>
      </w:r>
    </w:p>
    <w:p w14:paraId="452CB44A">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□是，公益一类事业单位、使用事业编制且由财政拨款保障的群团组织，不得作为承接主体；</w:t>
      </w:r>
    </w:p>
    <w:p w14:paraId="46F1AAF5">
      <w:pPr>
        <w:spacing w:before="183" w:line="240" w:lineRule="auto"/>
        <w:ind w:left="638" w:leftChars="304" w:right="28" w:firstLine="0" w:firstLineChars="0"/>
        <w:rPr>
          <w:rFonts w:ascii="宋体" w:hAnsi="宋体" w:eastAsia="宋体" w:cs="宋体"/>
          <w:color w:val="auto"/>
          <w:sz w:val="21"/>
          <w:szCs w:val="21"/>
          <w:highlight w:val="none"/>
        </w:rPr>
      </w:pPr>
      <w:r>
        <w:rPr>
          <w:rFonts w:ascii="宋体" w:hAnsi="宋体" w:eastAsia="宋体" w:cs="宋体"/>
          <w:color w:val="auto"/>
          <w:sz w:val="21"/>
          <w:szCs w:val="21"/>
          <w:highlight w:val="none"/>
        </w:rPr>
        <w:t>3.2 其他特定资格要求：</w:t>
      </w:r>
    </w:p>
    <w:p w14:paraId="1D0DB3F9">
      <w:pPr>
        <w:pStyle w:val="12"/>
        <w:keepNext w:val="0"/>
        <w:keepLines w:val="0"/>
        <w:widowControl/>
        <w:suppressLineNumbers w:val="0"/>
        <w:spacing w:before="150" w:beforeAutospacing="0" w:after="0" w:afterAutospacing="0" w:line="435" w:lineRule="atLeast"/>
        <w:ind w:left="645" w:leftChars="300" w:hanging="15" w:hangingChars="7"/>
        <w:rPr>
          <w:rFonts w:ascii="宋体" w:hAnsi="宋体" w:eastAsia="宋体" w:cs="宋体"/>
          <w:color w:val="auto"/>
          <w:spacing w:val="3"/>
          <w:sz w:val="21"/>
          <w:szCs w:val="21"/>
          <w:highlight w:val="none"/>
          <w:u w:val="single" w:color="auto"/>
        </w:rPr>
      </w:pPr>
      <w:r>
        <w:rPr>
          <w:rFonts w:ascii="宋体" w:hAnsi="宋体" w:eastAsia="宋体" w:cs="宋体"/>
          <w:color w:val="auto"/>
          <w:spacing w:val="3"/>
          <w:sz w:val="21"/>
          <w:szCs w:val="21"/>
          <w:highlight w:val="none"/>
          <w:u w:val="single" w:color="auto"/>
        </w:rPr>
        <w:t>1) 供应商须具有建设行政主管部门颁发的</w:t>
      </w:r>
      <w:r>
        <w:rPr>
          <w:rFonts w:hint="eastAsia" w:ascii="宋体" w:hAnsi="宋体" w:eastAsia="宋体" w:cs="宋体"/>
          <w:color w:val="auto"/>
          <w:spacing w:val="3"/>
          <w:sz w:val="21"/>
          <w:szCs w:val="21"/>
          <w:highlight w:val="none"/>
          <w:u w:val="single" w:color="auto"/>
        </w:rPr>
        <w:t>公路工程施工总承包三级（含）以上资质或市政公用工程施工总承包三级（含）以上</w:t>
      </w:r>
      <w:r>
        <w:rPr>
          <w:rFonts w:ascii="宋体" w:hAnsi="宋体" w:eastAsia="宋体" w:cs="宋体"/>
          <w:color w:val="auto"/>
          <w:spacing w:val="3"/>
          <w:sz w:val="21"/>
          <w:szCs w:val="21"/>
          <w:highlight w:val="none"/>
          <w:u w:val="single" w:color="auto"/>
        </w:rPr>
        <w:t>；</w:t>
      </w:r>
    </w:p>
    <w:p w14:paraId="7438903B">
      <w:pPr>
        <w:spacing w:before="181" w:line="240" w:lineRule="auto"/>
        <w:ind w:left="638" w:leftChars="304" w:right="69" w:firstLine="0" w:firstLineChars="0"/>
        <w:rPr>
          <w:rFonts w:ascii="宋体" w:hAnsi="宋体" w:eastAsia="宋体" w:cs="宋体"/>
          <w:color w:val="auto"/>
          <w:spacing w:val="3"/>
          <w:sz w:val="21"/>
          <w:szCs w:val="21"/>
          <w:highlight w:val="none"/>
          <w:u w:val="single" w:color="auto"/>
        </w:rPr>
      </w:pPr>
      <w:r>
        <w:rPr>
          <w:rFonts w:ascii="宋体" w:hAnsi="宋体" w:eastAsia="宋体" w:cs="宋体"/>
          <w:color w:val="auto"/>
          <w:spacing w:val="3"/>
          <w:sz w:val="21"/>
          <w:szCs w:val="21"/>
          <w:highlight w:val="none"/>
          <w:u w:val="single" w:color="auto"/>
        </w:rPr>
        <w:t>2) 供应商具有有效的安全生产许可证；</w:t>
      </w:r>
    </w:p>
    <w:p w14:paraId="7CC559FA">
      <w:pPr>
        <w:pStyle w:val="12"/>
        <w:keepNext w:val="0"/>
        <w:keepLines w:val="0"/>
        <w:widowControl/>
        <w:suppressLineNumbers w:val="0"/>
        <w:spacing w:before="150" w:beforeAutospacing="0" w:after="0" w:afterAutospacing="0" w:line="435" w:lineRule="atLeast"/>
        <w:ind w:left="634" w:leftChars="302" w:firstLine="4" w:firstLineChars="0"/>
        <w:rPr>
          <w:rFonts w:ascii="宋体" w:hAnsi="宋体" w:eastAsia="宋体" w:cs="宋体"/>
          <w:snapToGrid w:val="0"/>
          <w:color w:val="auto"/>
          <w:spacing w:val="3"/>
          <w:kern w:val="0"/>
          <w:sz w:val="21"/>
          <w:szCs w:val="21"/>
          <w:highlight w:val="none"/>
          <w:u w:val="single" w:color="auto"/>
          <w:lang w:val="en-US" w:eastAsia="en-US" w:bidi="ar-SA"/>
        </w:rPr>
      </w:pPr>
      <w:r>
        <w:rPr>
          <w:rFonts w:ascii="宋体" w:hAnsi="宋体" w:eastAsia="宋体" w:cs="宋体"/>
          <w:color w:val="auto"/>
          <w:spacing w:val="3"/>
          <w:sz w:val="21"/>
          <w:szCs w:val="21"/>
          <w:highlight w:val="none"/>
          <w:u w:val="single" w:color="auto"/>
        </w:rPr>
        <w:t xml:space="preserve">3) </w:t>
      </w:r>
      <w:r>
        <w:rPr>
          <w:rFonts w:ascii="宋体" w:hAnsi="宋体" w:eastAsia="宋体" w:cs="宋体"/>
          <w:snapToGrid w:val="0"/>
          <w:color w:val="auto"/>
          <w:spacing w:val="3"/>
          <w:kern w:val="0"/>
          <w:sz w:val="21"/>
          <w:szCs w:val="21"/>
          <w:highlight w:val="none"/>
          <w:u w:val="single" w:color="auto"/>
          <w:lang w:val="en-US" w:eastAsia="en-US" w:bidi="ar-SA"/>
        </w:rPr>
        <w:t>拟派项目经理需具有</w:t>
      </w:r>
      <w:r>
        <w:rPr>
          <w:rFonts w:hint="eastAsia" w:ascii="宋体" w:hAnsi="宋体" w:eastAsia="宋体" w:cs="宋体"/>
          <w:snapToGrid w:val="0"/>
          <w:color w:val="auto"/>
          <w:spacing w:val="3"/>
          <w:kern w:val="0"/>
          <w:sz w:val="21"/>
          <w:szCs w:val="21"/>
          <w:highlight w:val="none"/>
          <w:u w:val="single" w:color="auto"/>
          <w:lang w:val="en-US" w:eastAsia="en-US" w:bidi="ar-SA"/>
        </w:rPr>
        <w:t>公路工程或市政公用工程专业二级（含）以上</w:t>
      </w:r>
      <w:r>
        <w:rPr>
          <w:rFonts w:ascii="宋体" w:hAnsi="宋体" w:eastAsia="宋体" w:cs="宋体"/>
          <w:snapToGrid w:val="0"/>
          <w:color w:val="auto"/>
          <w:spacing w:val="3"/>
          <w:kern w:val="0"/>
          <w:sz w:val="21"/>
          <w:szCs w:val="21"/>
          <w:highlight w:val="none"/>
          <w:u w:val="single" w:color="auto"/>
          <w:lang w:val="en-US" w:eastAsia="en-US" w:bidi="ar-SA"/>
        </w:rPr>
        <w:t>注册建造师执业资格和有效的安全生产考核合格证书（B 本），且在确认成交时不得担任其他在施建设项目的项目经理；</w:t>
      </w:r>
    </w:p>
    <w:p w14:paraId="5C8E22A9">
      <w:pPr>
        <w:spacing w:before="181" w:line="360" w:lineRule="auto"/>
        <w:ind w:left="638" w:leftChars="304" w:right="69" w:firstLine="0" w:firstLineChars="0"/>
        <w:rPr>
          <w:rFonts w:hint="eastAsia" w:ascii="宋体" w:hAnsi="宋体" w:eastAsia="宋体" w:cs="宋体"/>
          <w:color w:val="auto"/>
          <w:spacing w:val="3"/>
          <w:sz w:val="21"/>
          <w:szCs w:val="21"/>
          <w:highlight w:val="none"/>
          <w:u w:val="single" w:color="auto"/>
          <w:lang w:val="en-US" w:eastAsia="en-US"/>
        </w:rPr>
      </w:pPr>
      <w:r>
        <w:rPr>
          <w:rFonts w:ascii="宋体" w:hAnsi="宋体" w:eastAsia="宋体" w:cs="宋体"/>
          <w:color w:val="auto"/>
          <w:spacing w:val="3"/>
          <w:sz w:val="21"/>
          <w:szCs w:val="21"/>
          <w:highlight w:val="none"/>
          <w:u w:val="single" w:color="auto"/>
          <w:lang w:val="en-US" w:eastAsia="en-US"/>
        </w:rPr>
        <w:t xml:space="preserve">4) </w:t>
      </w:r>
      <w:r>
        <w:rPr>
          <w:rFonts w:hint="eastAsia" w:ascii="宋体" w:hAnsi="宋体" w:eastAsia="宋体" w:cs="宋体"/>
          <w:color w:val="auto"/>
          <w:spacing w:val="3"/>
          <w:sz w:val="21"/>
          <w:szCs w:val="21"/>
          <w:highlight w:val="none"/>
          <w:u w:val="single" w:color="auto"/>
          <w:lang w:val="en-US" w:eastAsia="zh-CN"/>
        </w:rPr>
        <w:t>外地企业参与本项目采购需提交有效的《外省市建筑企业来京施工备案表》；供应商</w:t>
      </w:r>
      <w:r>
        <w:rPr>
          <w:rFonts w:hint="eastAsia" w:ascii="宋体" w:hAnsi="宋体" w:eastAsia="宋体"/>
          <w:color w:val="auto"/>
          <w:highlight w:val="none"/>
          <w:u w:val="single"/>
          <w:lang w:val="en-US" w:eastAsia="zh-CN"/>
        </w:rPr>
        <w:t>未被列入信用中国网站(https://www.creditchina.gov.cn/zhuanxiangchaxun/)、中国政府采购网(www.ccgp.gov.cn)渠道信用记录失信被执行人、重大税收违法失信主体、政府采购严重违法失信行为记录名单、拖欠农民工工资失信联合惩戒对象；</w:t>
      </w:r>
      <w:r>
        <w:rPr>
          <w:rFonts w:hint="eastAsia" w:ascii="宋体" w:hAnsi="宋体" w:eastAsia="宋体" w:cs="宋体"/>
          <w:color w:val="auto"/>
          <w:spacing w:val="3"/>
          <w:sz w:val="21"/>
          <w:szCs w:val="21"/>
          <w:highlight w:val="none"/>
          <w:u w:val="single" w:color="auto"/>
          <w:lang w:val="en-US" w:eastAsia="zh-CN"/>
        </w:rPr>
        <w:t>与采购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在近三年内投标人、法定代表人、项目负责人在中国裁判文书网(网址:http://wenshu.court.gov.cn)网站中查询记录显示有行贿犯罪的，不得参与本项目的竞争性磋商活动。</w:t>
      </w:r>
      <w:r>
        <w:rPr>
          <w:rFonts w:hint="eastAsia" w:ascii="宋体" w:hAnsi="宋体" w:eastAsia="宋体" w:cs="宋体"/>
          <w:color w:val="auto"/>
          <w:spacing w:val="3"/>
          <w:sz w:val="21"/>
          <w:szCs w:val="21"/>
          <w:highlight w:val="none"/>
          <w:u w:val="single" w:color="auto"/>
          <w:lang w:val="en-US" w:eastAsia="en-US"/>
        </w:rPr>
        <w:t xml:space="preserve">  </w:t>
      </w:r>
    </w:p>
    <w:p w14:paraId="076FC9B2">
      <w:pPr>
        <w:pStyle w:val="6"/>
        <w:spacing w:line="257" w:lineRule="auto"/>
        <w:rPr>
          <w:color w:val="auto"/>
          <w:highlight w:val="none"/>
        </w:rPr>
      </w:pPr>
    </w:p>
    <w:p w14:paraId="14A98E52">
      <w:pPr>
        <w:spacing w:before="79" w:line="219" w:lineRule="auto"/>
        <w:ind w:left="38"/>
        <w:outlineLvl w:val="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三、获取采购文件</w:t>
      </w:r>
    </w:p>
    <w:p w14:paraId="096623F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212" w:firstLineChars="200"/>
        <w:jc w:val="both"/>
        <w:textAlignment w:val="baseline"/>
        <w:rPr>
          <w:rFonts w:hint="eastAsia" w:ascii="宋体" w:hAnsi="宋体" w:eastAsia="宋体" w:cs="宋体"/>
          <w:color w:val="auto"/>
          <w:spacing w:val="3"/>
          <w:sz w:val="10"/>
          <w:szCs w:val="10"/>
          <w:highlight w:val="none"/>
          <w:u w:val="none" w:color="auto"/>
          <w:lang w:val="en-US" w:eastAsia="zh-CN"/>
        </w:rPr>
      </w:pPr>
    </w:p>
    <w:p w14:paraId="5D7EAA5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1.时间：2025年10月13日至2025年10月17日 ，每天上午 9:00 至 12:00，下午12:00至17:00（北京时间，法定节假日除外）。</w:t>
      </w:r>
    </w:p>
    <w:p w14:paraId="70BE202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2.地点：北京市政府采购电子交易平台</w:t>
      </w:r>
    </w:p>
    <w:p w14:paraId="6DFA4C3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3.方式：供应商使用CA 数字证书或电子营业执照登录北京市政府采购电子交易平台（</w:t>
      </w:r>
      <w:r>
        <w:rPr>
          <w:rFonts w:hint="eastAsia" w:ascii="宋体" w:hAnsi="宋体" w:eastAsia="宋体" w:cs="宋体"/>
          <w:color w:val="auto"/>
          <w:spacing w:val="3"/>
          <w:sz w:val="21"/>
          <w:szCs w:val="21"/>
          <w:highlight w:val="none"/>
          <w:u w:val="none" w:color="auto"/>
          <w:lang w:val="en-US" w:eastAsia="zh-CN"/>
        </w:rPr>
        <w:fldChar w:fldCharType="begin"/>
      </w:r>
      <w:r>
        <w:rPr>
          <w:rFonts w:hint="eastAsia" w:ascii="宋体" w:hAnsi="宋体" w:eastAsia="宋体" w:cs="宋体"/>
          <w:color w:val="auto"/>
          <w:spacing w:val="3"/>
          <w:sz w:val="21"/>
          <w:szCs w:val="21"/>
          <w:highlight w:val="none"/>
          <w:u w:val="none" w:color="auto"/>
          <w:lang w:val="en-US" w:eastAsia="zh-CN"/>
        </w:rPr>
        <w:instrText xml:space="preserve"> HYPERLINK "http://zbcg-bjzc.zhongcy.com/bjczj-portal-site/index.html#/home" </w:instrText>
      </w:r>
      <w:r>
        <w:rPr>
          <w:rFonts w:hint="eastAsia" w:ascii="宋体" w:hAnsi="宋体" w:eastAsia="宋体" w:cs="宋体"/>
          <w:color w:val="auto"/>
          <w:spacing w:val="3"/>
          <w:sz w:val="21"/>
          <w:szCs w:val="21"/>
          <w:highlight w:val="none"/>
          <w:u w:val="none" w:color="auto"/>
          <w:lang w:val="en-US" w:eastAsia="zh-CN"/>
        </w:rPr>
        <w:fldChar w:fldCharType="separate"/>
      </w:r>
      <w:r>
        <w:rPr>
          <w:rFonts w:hint="eastAsia" w:ascii="宋体" w:hAnsi="宋体" w:eastAsia="宋体" w:cs="宋体"/>
          <w:color w:val="auto"/>
          <w:spacing w:val="3"/>
          <w:sz w:val="21"/>
          <w:szCs w:val="21"/>
          <w:highlight w:val="none"/>
          <w:u w:val="none" w:color="auto"/>
          <w:lang w:val="en-US" w:eastAsia="zh-CN"/>
        </w:rPr>
        <w:t>http://zbcg-bjzc.zhongcy.com/bjczj-portal-site/index.html#/home</w:t>
      </w:r>
      <w:r>
        <w:rPr>
          <w:rFonts w:hint="eastAsia" w:ascii="宋体" w:hAnsi="宋体" w:eastAsia="宋体" w:cs="宋体"/>
          <w:color w:val="auto"/>
          <w:spacing w:val="3"/>
          <w:sz w:val="21"/>
          <w:szCs w:val="21"/>
          <w:highlight w:val="none"/>
          <w:u w:val="none" w:color="auto"/>
          <w:lang w:val="en-US" w:eastAsia="zh-CN"/>
        </w:rPr>
        <w:fldChar w:fldCharType="end"/>
      </w:r>
      <w:r>
        <w:rPr>
          <w:rFonts w:hint="eastAsia" w:ascii="宋体" w:hAnsi="宋体" w:eastAsia="宋体" w:cs="宋体"/>
          <w:color w:val="auto"/>
          <w:spacing w:val="3"/>
          <w:sz w:val="21"/>
          <w:szCs w:val="21"/>
          <w:highlight w:val="none"/>
          <w:u w:val="none" w:color="auto"/>
          <w:lang w:val="en-US" w:eastAsia="zh-CN"/>
        </w:rPr>
        <w:t>）获取电子版竞争性磋商文件。</w:t>
      </w:r>
    </w:p>
    <w:p w14:paraId="7EF9103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4.售价：0 元。</w:t>
      </w:r>
    </w:p>
    <w:p w14:paraId="50227332">
      <w:pPr>
        <w:pStyle w:val="6"/>
        <w:spacing w:line="257" w:lineRule="auto"/>
        <w:rPr>
          <w:color w:val="auto"/>
          <w:highlight w:val="none"/>
        </w:rPr>
      </w:pPr>
    </w:p>
    <w:p w14:paraId="50DA624D">
      <w:pPr>
        <w:spacing w:before="79" w:line="220" w:lineRule="auto"/>
        <w:ind w:left="60"/>
        <w:outlineLvl w:val="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四、响应文件提交</w:t>
      </w:r>
    </w:p>
    <w:p w14:paraId="7A5942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272" w:firstLineChars="200"/>
        <w:jc w:val="both"/>
        <w:textAlignment w:val="baseline"/>
        <w:rPr>
          <w:rFonts w:hint="eastAsia" w:ascii="宋体" w:hAnsi="宋体" w:eastAsia="宋体" w:cs="宋体"/>
          <w:color w:val="auto"/>
          <w:spacing w:val="3"/>
          <w:sz w:val="13"/>
          <w:szCs w:val="13"/>
          <w:highlight w:val="none"/>
          <w:u w:val="none" w:color="auto"/>
          <w:lang w:val="en-US" w:eastAsia="zh-CN"/>
        </w:rPr>
      </w:pPr>
    </w:p>
    <w:p w14:paraId="4C56080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截止时间：2025 年10月28日 9 点 30 分（北京时间）。</w:t>
      </w:r>
    </w:p>
    <w:p w14:paraId="04546D5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3"/>
          <w:sz w:val="21"/>
          <w:szCs w:val="21"/>
          <w:highlight w:val="none"/>
          <w:u w:val="none" w:color="auto"/>
          <w:lang w:val="en-US" w:eastAsia="zh-CN"/>
        </w:rPr>
        <w:t>地点：北京市通州区八里桥南街50号12幢</w:t>
      </w:r>
      <w:r>
        <w:rPr>
          <w:rFonts w:hint="eastAsia" w:ascii="宋体" w:hAnsi="宋体" w:eastAsia="宋体" w:cs="宋体"/>
          <w:color w:val="auto"/>
          <w:spacing w:val="-2"/>
          <w:sz w:val="21"/>
          <w:szCs w:val="21"/>
          <w:highlight w:val="none"/>
          <w:lang w:val="en-US" w:eastAsia="zh-CN"/>
        </w:rPr>
        <w:t xml:space="preserve"> </w:t>
      </w:r>
    </w:p>
    <w:p w14:paraId="4B44BF4A">
      <w:pPr>
        <w:spacing w:before="287" w:line="221"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五、开启</w:t>
      </w:r>
    </w:p>
    <w:p w14:paraId="454FC2D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312" w:firstLineChars="200"/>
        <w:jc w:val="both"/>
        <w:textAlignment w:val="baseline"/>
        <w:rPr>
          <w:rFonts w:hint="eastAsia" w:ascii="宋体" w:hAnsi="宋体" w:eastAsia="宋体" w:cs="宋体"/>
          <w:color w:val="auto"/>
          <w:spacing w:val="3"/>
          <w:sz w:val="15"/>
          <w:szCs w:val="15"/>
          <w:highlight w:val="none"/>
          <w:u w:val="none" w:color="auto"/>
          <w:lang w:val="en-US" w:eastAsia="zh-CN"/>
        </w:rPr>
      </w:pPr>
    </w:p>
    <w:p w14:paraId="787017B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时间：2025 年10月28日 9 点 30 分（北京时间）。</w:t>
      </w:r>
    </w:p>
    <w:p w14:paraId="1C47CB8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4"/>
          <w:szCs w:val="24"/>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地点：北京市通州区八里桥南街50号12幢</w:t>
      </w:r>
      <w:r>
        <w:rPr>
          <w:rFonts w:hint="eastAsia" w:ascii="宋体" w:hAnsi="宋体" w:eastAsia="宋体" w:cs="宋体"/>
          <w:color w:val="auto"/>
          <w:spacing w:val="-2"/>
          <w:sz w:val="21"/>
          <w:szCs w:val="21"/>
          <w:highlight w:val="none"/>
          <w:lang w:val="en-US" w:eastAsia="zh-CN"/>
        </w:rPr>
        <w:t xml:space="preserve"> </w:t>
      </w:r>
      <w:r>
        <w:rPr>
          <w:rFonts w:hint="eastAsia" w:ascii="宋体" w:hAnsi="宋体" w:eastAsia="宋体" w:cs="宋体"/>
          <w:color w:val="auto"/>
          <w:spacing w:val="3"/>
          <w:sz w:val="24"/>
          <w:szCs w:val="24"/>
          <w:highlight w:val="none"/>
          <w:u w:val="none" w:color="auto"/>
          <w:lang w:val="en-US" w:eastAsia="zh-CN"/>
        </w:rPr>
        <w:t xml:space="preserve"> </w:t>
      </w:r>
    </w:p>
    <w:p w14:paraId="59B9E277">
      <w:pPr>
        <w:numPr>
          <w:ilvl w:val="0"/>
          <w:numId w:val="1"/>
        </w:numPr>
        <w:spacing w:before="78" w:line="218" w:lineRule="auto"/>
        <w:ind w:left="40"/>
        <w:outlineLvl w:val="1"/>
        <w:rPr>
          <w:rFonts w:ascii="宋体" w:hAnsi="宋体" w:eastAsia="宋体" w:cs="宋体"/>
          <w:b/>
          <w:bCs/>
          <w:color w:val="auto"/>
          <w:spacing w:val="-4"/>
          <w:sz w:val="24"/>
          <w:szCs w:val="24"/>
          <w:highlight w:val="none"/>
        </w:rPr>
      </w:pPr>
      <w:r>
        <w:rPr>
          <w:rFonts w:ascii="宋体" w:hAnsi="宋体" w:eastAsia="宋体" w:cs="宋体"/>
          <w:b/>
          <w:bCs/>
          <w:color w:val="auto"/>
          <w:spacing w:val="-4"/>
          <w:sz w:val="24"/>
          <w:szCs w:val="24"/>
          <w:highlight w:val="none"/>
        </w:rPr>
        <w:t>公告期限</w:t>
      </w:r>
    </w:p>
    <w:p w14:paraId="001319AF">
      <w:pPr>
        <w:numPr>
          <w:ilvl w:val="0"/>
          <w:numId w:val="0"/>
        </w:numPr>
        <w:spacing w:before="78" w:line="218" w:lineRule="auto"/>
        <w:outlineLvl w:val="1"/>
        <w:rPr>
          <w:rFonts w:ascii="宋体" w:hAnsi="宋体" w:eastAsia="宋体" w:cs="宋体"/>
          <w:b/>
          <w:bCs/>
          <w:color w:val="auto"/>
          <w:spacing w:val="-4"/>
          <w:sz w:val="24"/>
          <w:szCs w:val="24"/>
          <w:highlight w:val="none"/>
        </w:rPr>
      </w:pPr>
    </w:p>
    <w:p w14:paraId="6319E81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自本公告发布之日起 5 个工作日。</w:t>
      </w:r>
    </w:p>
    <w:p w14:paraId="12A60F22">
      <w:pPr>
        <w:numPr>
          <w:ilvl w:val="0"/>
          <w:numId w:val="1"/>
        </w:numPr>
        <w:spacing w:before="78" w:line="220" w:lineRule="auto"/>
        <w:ind w:left="40" w:leftChars="0" w:firstLine="0" w:firstLineChars="0"/>
        <w:outlineLvl w:val="1"/>
        <w:rPr>
          <w:rFonts w:ascii="宋体" w:hAnsi="宋体" w:eastAsia="宋体" w:cs="宋体"/>
          <w:b/>
          <w:bCs/>
          <w:color w:val="auto"/>
          <w:spacing w:val="-3"/>
          <w:sz w:val="24"/>
          <w:szCs w:val="24"/>
          <w:highlight w:val="none"/>
        </w:rPr>
      </w:pPr>
      <w:r>
        <w:rPr>
          <w:rFonts w:ascii="宋体" w:hAnsi="宋体" w:eastAsia="宋体" w:cs="宋体"/>
          <w:b/>
          <w:bCs/>
          <w:color w:val="auto"/>
          <w:spacing w:val="-3"/>
          <w:sz w:val="24"/>
          <w:szCs w:val="24"/>
          <w:highlight w:val="none"/>
        </w:rPr>
        <w:t>其他补充事宜</w:t>
      </w:r>
    </w:p>
    <w:p w14:paraId="1116C546">
      <w:pPr>
        <w:numPr>
          <w:ilvl w:val="0"/>
          <w:numId w:val="0"/>
        </w:numPr>
        <w:spacing w:before="78" w:line="220" w:lineRule="auto"/>
        <w:ind w:left="40" w:leftChars="0"/>
        <w:outlineLvl w:val="1"/>
        <w:rPr>
          <w:rFonts w:ascii="宋体" w:hAnsi="宋体" w:eastAsia="宋体" w:cs="宋体"/>
          <w:b/>
          <w:bCs/>
          <w:color w:val="auto"/>
          <w:spacing w:val="-3"/>
          <w:sz w:val="10"/>
          <w:szCs w:val="10"/>
          <w:highlight w:val="none"/>
        </w:rPr>
      </w:pPr>
    </w:p>
    <w:p w14:paraId="062C3A1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1.本项目需要落实的政府采购政策：</w:t>
      </w:r>
    </w:p>
    <w:p w14:paraId="5315D71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（1）执行《关于印发环境标志产品政府采购品目清单的通知》（财库[2019]18 号）；</w:t>
      </w:r>
    </w:p>
    <w:p w14:paraId="0A2CBE0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（2）执行《财政部 发展改革委关于印发节能产品政府采购品目清单的通知》（财库</w:t>
      </w:r>
    </w:p>
    <w:p w14:paraId="1C21553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[2019]19 号）；</w:t>
      </w:r>
    </w:p>
    <w:p w14:paraId="579B2B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（3）执行《政府采购促进中小企业发展管理办法》（财库[2020]46 号）；</w:t>
      </w:r>
    </w:p>
    <w:p w14:paraId="7193BBE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（4）《进一步加大政府采购支持中小企业力度的通知》（财库［2022］19 号）；</w:t>
      </w:r>
    </w:p>
    <w:p w14:paraId="62E11E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（5）《关于政府采购支持监狱企业发展有关问题的通知》（财库[2014]68 号）；</w:t>
      </w:r>
    </w:p>
    <w:p w14:paraId="2B739B3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（6）《关于促进残疾人就业政府采购政策的通知》（财库〔2017〕141 号）；</w:t>
      </w:r>
    </w:p>
    <w:p w14:paraId="61A7AF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（7）执行《财政部关于开展政府采购信用担保试点工作方案》（财库[2011]124 号）；</w:t>
      </w:r>
    </w:p>
    <w:p w14:paraId="525FFDA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（8）执行《财政部关于在政府采购活动中查询及使用信用记录有关问题的通知》（财 库[2016]125 号）；</w:t>
      </w:r>
    </w:p>
    <w:p w14:paraId="2EFF915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（9）《北京市财政局关于持续深化政府采购营商环境改革的通知》（京财采购 〔2022〕672 号）。</w:t>
      </w:r>
    </w:p>
    <w:p w14:paraId="0512F4E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  评审方法：综合评分法。</w:t>
      </w:r>
    </w:p>
    <w:p w14:paraId="3CBEB1A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 本项目采用电子化与线下流程相结合的方式（线上免费下载磋商文件，线下递交响 应文件），请供应商认真学习北京市政府采购电子交易平台发布的相关操作手册。</w:t>
      </w:r>
    </w:p>
    <w:p w14:paraId="66ACDDD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CA 数字证书服务热线     010-58511086</w:t>
      </w:r>
    </w:p>
    <w:p w14:paraId="68E23B4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电子营业执照服务热线    400-699-7000</w:t>
      </w:r>
    </w:p>
    <w:p w14:paraId="650F62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技术支持服务热线        010-86483801</w:t>
      </w:r>
    </w:p>
    <w:p w14:paraId="2CD64DF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3.1 办理 CA 数字证书或电子营业执照</w:t>
      </w:r>
    </w:p>
    <w:p w14:paraId="363E6F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供应商登录北京市政府采购电子交易平台查阅 “用户指南”—“操作指南”—“市场主 体 CA 办理操作流程指引” /“电子营业执照使用指南”，按照程序要求办理。</w:t>
      </w:r>
    </w:p>
    <w:p w14:paraId="1AAFCA1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3.2 注册</w:t>
      </w:r>
    </w:p>
    <w:p w14:paraId="542963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供应商登录北京市政府采购电子交易平台“用户指南”—“操作指南”—“市场主体注册 入库操作流程指引”进行自助注册绑定。</w:t>
      </w:r>
    </w:p>
    <w:p w14:paraId="01B6CDC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3.3 驱动、客户端下载</w:t>
      </w:r>
    </w:p>
    <w:p w14:paraId="45675CA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供应商登录北京市政府采购电子交易平台“用户指南”—“工具下载”—“招标采购系 统文件驱动安装包”下载相关驱动。</w:t>
      </w:r>
    </w:p>
    <w:p w14:paraId="17D266E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供应商登录北京市政府采购电子交易平台“用户指南”—“工具下载”—“投标文件编制 工具”下载相关客户端。</w:t>
      </w:r>
    </w:p>
    <w:p w14:paraId="4FA9941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3.4  获取电子竞争性磋商文件</w:t>
      </w:r>
    </w:p>
    <w:p w14:paraId="16BCC2C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供应商使用 CA 数字证书或电子营业执照登录北京市政府采购电子交易平台获取电子竞争性磋商文件。</w:t>
      </w:r>
    </w:p>
    <w:p w14:paraId="7E006AE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响应文件。</w:t>
      </w:r>
    </w:p>
    <w:p w14:paraId="5849D6AC">
      <w:pPr>
        <w:spacing w:before="1" w:line="218" w:lineRule="auto"/>
        <w:ind w:left="42"/>
        <w:outlineLvl w:val="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八、对本次采购提出询问，请按以下方式联系。</w:t>
      </w:r>
    </w:p>
    <w:p w14:paraId="6B3F7B60">
      <w:pPr>
        <w:spacing w:before="182" w:line="360" w:lineRule="auto"/>
        <w:ind w:firstLine="464"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w:t>
      </w:r>
      <w:r>
        <w:rPr>
          <w:rFonts w:ascii="宋体" w:hAnsi="宋体" w:eastAsia="宋体" w:cs="宋体"/>
          <w:b/>
          <w:bCs/>
          <w:color w:val="auto"/>
          <w:spacing w:val="-4"/>
          <w:sz w:val="24"/>
          <w:szCs w:val="24"/>
          <w:highlight w:val="none"/>
        </w:rPr>
        <w:t>采购人信息</w:t>
      </w:r>
    </w:p>
    <w:p w14:paraId="50037A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4"/>
          <w:szCs w:val="24"/>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名    称：北京市通州区西集镇人民政府</w:t>
      </w:r>
      <w:r>
        <w:rPr>
          <w:rFonts w:hint="eastAsia" w:ascii="宋体" w:hAnsi="宋体" w:eastAsia="宋体" w:cs="宋体"/>
          <w:color w:val="auto"/>
          <w:spacing w:val="3"/>
          <w:sz w:val="24"/>
          <w:szCs w:val="24"/>
          <w:highlight w:val="none"/>
          <w:u w:val="none" w:color="auto"/>
          <w:lang w:val="en-US" w:eastAsia="zh-CN"/>
        </w:rPr>
        <w:t xml:space="preserve"> </w:t>
      </w:r>
    </w:p>
    <w:p w14:paraId="30FF998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地    址：北京市通州区西集镇政府路</w:t>
      </w:r>
    </w:p>
    <w:p w14:paraId="1B70EF2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联系方式：61558056 </w:t>
      </w:r>
    </w:p>
    <w:p w14:paraId="353325F2">
      <w:pPr>
        <w:spacing w:before="181" w:line="360" w:lineRule="auto"/>
        <w:ind w:firstLine="472"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2.</w:t>
      </w:r>
      <w:r>
        <w:rPr>
          <w:rFonts w:ascii="宋体" w:hAnsi="宋体" w:eastAsia="宋体" w:cs="宋体"/>
          <w:b/>
          <w:bCs/>
          <w:color w:val="auto"/>
          <w:spacing w:val="-2"/>
          <w:sz w:val="24"/>
          <w:szCs w:val="24"/>
          <w:highlight w:val="none"/>
        </w:rPr>
        <w:t>采购代理机构信息</w:t>
      </w:r>
    </w:p>
    <w:p w14:paraId="60922AC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名    称：北京飞焱工程管理咨询有限公司 </w:t>
      </w:r>
    </w:p>
    <w:p w14:paraId="2047828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地    址：北京市通州区八里桥南街50号12幢</w:t>
      </w:r>
      <w:r>
        <w:rPr>
          <w:rFonts w:hint="eastAsia" w:ascii="宋体" w:hAnsi="宋体" w:eastAsia="宋体" w:cs="宋体"/>
          <w:color w:val="auto"/>
          <w:spacing w:val="-2"/>
          <w:sz w:val="21"/>
          <w:szCs w:val="21"/>
          <w:highlight w:val="none"/>
          <w:lang w:val="en-US" w:eastAsia="zh-CN"/>
        </w:rPr>
        <w:t xml:space="preserve"> </w:t>
      </w:r>
      <w:r>
        <w:rPr>
          <w:rFonts w:hint="eastAsia" w:ascii="宋体" w:hAnsi="宋体" w:eastAsia="宋体" w:cs="宋体"/>
          <w:color w:val="auto"/>
          <w:spacing w:val="3"/>
          <w:sz w:val="21"/>
          <w:szCs w:val="21"/>
          <w:highlight w:val="none"/>
          <w:u w:val="none" w:color="auto"/>
          <w:lang w:val="en-US" w:eastAsia="zh-CN"/>
        </w:rPr>
        <w:t xml:space="preserve"> </w:t>
      </w:r>
    </w:p>
    <w:p w14:paraId="6310997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联系方式：61538533  </w:t>
      </w:r>
    </w:p>
    <w:p w14:paraId="5E767E76">
      <w:pPr>
        <w:spacing w:before="179" w:line="360" w:lineRule="auto"/>
        <w:ind w:firstLine="472" w:firstLineChars="20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3.</w:t>
      </w:r>
      <w:r>
        <w:rPr>
          <w:rFonts w:ascii="宋体" w:hAnsi="宋体" w:eastAsia="宋体" w:cs="宋体"/>
          <w:b/>
          <w:bCs/>
          <w:color w:val="auto"/>
          <w:spacing w:val="-2"/>
          <w:sz w:val="24"/>
          <w:szCs w:val="24"/>
          <w:highlight w:val="none"/>
        </w:rPr>
        <w:t>项目联系方式</w:t>
      </w:r>
    </w:p>
    <w:p w14:paraId="61ABF94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项目联系人：尹楠 </w:t>
      </w:r>
    </w:p>
    <w:p w14:paraId="29972B1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default"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电      话： 61538533 </w:t>
      </w:r>
    </w:p>
    <w:p w14:paraId="4FF683CC">
      <w:pPr>
        <w:spacing w:before="197" w:line="219" w:lineRule="auto"/>
        <w:ind w:left="3274"/>
        <w:outlineLvl w:val="0"/>
        <w:rPr>
          <w:rFonts w:ascii="宋体" w:hAnsi="宋体" w:eastAsia="宋体" w:cs="宋体"/>
          <w:b/>
          <w:bCs/>
          <w:color w:val="auto"/>
          <w:spacing w:val="-4"/>
          <w:sz w:val="36"/>
          <w:szCs w:val="36"/>
          <w:highlight w:val="none"/>
        </w:rPr>
      </w:pPr>
      <w:bookmarkStart w:id="2" w:name="bookmark2"/>
      <w:bookmarkEnd w:id="2"/>
    </w:p>
    <w:p w14:paraId="42632D7C">
      <w:pPr>
        <w:spacing w:before="197" w:line="219" w:lineRule="auto"/>
        <w:ind w:left="3274"/>
        <w:outlineLvl w:val="0"/>
        <w:rPr>
          <w:rFonts w:ascii="宋体" w:hAnsi="宋体" w:eastAsia="宋体" w:cs="宋体"/>
          <w:b/>
          <w:bCs/>
          <w:color w:val="auto"/>
          <w:spacing w:val="-4"/>
          <w:sz w:val="36"/>
          <w:szCs w:val="36"/>
          <w:highlight w:val="none"/>
        </w:rPr>
      </w:pPr>
    </w:p>
    <w:p w14:paraId="78ABFC6E">
      <w:pPr>
        <w:spacing w:before="197" w:line="219" w:lineRule="auto"/>
        <w:ind w:left="3274"/>
        <w:outlineLvl w:val="0"/>
        <w:rPr>
          <w:rFonts w:ascii="宋体" w:hAnsi="宋体" w:eastAsia="宋体" w:cs="宋体"/>
          <w:b/>
          <w:bCs/>
          <w:color w:val="auto"/>
          <w:spacing w:val="-4"/>
          <w:sz w:val="36"/>
          <w:szCs w:val="36"/>
          <w:highlight w:val="none"/>
        </w:rPr>
      </w:pPr>
    </w:p>
    <w:p w14:paraId="2AA55176">
      <w:pPr>
        <w:spacing w:before="197" w:line="219" w:lineRule="auto"/>
        <w:ind w:left="3274"/>
        <w:outlineLvl w:val="0"/>
        <w:rPr>
          <w:rFonts w:ascii="宋体" w:hAnsi="宋体" w:eastAsia="宋体" w:cs="宋体"/>
          <w:b/>
          <w:bCs/>
          <w:color w:val="auto"/>
          <w:spacing w:val="-4"/>
          <w:sz w:val="36"/>
          <w:szCs w:val="36"/>
          <w:highlight w:val="none"/>
        </w:rPr>
      </w:pPr>
    </w:p>
    <w:p w14:paraId="3E83995F">
      <w:pPr>
        <w:spacing w:before="197" w:line="219" w:lineRule="auto"/>
        <w:ind w:left="3274"/>
        <w:outlineLvl w:val="0"/>
        <w:rPr>
          <w:rFonts w:ascii="宋体" w:hAnsi="宋体" w:eastAsia="宋体" w:cs="宋体"/>
          <w:b/>
          <w:bCs/>
          <w:color w:val="auto"/>
          <w:spacing w:val="-4"/>
          <w:sz w:val="36"/>
          <w:szCs w:val="36"/>
          <w:highlight w:val="none"/>
        </w:rPr>
      </w:pPr>
    </w:p>
    <w:p w14:paraId="4A7B8221">
      <w:pPr>
        <w:spacing w:before="197" w:line="219" w:lineRule="auto"/>
        <w:ind w:left="3274"/>
        <w:outlineLvl w:val="0"/>
        <w:rPr>
          <w:rFonts w:ascii="宋体" w:hAnsi="宋体" w:eastAsia="宋体" w:cs="宋体"/>
          <w:b/>
          <w:bCs/>
          <w:color w:val="auto"/>
          <w:spacing w:val="-4"/>
          <w:sz w:val="36"/>
          <w:szCs w:val="36"/>
          <w:highlight w:val="none"/>
        </w:rPr>
      </w:pPr>
    </w:p>
    <w:p w14:paraId="3FD34F11">
      <w:pPr>
        <w:spacing w:before="197" w:line="219" w:lineRule="auto"/>
        <w:ind w:left="3274"/>
        <w:outlineLvl w:val="0"/>
        <w:rPr>
          <w:rFonts w:ascii="宋体" w:hAnsi="宋体" w:eastAsia="宋体" w:cs="宋体"/>
          <w:b/>
          <w:bCs/>
          <w:color w:val="auto"/>
          <w:spacing w:val="-4"/>
          <w:sz w:val="36"/>
          <w:szCs w:val="36"/>
          <w:highlight w:val="none"/>
        </w:rPr>
      </w:pPr>
    </w:p>
    <w:p w14:paraId="24455D40">
      <w:pPr>
        <w:spacing w:before="197" w:line="219" w:lineRule="auto"/>
        <w:ind w:left="3274"/>
        <w:outlineLvl w:val="0"/>
        <w:rPr>
          <w:rFonts w:ascii="宋体" w:hAnsi="宋体" w:eastAsia="宋体" w:cs="宋体"/>
          <w:b/>
          <w:bCs/>
          <w:color w:val="auto"/>
          <w:spacing w:val="-4"/>
          <w:sz w:val="36"/>
          <w:szCs w:val="36"/>
          <w:highlight w:val="none"/>
        </w:rPr>
      </w:pPr>
    </w:p>
    <w:p w14:paraId="5A5206AA">
      <w:pPr>
        <w:spacing w:before="197" w:line="219" w:lineRule="auto"/>
        <w:ind w:left="3274"/>
        <w:outlineLvl w:val="0"/>
        <w:rPr>
          <w:rFonts w:ascii="宋体" w:hAnsi="宋体" w:eastAsia="宋体" w:cs="宋体"/>
          <w:b/>
          <w:bCs/>
          <w:color w:val="auto"/>
          <w:spacing w:val="-4"/>
          <w:sz w:val="36"/>
          <w:szCs w:val="36"/>
          <w:highlight w:val="none"/>
        </w:rPr>
      </w:pPr>
    </w:p>
    <w:p w14:paraId="246A5671">
      <w:pPr>
        <w:spacing w:before="197" w:line="219" w:lineRule="auto"/>
        <w:ind w:left="3274"/>
        <w:outlineLvl w:val="0"/>
        <w:rPr>
          <w:rFonts w:ascii="宋体" w:hAnsi="宋体" w:eastAsia="宋体" w:cs="宋体"/>
          <w:b/>
          <w:bCs/>
          <w:color w:val="auto"/>
          <w:spacing w:val="-4"/>
          <w:sz w:val="36"/>
          <w:szCs w:val="36"/>
          <w:highlight w:val="none"/>
        </w:rPr>
      </w:pPr>
    </w:p>
    <w:p w14:paraId="7BBD8B71">
      <w:pPr>
        <w:spacing w:before="197" w:line="219" w:lineRule="auto"/>
        <w:ind w:left="3274"/>
        <w:outlineLvl w:val="0"/>
        <w:rPr>
          <w:rFonts w:ascii="宋体" w:hAnsi="宋体" w:eastAsia="宋体" w:cs="宋体"/>
          <w:b/>
          <w:bCs/>
          <w:color w:val="auto"/>
          <w:spacing w:val="-4"/>
          <w:sz w:val="36"/>
          <w:szCs w:val="36"/>
          <w:highlight w:val="none"/>
        </w:rPr>
      </w:pPr>
    </w:p>
    <w:p w14:paraId="25AC9B73">
      <w:pPr>
        <w:spacing w:before="197" w:line="219" w:lineRule="auto"/>
        <w:ind w:left="3274"/>
        <w:outlineLvl w:val="0"/>
        <w:rPr>
          <w:rFonts w:ascii="宋体" w:hAnsi="宋体" w:eastAsia="宋体" w:cs="宋体"/>
          <w:b/>
          <w:bCs/>
          <w:color w:val="auto"/>
          <w:spacing w:val="-4"/>
          <w:sz w:val="36"/>
          <w:szCs w:val="36"/>
          <w:highlight w:val="none"/>
        </w:rPr>
      </w:pPr>
    </w:p>
    <w:p w14:paraId="5F039E98">
      <w:pPr>
        <w:spacing w:before="197" w:line="219" w:lineRule="auto"/>
        <w:ind w:left="3274"/>
        <w:outlineLvl w:val="0"/>
        <w:rPr>
          <w:rFonts w:ascii="宋体" w:hAnsi="宋体" w:eastAsia="宋体" w:cs="宋体"/>
          <w:b/>
          <w:bCs/>
          <w:color w:val="auto"/>
          <w:spacing w:val="-4"/>
          <w:sz w:val="36"/>
          <w:szCs w:val="36"/>
          <w:highlight w:val="none"/>
        </w:rPr>
      </w:pPr>
    </w:p>
    <w:p w14:paraId="21883DBA">
      <w:pPr>
        <w:spacing w:before="197" w:line="219" w:lineRule="auto"/>
        <w:ind w:left="3274"/>
        <w:outlineLvl w:val="0"/>
        <w:rPr>
          <w:rFonts w:ascii="宋体" w:hAnsi="宋体" w:eastAsia="宋体" w:cs="宋体"/>
          <w:b/>
          <w:bCs/>
          <w:color w:val="auto"/>
          <w:spacing w:val="-4"/>
          <w:sz w:val="36"/>
          <w:szCs w:val="36"/>
          <w:highlight w:val="none"/>
        </w:rPr>
      </w:pPr>
    </w:p>
    <w:p w14:paraId="47A30D08">
      <w:pPr>
        <w:spacing w:before="197" w:line="219" w:lineRule="auto"/>
        <w:ind w:left="3274"/>
        <w:outlineLvl w:val="0"/>
        <w:rPr>
          <w:rFonts w:ascii="宋体" w:hAnsi="宋体" w:eastAsia="宋体" w:cs="宋体"/>
          <w:b/>
          <w:bCs/>
          <w:color w:val="auto"/>
          <w:spacing w:val="-4"/>
          <w:sz w:val="36"/>
          <w:szCs w:val="36"/>
          <w:highlight w:val="none"/>
        </w:rPr>
      </w:pPr>
    </w:p>
    <w:p w14:paraId="51F735F8">
      <w:pPr>
        <w:spacing w:before="197" w:line="219" w:lineRule="auto"/>
        <w:ind w:left="3274"/>
        <w:outlineLvl w:val="0"/>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第二章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供应商须知</w:t>
      </w:r>
    </w:p>
    <w:p w14:paraId="7CCD8766">
      <w:pPr>
        <w:spacing w:before="260" w:line="219" w:lineRule="auto"/>
        <w:ind w:left="3862"/>
        <w:outlineLvl w:val="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供应商须知资料表</w:t>
      </w:r>
    </w:p>
    <w:p w14:paraId="01FA4A59">
      <w:pPr>
        <w:spacing w:before="78" w:line="360" w:lineRule="auto"/>
        <w:ind w:left="93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本表是对供应商须知的具体补充和修改，如</w:t>
      </w:r>
      <w:r>
        <w:rPr>
          <w:rFonts w:hint="eastAsia" w:ascii="宋体" w:hAnsi="宋体" w:eastAsia="宋体" w:cs="宋体"/>
          <w:color w:val="auto"/>
          <w:spacing w:val="-2"/>
          <w:sz w:val="21"/>
          <w:szCs w:val="21"/>
          <w:highlight w:val="none"/>
        </w:rPr>
        <w:t>有矛盾，均以本资料表为准。</w:t>
      </w:r>
    </w:p>
    <w:tbl>
      <w:tblPr>
        <w:tblStyle w:val="18"/>
        <w:tblW w:w="99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699"/>
        <w:gridCol w:w="7250"/>
      </w:tblGrid>
      <w:tr w14:paraId="2EECC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992" w:type="dxa"/>
            <w:vAlign w:val="top"/>
          </w:tcPr>
          <w:p w14:paraId="25C8457D">
            <w:pPr>
              <w:pStyle w:val="19"/>
              <w:spacing w:before="178" w:line="360" w:lineRule="auto"/>
              <w:ind w:left="138"/>
              <w:rPr>
                <w:rFonts w:hint="eastAsia" w:ascii="宋体" w:hAnsi="宋体" w:eastAsia="宋体" w:cs="宋体"/>
                <w:color w:val="auto"/>
                <w:sz w:val="21"/>
                <w:szCs w:val="21"/>
                <w:highlight w:val="none"/>
              </w:rPr>
            </w:pPr>
            <w:r>
              <w:rPr>
                <w:rFonts w:hint="eastAsia" w:ascii="宋体" w:hAnsi="宋体" w:eastAsia="宋体" w:cs="宋体"/>
                <w:b/>
                <w:bCs/>
                <w:color w:val="auto"/>
                <w:spacing w:val="-6"/>
                <w:sz w:val="21"/>
                <w:szCs w:val="21"/>
                <w:highlight w:val="none"/>
              </w:rPr>
              <w:t>条款号</w:t>
            </w:r>
          </w:p>
        </w:tc>
        <w:tc>
          <w:tcPr>
            <w:tcW w:w="1699" w:type="dxa"/>
            <w:vAlign w:val="top"/>
          </w:tcPr>
          <w:p w14:paraId="5352B715">
            <w:pPr>
              <w:pStyle w:val="19"/>
              <w:spacing w:before="178" w:line="360" w:lineRule="auto"/>
              <w:ind w:left="611"/>
              <w:rPr>
                <w:rFonts w:hint="eastAsia" w:ascii="宋体" w:hAnsi="宋体" w:eastAsia="宋体" w:cs="宋体"/>
                <w:color w:val="auto"/>
                <w:sz w:val="21"/>
                <w:szCs w:val="21"/>
                <w:highlight w:val="none"/>
              </w:rPr>
            </w:pPr>
            <w:r>
              <w:rPr>
                <w:rFonts w:hint="eastAsia" w:ascii="宋体" w:hAnsi="宋体" w:eastAsia="宋体" w:cs="宋体"/>
                <w:b/>
                <w:bCs/>
                <w:color w:val="auto"/>
                <w:spacing w:val="-8"/>
                <w:sz w:val="21"/>
                <w:szCs w:val="21"/>
                <w:highlight w:val="none"/>
              </w:rPr>
              <w:t>条目</w:t>
            </w:r>
          </w:p>
        </w:tc>
        <w:tc>
          <w:tcPr>
            <w:tcW w:w="7250" w:type="dxa"/>
            <w:vAlign w:val="top"/>
          </w:tcPr>
          <w:p w14:paraId="2C6BE5A3">
            <w:pPr>
              <w:pStyle w:val="19"/>
              <w:spacing w:before="178" w:line="360" w:lineRule="auto"/>
              <w:ind w:left="3416"/>
              <w:rPr>
                <w:rFonts w:hint="eastAsia" w:ascii="宋体" w:hAnsi="宋体" w:eastAsia="宋体" w:cs="宋体"/>
                <w:color w:val="auto"/>
                <w:sz w:val="21"/>
                <w:szCs w:val="21"/>
                <w:highlight w:val="none"/>
              </w:rPr>
            </w:pPr>
            <w:r>
              <w:rPr>
                <w:rFonts w:hint="eastAsia" w:ascii="宋体" w:hAnsi="宋体" w:eastAsia="宋体" w:cs="宋体"/>
                <w:b/>
                <w:bCs/>
                <w:color w:val="auto"/>
                <w:spacing w:val="-22"/>
                <w:sz w:val="21"/>
                <w:szCs w:val="21"/>
                <w:highlight w:val="none"/>
              </w:rPr>
              <w:t>内容</w:t>
            </w:r>
          </w:p>
        </w:tc>
      </w:tr>
      <w:tr w14:paraId="0379C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A7BA40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13DE25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2.2</w:t>
            </w:r>
          </w:p>
        </w:tc>
        <w:tc>
          <w:tcPr>
            <w:tcW w:w="1699" w:type="dxa"/>
            <w:vAlign w:val="top"/>
          </w:tcPr>
          <w:p w14:paraId="7C03EC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p>
          <w:p w14:paraId="6520D8B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32" w:firstLineChars="20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项目属性</w:t>
            </w:r>
          </w:p>
        </w:tc>
        <w:tc>
          <w:tcPr>
            <w:tcW w:w="7250" w:type="dxa"/>
            <w:vAlign w:val="top"/>
          </w:tcPr>
          <w:p w14:paraId="217A32B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项目属性： </w:t>
            </w:r>
          </w:p>
          <w:p w14:paraId="769362C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□服务</w:t>
            </w:r>
          </w:p>
          <w:p w14:paraId="738F67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□货物 </w:t>
            </w:r>
          </w:p>
          <w:p w14:paraId="7103C10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■工程</w:t>
            </w:r>
          </w:p>
        </w:tc>
      </w:tr>
      <w:tr w14:paraId="5D121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Align w:val="top"/>
          </w:tcPr>
          <w:p w14:paraId="7868353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4E94826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2.3</w:t>
            </w:r>
          </w:p>
        </w:tc>
        <w:tc>
          <w:tcPr>
            <w:tcW w:w="1699" w:type="dxa"/>
            <w:vAlign w:val="top"/>
          </w:tcPr>
          <w:p w14:paraId="40681EC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01285F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科研仪器设备</w:t>
            </w:r>
          </w:p>
        </w:tc>
        <w:tc>
          <w:tcPr>
            <w:tcW w:w="7250" w:type="dxa"/>
            <w:vAlign w:val="top"/>
          </w:tcPr>
          <w:p w14:paraId="11718C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是否属于科研仪器设备采购项目： </w:t>
            </w:r>
          </w:p>
          <w:p w14:paraId="0804A35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□是</w:t>
            </w:r>
          </w:p>
          <w:p w14:paraId="073650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■否</w:t>
            </w:r>
          </w:p>
        </w:tc>
      </w:tr>
      <w:tr w14:paraId="1F425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Merge w:val="restart"/>
            <w:tcBorders>
              <w:bottom w:val="nil"/>
            </w:tcBorders>
            <w:vAlign w:val="top"/>
          </w:tcPr>
          <w:p w14:paraId="50A3ED2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609806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6144BAF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72E2A5F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3.1</w:t>
            </w:r>
          </w:p>
        </w:tc>
        <w:tc>
          <w:tcPr>
            <w:tcW w:w="1699" w:type="dxa"/>
            <w:vAlign w:val="top"/>
          </w:tcPr>
          <w:p w14:paraId="72E5AB2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1E765BF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现场考察</w:t>
            </w:r>
          </w:p>
        </w:tc>
        <w:tc>
          <w:tcPr>
            <w:tcW w:w="7250" w:type="dxa"/>
            <w:vAlign w:val="top"/>
          </w:tcPr>
          <w:p w14:paraId="0F45E7E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■不组织</w:t>
            </w:r>
          </w:p>
          <w:p w14:paraId="6C11FF2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□组织，考察时间：___年___月___ 日___点___分 </w:t>
            </w:r>
          </w:p>
          <w:p w14:paraId="55CB049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考察地点：___________。</w:t>
            </w:r>
          </w:p>
        </w:tc>
      </w:tr>
      <w:tr w14:paraId="24883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Merge w:val="continue"/>
            <w:tcBorders>
              <w:top w:val="nil"/>
            </w:tcBorders>
            <w:vAlign w:val="top"/>
          </w:tcPr>
          <w:p w14:paraId="6AE786B0">
            <w:pPr>
              <w:spacing w:line="360" w:lineRule="auto"/>
              <w:rPr>
                <w:rFonts w:hint="eastAsia" w:ascii="宋体" w:hAnsi="宋体" w:eastAsia="宋体" w:cs="宋体"/>
                <w:color w:val="auto"/>
                <w:sz w:val="21"/>
                <w:szCs w:val="21"/>
                <w:highlight w:val="none"/>
              </w:rPr>
            </w:pPr>
          </w:p>
        </w:tc>
        <w:tc>
          <w:tcPr>
            <w:tcW w:w="1699" w:type="dxa"/>
            <w:vAlign w:val="top"/>
          </w:tcPr>
          <w:p w14:paraId="35865C4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74F3C8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磋商前答疑会</w:t>
            </w:r>
          </w:p>
        </w:tc>
        <w:tc>
          <w:tcPr>
            <w:tcW w:w="7250" w:type="dxa"/>
            <w:vAlign w:val="top"/>
          </w:tcPr>
          <w:p w14:paraId="649203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■不召开</w:t>
            </w:r>
          </w:p>
          <w:p w14:paraId="04F0B7D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 xml:space="preserve">□ 召开，召开时间：___年___月___ 日___点___分 </w:t>
            </w:r>
          </w:p>
          <w:p w14:paraId="1A1F91B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召开地点：___________。</w:t>
            </w:r>
          </w:p>
        </w:tc>
      </w:tr>
      <w:tr w14:paraId="1284B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2" w:type="dxa"/>
            <w:vAlign w:val="top"/>
          </w:tcPr>
          <w:p w14:paraId="43277CB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7B07C52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DBDB70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4.2.5</w:t>
            </w:r>
          </w:p>
        </w:tc>
        <w:tc>
          <w:tcPr>
            <w:tcW w:w="1699" w:type="dxa"/>
            <w:vAlign w:val="top"/>
          </w:tcPr>
          <w:p w14:paraId="15D673B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3AB2568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4146EA1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标的所属行业</w:t>
            </w:r>
          </w:p>
        </w:tc>
        <w:tc>
          <w:tcPr>
            <w:tcW w:w="7250" w:type="dxa"/>
            <w:vAlign w:val="top"/>
          </w:tcPr>
          <w:p w14:paraId="7A5DAD0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本项目采购标的对应的中小企业划分标准所属行业：</w:t>
            </w:r>
          </w:p>
          <w:tbl>
            <w:tblPr>
              <w:tblStyle w:val="18"/>
              <w:tblW w:w="6534"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2686"/>
              <w:gridCol w:w="3112"/>
            </w:tblGrid>
            <w:tr w14:paraId="10052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36" w:type="dxa"/>
                  <w:vAlign w:val="top"/>
                </w:tcPr>
                <w:p w14:paraId="0D24860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包号</w:t>
                  </w:r>
                </w:p>
              </w:tc>
              <w:tc>
                <w:tcPr>
                  <w:tcW w:w="2686" w:type="dxa"/>
                  <w:vAlign w:val="top"/>
                </w:tcPr>
                <w:p w14:paraId="1B82BF7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标的名称</w:t>
                  </w:r>
                </w:p>
              </w:tc>
              <w:tc>
                <w:tcPr>
                  <w:tcW w:w="3112" w:type="dxa"/>
                  <w:vAlign w:val="top"/>
                </w:tcPr>
                <w:p w14:paraId="3B52CFA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中小企业划分标准所属行业</w:t>
                  </w:r>
                </w:p>
              </w:tc>
            </w:tr>
            <w:tr w14:paraId="1700F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36" w:type="dxa"/>
                  <w:vAlign w:val="top"/>
                </w:tcPr>
                <w:p w14:paraId="4524FBC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01</w:t>
                  </w:r>
                </w:p>
              </w:tc>
              <w:tc>
                <w:tcPr>
                  <w:tcW w:w="2686" w:type="dxa"/>
                  <w:vAlign w:val="top"/>
                </w:tcPr>
                <w:p w14:paraId="571FB2A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snapToGrid w:val="0"/>
                      <w:color w:val="auto"/>
                      <w:spacing w:val="-2"/>
                      <w:kern w:val="0"/>
                      <w:sz w:val="21"/>
                      <w:szCs w:val="21"/>
                      <w:highlight w:val="none"/>
                      <w:lang w:val="en-US" w:eastAsia="zh-CN" w:bidi="ar-SA"/>
                    </w:rPr>
                    <w:t>2025年通州区西集镇通香旧路（K0+479-K1+326）养护工程</w:t>
                  </w:r>
                </w:p>
              </w:tc>
              <w:tc>
                <w:tcPr>
                  <w:tcW w:w="3112" w:type="dxa"/>
                  <w:vAlign w:val="top"/>
                </w:tcPr>
                <w:p w14:paraId="482BD54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center"/>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建筑业</w:t>
                  </w:r>
                </w:p>
              </w:tc>
            </w:tr>
          </w:tbl>
          <w:p w14:paraId="50786E5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tc>
      </w:tr>
      <w:tr w14:paraId="3B661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2" w:type="dxa"/>
            <w:vAlign w:val="top"/>
          </w:tcPr>
          <w:p w14:paraId="749737A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C79C0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10.2</w:t>
            </w:r>
          </w:p>
        </w:tc>
        <w:tc>
          <w:tcPr>
            <w:tcW w:w="1699" w:type="dxa"/>
            <w:vAlign w:val="top"/>
          </w:tcPr>
          <w:p w14:paraId="02D98D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p>
          <w:p w14:paraId="5CAA0A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报价</w:t>
            </w:r>
          </w:p>
        </w:tc>
        <w:tc>
          <w:tcPr>
            <w:tcW w:w="7250" w:type="dxa"/>
            <w:vAlign w:val="top"/>
          </w:tcPr>
          <w:p w14:paraId="1ADDC5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报价的特殊规定：</w:t>
            </w:r>
          </w:p>
          <w:p w14:paraId="50E745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■无</w:t>
            </w:r>
          </w:p>
          <w:p w14:paraId="5AAEEA8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□有，具体情形：___________。</w:t>
            </w:r>
          </w:p>
        </w:tc>
      </w:tr>
      <w:tr w14:paraId="63313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2" w:type="dxa"/>
            <w:vAlign w:val="top"/>
          </w:tcPr>
          <w:p w14:paraId="4D3C2FAF">
            <w:pPr>
              <w:spacing w:before="69" w:line="360" w:lineRule="auto"/>
              <w:ind w:left="307"/>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11.1</w:t>
            </w:r>
          </w:p>
        </w:tc>
        <w:tc>
          <w:tcPr>
            <w:tcW w:w="1699" w:type="dxa"/>
            <w:vMerge w:val="restart"/>
            <w:vAlign w:val="top"/>
          </w:tcPr>
          <w:p w14:paraId="75DCB53A">
            <w:pPr>
              <w:pStyle w:val="19"/>
              <w:spacing w:before="78" w:line="360" w:lineRule="auto"/>
              <w:ind w:left="249"/>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磋商保证金</w:t>
            </w:r>
          </w:p>
          <w:p w14:paraId="468CFA3D">
            <w:pPr>
              <w:pStyle w:val="19"/>
              <w:spacing w:before="78" w:line="360" w:lineRule="auto"/>
              <w:ind w:left="24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none"/>
                <w:lang w:val="en-US" w:eastAsia="zh-CN"/>
              </w:rPr>
              <w:t>(本项目不采用）</w:t>
            </w:r>
          </w:p>
        </w:tc>
        <w:tc>
          <w:tcPr>
            <w:tcW w:w="7250" w:type="dxa"/>
            <w:vAlign w:val="top"/>
          </w:tcPr>
          <w:p w14:paraId="443BDD6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pacing w:val="3"/>
                <w:sz w:val="21"/>
                <w:szCs w:val="21"/>
                <w:highlight w:val="none"/>
                <w:u w:val="none" w:color="auto"/>
                <w:lang w:val="en-US" w:eastAsia="zh-CN"/>
              </w:rPr>
            </w:pPr>
            <w:r>
              <w:rPr>
                <w:rFonts w:hint="eastAsia" w:ascii="宋体" w:hAnsi="宋体" w:eastAsia="宋体" w:cs="宋体"/>
                <w:color w:val="auto"/>
                <w:spacing w:val="3"/>
                <w:sz w:val="21"/>
                <w:szCs w:val="21"/>
                <w:highlight w:val="none"/>
                <w:u w:val="none" w:color="auto"/>
                <w:lang w:val="en-US" w:eastAsia="zh-CN"/>
              </w:rPr>
              <w:t>磋商保证金金额：</w:t>
            </w:r>
            <w:r>
              <w:rPr>
                <w:rFonts w:hint="eastAsia" w:ascii="宋体" w:hAnsi="宋体" w:eastAsia="宋体" w:cs="宋体"/>
                <w:color w:val="auto"/>
                <w:spacing w:val="3"/>
                <w:sz w:val="21"/>
                <w:szCs w:val="21"/>
                <w:highlight w:val="none"/>
                <w:u w:val="single" w:color="auto"/>
                <w:lang w:val="en-US" w:eastAsia="zh-CN"/>
              </w:rPr>
              <w:t xml:space="preserve">  /  </w:t>
            </w:r>
            <w:r>
              <w:rPr>
                <w:rFonts w:hint="eastAsia" w:ascii="宋体" w:hAnsi="宋体" w:eastAsia="宋体" w:cs="宋体"/>
                <w:color w:val="auto"/>
                <w:spacing w:val="3"/>
                <w:sz w:val="21"/>
                <w:szCs w:val="21"/>
                <w:highlight w:val="none"/>
                <w:u w:val="none" w:color="auto"/>
                <w:lang w:val="en-US" w:eastAsia="zh-CN"/>
              </w:rPr>
              <w:t xml:space="preserve">元。 </w:t>
            </w:r>
          </w:p>
          <w:p w14:paraId="323FC01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192" w:firstLineChars="89"/>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u w:val="none" w:color="auto"/>
                <w:lang w:val="en-US" w:eastAsia="zh-CN"/>
              </w:rPr>
              <w:t>磋商保证金收受人信息：</w:t>
            </w:r>
            <w:r>
              <w:rPr>
                <w:rFonts w:hint="eastAsia" w:ascii="宋体" w:hAnsi="宋体" w:eastAsia="宋体" w:cs="宋体"/>
                <w:color w:val="auto"/>
                <w:spacing w:val="3"/>
                <w:sz w:val="21"/>
                <w:szCs w:val="21"/>
                <w:highlight w:val="none"/>
                <w:u w:val="single" w:color="auto"/>
                <w:lang w:val="en-US" w:eastAsia="zh-CN"/>
              </w:rPr>
              <w:t>/。</w:t>
            </w:r>
          </w:p>
        </w:tc>
      </w:tr>
      <w:tr w14:paraId="1A75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992" w:type="dxa"/>
            <w:vAlign w:val="top"/>
          </w:tcPr>
          <w:p w14:paraId="1E736D1F">
            <w:pPr>
              <w:spacing w:line="360" w:lineRule="auto"/>
              <w:rPr>
                <w:rFonts w:hint="eastAsia" w:ascii="宋体" w:hAnsi="宋体" w:eastAsia="宋体" w:cs="宋体"/>
                <w:color w:val="auto"/>
                <w:sz w:val="21"/>
                <w:szCs w:val="21"/>
                <w:highlight w:val="none"/>
              </w:rPr>
            </w:pPr>
          </w:p>
          <w:p w14:paraId="2DEAF391">
            <w:pPr>
              <w:spacing w:before="69" w:line="360" w:lineRule="auto"/>
              <w:ind w:left="21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11.8.5</w:t>
            </w:r>
          </w:p>
        </w:tc>
        <w:tc>
          <w:tcPr>
            <w:tcW w:w="1699" w:type="dxa"/>
            <w:vMerge w:val="continue"/>
            <w:vAlign w:val="top"/>
          </w:tcPr>
          <w:p w14:paraId="4E4B0934">
            <w:pPr>
              <w:spacing w:line="360" w:lineRule="auto"/>
              <w:rPr>
                <w:rFonts w:hint="eastAsia" w:ascii="宋体" w:hAnsi="宋体" w:eastAsia="宋体" w:cs="宋体"/>
                <w:color w:val="auto"/>
                <w:sz w:val="21"/>
                <w:szCs w:val="21"/>
                <w:highlight w:val="none"/>
              </w:rPr>
            </w:pPr>
          </w:p>
        </w:tc>
        <w:tc>
          <w:tcPr>
            <w:tcW w:w="7250" w:type="dxa"/>
            <w:vAlign w:val="top"/>
          </w:tcPr>
          <w:p w14:paraId="285B46CB">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磋商保证金不予退还的其他情形：</w:t>
            </w:r>
          </w:p>
          <w:p w14:paraId="4732F63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■无</w:t>
            </w:r>
          </w:p>
          <w:p w14:paraId="6A58733D">
            <w:pPr>
              <w:pStyle w:val="19"/>
              <w:spacing w:before="26" w:line="360" w:lineRule="auto"/>
              <w:ind w:left="116" w:right="179" w:hanging="2"/>
              <w:rPr>
                <w:rFonts w:hint="eastAsia" w:ascii="宋体" w:hAnsi="宋体" w:eastAsia="宋体" w:cs="宋体"/>
                <w:color w:val="auto"/>
                <w:sz w:val="21"/>
                <w:szCs w:val="21"/>
                <w:highlight w:val="none"/>
              </w:rPr>
            </w:pPr>
            <w:r>
              <w:rPr>
                <w:rFonts w:hint="eastAsia" w:ascii="宋体" w:hAnsi="宋体" w:eastAsia="宋体" w:cs="宋体"/>
                <w:snapToGrid w:val="0"/>
                <w:color w:val="auto"/>
                <w:spacing w:val="3"/>
                <w:kern w:val="0"/>
                <w:sz w:val="21"/>
                <w:szCs w:val="21"/>
                <w:highlight w:val="none"/>
                <w:u w:val="none" w:color="auto"/>
                <w:lang w:val="en-US" w:eastAsia="zh-CN" w:bidi="ar-SA"/>
              </w:rPr>
              <w:t>□有，具体情形：</w:t>
            </w:r>
          </w:p>
        </w:tc>
      </w:tr>
      <w:tr w14:paraId="3807B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92" w:type="dxa"/>
            <w:vAlign w:val="top"/>
          </w:tcPr>
          <w:p w14:paraId="0B7F14E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12.1</w:t>
            </w:r>
          </w:p>
        </w:tc>
        <w:tc>
          <w:tcPr>
            <w:tcW w:w="1699" w:type="dxa"/>
            <w:vAlign w:val="top"/>
          </w:tcPr>
          <w:p w14:paraId="7A0E577D">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响应有效期</w:t>
            </w:r>
          </w:p>
        </w:tc>
        <w:tc>
          <w:tcPr>
            <w:tcW w:w="7250" w:type="dxa"/>
            <w:vAlign w:val="top"/>
          </w:tcPr>
          <w:p w14:paraId="5A5E925F">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自响应文件提交截止之日起算 90  日历天。</w:t>
            </w:r>
          </w:p>
        </w:tc>
      </w:tr>
      <w:tr w14:paraId="1CBA4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96FA798">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5C47FA3D">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13.1</w:t>
            </w:r>
          </w:p>
        </w:tc>
        <w:tc>
          <w:tcPr>
            <w:tcW w:w="1699" w:type="dxa"/>
            <w:vAlign w:val="top"/>
          </w:tcPr>
          <w:p w14:paraId="6029BBA8">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6172E554">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响应文件份数</w:t>
            </w:r>
          </w:p>
        </w:tc>
        <w:tc>
          <w:tcPr>
            <w:tcW w:w="7250" w:type="dxa"/>
            <w:vAlign w:val="top"/>
          </w:tcPr>
          <w:p w14:paraId="13FB46C5">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纸质响应文件：正本 1 份，副本 2 份；</w:t>
            </w:r>
          </w:p>
          <w:p w14:paraId="5CE15DC1">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电子版响应文件：U 盘 1 套（内容为全部响应文件（正本）签字并盖章后的PDF扫描件）。</w:t>
            </w:r>
          </w:p>
          <w:p w14:paraId="1F7C36ED">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除被拒绝接收的响应文件外，响应文件不退回给供应商。</w:t>
            </w:r>
          </w:p>
        </w:tc>
      </w:tr>
      <w:tr w14:paraId="65243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992" w:type="dxa"/>
            <w:vAlign w:val="top"/>
          </w:tcPr>
          <w:p w14:paraId="6D4B9515">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ED6252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A996F4A">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20.1</w:t>
            </w:r>
          </w:p>
        </w:tc>
        <w:tc>
          <w:tcPr>
            <w:tcW w:w="1699" w:type="dxa"/>
            <w:vAlign w:val="top"/>
          </w:tcPr>
          <w:p w14:paraId="1C969A89">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90C276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确定成交供应商</w:t>
            </w:r>
          </w:p>
        </w:tc>
        <w:tc>
          <w:tcPr>
            <w:tcW w:w="7250" w:type="dxa"/>
            <w:vAlign w:val="top"/>
          </w:tcPr>
          <w:p w14:paraId="120F79FB">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采购人是否授权磋商小组直接确定成交供应商：</w:t>
            </w:r>
          </w:p>
          <w:p w14:paraId="6E9AA3C7">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■否</w:t>
            </w:r>
          </w:p>
          <w:p w14:paraId="0A81BC1B">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□是</w:t>
            </w:r>
          </w:p>
          <w:p w14:paraId="41FFF2D6">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成交候选人并列的，按照以下方式确定成交供应商：技术得分较高者排名在前。</w:t>
            </w:r>
          </w:p>
        </w:tc>
      </w:tr>
      <w:tr w14:paraId="4252B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992" w:type="dxa"/>
            <w:vAlign w:val="top"/>
          </w:tcPr>
          <w:p w14:paraId="6EF2E238">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E3101A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2EB7D5A">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380C6B1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23.5</w:t>
            </w:r>
          </w:p>
        </w:tc>
        <w:tc>
          <w:tcPr>
            <w:tcW w:w="1699" w:type="dxa"/>
            <w:vAlign w:val="top"/>
          </w:tcPr>
          <w:p w14:paraId="79E4D40F">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1904E7F6">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DC48900">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83E6C68">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分包</w:t>
            </w:r>
          </w:p>
        </w:tc>
        <w:tc>
          <w:tcPr>
            <w:tcW w:w="7250" w:type="dxa"/>
            <w:vAlign w:val="top"/>
          </w:tcPr>
          <w:p w14:paraId="42AB8D9C">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本项目是否允许分包：</w:t>
            </w:r>
          </w:p>
          <w:p w14:paraId="0B528A9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■不允许</w:t>
            </w:r>
          </w:p>
          <w:p w14:paraId="1A9CC136">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 允许，具体要求：_______。</w:t>
            </w:r>
          </w:p>
          <w:p w14:paraId="15B5ABAE">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（1）可以分包履行的具体内容：_______；</w:t>
            </w:r>
          </w:p>
          <w:p w14:paraId="7000C305">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（2）允许分包的金额或者比例：_______；</w:t>
            </w:r>
          </w:p>
          <w:p w14:paraId="4BE8847D">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（3）其他要求：_______。</w:t>
            </w:r>
          </w:p>
        </w:tc>
      </w:tr>
      <w:tr w14:paraId="3CE62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992" w:type="dxa"/>
            <w:vAlign w:val="top"/>
          </w:tcPr>
          <w:p w14:paraId="6136F61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5804BBE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6DBE1305">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74D9AD0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23.6</w:t>
            </w:r>
          </w:p>
        </w:tc>
        <w:tc>
          <w:tcPr>
            <w:tcW w:w="1699" w:type="dxa"/>
            <w:vAlign w:val="top"/>
          </w:tcPr>
          <w:p w14:paraId="05C9A189">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0573ED17">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F018C2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0DF29F4D">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政采贷</w:t>
            </w:r>
          </w:p>
        </w:tc>
        <w:tc>
          <w:tcPr>
            <w:tcW w:w="7250" w:type="dxa"/>
            <w:vAlign w:val="top"/>
          </w:tcPr>
          <w:p w14:paraId="3CC5DCBC">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为更大力度激发市场活力和社会创造力，增强发展动力，按照《北 京市全面优化营商环境助力企业高质量发展实施方案》（京政办发〔2023〕8 号）部署，进一步加强政府采购合同线上融资“一站式” 服务（以下简称“政采贷”），北京市财政局、中国人民银行营业管 理部联合发布《关于推进政府采购合同线上融资有关工作的通知》 （京财采购〔2023〕637 号）。有需求的供应商，可按上述通知要求办理“政采贷”。</w:t>
            </w:r>
          </w:p>
        </w:tc>
      </w:tr>
      <w:tr w14:paraId="2A3CD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0C52B16C">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3FB69657">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24.1.1</w:t>
            </w:r>
          </w:p>
        </w:tc>
        <w:tc>
          <w:tcPr>
            <w:tcW w:w="1699" w:type="dxa"/>
            <w:vAlign w:val="top"/>
          </w:tcPr>
          <w:p w14:paraId="736B9C17">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486FF66">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询问</w:t>
            </w:r>
          </w:p>
        </w:tc>
        <w:tc>
          <w:tcPr>
            <w:tcW w:w="7250" w:type="dxa"/>
            <w:vAlign w:val="top"/>
          </w:tcPr>
          <w:p w14:paraId="58F0D9B2">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询问提出形式：供应商如果对磋商文件的任何部分有疑问，应以书面的形式提出，并加盖供应商单位公章后送达采购代理机构。采购人将以书面的形式酌情予以澄清（包括对询问的解释，但不说明询问的来源），并发给所有获得磋商文件的供应商。</w:t>
            </w:r>
          </w:p>
        </w:tc>
      </w:tr>
      <w:tr w14:paraId="22BA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992" w:type="dxa"/>
            <w:vAlign w:val="top"/>
          </w:tcPr>
          <w:p w14:paraId="203C89DA">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657FDDBD">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24.3</w:t>
            </w:r>
          </w:p>
        </w:tc>
        <w:tc>
          <w:tcPr>
            <w:tcW w:w="1699" w:type="dxa"/>
            <w:vAlign w:val="top"/>
          </w:tcPr>
          <w:p w14:paraId="2377A8D0">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4776C469">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联系方式</w:t>
            </w:r>
          </w:p>
        </w:tc>
        <w:tc>
          <w:tcPr>
            <w:tcW w:w="7250" w:type="dxa"/>
            <w:vAlign w:val="top"/>
          </w:tcPr>
          <w:p w14:paraId="56DC3574">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接收询问和质疑的联系方式</w:t>
            </w:r>
          </w:p>
          <w:p w14:paraId="7B5477C2">
            <w:pPr>
              <w:pStyle w:val="19"/>
              <w:spacing w:before="26" w:line="360" w:lineRule="auto"/>
              <w:ind w:left="116" w:right="179" w:hanging="2"/>
              <w:rPr>
                <w:rFonts w:hint="eastAsia"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联系部门：北京飞焱工程管理咨询有限公司</w:t>
            </w:r>
            <w:r>
              <w:rPr>
                <w:rFonts w:hint="eastAsia" w:cs="宋体"/>
                <w:snapToGrid w:val="0"/>
                <w:color w:val="auto"/>
                <w:spacing w:val="3"/>
                <w:kern w:val="0"/>
                <w:sz w:val="21"/>
                <w:szCs w:val="21"/>
                <w:highlight w:val="none"/>
                <w:u w:val="none" w:color="auto"/>
                <w:lang w:val="en-US" w:eastAsia="zh-CN" w:bidi="ar-SA"/>
              </w:rPr>
              <w:t xml:space="preserve"> 招标部</w:t>
            </w:r>
            <w:r>
              <w:rPr>
                <w:rFonts w:hint="eastAsia" w:ascii="宋体" w:hAnsi="宋体" w:eastAsia="宋体" w:cs="宋体"/>
                <w:snapToGrid w:val="0"/>
                <w:color w:val="auto"/>
                <w:spacing w:val="3"/>
                <w:kern w:val="0"/>
                <w:sz w:val="21"/>
                <w:szCs w:val="21"/>
                <w:highlight w:val="none"/>
                <w:u w:val="none" w:color="auto"/>
                <w:lang w:val="en-US" w:eastAsia="zh-CN" w:bidi="ar-SA"/>
              </w:rPr>
              <w:t xml:space="preserve"> </w:t>
            </w:r>
            <w:r>
              <w:rPr>
                <w:rFonts w:hint="eastAsia" w:cs="宋体"/>
                <w:snapToGrid w:val="0"/>
                <w:color w:val="auto"/>
                <w:spacing w:val="3"/>
                <w:kern w:val="0"/>
                <w:sz w:val="21"/>
                <w:szCs w:val="21"/>
                <w:highlight w:val="none"/>
                <w:u w:val="none" w:color="auto"/>
                <w:lang w:val="en-US" w:eastAsia="zh-CN" w:bidi="ar-SA"/>
              </w:rPr>
              <w:t xml:space="preserve"> </w:t>
            </w:r>
          </w:p>
          <w:p w14:paraId="0CEB1E8E">
            <w:pPr>
              <w:pStyle w:val="19"/>
              <w:spacing w:before="26" w:line="360" w:lineRule="auto"/>
              <w:ind w:left="116" w:right="179" w:hanging="2"/>
              <w:rPr>
                <w:rFonts w:hint="default"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联系电话：</w:t>
            </w:r>
            <w:r>
              <w:rPr>
                <w:rFonts w:hint="eastAsia" w:ascii="宋体" w:hAnsi="宋体" w:eastAsia="宋体" w:cs="宋体"/>
                <w:color w:val="auto"/>
                <w:spacing w:val="3"/>
                <w:sz w:val="21"/>
                <w:szCs w:val="21"/>
                <w:highlight w:val="none"/>
                <w:u w:val="none" w:color="auto"/>
                <w:lang w:val="en-US" w:eastAsia="zh-CN"/>
              </w:rPr>
              <w:t xml:space="preserve">61538533 </w:t>
            </w:r>
            <w:r>
              <w:rPr>
                <w:rFonts w:hint="eastAsia" w:ascii="宋体" w:hAnsi="宋体" w:eastAsia="宋体" w:cs="宋体"/>
                <w:snapToGrid w:val="0"/>
                <w:color w:val="auto"/>
                <w:spacing w:val="3"/>
                <w:kern w:val="0"/>
                <w:sz w:val="21"/>
                <w:szCs w:val="21"/>
                <w:highlight w:val="none"/>
                <w:u w:val="none" w:color="auto"/>
                <w:lang w:val="en-US" w:eastAsia="zh-CN" w:bidi="ar-SA"/>
              </w:rPr>
              <w:t xml:space="preserve"> </w:t>
            </w:r>
            <w:r>
              <w:rPr>
                <w:rFonts w:hint="eastAsia" w:cs="宋体"/>
                <w:snapToGrid w:val="0"/>
                <w:color w:val="auto"/>
                <w:spacing w:val="3"/>
                <w:kern w:val="0"/>
                <w:sz w:val="21"/>
                <w:szCs w:val="21"/>
                <w:highlight w:val="none"/>
                <w:u w:val="none" w:color="auto"/>
                <w:lang w:val="en-US" w:eastAsia="zh-CN" w:bidi="ar-SA"/>
              </w:rPr>
              <w:t xml:space="preserve"> </w:t>
            </w:r>
          </w:p>
          <w:p w14:paraId="2CF20894">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通讯地址：北京市通州区八里桥南街50号12幢</w:t>
            </w:r>
            <w:r>
              <w:rPr>
                <w:rFonts w:hint="eastAsia" w:cs="宋体"/>
                <w:color w:val="auto"/>
                <w:spacing w:val="3"/>
                <w:sz w:val="21"/>
                <w:szCs w:val="21"/>
                <w:highlight w:val="none"/>
                <w:u w:val="none" w:color="auto"/>
                <w:lang w:val="en-US" w:eastAsia="zh-CN"/>
              </w:rPr>
              <w:t xml:space="preserve"> </w:t>
            </w:r>
            <w:r>
              <w:rPr>
                <w:rFonts w:hint="eastAsia" w:cs="宋体"/>
                <w:snapToGrid w:val="0"/>
                <w:color w:val="auto"/>
                <w:spacing w:val="3"/>
                <w:kern w:val="0"/>
                <w:sz w:val="21"/>
                <w:szCs w:val="21"/>
                <w:highlight w:val="none"/>
                <w:u w:val="none" w:color="auto"/>
                <w:lang w:val="en-US" w:eastAsia="zh-CN" w:bidi="ar-SA"/>
              </w:rPr>
              <w:t xml:space="preserve"> </w:t>
            </w:r>
          </w:p>
        </w:tc>
      </w:tr>
      <w:tr w14:paraId="3109B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vAlign w:val="top"/>
          </w:tcPr>
          <w:p w14:paraId="03DD2636">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0440BCB8">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25</w:t>
            </w:r>
          </w:p>
        </w:tc>
        <w:tc>
          <w:tcPr>
            <w:tcW w:w="1699" w:type="dxa"/>
            <w:vAlign w:val="top"/>
          </w:tcPr>
          <w:p w14:paraId="5BFA1298">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p>
          <w:p w14:paraId="29EBD5FE">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代理费</w:t>
            </w:r>
          </w:p>
        </w:tc>
        <w:tc>
          <w:tcPr>
            <w:tcW w:w="7250" w:type="dxa"/>
            <w:vAlign w:val="top"/>
          </w:tcPr>
          <w:p w14:paraId="17FD7B4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收费对象：</w:t>
            </w:r>
          </w:p>
          <w:p w14:paraId="7B70AACA">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■采购人</w:t>
            </w:r>
          </w:p>
          <w:p w14:paraId="6FFD0523">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□成交供应商</w:t>
            </w:r>
          </w:p>
          <w:p w14:paraId="00F7782F">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收费标准：参照国家计委（计价格【2002】1980号）文件及国家发改委（发改价格【2011】534号）、国家发展改革委关于进一步放开建设项目服务价格的通知（发改价格〔2015〕299号）文件下浮20%；</w:t>
            </w:r>
          </w:p>
          <w:p w14:paraId="2C8D25DA">
            <w:pPr>
              <w:pStyle w:val="19"/>
              <w:spacing w:before="26" w:line="360" w:lineRule="auto"/>
              <w:ind w:left="116" w:right="179" w:hanging="2"/>
              <w:rPr>
                <w:rFonts w:hint="eastAsia" w:ascii="宋体" w:hAnsi="宋体" w:eastAsia="宋体" w:cs="宋体"/>
                <w:snapToGrid w:val="0"/>
                <w:color w:val="auto"/>
                <w:spacing w:val="3"/>
                <w:kern w:val="0"/>
                <w:sz w:val="21"/>
                <w:szCs w:val="21"/>
                <w:highlight w:val="none"/>
                <w:u w:val="none" w:color="auto"/>
                <w:lang w:val="en-US" w:eastAsia="zh-CN" w:bidi="ar-SA"/>
              </w:rPr>
            </w:pPr>
            <w:r>
              <w:rPr>
                <w:rFonts w:hint="eastAsia" w:ascii="宋体" w:hAnsi="宋体" w:eastAsia="宋体" w:cs="宋体"/>
                <w:snapToGrid w:val="0"/>
                <w:color w:val="auto"/>
                <w:spacing w:val="3"/>
                <w:kern w:val="0"/>
                <w:sz w:val="21"/>
                <w:szCs w:val="21"/>
                <w:highlight w:val="none"/>
                <w:u w:val="none" w:color="auto"/>
                <w:lang w:val="en-US" w:eastAsia="zh-CN" w:bidi="ar-SA"/>
              </w:rPr>
              <w:t>缴纳时间：</w:t>
            </w:r>
            <w:r>
              <w:rPr>
                <w:rFonts w:hint="eastAsia" w:ascii="宋体" w:hAnsi="宋体" w:eastAsia="宋体" w:cs="宋体"/>
                <w:snapToGrid w:val="0"/>
                <w:color w:val="auto"/>
                <w:spacing w:val="3"/>
                <w:kern w:val="0"/>
                <w:sz w:val="21"/>
                <w:szCs w:val="21"/>
                <w:highlight w:val="none"/>
                <w:u w:val="single" w:color="auto"/>
                <w:lang w:val="en-US" w:eastAsia="zh-CN" w:bidi="ar-SA"/>
              </w:rPr>
              <w:t xml:space="preserve"> 领取中标通知书时 </w:t>
            </w:r>
            <w:r>
              <w:rPr>
                <w:rFonts w:hint="eastAsia" w:ascii="宋体" w:hAnsi="宋体" w:eastAsia="宋体" w:cs="宋体"/>
                <w:snapToGrid w:val="0"/>
                <w:color w:val="auto"/>
                <w:spacing w:val="3"/>
                <w:kern w:val="0"/>
                <w:sz w:val="21"/>
                <w:szCs w:val="21"/>
                <w:highlight w:val="none"/>
                <w:u w:val="none" w:color="auto"/>
                <w:lang w:val="en-US" w:eastAsia="zh-CN" w:bidi="ar-SA"/>
              </w:rPr>
              <w:t>。</w:t>
            </w:r>
          </w:p>
        </w:tc>
      </w:tr>
      <w:tr w14:paraId="7C7BC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992" w:type="dxa"/>
            <w:shd w:val="clear" w:color="auto" w:fill="auto"/>
            <w:vAlign w:val="top"/>
          </w:tcPr>
          <w:p w14:paraId="1883E0FC">
            <w:pPr>
              <w:keepNext w:val="0"/>
              <w:keepLines w:val="0"/>
              <w:pageBreakBefore w:val="0"/>
              <w:widowControl/>
              <w:kinsoku w:val="0"/>
              <w:wordWrap/>
              <w:overflowPunct/>
              <w:topLinePunct w:val="0"/>
              <w:autoSpaceDE w:val="0"/>
              <w:autoSpaceDN w:val="0"/>
              <w:bidi w:val="0"/>
              <w:adjustRightInd w:val="0"/>
              <w:snapToGrid w:val="0"/>
              <w:spacing w:before="88" w:line="360" w:lineRule="auto"/>
              <w:ind w:right="41" w:rightChars="0" w:firstLine="420" w:firstLineChars="200"/>
              <w:jc w:val="both"/>
              <w:textAlignment w:val="baseline"/>
              <w:rPr>
                <w:rFonts w:hint="eastAsia" w:ascii="宋体" w:hAnsi="宋体" w:eastAsia="宋体" w:cs="宋体"/>
                <w:snapToGrid w:val="0"/>
                <w:color w:val="auto"/>
                <w:kern w:val="0"/>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26</w:t>
            </w:r>
          </w:p>
        </w:tc>
        <w:tc>
          <w:tcPr>
            <w:tcW w:w="1699" w:type="dxa"/>
            <w:shd w:val="clear" w:color="auto" w:fill="auto"/>
            <w:vAlign w:val="top"/>
          </w:tcPr>
          <w:p w14:paraId="085B48B4">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6" w:leftChars="103" w:right="41" w:firstLine="0" w:firstLineChars="0"/>
              <w:jc w:val="both"/>
              <w:textAlignment w:val="baseline"/>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磋商控制价</w:t>
            </w:r>
          </w:p>
          <w:p w14:paraId="2070933F">
            <w:pPr>
              <w:keepNext w:val="0"/>
              <w:keepLines w:val="0"/>
              <w:pageBreakBefore w:val="0"/>
              <w:widowControl/>
              <w:kinsoku w:val="0"/>
              <w:wordWrap/>
              <w:overflowPunct/>
              <w:topLinePunct w:val="0"/>
              <w:autoSpaceDE w:val="0"/>
              <w:autoSpaceDN w:val="0"/>
              <w:bidi w:val="0"/>
              <w:adjustRightInd w:val="0"/>
              <w:snapToGrid w:val="0"/>
              <w:spacing w:before="88" w:line="360" w:lineRule="auto"/>
              <w:ind w:left="199" w:leftChars="95" w:right="41" w:rightChars="0" w:firstLine="0" w:firstLineChars="0"/>
              <w:jc w:val="both"/>
              <w:textAlignment w:val="baseline"/>
              <w:rPr>
                <w:rFonts w:hint="eastAsia" w:ascii="宋体" w:hAnsi="宋体" w:eastAsia="宋体" w:cs="宋体"/>
                <w:snapToGrid w:val="0"/>
                <w:color w:val="auto"/>
                <w:kern w:val="0"/>
                <w:sz w:val="21"/>
                <w:szCs w:val="21"/>
                <w:highlight w:val="none"/>
                <w:u w:val="none"/>
                <w:lang w:val="en-US" w:eastAsia="zh-CN" w:bidi="ar-SA"/>
              </w:rPr>
            </w:pPr>
          </w:p>
        </w:tc>
        <w:tc>
          <w:tcPr>
            <w:tcW w:w="7250" w:type="dxa"/>
            <w:shd w:val="clear" w:color="auto" w:fill="auto"/>
            <w:vAlign w:val="top"/>
          </w:tcPr>
          <w:p w14:paraId="52699EFD">
            <w:pPr>
              <w:spacing w:before="164"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3"/>
                <w:sz w:val="21"/>
                <w:szCs w:val="21"/>
                <w:highlight w:val="none"/>
              </w:rPr>
              <w:t>本工程最高</w:t>
            </w:r>
            <w:r>
              <w:rPr>
                <w:rFonts w:hint="eastAsia" w:ascii="宋体" w:hAnsi="宋体" w:eastAsia="宋体" w:cs="宋体"/>
                <w:spacing w:val="3"/>
                <w:sz w:val="21"/>
                <w:szCs w:val="21"/>
                <w:highlight w:val="none"/>
                <w:lang w:val="en-US" w:eastAsia="zh-CN"/>
              </w:rPr>
              <w:t>磋商</w:t>
            </w:r>
            <w:r>
              <w:rPr>
                <w:rFonts w:ascii="宋体" w:hAnsi="宋体" w:eastAsia="宋体" w:cs="宋体"/>
                <w:spacing w:val="3"/>
                <w:sz w:val="21"/>
                <w:szCs w:val="21"/>
                <w:highlight w:val="none"/>
              </w:rPr>
              <w:t>限价：</w:t>
            </w:r>
            <w:r>
              <w:rPr>
                <w:rFonts w:ascii="宋体" w:hAnsi="宋体" w:eastAsia="宋体" w:cs="宋体"/>
                <w:spacing w:val="3"/>
                <w:sz w:val="21"/>
                <w:szCs w:val="21"/>
                <w:highlight w:val="none"/>
                <w:u w:val="single" w:color="auto"/>
              </w:rPr>
              <w:t xml:space="preserve">          </w:t>
            </w:r>
            <w:r>
              <w:rPr>
                <w:rFonts w:hint="eastAsia" w:ascii="宋体" w:hAnsi="宋体" w:eastAsia="宋体" w:cs="宋体"/>
                <w:color w:val="auto"/>
                <w:sz w:val="21"/>
                <w:szCs w:val="21"/>
                <w:highlight w:val="none"/>
                <w:u w:val="single"/>
                <w:lang w:val="en-US" w:eastAsia="zh-CN"/>
              </w:rPr>
              <w:t>1080474.42</w:t>
            </w:r>
            <w:r>
              <w:rPr>
                <w:rFonts w:ascii="宋体" w:hAnsi="宋体" w:eastAsia="宋体" w:cs="宋体"/>
                <w:spacing w:val="2"/>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2"/>
                <w:sz w:val="21"/>
                <w:szCs w:val="21"/>
                <w:highlight w:val="none"/>
              </w:rPr>
              <w:t>元。</w:t>
            </w:r>
          </w:p>
          <w:p w14:paraId="6AAC86AD">
            <w:pPr>
              <w:spacing w:before="163"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4"/>
                <w:sz w:val="21"/>
                <w:szCs w:val="21"/>
                <w:highlight w:val="none"/>
              </w:rPr>
              <w:t>其中：分部分项工程合价：</w:t>
            </w:r>
            <w:r>
              <w:rPr>
                <w:rFonts w:ascii="宋体" w:hAnsi="宋体" w:eastAsia="宋体" w:cs="宋体"/>
                <w:spacing w:val="2"/>
                <w:sz w:val="21"/>
                <w:szCs w:val="21"/>
                <w:highlight w:val="none"/>
                <w:u w:val="single" w:color="auto"/>
              </w:rPr>
              <w:t xml:space="preserve">          </w:t>
            </w:r>
            <w:r>
              <w:rPr>
                <w:rFonts w:hint="eastAsia" w:ascii="宋体" w:hAnsi="宋体" w:eastAsia="宋体" w:cs="宋体"/>
                <w:color w:val="auto"/>
                <w:sz w:val="21"/>
                <w:szCs w:val="21"/>
                <w:highlight w:val="none"/>
                <w:u w:val="single"/>
                <w:lang w:val="en-US" w:eastAsia="zh-CN"/>
              </w:rPr>
              <w:t>887116.11</w:t>
            </w:r>
            <w:r>
              <w:rPr>
                <w:rFonts w:ascii="宋体" w:hAnsi="宋体" w:eastAsia="宋体" w:cs="宋体"/>
                <w:spacing w:val="2"/>
                <w:sz w:val="21"/>
                <w:szCs w:val="21"/>
                <w:highlight w:val="none"/>
                <w:u w:val="single" w:color="auto"/>
              </w:rPr>
              <w:t xml:space="preserve">       </w:t>
            </w:r>
            <w:r>
              <w:rPr>
                <w:rFonts w:ascii="宋体" w:hAnsi="宋体" w:eastAsia="宋体" w:cs="宋体"/>
                <w:spacing w:val="-78"/>
                <w:sz w:val="21"/>
                <w:szCs w:val="21"/>
                <w:highlight w:val="none"/>
              </w:rPr>
              <w:t xml:space="preserve"> </w:t>
            </w:r>
            <w:r>
              <w:rPr>
                <w:rFonts w:ascii="宋体" w:hAnsi="宋体" w:eastAsia="宋体" w:cs="宋体"/>
                <w:spacing w:val="4"/>
                <w:sz w:val="21"/>
                <w:szCs w:val="21"/>
                <w:highlight w:val="none"/>
              </w:rPr>
              <w:t>元；</w:t>
            </w:r>
          </w:p>
          <w:p w14:paraId="01321BFF">
            <w:pPr>
              <w:spacing w:before="162"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1"/>
                <w:sz w:val="21"/>
                <w:szCs w:val="21"/>
                <w:highlight w:val="none"/>
              </w:rPr>
              <w:t>措施项目合价：</w:t>
            </w:r>
            <w:r>
              <w:rPr>
                <w:rFonts w:ascii="宋体" w:hAnsi="宋体" w:eastAsia="宋体" w:cs="宋体"/>
                <w:sz w:val="21"/>
                <w:szCs w:val="21"/>
                <w:highlight w:val="none"/>
                <w:u w:val="single" w:color="auto"/>
              </w:rPr>
              <w:t xml:space="preserve">     </w:t>
            </w:r>
            <w:r>
              <w:rPr>
                <w:rFonts w:hint="eastAsia" w:ascii="宋体" w:hAnsi="宋体" w:eastAsia="宋体" w:cs="宋体"/>
                <w:color w:val="auto"/>
                <w:sz w:val="21"/>
                <w:szCs w:val="21"/>
                <w:highlight w:val="none"/>
                <w:u w:val="single"/>
                <w:lang w:val="en-US" w:eastAsia="zh-CN"/>
              </w:rPr>
              <w:t xml:space="preserve">104144.83 </w:t>
            </w:r>
            <w:r>
              <w:rPr>
                <w:rFonts w:ascii="宋体" w:hAnsi="宋体" w:eastAsia="宋体" w:cs="宋体"/>
                <w:sz w:val="21"/>
                <w:szCs w:val="21"/>
                <w:highlight w:val="none"/>
                <w:u w:val="single" w:color="auto"/>
              </w:rPr>
              <w:t xml:space="preserve">              </w:t>
            </w:r>
            <w:r>
              <w:rPr>
                <w:rFonts w:ascii="宋体" w:hAnsi="宋体" w:eastAsia="宋体" w:cs="宋体"/>
                <w:spacing w:val="-82"/>
                <w:sz w:val="21"/>
                <w:szCs w:val="21"/>
                <w:highlight w:val="none"/>
              </w:rPr>
              <w:t xml:space="preserve"> </w:t>
            </w:r>
            <w:r>
              <w:rPr>
                <w:rFonts w:ascii="宋体" w:hAnsi="宋体" w:eastAsia="宋体" w:cs="宋体"/>
                <w:spacing w:val="1"/>
                <w:sz w:val="21"/>
                <w:szCs w:val="21"/>
                <w:highlight w:val="none"/>
              </w:rPr>
              <w:t>元；</w:t>
            </w:r>
          </w:p>
          <w:p w14:paraId="44A06293">
            <w:pPr>
              <w:spacing w:before="162"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1"/>
                <w:sz w:val="21"/>
                <w:szCs w:val="21"/>
                <w:highlight w:val="none"/>
              </w:rPr>
              <w:t>其他项目合价：</w:t>
            </w:r>
            <w:r>
              <w:rPr>
                <w:rFonts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ascii="宋体" w:hAnsi="宋体" w:eastAsia="宋体" w:cs="宋体"/>
                <w:sz w:val="21"/>
                <w:szCs w:val="21"/>
                <w:highlight w:val="none"/>
                <w:u w:val="single" w:color="auto"/>
              </w:rPr>
              <w:t xml:space="preserve">                   </w:t>
            </w:r>
            <w:r>
              <w:rPr>
                <w:rFonts w:ascii="宋体" w:hAnsi="宋体" w:eastAsia="宋体" w:cs="宋体"/>
                <w:spacing w:val="-83"/>
                <w:sz w:val="21"/>
                <w:szCs w:val="21"/>
                <w:highlight w:val="none"/>
              </w:rPr>
              <w:t xml:space="preserve"> </w:t>
            </w:r>
            <w:r>
              <w:rPr>
                <w:rFonts w:ascii="宋体" w:hAnsi="宋体" w:eastAsia="宋体" w:cs="宋体"/>
                <w:spacing w:val="1"/>
                <w:sz w:val="21"/>
                <w:szCs w:val="21"/>
                <w:highlight w:val="none"/>
              </w:rPr>
              <w:t>元；</w:t>
            </w:r>
          </w:p>
          <w:p w14:paraId="7F09AFCC">
            <w:pPr>
              <w:spacing w:before="162"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3"/>
                <w:sz w:val="21"/>
                <w:szCs w:val="21"/>
                <w:highlight w:val="none"/>
              </w:rPr>
              <w:t>增值税的合价：</w:t>
            </w:r>
            <w:r>
              <w:rPr>
                <w:rFonts w:ascii="宋体" w:hAnsi="宋体" w:eastAsia="宋体" w:cs="宋体"/>
                <w:spacing w:val="3"/>
                <w:sz w:val="21"/>
                <w:szCs w:val="21"/>
                <w:highlight w:val="none"/>
                <w:u w:val="single" w:color="auto"/>
              </w:rPr>
              <w:t xml:space="preserve">        </w:t>
            </w:r>
            <w:r>
              <w:rPr>
                <w:rFonts w:hint="eastAsia" w:ascii="宋体" w:hAnsi="宋体" w:eastAsia="宋体" w:cs="宋体"/>
                <w:color w:val="auto"/>
                <w:sz w:val="21"/>
                <w:szCs w:val="21"/>
                <w:highlight w:val="none"/>
                <w:u w:val="single"/>
                <w:lang w:val="en-US" w:eastAsia="zh-CN"/>
              </w:rPr>
              <w:t xml:space="preserve"> 89213.48</w:t>
            </w:r>
            <w:r>
              <w:rPr>
                <w:rFonts w:ascii="宋体" w:hAnsi="宋体" w:eastAsia="宋体" w:cs="宋体"/>
                <w:spacing w:val="3"/>
                <w:sz w:val="21"/>
                <w:szCs w:val="21"/>
                <w:highlight w:val="none"/>
                <w:u w:val="single" w:color="auto"/>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2"/>
                <w:sz w:val="21"/>
                <w:szCs w:val="21"/>
                <w:highlight w:val="none"/>
              </w:rPr>
              <w:t>元。</w:t>
            </w:r>
          </w:p>
          <w:p w14:paraId="58B95C4A">
            <w:pPr>
              <w:spacing w:before="162"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5"/>
                <w:sz w:val="21"/>
                <w:szCs w:val="21"/>
                <w:highlight w:val="none"/>
              </w:rPr>
              <w:t>其他说明：专业工程暂估价(含税)合计金额：</w:t>
            </w:r>
            <w:r>
              <w:rPr>
                <w:rFonts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ascii="宋体" w:hAnsi="宋体" w:eastAsia="宋体" w:cs="宋体"/>
                <w:spacing w:val="5"/>
                <w:sz w:val="21"/>
                <w:szCs w:val="21"/>
                <w:highlight w:val="none"/>
                <w:u w:val="single" w:color="auto"/>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4"/>
                <w:sz w:val="21"/>
                <w:szCs w:val="21"/>
                <w:highlight w:val="none"/>
              </w:rPr>
              <w:t>元；</w:t>
            </w:r>
          </w:p>
          <w:p w14:paraId="54DA4469">
            <w:pPr>
              <w:spacing w:before="164" w:line="227" w:lineRule="auto"/>
              <w:ind w:left="218" w:leftChars="104" w:firstLine="0" w:firstLineChars="0"/>
              <w:jc w:val="left"/>
              <w:rPr>
                <w:rFonts w:ascii="宋体" w:hAnsi="宋体" w:eastAsia="宋体" w:cs="宋体"/>
                <w:sz w:val="21"/>
                <w:szCs w:val="21"/>
                <w:highlight w:val="none"/>
              </w:rPr>
            </w:pPr>
            <w:r>
              <w:rPr>
                <w:rFonts w:ascii="宋体" w:hAnsi="宋体" w:eastAsia="宋体" w:cs="宋体"/>
                <w:sz w:val="21"/>
                <w:szCs w:val="21"/>
                <w:highlight w:val="none"/>
              </w:rPr>
              <w:t>材料暂估价(含税)合计金额：</w:t>
            </w:r>
            <w:r>
              <w:rPr>
                <w:rFonts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ascii="宋体" w:hAnsi="宋体" w:eastAsia="宋体" w:cs="宋体"/>
                <w:sz w:val="21"/>
                <w:szCs w:val="21"/>
                <w:highlight w:val="none"/>
                <w:u w:val="single" w:color="auto"/>
              </w:rPr>
              <w:t xml:space="preserve">            </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元；</w:t>
            </w:r>
          </w:p>
          <w:p w14:paraId="64365F95">
            <w:pPr>
              <w:spacing w:before="163" w:line="228"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5"/>
                <w:sz w:val="21"/>
                <w:szCs w:val="21"/>
                <w:highlight w:val="none"/>
              </w:rPr>
              <w:t>暂列金额（不含计日工</w:t>
            </w:r>
            <w:r>
              <w:rPr>
                <w:rFonts w:ascii="宋体" w:hAnsi="宋体" w:eastAsia="宋体" w:cs="宋体"/>
                <w:spacing w:val="-37"/>
                <w:w w:val="64"/>
                <w:sz w:val="21"/>
                <w:szCs w:val="21"/>
                <w:highlight w:val="none"/>
              </w:rPr>
              <w:t>）（</w:t>
            </w:r>
            <w:r>
              <w:rPr>
                <w:rFonts w:ascii="宋体" w:hAnsi="宋体" w:eastAsia="宋体" w:cs="宋体"/>
                <w:spacing w:val="-5"/>
                <w:sz w:val="21"/>
                <w:szCs w:val="21"/>
                <w:highlight w:val="none"/>
              </w:rPr>
              <w:t>含税）合计金额：</w:t>
            </w:r>
            <w:r>
              <w:rPr>
                <w:rFonts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ascii="宋体" w:hAnsi="宋体" w:eastAsia="宋体" w:cs="宋体"/>
                <w:spacing w:val="-6"/>
                <w:sz w:val="21"/>
                <w:szCs w:val="21"/>
                <w:highlight w:val="none"/>
                <w:u w:val="single" w:color="auto"/>
              </w:rPr>
              <w:t xml:space="preserve">       </w:t>
            </w:r>
            <w:r>
              <w:rPr>
                <w:rFonts w:ascii="宋体" w:hAnsi="宋体" w:eastAsia="宋体" w:cs="宋体"/>
                <w:spacing w:val="-87"/>
                <w:sz w:val="21"/>
                <w:szCs w:val="21"/>
                <w:highlight w:val="none"/>
              </w:rPr>
              <w:t xml:space="preserve"> </w:t>
            </w:r>
            <w:r>
              <w:rPr>
                <w:rFonts w:ascii="宋体" w:hAnsi="宋体" w:eastAsia="宋体" w:cs="宋体"/>
                <w:spacing w:val="-6"/>
                <w:sz w:val="21"/>
                <w:szCs w:val="21"/>
                <w:highlight w:val="none"/>
              </w:rPr>
              <w:t>元；</w:t>
            </w:r>
          </w:p>
          <w:p w14:paraId="013FAA29">
            <w:pPr>
              <w:spacing w:before="161" w:line="228"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3"/>
                <w:sz w:val="21"/>
                <w:szCs w:val="21"/>
                <w:highlight w:val="none"/>
              </w:rPr>
              <w:t>安全生产标准化措施费（含税）合计金额：</w:t>
            </w:r>
            <w:r>
              <w:rPr>
                <w:rFonts w:ascii="宋体" w:hAnsi="宋体" w:eastAsia="宋体" w:cs="宋体"/>
                <w:spacing w:val="3"/>
                <w:sz w:val="21"/>
                <w:szCs w:val="21"/>
                <w:highlight w:val="none"/>
                <w:u w:val="single" w:color="auto"/>
              </w:rPr>
              <w:t xml:space="preserve">   </w:t>
            </w:r>
            <w:r>
              <w:rPr>
                <w:rFonts w:hint="eastAsia" w:ascii="宋体" w:hAnsi="宋体" w:eastAsia="宋体" w:cs="宋体"/>
                <w:color w:val="auto"/>
                <w:sz w:val="21"/>
                <w:szCs w:val="21"/>
                <w:highlight w:val="none"/>
                <w:u w:val="single"/>
                <w:lang w:val="en-US" w:eastAsia="zh-CN"/>
              </w:rPr>
              <w:t>51783.71</w:t>
            </w:r>
            <w:r>
              <w:rPr>
                <w:rFonts w:ascii="宋体" w:hAnsi="宋体" w:eastAsia="宋体" w:cs="宋体"/>
                <w:spacing w:val="3"/>
                <w:sz w:val="21"/>
                <w:szCs w:val="21"/>
                <w:highlight w:val="none"/>
                <w:u w:val="single" w:color="auto"/>
              </w:rPr>
              <w:t xml:space="preserve">   </w:t>
            </w:r>
            <w:r>
              <w:rPr>
                <w:rFonts w:ascii="宋体" w:hAnsi="宋体" w:eastAsia="宋体" w:cs="宋体"/>
                <w:spacing w:val="-85"/>
                <w:sz w:val="21"/>
                <w:szCs w:val="21"/>
                <w:highlight w:val="none"/>
              </w:rPr>
              <w:t xml:space="preserve"> </w:t>
            </w:r>
            <w:r>
              <w:rPr>
                <w:rFonts w:ascii="宋体" w:hAnsi="宋体" w:eastAsia="宋体" w:cs="宋体"/>
                <w:spacing w:val="3"/>
                <w:sz w:val="21"/>
                <w:szCs w:val="21"/>
                <w:highlight w:val="none"/>
              </w:rPr>
              <w:t>元；</w:t>
            </w:r>
          </w:p>
          <w:p w14:paraId="19E53F96">
            <w:pPr>
              <w:spacing w:before="161" w:line="228" w:lineRule="auto"/>
              <w:ind w:left="218" w:leftChars="104" w:firstLine="0" w:firstLineChars="0"/>
              <w:jc w:val="left"/>
              <w:rPr>
                <w:rFonts w:ascii="宋体" w:hAnsi="宋体" w:eastAsia="宋体" w:cs="宋体"/>
                <w:sz w:val="21"/>
                <w:szCs w:val="21"/>
                <w:highlight w:val="none"/>
              </w:rPr>
            </w:pPr>
            <w:r>
              <w:rPr>
                <w:rFonts w:ascii="宋体" w:hAnsi="宋体" w:eastAsia="宋体" w:cs="宋体"/>
                <w:spacing w:val="-5"/>
                <w:sz w:val="21"/>
                <w:szCs w:val="21"/>
                <w:highlight w:val="none"/>
              </w:rPr>
              <w:t>赶工增加费（含税）合计金额（如有</w:t>
            </w:r>
            <w:r>
              <w:rPr>
                <w:rFonts w:ascii="宋体" w:hAnsi="宋体" w:eastAsia="宋体" w:cs="宋体"/>
                <w:spacing w:val="-42"/>
                <w:sz w:val="21"/>
                <w:szCs w:val="21"/>
                <w:highlight w:val="none"/>
              </w:rPr>
              <w:t>）：</w:t>
            </w:r>
            <w:r>
              <w:rPr>
                <w:rFonts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ascii="宋体" w:hAnsi="宋体" w:eastAsia="宋体" w:cs="宋体"/>
                <w:spacing w:val="5"/>
                <w:sz w:val="21"/>
                <w:szCs w:val="21"/>
                <w:highlight w:val="none"/>
                <w:u w:val="single" w:color="auto"/>
              </w:rPr>
              <w:t xml:space="preserve">        </w:t>
            </w:r>
            <w:r>
              <w:rPr>
                <w:rFonts w:ascii="宋体" w:hAnsi="宋体" w:eastAsia="宋体" w:cs="宋体"/>
                <w:spacing w:val="-87"/>
                <w:sz w:val="21"/>
                <w:szCs w:val="21"/>
                <w:highlight w:val="none"/>
              </w:rPr>
              <w:t xml:space="preserve"> </w:t>
            </w:r>
            <w:r>
              <w:rPr>
                <w:rFonts w:ascii="宋体" w:hAnsi="宋体" w:eastAsia="宋体" w:cs="宋体"/>
                <w:spacing w:val="-5"/>
                <w:sz w:val="21"/>
                <w:szCs w:val="21"/>
                <w:highlight w:val="none"/>
              </w:rPr>
              <w:t>元；</w:t>
            </w:r>
          </w:p>
          <w:p w14:paraId="6B5526B7">
            <w:pPr>
              <w:keepNext w:val="0"/>
              <w:keepLines w:val="0"/>
              <w:pageBreakBefore w:val="0"/>
              <w:widowControl/>
              <w:kinsoku w:val="0"/>
              <w:wordWrap/>
              <w:overflowPunct/>
              <w:topLinePunct w:val="0"/>
              <w:autoSpaceDE w:val="0"/>
              <w:autoSpaceDN w:val="0"/>
              <w:bidi w:val="0"/>
              <w:adjustRightInd w:val="0"/>
              <w:snapToGrid w:val="0"/>
              <w:spacing w:before="88" w:line="360" w:lineRule="auto"/>
              <w:ind w:left="218" w:leftChars="104" w:right="41" w:rightChars="0" w:firstLine="0" w:firstLineChars="0"/>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u w:val="none"/>
                <w:lang w:val="en-US" w:eastAsia="zh-CN"/>
              </w:rPr>
              <w:t>高于本项目</w:t>
            </w:r>
            <w:r>
              <w:rPr>
                <w:rFonts w:ascii="宋体" w:hAnsi="宋体" w:eastAsia="宋体" w:cs="宋体"/>
                <w:spacing w:val="3"/>
                <w:sz w:val="21"/>
                <w:szCs w:val="21"/>
                <w:highlight w:val="none"/>
              </w:rPr>
              <w:t>最高</w:t>
            </w:r>
            <w:r>
              <w:rPr>
                <w:rFonts w:hint="eastAsia" w:ascii="宋体" w:hAnsi="宋体" w:eastAsia="宋体" w:cs="宋体"/>
                <w:spacing w:val="3"/>
                <w:sz w:val="21"/>
                <w:szCs w:val="21"/>
                <w:highlight w:val="none"/>
                <w:lang w:val="en-US" w:eastAsia="zh-CN"/>
              </w:rPr>
              <w:t>磋商</w:t>
            </w:r>
            <w:r>
              <w:rPr>
                <w:rFonts w:ascii="宋体" w:hAnsi="宋体" w:eastAsia="宋体" w:cs="宋体"/>
                <w:spacing w:val="3"/>
                <w:sz w:val="21"/>
                <w:szCs w:val="21"/>
                <w:highlight w:val="none"/>
              </w:rPr>
              <w:t>限价</w:t>
            </w:r>
            <w:r>
              <w:rPr>
                <w:rFonts w:hint="eastAsia" w:ascii="宋体" w:hAnsi="宋体" w:eastAsia="宋体" w:cs="宋体"/>
                <w:color w:val="auto"/>
                <w:sz w:val="21"/>
                <w:szCs w:val="21"/>
                <w:highlight w:val="none"/>
                <w:u w:val="none"/>
                <w:lang w:val="en-US" w:eastAsia="zh-CN"/>
              </w:rPr>
              <w:t>的按无效响应处理。</w:t>
            </w:r>
          </w:p>
        </w:tc>
      </w:tr>
    </w:tbl>
    <w:p w14:paraId="01A90D1E">
      <w:pPr>
        <w:pStyle w:val="6"/>
        <w:rPr>
          <w:color w:val="auto"/>
          <w:highlight w:val="none"/>
        </w:rPr>
      </w:pPr>
    </w:p>
    <w:p w14:paraId="3D44ED3E">
      <w:pPr>
        <w:rPr>
          <w:color w:val="auto"/>
          <w:highlight w:val="none"/>
        </w:rPr>
        <w:sectPr>
          <w:headerReference r:id="rId7" w:type="default"/>
          <w:footerReference r:id="rId8" w:type="default"/>
          <w:pgSz w:w="11907" w:h="16840"/>
          <w:pgMar w:top="1167" w:right="694" w:bottom="1011" w:left="1261" w:header="830" w:footer="851" w:gutter="0"/>
          <w:pgNumType w:fmt="decimal" w:start="1"/>
          <w:cols w:space="720" w:num="1"/>
        </w:sectPr>
      </w:pPr>
    </w:p>
    <w:p w14:paraId="04324DC9">
      <w:pPr>
        <w:spacing w:before="91" w:line="219" w:lineRule="auto"/>
        <w:ind w:left="3873"/>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供应商须知</w:t>
      </w:r>
    </w:p>
    <w:p w14:paraId="4835AF97">
      <w:pPr>
        <w:spacing w:before="270" w:line="220" w:lineRule="auto"/>
        <w:ind w:left="3864"/>
        <w:outlineLvl w:val="1"/>
        <w:rPr>
          <w:rFonts w:ascii="宋体" w:hAnsi="宋体" w:eastAsia="宋体" w:cs="宋体"/>
          <w:color w:val="auto"/>
          <w:sz w:val="28"/>
          <w:szCs w:val="28"/>
          <w:highlight w:val="none"/>
        </w:rPr>
      </w:pPr>
      <w:r>
        <w:rPr>
          <w:rFonts w:ascii="宋体" w:hAnsi="宋体" w:eastAsia="宋体" w:cs="宋体"/>
          <w:b/>
          <w:bCs/>
          <w:color w:val="auto"/>
          <w:spacing w:val="-13"/>
          <w:sz w:val="28"/>
          <w:szCs w:val="28"/>
          <w:highlight w:val="none"/>
        </w:rPr>
        <w:t>一</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13"/>
          <w:sz w:val="28"/>
          <w:szCs w:val="28"/>
          <w:highlight w:val="none"/>
        </w:rPr>
        <w:t>说</w:t>
      </w:r>
      <w:r>
        <w:rPr>
          <w:rFonts w:ascii="宋体" w:hAnsi="宋体" w:eastAsia="宋体" w:cs="宋体"/>
          <w:color w:val="auto"/>
          <w:spacing w:val="19"/>
          <w:sz w:val="28"/>
          <w:szCs w:val="28"/>
          <w:highlight w:val="none"/>
        </w:rPr>
        <w:t xml:space="preserve">  </w:t>
      </w:r>
      <w:r>
        <w:rPr>
          <w:rFonts w:ascii="宋体" w:hAnsi="宋体" w:eastAsia="宋体" w:cs="宋体"/>
          <w:b/>
          <w:bCs/>
          <w:color w:val="auto"/>
          <w:spacing w:val="-13"/>
          <w:sz w:val="28"/>
          <w:szCs w:val="28"/>
          <w:highlight w:val="none"/>
        </w:rPr>
        <w:t>明</w:t>
      </w:r>
    </w:p>
    <w:p w14:paraId="327DA02D">
      <w:pPr>
        <w:spacing w:before="205"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    采购人、采购代理机构、供应商、联合体</w:t>
      </w:r>
    </w:p>
    <w:p w14:paraId="766DAC43">
      <w:pPr>
        <w:spacing w:before="181" w:line="360" w:lineRule="auto"/>
        <w:ind w:left="1116" w:right="29" w:hanging="69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   采购人、采购代理机构：指依法进行政府采购的国家机关、事业单位、团体</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组织，及其委托的采购代理机构。本项目采购人、采购代理机构见第一章《采</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8"/>
          <w:sz w:val="21"/>
          <w:szCs w:val="21"/>
          <w:highlight w:val="none"/>
        </w:rPr>
        <w:t>购邀请》。</w:t>
      </w:r>
    </w:p>
    <w:p w14:paraId="6F1A21BC">
      <w:pPr>
        <w:spacing w:before="180" w:line="360" w:lineRule="auto"/>
        <w:ind w:left="1121" w:right="38" w:hanging="70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1.2    供应商（也称“申请人”</w:t>
      </w:r>
      <w:r>
        <w:rPr>
          <w:rFonts w:hint="eastAsia" w:ascii="宋体" w:hAnsi="宋体" w:eastAsia="宋体" w:cs="宋体"/>
          <w:color w:val="auto"/>
          <w:spacing w:val="-65"/>
          <w:sz w:val="21"/>
          <w:szCs w:val="21"/>
          <w:highlight w:val="none"/>
        </w:rPr>
        <w:t>）：</w:t>
      </w:r>
      <w:r>
        <w:rPr>
          <w:rFonts w:hint="eastAsia" w:ascii="宋体" w:hAnsi="宋体" w:eastAsia="宋体" w:cs="宋体"/>
          <w:color w:val="auto"/>
          <w:spacing w:val="-1"/>
          <w:sz w:val="21"/>
          <w:szCs w:val="21"/>
          <w:highlight w:val="none"/>
        </w:rPr>
        <w:t>指向采购人提供货物、工程或者</w:t>
      </w:r>
      <w:r>
        <w:rPr>
          <w:rFonts w:hint="eastAsia" w:ascii="宋体" w:hAnsi="宋体" w:eastAsia="宋体" w:cs="宋体"/>
          <w:color w:val="auto"/>
          <w:spacing w:val="-2"/>
          <w:sz w:val="21"/>
          <w:szCs w:val="21"/>
          <w:highlight w:val="none"/>
        </w:rPr>
        <w:t>服务的法人、其他</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6"/>
          <w:sz w:val="21"/>
          <w:szCs w:val="21"/>
          <w:highlight w:val="none"/>
        </w:rPr>
        <w:t>组织或者自然人。</w:t>
      </w:r>
    </w:p>
    <w:p w14:paraId="397F46D5">
      <w:pPr>
        <w:spacing w:before="180" w:line="360" w:lineRule="auto"/>
        <w:ind w:left="1118" w:right="29"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1.3    联合体：指两个以上的自然人、法人或者其他组织组成一个联合体，以一个</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供应商的身份共同参加政府采购。</w:t>
      </w:r>
    </w:p>
    <w:p w14:paraId="565FC620">
      <w:pPr>
        <w:spacing w:before="182"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    资金来源、项目属性、科研仪器设备采购</w:t>
      </w:r>
    </w:p>
    <w:p w14:paraId="01CE114D">
      <w:pPr>
        <w:spacing w:before="183" w:line="360" w:lineRule="auto"/>
        <w:ind w:left="1128" w:right="29" w:hanging="7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    资金来源为财政性资金和/或本项目采购中无法与财政性资金分割的非财政性 </w:t>
      </w:r>
      <w:r>
        <w:rPr>
          <w:rFonts w:hint="eastAsia" w:ascii="宋体" w:hAnsi="宋体" w:eastAsia="宋体" w:cs="宋体"/>
          <w:color w:val="auto"/>
          <w:spacing w:val="-13"/>
          <w:sz w:val="21"/>
          <w:szCs w:val="21"/>
          <w:highlight w:val="none"/>
        </w:rPr>
        <w:t>资金。</w:t>
      </w:r>
    </w:p>
    <w:p w14:paraId="69155F7F">
      <w:pPr>
        <w:spacing w:before="179" w:line="360" w:lineRule="auto"/>
        <w:ind w:left="394"/>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2.2    项目属性见《供应商须</w:t>
      </w:r>
      <w:r>
        <w:rPr>
          <w:rFonts w:hint="eastAsia" w:ascii="宋体" w:hAnsi="宋体" w:eastAsia="宋体" w:cs="宋体"/>
          <w:color w:val="auto"/>
          <w:spacing w:val="-6"/>
          <w:sz w:val="21"/>
          <w:szCs w:val="21"/>
          <w:highlight w:val="none"/>
        </w:rPr>
        <w:t>知资料表》。</w:t>
      </w:r>
    </w:p>
    <w:p w14:paraId="4EA715FA">
      <w:pPr>
        <w:spacing w:before="182" w:line="360" w:lineRule="auto"/>
        <w:ind w:left="39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2.3    是否属于科研仪器设备采购见《供应商须知资料表》。</w:t>
      </w:r>
    </w:p>
    <w:p w14:paraId="13267C6F">
      <w:pPr>
        <w:spacing w:before="182" w:line="360" w:lineRule="auto"/>
        <w:ind w:left="38"/>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    现场考察、磋商前答疑会</w:t>
      </w:r>
    </w:p>
    <w:p w14:paraId="4AB5173A">
      <w:pPr>
        <w:spacing w:before="184" w:line="360" w:lineRule="auto"/>
        <w:ind w:left="1117" w:right="29"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3.1    若《供应商须知资料表》中规定了组织现场考察、召开磋商前答疑会，则供</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3"/>
          <w:sz w:val="21"/>
          <w:szCs w:val="21"/>
          <w:highlight w:val="none"/>
        </w:rPr>
        <w:t>应商应按要求在规定的时间和地点参加。</w:t>
      </w:r>
    </w:p>
    <w:p w14:paraId="41A67CF5">
      <w:pPr>
        <w:spacing w:before="181" w:line="360" w:lineRule="auto"/>
        <w:ind w:left="1117" w:right="29"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3.2    由于未参加现场考察或磋商前答疑会而导致对项目实际情况不了解，影响响</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应文件编制、报价准确性、综合因素响应不全面等问题的，由供</w:t>
      </w:r>
      <w:r>
        <w:rPr>
          <w:rFonts w:hint="eastAsia" w:ascii="宋体" w:hAnsi="宋体" w:eastAsia="宋体" w:cs="宋体"/>
          <w:color w:val="auto"/>
          <w:spacing w:val="1"/>
          <w:sz w:val="21"/>
          <w:szCs w:val="21"/>
          <w:highlight w:val="none"/>
        </w:rPr>
        <w:t>应商自行承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担不利评审后果。</w:t>
      </w:r>
    </w:p>
    <w:p w14:paraId="1DB560FE">
      <w:pPr>
        <w:spacing w:before="180" w:line="360" w:lineRule="auto"/>
        <w:ind w:left="32"/>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    政府采购政策（包括但不限于下列具体政策要求）</w:t>
      </w:r>
    </w:p>
    <w:p w14:paraId="22FBE921">
      <w:pPr>
        <w:spacing w:before="182"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4.1     采购本国货物、工程和服务</w:t>
      </w:r>
    </w:p>
    <w:p w14:paraId="3F1576FE">
      <w:pPr>
        <w:spacing w:before="182" w:line="360" w:lineRule="auto"/>
        <w:ind w:left="2016" w:right="30"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4.1.1    政府采购应当采购本国货物、工程和服务。但有</w:t>
      </w:r>
      <w:r>
        <w:rPr>
          <w:rFonts w:hint="eastAsia" w:ascii="宋体" w:hAnsi="宋体" w:eastAsia="宋体" w:cs="宋体"/>
          <w:color w:val="auto"/>
          <w:spacing w:val="-4"/>
          <w:sz w:val="21"/>
          <w:szCs w:val="21"/>
          <w:highlight w:val="none"/>
        </w:rPr>
        <w:t>《</w:t>
      </w:r>
      <w:r>
        <w:rPr>
          <w:rFonts w:hint="eastAsia" w:ascii="宋体" w:hAnsi="宋体" w:eastAsia="宋体" w:cs="宋体"/>
          <w:b/>
          <w:bCs/>
          <w:color w:val="auto"/>
          <w:spacing w:val="-4"/>
          <w:sz w:val="21"/>
          <w:szCs w:val="21"/>
          <w:highlight w:val="none"/>
        </w:rPr>
        <w:t>中华人民共和国政</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pacing w:val="-3"/>
          <w:sz w:val="21"/>
          <w:szCs w:val="21"/>
          <w:highlight w:val="none"/>
        </w:rPr>
        <w:t>府采购法</w:t>
      </w:r>
      <w:r>
        <w:rPr>
          <w:rFonts w:hint="eastAsia" w:ascii="宋体" w:hAnsi="宋体" w:eastAsia="宋体" w:cs="宋体"/>
          <w:color w:val="auto"/>
          <w:spacing w:val="-3"/>
          <w:sz w:val="21"/>
          <w:szCs w:val="21"/>
          <w:highlight w:val="none"/>
        </w:rPr>
        <w:t>》第十条规定情形的除外。</w:t>
      </w:r>
    </w:p>
    <w:p w14:paraId="1C7C8805">
      <w:pPr>
        <w:spacing w:before="183" w:line="360" w:lineRule="auto"/>
        <w:ind w:left="2025" w:right="28" w:hanging="913"/>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4.1.2    本项目如接受非本国货物、工程、服务参与响应，</w:t>
      </w:r>
      <w:r>
        <w:rPr>
          <w:rFonts w:hint="eastAsia" w:ascii="宋体" w:hAnsi="宋体" w:eastAsia="宋体" w:cs="宋体"/>
          <w:color w:val="auto"/>
          <w:spacing w:val="-23"/>
          <w:sz w:val="21"/>
          <w:szCs w:val="21"/>
          <w:highlight w:val="none"/>
        </w:rPr>
        <w:t xml:space="preserve"> </w:t>
      </w:r>
      <w:r>
        <w:rPr>
          <w:rFonts w:hint="eastAsia" w:ascii="宋体" w:hAnsi="宋体" w:eastAsia="宋体" w:cs="宋体"/>
          <w:color w:val="auto"/>
          <w:spacing w:val="-5"/>
          <w:sz w:val="21"/>
          <w:szCs w:val="21"/>
          <w:highlight w:val="none"/>
        </w:rPr>
        <w:t>则具体要求见第四</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9"/>
          <w:sz w:val="21"/>
          <w:szCs w:val="21"/>
          <w:highlight w:val="none"/>
        </w:rPr>
        <w:t>章《采购需求》。</w:t>
      </w:r>
    </w:p>
    <w:p w14:paraId="667825C8">
      <w:pPr>
        <w:spacing w:before="182" w:line="360" w:lineRule="auto"/>
        <w:ind w:left="2037" w:right="28" w:hanging="92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 xml:space="preserve">4.1.3    进口产品指通过中国海关报关验放进入中国境内且产自关境外的产 </w:t>
      </w:r>
      <w:r>
        <w:rPr>
          <w:rFonts w:hint="eastAsia" w:ascii="宋体" w:hAnsi="宋体" w:eastAsia="宋体" w:cs="宋体"/>
          <w:color w:val="auto"/>
          <w:spacing w:val="-5"/>
          <w:sz w:val="21"/>
          <w:szCs w:val="21"/>
          <w:highlight w:val="none"/>
        </w:rPr>
        <w:t>品，包括已经进入中国境内的进口产品。关于进口产品的相关规定依</w:t>
      </w:r>
    </w:p>
    <w:p w14:paraId="27B49E38">
      <w:pPr>
        <w:spacing w:line="360" w:lineRule="auto"/>
        <w:rPr>
          <w:rFonts w:hint="eastAsia" w:ascii="宋体" w:hAnsi="宋体" w:eastAsia="宋体" w:cs="宋体"/>
          <w:color w:val="auto"/>
          <w:sz w:val="21"/>
          <w:szCs w:val="21"/>
          <w:highlight w:val="none"/>
        </w:rPr>
        <w:sectPr>
          <w:headerReference r:id="rId9" w:type="default"/>
          <w:footerReference r:id="rId10" w:type="default"/>
          <w:pgSz w:w="11907" w:h="16840"/>
          <w:pgMar w:top="1167" w:right="1105" w:bottom="1011" w:left="1672" w:header="830" w:footer="851" w:gutter="0"/>
          <w:pgNumType w:fmt="decimal"/>
          <w:cols w:space="720" w:num="1"/>
        </w:sectPr>
      </w:pPr>
    </w:p>
    <w:p w14:paraId="55DFC86D">
      <w:pPr>
        <w:spacing w:before="288" w:line="360" w:lineRule="auto"/>
        <w:ind w:left="2017" w:right="205"/>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据《政府采购进口产品管理办法》（财库〔200</w:t>
      </w:r>
      <w:r>
        <w:rPr>
          <w:rFonts w:hint="eastAsia" w:ascii="宋体" w:hAnsi="宋体" w:eastAsia="宋体" w:cs="宋体"/>
          <w:color w:val="auto"/>
          <w:spacing w:val="-10"/>
          <w:sz w:val="21"/>
          <w:szCs w:val="21"/>
          <w:highlight w:val="none"/>
        </w:rPr>
        <w:t>7〕119</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10"/>
          <w:sz w:val="21"/>
          <w:szCs w:val="21"/>
          <w:highlight w:val="none"/>
        </w:rPr>
        <w:t>号文）、《关于</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政府采购进口产品管理有关问题的通知》（财办库〔2008 〕248</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2"/>
          <w:sz w:val="21"/>
          <w:szCs w:val="21"/>
          <w:highlight w:val="none"/>
        </w:rPr>
        <w:t>号</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9"/>
          <w:sz w:val="21"/>
          <w:szCs w:val="21"/>
          <w:highlight w:val="none"/>
        </w:rPr>
        <w:t>文）。</w:t>
      </w:r>
    </w:p>
    <w:p w14:paraId="75AFDD1C">
      <w:pPr>
        <w:spacing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中小企业、监狱企业及残疾人福</w:t>
      </w:r>
      <w:r>
        <w:rPr>
          <w:rFonts w:hint="eastAsia" w:ascii="宋体" w:hAnsi="宋体" w:eastAsia="宋体" w:cs="宋体"/>
          <w:color w:val="auto"/>
          <w:spacing w:val="-1"/>
          <w:sz w:val="21"/>
          <w:szCs w:val="21"/>
          <w:highlight w:val="none"/>
        </w:rPr>
        <w:t>利性单位</w:t>
      </w:r>
    </w:p>
    <w:p w14:paraId="4B365AB0">
      <w:pPr>
        <w:spacing w:before="180"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4.2.1</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7"/>
          <w:sz w:val="21"/>
          <w:szCs w:val="21"/>
          <w:highlight w:val="none"/>
        </w:rPr>
        <w:t>中小企业定义：</w:t>
      </w:r>
    </w:p>
    <w:p w14:paraId="1E7F7CDC">
      <w:pPr>
        <w:spacing w:before="180" w:line="360" w:lineRule="auto"/>
        <w:ind w:left="3046" w:leftChars="960" w:hanging="1030" w:hangingChars="5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4.2.1.1    中小企业是指在中华人民共和国境内依法设立，依据国务院</w:t>
      </w:r>
      <w:r>
        <w:rPr>
          <w:rFonts w:hint="eastAsia" w:ascii="宋体" w:hAnsi="宋体" w:eastAsia="宋体" w:cs="宋体"/>
          <w:color w:val="auto"/>
          <w:spacing w:val="-3"/>
          <w:sz w:val="21"/>
          <w:szCs w:val="21"/>
          <w:highlight w:val="none"/>
        </w:rPr>
        <w:t>批准的中小企业划分标准确定的中型企业、小型企业和微型</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企业，但与大企业的负责人为同一人，或者与</w:t>
      </w:r>
      <w:r>
        <w:rPr>
          <w:rFonts w:hint="eastAsia" w:ascii="宋体" w:hAnsi="宋体" w:eastAsia="宋体" w:cs="宋体"/>
          <w:color w:val="auto"/>
          <w:spacing w:val="-3"/>
          <w:sz w:val="21"/>
          <w:szCs w:val="21"/>
          <w:highlight w:val="none"/>
        </w:rPr>
        <w:t>大企业存在直</w:t>
      </w:r>
      <w:r>
        <w:rPr>
          <w:rFonts w:hint="eastAsia" w:ascii="宋体" w:hAnsi="宋体" w:eastAsia="宋体" w:cs="宋体"/>
          <w:color w:val="auto"/>
          <w:spacing w:val="-2"/>
          <w:sz w:val="21"/>
          <w:szCs w:val="21"/>
          <w:highlight w:val="none"/>
        </w:rPr>
        <w:t>接控股、管理关系的除外。符合中小企业划分</w:t>
      </w:r>
      <w:r>
        <w:rPr>
          <w:rFonts w:hint="eastAsia" w:ascii="宋体" w:hAnsi="宋体" w:eastAsia="宋体" w:cs="宋体"/>
          <w:color w:val="auto"/>
          <w:spacing w:val="-3"/>
          <w:sz w:val="21"/>
          <w:szCs w:val="21"/>
          <w:highlight w:val="none"/>
        </w:rPr>
        <w:t>标准的个体工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商户，在政府采购活动中视同中小企业。关于</w:t>
      </w:r>
      <w:r>
        <w:rPr>
          <w:rFonts w:hint="eastAsia" w:ascii="宋体" w:hAnsi="宋体" w:eastAsia="宋体" w:cs="宋体"/>
          <w:color w:val="auto"/>
          <w:spacing w:val="-3"/>
          <w:sz w:val="21"/>
          <w:szCs w:val="21"/>
          <w:highlight w:val="none"/>
        </w:rPr>
        <w:t>中小企业的判</w:t>
      </w:r>
      <w:r>
        <w:rPr>
          <w:rFonts w:hint="eastAsia" w:ascii="宋体" w:hAnsi="宋体" w:eastAsia="宋体" w:cs="宋体"/>
          <w:color w:val="auto"/>
          <w:spacing w:val="-11"/>
          <w:sz w:val="21"/>
          <w:szCs w:val="21"/>
          <w:highlight w:val="none"/>
        </w:rPr>
        <w:t>定依据《中华人民共和国中小企业促进法》、《关于进一步加</w:t>
      </w:r>
      <w:r>
        <w:rPr>
          <w:rFonts w:hint="eastAsia" w:ascii="宋体" w:hAnsi="宋体" w:eastAsia="宋体" w:cs="宋体"/>
          <w:color w:val="auto"/>
          <w:spacing w:val="2"/>
          <w:sz w:val="21"/>
          <w:szCs w:val="21"/>
          <w:highlight w:val="none"/>
        </w:rPr>
        <w:t>大政府采购支持中小企业力度的通知》（财库〔2022〕</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2"/>
          <w:sz w:val="21"/>
          <w:szCs w:val="21"/>
          <w:highlight w:val="none"/>
        </w:rPr>
        <w:t>19</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号）、《政府采购促进中小企业发展管理办法》（财库〔20</w:t>
      </w:r>
      <w:r>
        <w:rPr>
          <w:rFonts w:hint="eastAsia" w:ascii="宋体" w:hAnsi="宋体" w:eastAsia="宋体" w:cs="宋体"/>
          <w:color w:val="auto"/>
          <w:spacing w:val="-12"/>
          <w:sz w:val="21"/>
          <w:szCs w:val="21"/>
          <w:highlight w:val="none"/>
        </w:rPr>
        <w:t>20〕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4"/>
          <w:sz w:val="21"/>
          <w:szCs w:val="21"/>
          <w:highlight w:val="none"/>
        </w:rPr>
        <w:t>46</w:t>
      </w:r>
      <w:r>
        <w:rPr>
          <w:rFonts w:hint="eastAsia" w:ascii="宋体" w:hAnsi="宋体" w:eastAsia="宋体" w:cs="宋体"/>
          <w:color w:val="auto"/>
          <w:spacing w:val="33"/>
          <w:w w:val="101"/>
          <w:sz w:val="21"/>
          <w:szCs w:val="21"/>
          <w:highlight w:val="none"/>
        </w:rPr>
        <w:t xml:space="preserve"> </w:t>
      </w:r>
      <w:r>
        <w:rPr>
          <w:rFonts w:hint="eastAsia" w:ascii="宋体" w:hAnsi="宋体" w:eastAsia="宋体" w:cs="宋体"/>
          <w:color w:val="auto"/>
          <w:spacing w:val="-14"/>
          <w:sz w:val="21"/>
          <w:szCs w:val="21"/>
          <w:highlight w:val="none"/>
        </w:rPr>
        <w:t>号）、《关于印发中小企业划型标准规定的通知》（工信部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联企业〔2011</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7"/>
          <w:sz w:val="21"/>
          <w:szCs w:val="21"/>
          <w:highlight w:val="none"/>
        </w:rPr>
        <w:t>〕300</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7"/>
          <w:sz w:val="21"/>
          <w:szCs w:val="21"/>
          <w:highlight w:val="none"/>
        </w:rPr>
        <w:t>号）、《</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7"/>
          <w:sz w:val="21"/>
          <w:szCs w:val="21"/>
          <w:highlight w:val="none"/>
        </w:rPr>
        <w:t>金融业企业划型标准规定》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（〔2015〕309  号）等国务院批准的中小企业划分标准执行。</w:t>
      </w:r>
    </w:p>
    <w:p w14:paraId="394AF87E">
      <w:pPr>
        <w:spacing w:line="360" w:lineRule="auto"/>
        <w:ind w:left="2929" w:right="205" w:hanging="91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4.2.1.2  供应商提供的货物、工程或者服务符合下列情形的， 享受中</w:t>
      </w:r>
      <w:r>
        <w:rPr>
          <w:rFonts w:hint="eastAsia" w:ascii="宋体" w:hAnsi="宋体" w:eastAsia="宋体" w:cs="宋体"/>
          <w:color w:val="auto"/>
          <w:spacing w:val="-8"/>
          <w:sz w:val="21"/>
          <w:szCs w:val="21"/>
          <w:highlight w:val="none"/>
        </w:rPr>
        <w:t>小企业扶持政策：</w:t>
      </w:r>
    </w:p>
    <w:p w14:paraId="5E930004">
      <w:pPr>
        <w:spacing w:line="360" w:lineRule="auto"/>
        <w:ind w:left="2895" w:right="233" w:hanging="1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（1）在货物采购项目中，货物由中小企业</w:t>
      </w:r>
      <w:r>
        <w:rPr>
          <w:rFonts w:hint="eastAsia" w:ascii="宋体" w:hAnsi="宋体" w:eastAsia="宋体" w:cs="宋体"/>
          <w:color w:val="auto"/>
          <w:spacing w:val="2"/>
          <w:sz w:val="21"/>
          <w:szCs w:val="21"/>
          <w:highlight w:val="none"/>
        </w:rPr>
        <w:t>制造，即货物由</w:t>
      </w:r>
      <w:r>
        <w:rPr>
          <w:rFonts w:hint="eastAsia" w:ascii="宋体" w:hAnsi="宋体" w:eastAsia="宋体" w:cs="宋体"/>
          <w:color w:val="auto"/>
          <w:spacing w:val="-4"/>
          <w:sz w:val="21"/>
          <w:szCs w:val="21"/>
          <w:highlight w:val="none"/>
        </w:rPr>
        <w:t>中小企业生产且使用该中小企业商号或者注册商标；</w:t>
      </w:r>
    </w:p>
    <w:p w14:paraId="561C073B">
      <w:pPr>
        <w:spacing w:before="181" w:line="360" w:lineRule="auto"/>
        <w:ind w:left="2876" w:right="216" w:firstLine="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（2）在工程采购项目中，工程由中小企业承建，即工程施</w:t>
      </w:r>
      <w:r>
        <w:rPr>
          <w:rFonts w:hint="eastAsia" w:ascii="宋体" w:hAnsi="宋体" w:eastAsia="宋体" w:cs="宋体"/>
          <w:color w:val="auto"/>
          <w:spacing w:val="-7"/>
          <w:sz w:val="21"/>
          <w:szCs w:val="21"/>
          <w:highlight w:val="none"/>
        </w:rPr>
        <w:t>工单位为中小企业；</w:t>
      </w:r>
    </w:p>
    <w:p w14:paraId="4EF9085D">
      <w:pPr>
        <w:spacing w:before="179" w:line="360" w:lineRule="auto"/>
        <w:ind w:left="2873" w:right="205" w:firstLine="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（3）在服务采购项目中，服务由中小企业承接，</w:t>
      </w:r>
      <w:r>
        <w:rPr>
          <w:rFonts w:hint="eastAsia" w:ascii="宋体" w:hAnsi="宋体" w:eastAsia="宋体" w:cs="宋体"/>
          <w:color w:val="auto"/>
          <w:spacing w:val="3"/>
          <w:sz w:val="21"/>
          <w:szCs w:val="21"/>
          <w:highlight w:val="none"/>
        </w:rPr>
        <w:t>即提供服</w:t>
      </w:r>
      <w:r>
        <w:rPr>
          <w:rFonts w:hint="eastAsia" w:ascii="宋体" w:hAnsi="宋体" w:eastAsia="宋体" w:cs="宋体"/>
          <w:color w:val="auto"/>
          <w:spacing w:val="-1"/>
          <w:sz w:val="21"/>
          <w:szCs w:val="21"/>
          <w:highlight w:val="none"/>
        </w:rPr>
        <w:t>务的人员为中小企业依照《中华人民共和国劳动合同法》订</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4"/>
          <w:sz w:val="21"/>
          <w:szCs w:val="21"/>
          <w:highlight w:val="none"/>
        </w:rPr>
        <w:t>立劳动合同的从业人员。</w:t>
      </w:r>
    </w:p>
    <w:p w14:paraId="5554334D">
      <w:pPr>
        <w:spacing w:before="181" w:line="360" w:lineRule="auto"/>
        <w:ind w:left="2922" w:hanging="90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4.2.1.3  在货物采购项目中，供应商提供的货物既有中小企业制造货</w:t>
      </w:r>
      <w:r>
        <w:rPr>
          <w:rFonts w:hint="eastAsia" w:ascii="宋体" w:hAnsi="宋体" w:eastAsia="宋体" w:cs="宋体"/>
          <w:color w:val="auto"/>
          <w:spacing w:val="5"/>
          <w:sz w:val="21"/>
          <w:szCs w:val="21"/>
          <w:highlight w:val="none"/>
        </w:rPr>
        <w:t>物，也有大型企业制造货物的，不享受中小企业扶持政策。</w:t>
      </w:r>
    </w:p>
    <w:p w14:paraId="219725F7">
      <w:pPr>
        <w:spacing w:before="181" w:line="360" w:lineRule="auto"/>
        <w:ind w:left="2942" w:right="205" w:hanging="92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4.2.1.4  以联合体形式参加政府采购活动，联合体各方均为中小企业</w:t>
      </w:r>
      <w:r>
        <w:rPr>
          <w:rFonts w:hint="eastAsia" w:ascii="宋体" w:hAnsi="宋体" w:eastAsia="宋体" w:cs="宋体"/>
          <w:color w:val="auto"/>
          <w:spacing w:val="-8"/>
          <w:sz w:val="21"/>
          <w:szCs w:val="21"/>
          <w:highlight w:val="none"/>
        </w:rPr>
        <w:t>的，联合体视同中小企业。其中， 联合体各方均为小微企业</w:t>
      </w:r>
      <w:r>
        <w:rPr>
          <w:rFonts w:hint="eastAsia" w:ascii="宋体" w:hAnsi="宋体" w:eastAsia="宋体" w:cs="宋体"/>
          <w:color w:val="auto"/>
          <w:spacing w:val="-5"/>
          <w:sz w:val="21"/>
          <w:szCs w:val="21"/>
          <w:highlight w:val="none"/>
        </w:rPr>
        <w:t>的，联合体视同小微企业。</w:t>
      </w:r>
    </w:p>
    <w:p w14:paraId="2A4E8CBC">
      <w:pPr>
        <w:spacing w:before="289" w:line="360" w:lineRule="auto"/>
        <w:ind w:left="2016" w:hanging="90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4.2.2   在政府采购活动中，监狱企业视同小型、微型企业，享受预留份额、</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4"/>
          <w:sz w:val="21"/>
          <w:szCs w:val="21"/>
          <w:highlight w:val="none"/>
        </w:rPr>
        <w:t>评审中价格扣除等政府采购促进中小企业发展的政府采购政策。监狱企业定义：是指由司法部认定的为罪犯、戒毒人员提供生产项目和劳动对象，且全部产权属于司法部监狱管理局、戒毒管理局、直属煤矿</w:t>
      </w:r>
      <w:r>
        <w:rPr>
          <w:rFonts w:hint="eastAsia" w:ascii="宋体" w:hAnsi="宋体" w:eastAsia="宋体" w:cs="宋体"/>
          <w:color w:val="auto"/>
          <w:spacing w:val="-8"/>
          <w:sz w:val="21"/>
          <w:szCs w:val="21"/>
          <w:highlight w:val="none"/>
        </w:rPr>
        <w:t>管理局，各省、自治区、直辖市监狱管理局、戒毒管理局，各地（设区的市）监狱、强制隔离戒毒所、戒毒康复所， 以及新疆生产建设兵</w:t>
      </w:r>
      <w:r>
        <w:rPr>
          <w:rFonts w:hint="eastAsia" w:ascii="宋体" w:hAnsi="宋体" w:eastAsia="宋体" w:cs="宋体"/>
          <w:color w:val="auto"/>
          <w:spacing w:val="-3"/>
          <w:sz w:val="21"/>
          <w:szCs w:val="21"/>
          <w:highlight w:val="none"/>
        </w:rPr>
        <w:t>团监狱管理局、戒毒管理局的企业。</w:t>
      </w:r>
    </w:p>
    <w:p w14:paraId="58B9AA5D">
      <w:pPr>
        <w:spacing w:before="182" w:line="360" w:lineRule="auto"/>
        <w:ind w:left="2019" w:right="204" w:hanging="90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4.2.3    在政府采购活动中，残疾人福利性单位视同小型、微型企业，</w:t>
      </w:r>
      <w:r>
        <w:rPr>
          <w:rFonts w:hint="eastAsia" w:ascii="宋体" w:hAnsi="宋体" w:eastAsia="宋体" w:cs="宋体"/>
          <w:color w:val="auto"/>
          <w:spacing w:val="-23"/>
          <w:sz w:val="21"/>
          <w:szCs w:val="21"/>
          <w:highlight w:val="none"/>
        </w:rPr>
        <w:t xml:space="preserve"> </w:t>
      </w:r>
      <w:r>
        <w:rPr>
          <w:rFonts w:hint="eastAsia" w:ascii="宋体" w:hAnsi="宋体" w:eastAsia="宋体" w:cs="宋体"/>
          <w:color w:val="auto"/>
          <w:spacing w:val="-5"/>
          <w:sz w:val="21"/>
          <w:szCs w:val="21"/>
          <w:highlight w:val="none"/>
        </w:rPr>
        <w:t>享受预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留份额、评审中价格扣除等促进中小企业发展的政府采购政策。残疾人福利性单位定义：享受政府采购支持政策的残疾人福利性单位应当</w:t>
      </w:r>
      <w:r>
        <w:rPr>
          <w:rFonts w:hint="eastAsia" w:ascii="宋体" w:hAnsi="宋体" w:eastAsia="宋体" w:cs="宋体"/>
          <w:color w:val="auto"/>
          <w:spacing w:val="-7"/>
          <w:sz w:val="21"/>
          <w:szCs w:val="21"/>
          <w:highlight w:val="none"/>
        </w:rPr>
        <w:t>同时满足以下条件：</w:t>
      </w:r>
    </w:p>
    <w:p w14:paraId="4AB5BC89">
      <w:pPr>
        <w:spacing w:before="182" w:line="360" w:lineRule="auto"/>
        <w:ind w:left="2924" w:right="205" w:hanging="907"/>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4.2.3.1 安置的残疾人占本单位在职职工人数的比例不低于</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0"/>
          <w:sz w:val="21"/>
          <w:szCs w:val="21"/>
          <w:highlight w:val="none"/>
        </w:rPr>
        <w:t>25%</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（含</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4"/>
          <w:sz w:val="21"/>
          <w:szCs w:val="21"/>
          <w:highlight w:val="none"/>
        </w:rPr>
        <w:t>25%</w:t>
      </w:r>
      <w:r>
        <w:rPr>
          <w:rFonts w:hint="eastAsia" w:ascii="宋体" w:hAnsi="宋体" w:eastAsia="宋体" w:cs="宋体"/>
          <w:color w:val="auto"/>
          <w:spacing w:val="-56"/>
          <w:sz w:val="21"/>
          <w:szCs w:val="21"/>
          <w:highlight w:val="none"/>
        </w:rPr>
        <w:t>），</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4"/>
          <w:sz w:val="21"/>
          <w:szCs w:val="21"/>
          <w:highlight w:val="none"/>
        </w:rPr>
        <w:t>并且安置的残疾人人数不少于</w:t>
      </w:r>
      <w:r>
        <w:rPr>
          <w:rFonts w:hint="eastAsia" w:ascii="宋体" w:hAnsi="宋体" w:eastAsia="宋体" w:cs="宋体"/>
          <w:color w:val="auto"/>
          <w:spacing w:val="-19"/>
          <w:sz w:val="21"/>
          <w:szCs w:val="21"/>
          <w:highlight w:val="none"/>
        </w:rPr>
        <w:t xml:space="preserve"> </w:t>
      </w:r>
      <w:r>
        <w:rPr>
          <w:rFonts w:hint="eastAsia" w:ascii="宋体" w:hAnsi="宋体" w:eastAsia="宋体" w:cs="宋体"/>
          <w:color w:val="auto"/>
          <w:spacing w:val="4"/>
          <w:sz w:val="21"/>
          <w:szCs w:val="21"/>
          <w:highlight w:val="none"/>
        </w:rPr>
        <w:t>10人（含</w:t>
      </w:r>
      <w:r>
        <w:rPr>
          <w:rFonts w:hint="eastAsia" w:ascii="宋体" w:hAnsi="宋体" w:eastAsia="宋体" w:cs="宋体"/>
          <w:color w:val="auto"/>
          <w:spacing w:val="-19"/>
          <w:sz w:val="21"/>
          <w:szCs w:val="21"/>
          <w:highlight w:val="none"/>
        </w:rPr>
        <w:t xml:space="preserve"> </w:t>
      </w:r>
      <w:r>
        <w:rPr>
          <w:rFonts w:hint="eastAsia" w:ascii="宋体" w:hAnsi="宋体" w:eastAsia="宋体" w:cs="宋体"/>
          <w:color w:val="auto"/>
          <w:spacing w:val="4"/>
          <w:sz w:val="21"/>
          <w:szCs w:val="21"/>
          <w:highlight w:val="none"/>
        </w:rPr>
        <w:t>10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5"/>
          <w:w w:val="75"/>
          <w:sz w:val="21"/>
          <w:szCs w:val="21"/>
          <w:highlight w:val="none"/>
        </w:rPr>
        <w:t>人</w:t>
      </w:r>
      <w:r>
        <w:rPr>
          <w:rFonts w:hint="eastAsia" w:ascii="宋体" w:hAnsi="宋体" w:eastAsia="宋体" w:cs="宋体"/>
          <w:color w:val="auto"/>
          <w:spacing w:val="-37"/>
          <w:sz w:val="21"/>
          <w:szCs w:val="21"/>
          <w:highlight w:val="none"/>
        </w:rPr>
        <w:t>）；</w:t>
      </w:r>
    </w:p>
    <w:p w14:paraId="2A394736">
      <w:pPr>
        <w:spacing w:before="179" w:line="360" w:lineRule="auto"/>
        <w:ind w:left="2923" w:right="204" w:hanging="9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4.2.3.2  依法与安置的每位残疾人签订了一年以上（含一年）的劳动</w:t>
      </w:r>
      <w:r>
        <w:rPr>
          <w:rFonts w:hint="eastAsia" w:ascii="宋体" w:hAnsi="宋体" w:eastAsia="宋体" w:cs="宋体"/>
          <w:color w:val="auto"/>
          <w:spacing w:val="-8"/>
          <w:sz w:val="21"/>
          <w:szCs w:val="21"/>
          <w:highlight w:val="none"/>
        </w:rPr>
        <w:t>合同或服务协议；</w:t>
      </w:r>
    </w:p>
    <w:p w14:paraId="475090B9">
      <w:pPr>
        <w:spacing w:before="181" w:line="360" w:lineRule="auto"/>
        <w:ind w:left="2921" w:right="204" w:hanging="90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4.2.3.3  为安置的每位残疾人按月足额缴纳了基本养老保险、基本医</w:t>
      </w:r>
      <w:r>
        <w:rPr>
          <w:rFonts w:hint="eastAsia" w:ascii="宋体" w:hAnsi="宋体" w:eastAsia="宋体" w:cs="宋体"/>
          <w:color w:val="auto"/>
          <w:spacing w:val="-3"/>
          <w:sz w:val="21"/>
          <w:szCs w:val="21"/>
          <w:highlight w:val="none"/>
        </w:rPr>
        <w:t>疗保险、失业保险、工伤保险和生育保险等社会保险费；</w:t>
      </w:r>
    </w:p>
    <w:p w14:paraId="66C14B41">
      <w:pPr>
        <w:spacing w:before="182" w:line="360" w:lineRule="auto"/>
        <w:ind w:left="2923" w:right="204" w:hanging="9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4.2.3.4  通过银行等金融机构向安置的每位残疾人，按月支付了不低</w:t>
      </w:r>
      <w:r>
        <w:rPr>
          <w:rFonts w:hint="eastAsia" w:ascii="宋体" w:hAnsi="宋体" w:eastAsia="宋体" w:cs="宋体"/>
          <w:color w:val="auto"/>
          <w:spacing w:val="7"/>
          <w:sz w:val="21"/>
          <w:szCs w:val="21"/>
          <w:highlight w:val="none"/>
        </w:rPr>
        <w:t>于单位所在区县适用的经省级人民政府批准的月最低工资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标准的工资；</w:t>
      </w:r>
    </w:p>
    <w:p w14:paraId="6B672BCF">
      <w:pPr>
        <w:spacing w:before="182" w:line="360" w:lineRule="auto"/>
        <w:ind w:left="2923" w:right="204" w:hanging="9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4.2.3.5  提供本单位制造的货物、承担的工程或者服务（以下简称产</w:t>
      </w:r>
      <w:r>
        <w:rPr>
          <w:rFonts w:hint="eastAsia" w:ascii="宋体" w:hAnsi="宋体" w:eastAsia="宋体" w:cs="宋体"/>
          <w:color w:val="auto"/>
          <w:spacing w:val="1"/>
          <w:sz w:val="21"/>
          <w:szCs w:val="21"/>
          <w:highlight w:val="none"/>
        </w:rPr>
        <w:t xml:space="preserve"> 品</w:t>
      </w:r>
      <w:r>
        <w:rPr>
          <w:rFonts w:hint="eastAsia" w:ascii="宋体" w:hAnsi="宋体" w:eastAsia="宋体" w:cs="宋体"/>
          <w:color w:val="auto"/>
          <w:spacing w:val="-45"/>
          <w:sz w:val="21"/>
          <w:szCs w:val="21"/>
          <w:highlight w:val="none"/>
        </w:rPr>
        <w:t>），</w:t>
      </w:r>
      <w:r>
        <w:rPr>
          <w:rFonts w:hint="eastAsia" w:ascii="宋体" w:hAnsi="宋体" w:eastAsia="宋体" w:cs="宋体"/>
          <w:color w:val="auto"/>
          <w:spacing w:val="1"/>
          <w:sz w:val="21"/>
          <w:szCs w:val="21"/>
          <w:highlight w:val="none"/>
        </w:rPr>
        <w:t>或者提供其他残疾人福利性单位制造的货物（不包括</w:t>
      </w:r>
      <w:r>
        <w:rPr>
          <w:rFonts w:hint="eastAsia" w:ascii="宋体" w:hAnsi="宋体" w:eastAsia="宋体" w:cs="宋体"/>
          <w:color w:val="auto"/>
          <w:spacing w:val="-8"/>
          <w:sz w:val="21"/>
          <w:szCs w:val="21"/>
          <w:highlight w:val="none"/>
        </w:rPr>
        <w:t>使用非残疾人福利性单位注册商标的货物</w:t>
      </w:r>
      <w:r>
        <w:rPr>
          <w:rFonts w:hint="eastAsia" w:ascii="宋体" w:hAnsi="宋体" w:eastAsia="宋体" w:cs="宋体"/>
          <w:color w:val="auto"/>
          <w:spacing w:val="-2"/>
          <w:sz w:val="21"/>
          <w:szCs w:val="21"/>
          <w:highlight w:val="none"/>
        </w:rPr>
        <w:t>）；</w:t>
      </w:r>
    </w:p>
    <w:p w14:paraId="24CFBB85">
      <w:pPr>
        <w:spacing w:before="182" w:line="360" w:lineRule="auto"/>
        <w:ind w:left="2924" w:right="204" w:hanging="90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4.2.3.6  前款所称残疾人是指法定劳动年龄内，持有《中华</w:t>
      </w:r>
      <w:r>
        <w:rPr>
          <w:rFonts w:hint="eastAsia" w:ascii="宋体" w:hAnsi="宋体" w:eastAsia="宋体" w:cs="宋体"/>
          <w:color w:val="auto"/>
          <w:spacing w:val="-3"/>
          <w:sz w:val="21"/>
          <w:szCs w:val="21"/>
          <w:highlight w:val="none"/>
        </w:rPr>
        <w:t>人民共和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国残疾人证》或者《中华人民共和国残疾军人证（</w:t>
      </w:r>
      <w:r>
        <w:rPr>
          <w:rFonts w:hint="eastAsia" w:ascii="宋体" w:hAnsi="宋体" w:eastAsia="宋体" w:cs="宋体"/>
          <w:color w:val="auto"/>
          <w:spacing w:val="-46"/>
          <w:sz w:val="21"/>
          <w:szCs w:val="21"/>
          <w:highlight w:val="none"/>
        </w:rPr>
        <w:t xml:space="preserve"> </w:t>
      </w:r>
      <w:r>
        <w:rPr>
          <w:rFonts w:hint="eastAsia" w:ascii="宋体" w:hAnsi="宋体" w:eastAsia="宋体" w:cs="宋体"/>
          <w:color w:val="auto"/>
          <w:spacing w:val="5"/>
          <w:sz w:val="21"/>
          <w:szCs w:val="21"/>
          <w:highlight w:val="none"/>
        </w:rPr>
        <w:t>1  至</w:t>
      </w:r>
      <w:r>
        <w:rPr>
          <w:rFonts w:hint="eastAsia" w:ascii="宋体" w:hAnsi="宋体" w:eastAsia="宋体" w:cs="宋体"/>
          <w:color w:val="auto"/>
          <w:spacing w:val="-35"/>
          <w:sz w:val="21"/>
          <w:szCs w:val="21"/>
          <w:highlight w:val="none"/>
        </w:rPr>
        <w:t xml:space="preserve"> </w:t>
      </w:r>
      <w:r>
        <w:rPr>
          <w:rFonts w:hint="eastAsia" w:ascii="宋体" w:hAnsi="宋体" w:eastAsia="宋体" w:cs="宋体"/>
          <w:color w:val="auto"/>
          <w:spacing w:val="5"/>
          <w:sz w:val="21"/>
          <w:szCs w:val="21"/>
          <w:highlight w:val="none"/>
        </w:rPr>
        <w:t>8</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级）》的自然人，包括具有劳动条件和劳动意愿的精神残疾</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3"/>
          <w:sz w:val="21"/>
          <w:szCs w:val="21"/>
          <w:highlight w:val="none"/>
        </w:rPr>
        <w:t>人。在职职工人数是指与残疾人福利性单位建立劳动关系并</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3"/>
          <w:sz w:val="21"/>
          <w:szCs w:val="21"/>
          <w:highlight w:val="none"/>
        </w:rPr>
        <w:t>依法签订劳动合同或服务协议的雇员人数。</w:t>
      </w:r>
    </w:p>
    <w:p w14:paraId="4D5CBCFA">
      <w:pPr>
        <w:spacing w:before="183"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4.2.4       本项目是否专门面向中小企业预留采购份额见第</w:t>
      </w:r>
      <w:r>
        <w:rPr>
          <w:rFonts w:hint="eastAsia" w:ascii="宋体" w:hAnsi="宋体" w:eastAsia="宋体" w:cs="宋体"/>
          <w:color w:val="auto"/>
          <w:spacing w:val="-4"/>
          <w:sz w:val="21"/>
          <w:szCs w:val="21"/>
          <w:highlight w:val="none"/>
        </w:rPr>
        <w:t>一章《采购邀请》。</w:t>
      </w:r>
    </w:p>
    <w:p w14:paraId="5A4E5A13">
      <w:pPr>
        <w:spacing w:before="287"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lang w:val="en-US" w:eastAsia="zh-CN"/>
        </w:rPr>
        <w:t xml:space="preserve">   </w:t>
      </w:r>
      <w:r>
        <w:rPr>
          <w:rFonts w:hint="eastAsia" w:ascii="宋体" w:hAnsi="宋体" w:eastAsia="宋体" w:cs="宋体"/>
          <w:color w:val="auto"/>
          <w:spacing w:val="-3"/>
          <w:sz w:val="21"/>
          <w:szCs w:val="21"/>
          <w:highlight w:val="none"/>
        </w:rPr>
        <w:t>4.2.5     采购标的对应的中小企业划</w:t>
      </w:r>
      <w:r>
        <w:rPr>
          <w:rFonts w:hint="eastAsia" w:ascii="宋体" w:hAnsi="宋体" w:eastAsia="宋体" w:cs="宋体"/>
          <w:color w:val="auto"/>
          <w:spacing w:val="-4"/>
          <w:sz w:val="21"/>
          <w:szCs w:val="21"/>
          <w:highlight w:val="none"/>
        </w:rPr>
        <w:t>分标准所属行业见《供应商须知资料表》。</w:t>
      </w:r>
    </w:p>
    <w:p w14:paraId="3FEAA07C">
      <w:pPr>
        <w:spacing w:before="182" w:line="360" w:lineRule="auto"/>
        <w:ind w:left="2019" w:right="205" w:hanging="90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4.2.6     小微企业价格评审优惠的政策调整：见第三章《评审方法和评审标准》。</w:t>
      </w:r>
    </w:p>
    <w:p w14:paraId="55328193">
      <w:pPr>
        <w:spacing w:before="179"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政府采购节能产品、环</w:t>
      </w:r>
      <w:r>
        <w:rPr>
          <w:rFonts w:hint="eastAsia" w:ascii="宋体" w:hAnsi="宋体" w:eastAsia="宋体" w:cs="宋体"/>
          <w:color w:val="auto"/>
          <w:spacing w:val="-1"/>
          <w:sz w:val="21"/>
          <w:szCs w:val="21"/>
          <w:highlight w:val="none"/>
        </w:rPr>
        <w:t>境标志产品</w:t>
      </w:r>
    </w:p>
    <w:p w14:paraId="0016017C">
      <w:pPr>
        <w:spacing w:before="182" w:line="360" w:lineRule="auto"/>
        <w:ind w:left="2017" w:right="205" w:hanging="90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4.3.1    政府采购节能产品、环境标志产品实施品目清单管理。财政部、发展</w:t>
      </w:r>
      <w:r>
        <w:rPr>
          <w:rFonts w:hint="eastAsia" w:ascii="宋体" w:hAnsi="宋体" w:eastAsia="宋体" w:cs="宋体"/>
          <w:color w:val="auto"/>
          <w:spacing w:val="-4"/>
          <w:sz w:val="21"/>
          <w:szCs w:val="21"/>
          <w:highlight w:val="none"/>
        </w:rPr>
        <w:t>改革委、生态环境部等部门根据产品节能环保性能、技术水平和市场成熟程度等因素，确定实施政府优先采购和强制采购的产品类别及所依据的相关标准规范，以品目清单的形式发布并适时调整。依据品目</w:t>
      </w:r>
      <w:r>
        <w:rPr>
          <w:rFonts w:hint="eastAsia" w:ascii="宋体" w:hAnsi="宋体" w:eastAsia="宋体" w:cs="宋体"/>
          <w:color w:val="auto"/>
          <w:spacing w:val="-2"/>
          <w:sz w:val="21"/>
          <w:szCs w:val="21"/>
          <w:highlight w:val="none"/>
        </w:rPr>
        <w:t>清单和认证证书实施政府优先采购和强制采</w:t>
      </w:r>
      <w:r>
        <w:rPr>
          <w:rFonts w:hint="eastAsia" w:ascii="宋体" w:hAnsi="宋体" w:eastAsia="宋体" w:cs="宋体"/>
          <w:color w:val="auto"/>
          <w:spacing w:val="-3"/>
          <w:sz w:val="21"/>
          <w:szCs w:val="21"/>
          <w:highlight w:val="none"/>
        </w:rPr>
        <w:t>购。</w:t>
      </w:r>
    </w:p>
    <w:p w14:paraId="249E786B">
      <w:pPr>
        <w:spacing w:before="183" w:line="360" w:lineRule="auto"/>
        <w:ind w:left="2016" w:right="11"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4.3.2    采购人拟采购的产品属于品目清单范围的，采购人及其委托的采购代</w:t>
      </w:r>
      <w:r>
        <w:rPr>
          <w:rFonts w:hint="eastAsia" w:ascii="宋体" w:hAnsi="宋体" w:eastAsia="宋体" w:cs="宋体"/>
          <w:color w:val="auto"/>
          <w:spacing w:val="-5"/>
          <w:sz w:val="21"/>
          <w:szCs w:val="21"/>
          <w:highlight w:val="none"/>
        </w:rPr>
        <w:t>理机构依据国家确定的认证机构出具的、处于有</w:t>
      </w:r>
      <w:r>
        <w:rPr>
          <w:rFonts w:hint="eastAsia" w:ascii="宋体" w:hAnsi="宋体" w:eastAsia="宋体" w:cs="宋体"/>
          <w:color w:val="auto"/>
          <w:spacing w:val="-6"/>
          <w:sz w:val="21"/>
          <w:szCs w:val="21"/>
          <w:highlight w:val="none"/>
        </w:rPr>
        <w:t>效期之内的节能产品、</w:t>
      </w:r>
      <w:r>
        <w:rPr>
          <w:rFonts w:hint="eastAsia" w:ascii="宋体" w:hAnsi="宋体" w:eastAsia="宋体" w:cs="宋体"/>
          <w:color w:val="auto"/>
          <w:spacing w:val="-4"/>
          <w:sz w:val="21"/>
          <w:szCs w:val="21"/>
          <w:highlight w:val="none"/>
        </w:rPr>
        <w:t>环境标志产品认证证书，对获得证书的产品实施政府优先采购或强制</w:t>
      </w:r>
      <w:r>
        <w:rPr>
          <w:rFonts w:hint="eastAsia" w:ascii="宋体" w:hAnsi="宋体" w:eastAsia="宋体" w:cs="宋体"/>
          <w:color w:val="auto"/>
          <w:spacing w:val="-5"/>
          <w:sz w:val="21"/>
          <w:szCs w:val="21"/>
          <w:highlight w:val="none"/>
        </w:rPr>
        <w:t>采购。关于政府采购节能产品、环境标志产品的相关规定依据《关于</w:t>
      </w:r>
      <w:r>
        <w:rPr>
          <w:rFonts w:hint="eastAsia" w:ascii="宋体" w:hAnsi="宋体" w:eastAsia="宋体" w:cs="宋体"/>
          <w:color w:val="auto"/>
          <w:spacing w:val="-4"/>
          <w:sz w:val="21"/>
          <w:szCs w:val="21"/>
          <w:highlight w:val="none"/>
        </w:rPr>
        <w:t>调整优化节能产品、环境标志产品政府采购执行机制的通知》（财库</w:t>
      </w:r>
      <w:r>
        <w:rPr>
          <w:rFonts w:hint="eastAsia" w:ascii="宋体" w:hAnsi="宋体" w:eastAsia="宋体" w:cs="宋体"/>
          <w:color w:val="auto"/>
          <w:spacing w:val="-16"/>
          <w:sz w:val="21"/>
          <w:szCs w:val="21"/>
          <w:highlight w:val="none"/>
        </w:rPr>
        <w:t>〔2019〕9</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6"/>
          <w:sz w:val="21"/>
          <w:szCs w:val="21"/>
          <w:highlight w:val="none"/>
        </w:rPr>
        <w:t>号）。</w:t>
      </w:r>
    </w:p>
    <w:p w14:paraId="1D4A4B5F">
      <w:pPr>
        <w:spacing w:before="181" w:line="360" w:lineRule="auto"/>
        <w:ind w:left="2019" w:right="18" w:hanging="90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4.3.3    如本项目采购产品属于实施政府强制采购品</w:t>
      </w:r>
      <w:r>
        <w:rPr>
          <w:rFonts w:hint="eastAsia" w:ascii="宋体" w:hAnsi="宋体" w:eastAsia="宋体" w:cs="宋体"/>
          <w:color w:val="auto"/>
          <w:spacing w:val="1"/>
          <w:sz w:val="21"/>
          <w:szCs w:val="21"/>
          <w:highlight w:val="none"/>
        </w:rPr>
        <w:t>目清单范围的节能产品，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则供应商所报产品必须获得国家确定的认证机构出具的、处于有效期</w:t>
      </w:r>
      <w:r>
        <w:rPr>
          <w:rFonts w:hint="eastAsia" w:ascii="宋体" w:hAnsi="宋体" w:eastAsia="宋体" w:cs="宋体"/>
          <w:color w:val="auto"/>
          <w:spacing w:val="-1"/>
          <w:sz w:val="21"/>
          <w:szCs w:val="21"/>
          <w:highlight w:val="none"/>
        </w:rPr>
        <w:t>之内的节能产品认证证书，否则</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70A2B601">
      <w:pPr>
        <w:spacing w:before="181" w:line="360" w:lineRule="auto"/>
        <w:ind w:left="2022" w:right="205" w:hanging="91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4.3.4    非政府强制采购的节能产品或环境标志产品，依据品目清单和认证证</w:t>
      </w:r>
      <w:r>
        <w:rPr>
          <w:rFonts w:hint="eastAsia" w:ascii="宋体" w:hAnsi="宋体" w:eastAsia="宋体" w:cs="宋体"/>
          <w:color w:val="auto"/>
          <w:spacing w:val="-5"/>
          <w:sz w:val="21"/>
          <w:szCs w:val="21"/>
          <w:highlight w:val="none"/>
        </w:rPr>
        <w:t>书实施政府优先采购。优先采购的具体规定见第三章《评审方法和评</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7"/>
          <w:sz w:val="21"/>
          <w:szCs w:val="21"/>
          <w:highlight w:val="none"/>
        </w:rPr>
        <w:t>审标准》（如涉及）。</w:t>
      </w:r>
    </w:p>
    <w:p w14:paraId="50C366AD">
      <w:pPr>
        <w:spacing w:before="180"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4.4</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3"/>
          <w:sz w:val="21"/>
          <w:szCs w:val="21"/>
          <w:highlight w:val="none"/>
        </w:rPr>
        <w:t>正版软件</w:t>
      </w:r>
    </w:p>
    <w:p w14:paraId="3800BE72">
      <w:pPr>
        <w:spacing w:before="183" w:line="360" w:lineRule="auto"/>
        <w:ind w:left="2015" w:right="205" w:hanging="90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4.4.1    各级政府部门在购置计算机办公设备时，必须采购预装正版操作系统</w:t>
      </w:r>
      <w:r>
        <w:rPr>
          <w:rFonts w:hint="eastAsia" w:ascii="宋体" w:hAnsi="宋体" w:eastAsia="宋体" w:cs="宋体"/>
          <w:color w:val="auto"/>
          <w:spacing w:val="-4"/>
          <w:sz w:val="21"/>
          <w:szCs w:val="21"/>
          <w:highlight w:val="none"/>
        </w:rPr>
        <w:t>软件的计算机产品，相关规定依据《国家版权局、信息产业部、财政</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4"/>
          <w:sz w:val="21"/>
          <w:szCs w:val="21"/>
          <w:highlight w:val="none"/>
        </w:rPr>
        <w:t>部、国务院机关事务管理局关于政府部门购置计算机办公设备必须采</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7"/>
          <w:sz w:val="21"/>
          <w:szCs w:val="21"/>
          <w:highlight w:val="none"/>
        </w:rPr>
        <w:t>购已预装正版操作系统软件产品的通知》（国权联〔2006</w:t>
      </w:r>
      <w:r>
        <w:rPr>
          <w:rFonts w:hint="eastAsia" w:ascii="宋体" w:hAnsi="宋体" w:eastAsia="宋体" w:cs="宋体"/>
          <w:color w:val="auto"/>
          <w:spacing w:val="-18"/>
          <w:sz w:val="21"/>
          <w:szCs w:val="21"/>
          <w:highlight w:val="none"/>
        </w:rPr>
        <w:t>〕1  号）、《国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务院办公厅关于进一步做好政府机关使用正版软件工作的通知》（国</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7"/>
          <w:sz w:val="21"/>
          <w:szCs w:val="21"/>
          <w:highlight w:val="none"/>
        </w:rPr>
        <w:t>办发〔2010〕47  号）、《财政部关于进一步做好政府机关使用正版软</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11"/>
          <w:sz w:val="21"/>
          <w:szCs w:val="21"/>
          <w:highlight w:val="none"/>
        </w:rPr>
        <w:t>件工作的通知》（财预〔2010〕536  号）。</w:t>
      </w:r>
    </w:p>
    <w:p w14:paraId="14F22664">
      <w:pPr>
        <w:spacing w:before="1"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4.5</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3"/>
          <w:sz w:val="21"/>
          <w:szCs w:val="21"/>
          <w:highlight w:val="none"/>
        </w:rPr>
        <w:t>网络安全专用产品</w:t>
      </w:r>
    </w:p>
    <w:p w14:paraId="732281B3">
      <w:pPr>
        <w:spacing w:before="288" w:line="360" w:lineRule="auto"/>
        <w:ind w:left="2018" w:right="186" w:hanging="90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4.5.1    根据《关于调整网络安全专用产品安全管理有关事项的公告》（2023</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年第</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16"/>
          <w:w w:val="101"/>
          <w:sz w:val="21"/>
          <w:szCs w:val="21"/>
          <w:highlight w:val="none"/>
        </w:rPr>
        <w:t xml:space="preserve"> </w:t>
      </w:r>
      <w:r>
        <w:rPr>
          <w:rFonts w:hint="eastAsia" w:ascii="宋体" w:hAnsi="宋体" w:eastAsia="宋体" w:cs="宋体"/>
          <w:color w:val="auto"/>
          <w:spacing w:val="-2"/>
          <w:sz w:val="21"/>
          <w:szCs w:val="21"/>
          <w:highlight w:val="none"/>
        </w:rPr>
        <w:t>号</w:t>
      </w:r>
      <w:r>
        <w:rPr>
          <w:rFonts w:hint="eastAsia" w:ascii="宋体" w:hAnsi="宋体" w:eastAsia="宋体" w:cs="宋体"/>
          <w:color w:val="auto"/>
          <w:spacing w:val="-54"/>
          <w:sz w:val="21"/>
          <w:szCs w:val="21"/>
          <w:highlight w:val="none"/>
        </w:rPr>
        <w:t>），</w:t>
      </w:r>
      <w:r>
        <w:rPr>
          <w:rFonts w:hint="eastAsia" w:ascii="宋体" w:hAnsi="宋体" w:eastAsia="宋体" w:cs="宋体"/>
          <w:color w:val="auto"/>
          <w:spacing w:val="-2"/>
          <w:sz w:val="21"/>
          <w:szCs w:val="21"/>
          <w:highlight w:val="none"/>
        </w:rPr>
        <w:t>所提供产品属于列入《网络关键设备和网络安全专用产</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品目录》的网络安全专用产品时，</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7"/>
          <w:sz w:val="21"/>
          <w:szCs w:val="21"/>
          <w:highlight w:val="none"/>
        </w:rPr>
        <w:t>应当按照《信息安全技术网络安全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专用产品安全技术要求》等相关国家标准的强制性要求，</w:t>
      </w:r>
      <w:r>
        <w:rPr>
          <w:rFonts w:hint="eastAsia" w:ascii="宋体" w:hAnsi="宋体" w:eastAsia="宋体" w:cs="宋体"/>
          <w:color w:val="auto"/>
          <w:spacing w:val="-60"/>
          <w:sz w:val="21"/>
          <w:szCs w:val="21"/>
          <w:highlight w:val="none"/>
        </w:rPr>
        <w:t xml:space="preserve"> </w:t>
      </w:r>
      <w:r>
        <w:rPr>
          <w:rFonts w:hint="eastAsia" w:ascii="宋体" w:hAnsi="宋体" w:eastAsia="宋体" w:cs="宋体"/>
          <w:color w:val="auto"/>
          <w:spacing w:val="-6"/>
          <w:sz w:val="21"/>
          <w:szCs w:val="21"/>
          <w:highlight w:val="none"/>
        </w:rPr>
        <w:t>由具备资格</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的机构安全认证合格或者安全检测符合要求。</w:t>
      </w:r>
    </w:p>
    <w:p w14:paraId="685DD114">
      <w:pPr>
        <w:spacing w:before="1" w:line="360" w:lineRule="auto"/>
        <w:ind w:left="3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       推广使用低挥发性有机化合物（</w:t>
      </w:r>
      <w:r>
        <w:rPr>
          <w:rFonts w:hint="eastAsia" w:ascii="宋体" w:hAnsi="宋体" w:eastAsia="宋体" w:cs="宋体"/>
          <w:color w:val="auto"/>
          <w:spacing w:val="-1"/>
          <w:sz w:val="21"/>
          <w:szCs w:val="21"/>
          <w:highlight w:val="none"/>
        </w:rPr>
        <w:t>VOCs）</w:t>
      </w:r>
    </w:p>
    <w:p w14:paraId="2D815BFD">
      <w:pPr>
        <w:spacing w:before="182" w:line="360" w:lineRule="auto"/>
        <w:ind w:left="1951" w:leftChars="529" w:hanging="840" w:hanging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4.6.1   为全面推进本市挥发性有机物（VOCs）治理，贯彻落实挥发性有机</w:t>
      </w:r>
      <w:r>
        <w:rPr>
          <w:rFonts w:hint="eastAsia" w:ascii="宋体" w:hAnsi="宋体" w:eastAsia="宋体" w:cs="宋体"/>
          <w:color w:val="auto"/>
          <w:spacing w:val="-5"/>
          <w:sz w:val="21"/>
          <w:szCs w:val="21"/>
          <w:highlight w:val="none"/>
        </w:rPr>
        <w:t>物污染治理专项行动有关要求，相关规定依据《北京市财政局北京市</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生态环境局关于政府采购推广使用低挥发性有机化合物（VOCs）有</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8"/>
          <w:sz w:val="21"/>
          <w:szCs w:val="21"/>
          <w:highlight w:val="none"/>
        </w:rPr>
        <w:t>关事项的通知》（京财采购〔2020〕2381  号）。本项目中涉及涂料、</w:t>
      </w:r>
      <w:r>
        <w:rPr>
          <w:rFonts w:hint="eastAsia" w:ascii="宋体" w:hAnsi="宋体" w:eastAsia="宋体" w:cs="宋体"/>
          <w:color w:val="auto"/>
          <w:spacing w:val="2"/>
          <w:sz w:val="21"/>
          <w:szCs w:val="21"/>
          <w:highlight w:val="none"/>
        </w:rPr>
        <w:t>胶黏剂、油墨、清洗剂等挥发性有机物产品的，属于强制性标准的，</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
          <w:sz w:val="21"/>
          <w:szCs w:val="21"/>
          <w:highlight w:val="none"/>
        </w:rPr>
        <w:t>供应商应执行符合本市和国家的</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z w:val="21"/>
          <w:szCs w:val="21"/>
          <w:highlight w:val="none"/>
        </w:rPr>
        <w:t>VOCs</w:t>
      </w:r>
      <w:r>
        <w:rPr>
          <w:rFonts w:hint="eastAsia" w:ascii="宋体" w:hAnsi="宋体" w:eastAsia="宋体" w:cs="宋体"/>
          <w:color w:val="auto"/>
          <w:spacing w:val="2"/>
          <w:sz w:val="21"/>
          <w:szCs w:val="21"/>
          <w:highlight w:val="none"/>
        </w:rPr>
        <w:t xml:space="preserve"> 含量限制标准（具体标准见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第四章《采购需求》</w:t>
      </w:r>
      <w:r>
        <w:rPr>
          <w:rFonts w:hint="eastAsia" w:ascii="宋体" w:hAnsi="宋体" w:eastAsia="宋体" w:cs="宋体"/>
          <w:color w:val="auto"/>
          <w:spacing w:val="-61"/>
          <w:sz w:val="21"/>
          <w:szCs w:val="21"/>
          <w:highlight w:val="none"/>
        </w:rPr>
        <w:t>），</w:t>
      </w:r>
      <w:r>
        <w:rPr>
          <w:rFonts w:hint="eastAsia" w:ascii="宋体" w:hAnsi="宋体" w:eastAsia="宋体" w:cs="宋体"/>
          <w:color w:val="auto"/>
          <w:spacing w:val="-12"/>
          <w:sz w:val="21"/>
          <w:szCs w:val="21"/>
          <w:highlight w:val="none"/>
        </w:rPr>
        <w:t>否则</w:t>
      </w:r>
      <w:r>
        <w:rPr>
          <w:rFonts w:hint="eastAsia" w:ascii="宋体" w:hAnsi="宋体" w:eastAsia="宋体" w:cs="宋体"/>
          <w:b/>
          <w:bCs/>
          <w:color w:val="auto"/>
          <w:spacing w:val="-12"/>
          <w:sz w:val="21"/>
          <w:szCs w:val="21"/>
          <w:highlight w:val="none"/>
        </w:rPr>
        <w:t>响应无效</w:t>
      </w:r>
      <w:r>
        <w:rPr>
          <w:rFonts w:hint="eastAsia" w:ascii="宋体" w:hAnsi="宋体" w:eastAsia="宋体" w:cs="宋体"/>
          <w:color w:val="auto"/>
          <w:spacing w:val="-12"/>
          <w:sz w:val="21"/>
          <w:szCs w:val="21"/>
          <w:highlight w:val="none"/>
        </w:rPr>
        <w:t>；属于推荐性标准的，优先采购，</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8"/>
          <w:sz w:val="21"/>
          <w:szCs w:val="21"/>
          <w:highlight w:val="none"/>
        </w:rPr>
        <w:t>具体见第三章《评审方法和评审标准》。</w:t>
      </w:r>
    </w:p>
    <w:p w14:paraId="0A8A562C">
      <w:pPr>
        <w:spacing w:before="1" w:line="360" w:lineRule="auto"/>
        <w:ind w:left="6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4.7</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采购需求标准</w:t>
      </w:r>
    </w:p>
    <w:p w14:paraId="6BCD0BAC">
      <w:pPr>
        <w:spacing w:before="182"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4.7.1    商品包装、快递包装政府采购需求标准（试行）</w:t>
      </w:r>
    </w:p>
    <w:p w14:paraId="4C030C51">
      <w:pPr>
        <w:spacing w:before="183" w:line="360" w:lineRule="auto"/>
        <w:ind w:left="2023" w:right="186" w:firstLine="2"/>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为助力打好污染防治攻坚战，推广使用绿色包装，根</w:t>
      </w:r>
      <w:r>
        <w:rPr>
          <w:rFonts w:hint="eastAsia" w:ascii="宋体" w:hAnsi="宋体" w:eastAsia="宋体" w:cs="宋体"/>
          <w:color w:val="auto"/>
          <w:spacing w:val="-5"/>
          <w:sz w:val="21"/>
          <w:szCs w:val="21"/>
          <w:highlight w:val="none"/>
        </w:rPr>
        <w:t>据财政部关于印</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发《商品包装政府采购需求标准（试行）》、《快递包装政府采购需求</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8"/>
          <w:sz w:val="21"/>
          <w:szCs w:val="21"/>
          <w:highlight w:val="none"/>
        </w:rPr>
        <w:t>标准（试行）》的通知（财办库〔2020〕123</w:t>
      </w:r>
      <w:r>
        <w:rPr>
          <w:rFonts w:hint="eastAsia" w:ascii="宋体" w:hAnsi="宋体" w:eastAsia="宋体" w:cs="宋体"/>
          <w:color w:val="auto"/>
          <w:spacing w:val="15"/>
          <w:w w:val="101"/>
          <w:sz w:val="21"/>
          <w:szCs w:val="21"/>
          <w:highlight w:val="none"/>
        </w:rPr>
        <w:t xml:space="preserve"> </w:t>
      </w:r>
      <w:r>
        <w:rPr>
          <w:rFonts w:hint="eastAsia" w:ascii="宋体" w:hAnsi="宋体" w:eastAsia="宋体" w:cs="宋体"/>
          <w:color w:val="auto"/>
          <w:spacing w:val="-8"/>
          <w:sz w:val="21"/>
          <w:szCs w:val="21"/>
          <w:highlight w:val="none"/>
        </w:rPr>
        <w:t>号</w:t>
      </w:r>
      <w:r>
        <w:rPr>
          <w:rFonts w:hint="eastAsia" w:ascii="宋体" w:hAnsi="宋体" w:eastAsia="宋体" w:cs="宋体"/>
          <w:color w:val="auto"/>
          <w:spacing w:val="-29"/>
          <w:sz w:val="21"/>
          <w:szCs w:val="21"/>
          <w:highlight w:val="none"/>
        </w:rPr>
        <w:t>），</w:t>
      </w:r>
      <w:r>
        <w:rPr>
          <w:rFonts w:hint="eastAsia" w:ascii="宋体" w:hAnsi="宋体" w:eastAsia="宋体" w:cs="宋体"/>
          <w:color w:val="auto"/>
          <w:spacing w:val="-8"/>
          <w:sz w:val="21"/>
          <w:szCs w:val="21"/>
          <w:highlight w:val="none"/>
        </w:rPr>
        <w:t>本项目</w:t>
      </w:r>
      <w:r>
        <w:rPr>
          <w:rFonts w:hint="eastAsia" w:ascii="宋体" w:hAnsi="宋体" w:eastAsia="宋体" w:cs="宋体"/>
          <w:color w:val="auto"/>
          <w:spacing w:val="-9"/>
          <w:sz w:val="21"/>
          <w:szCs w:val="21"/>
          <w:highlight w:val="none"/>
        </w:rPr>
        <w:t>如涉及商品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包装和快递包装的，则其具体要求见第四章《采购需求》。</w:t>
      </w:r>
    </w:p>
    <w:p w14:paraId="3888692F">
      <w:pPr>
        <w:spacing w:before="1" w:line="360" w:lineRule="auto"/>
        <w:ind w:left="11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4.7.2    其他政府采购需求标准</w:t>
      </w:r>
    </w:p>
    <w:p w14:paraId="60D5D511">
      <w:pPr>
        <w:spacing w:before="183" w:line="360" w:lineRule="auto"/>
        <w:ind w:left="2019" w:right="186" w:firstLine="1"/>
        <w:jc w:val="both"/>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为贯彻落实《深化政府采购制度改革方案》有关要</w:t>
      </w:r>
      <w:r>
        <w:rPr>
          <w:rFonts w:hint="eastAsia" w:ascii="宋体" w:hAnsi="宋体" w:eastAsia="宋体" w:cs="宋体"/>
          <w:color w:val="auto"/>
          <w:spacing w:val="-7"/>
          <w:sz w:val="21"/>
          <w:szCs w:val="21"/>
          <w:highlight w:val="none"/>
        </w:rPr>
        <w:t>求，</w:t>
      </w:r>
      <w:r>
        <w:rPr>
          <w:rFonts w:hint="eastAsia" w:ascii="宋体" w:hAnsi="宋体" w:eastAsia="宋体" w:cs="宋体"/>
          <w:color w:val="auto"/>
          <w:spacing w:val="-54"/>
          <w:sz w:val="21"/>
          <w:szCs w:val="21"/>
          <w:highlight w:val="none"/>
        </w:rPr>
        <w:t xml:space="preserve"> </w:t>
      </w:r>
      <w:r>
        <w:rPr>
          <w:rFonts w:hint="eastAsia" w:ascii="宋体" w:hAnsi="宋体" w:eastAsia="宋体" w:cs="宋体"/>
          <w:color w:val="auto"/>
          <w:spacing w:val="-7"/>
          <w:sz w:val="21"/>
          <w:szCs w:val="21"/>
          <w:highlight w:val="none"/>
        </w:rPr>
        <w:t>推动政府采购</w:t>
      </w:r>
      <w:r>
        <w:rPr>
          <w:rFonts w:hint="eastAsia" w:ascii="宋体" w:hAnsi="宋体" w:eastAsia="宋体" w:cs="宋体"/>
          <w:color w:val="auto"/>
          <w:spacing w:val="-4"/>
          <w:sz w:val="21"/>
          <w:szCs w:val="21"/>
          <w:highlight w:val="none"/>
        </w:rPr>
        <w:t>需求标准建设，财政部门会同有关部门制定发布的其他政府采购需求</w:t>
      </w:r>
      <w:r>
        <w:rPr>
          <w:rFonts w:hint="eastAsia" w:ascii="宋体" w:hAnsi="宋体" w:eastAsia="宋体" w:cs="宋体"/>
          <w:color w:val="auto"/>
          <w:spacing w:val="-6"/>
          <w:sz w:val="21"/>
          <w:szCs w:val="21"/>
          <w:highlight w:val="none"/>
        </w:rPr>
        <w:t>标准，本项目如涉及，则具体要求见第四章《采购需求》。</w:t>
      </w:r>
    </w:p>
    <w:p w14:paraId="059294BA">
      <w:pPr>
        <w:spacing w:line="360" w:lineRule="auto"/>
        <w:ind w:left="40"/>
        <w:outlineLvl w:val="1"/>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5</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7"/>
          <w:sz w:val="21"/>
          <w:szCs w:val="21"/>
          <w:highlight w:val="none"/>
        </w:rPr>
        <w:t>响应费用</w:t>
      </w:r>
    </w:p>
    <w:p w14:paraId="01C3EEDD">
      <w:pPr>
        <w:spacing w:before="181"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供应商应自行承担所有与准备和参加磋商有关的费用，无论磋商的结果如何，</w:t>
      </w:r>
    </w:p>
    <w:p w14:paraId="62DC2A02">
      <w:pPr>
        <w:spacing w:before="182" w:line="360" w:lineRule="auto"/>
        <w:ind w:left="1117" w:firstLine="1040" w:firstLineChars="5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采购人或采购代理机构在任何情况下均无承</w:t>
      </w:r>
      <w:r>
        <w:rPr>
          <w:rFonts w:hint="eastAsia" w:ascii="宋体" w:hAnsi="宋体" w:eastAsia="宋体" w:cs="宋体"/>
          <w:color w:val="auto"/>
          <w:spacing w:val="-2"/>
          <w:sz w:val="21"/>
          <w:szCs w:val="21"/>
          <w:highlight w:val="none"/>
        </w:rPr>
        <w:t>担这些费用的义务和责任。</w:t>
      </w:r>
    </w:p>
    <w:p w14:paraId="03AE5F18">
      <w:pPr>
        <w:pStyle w:val="6"/>
        <w:spacing w:line="288" w:lineRule="auto"/>
        <w:rPr>
          <w:color w:val="auto"/>
          <w:highlight w:val="none"/>
        </w:rPr>
      </w:pPr>
    </w:p>
    <w:p w14:paraId="5F2E18B2">
      <w:pPr>
        <w:pStyle w:val="6"/>
        <w:spacing w:line="288" w:lineRule="auto"/>
        <w:rPr>
          <w:color w:val="auto"/>
          <w:highlight w:val="none"/>
        </w:rPr>
      </w:pPr>
    </w:p>
    <w:p w14:paraId="3049BA84">
      <w:pPr>
        <w:spacing w:before="91" w:line="220" w:lineRule="auto"/>
        <w:ind w:left="3245"/>
        <w:outlineLvl w:val="1"/>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二</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3"/>
          <w:sz w:val="28"/>
          <w:szCs w:val="28"/>
          <w:highlight w:val="none"/>
        </w:rPr>
        <w:t>竞争性磋商文件</w:t>
      </w:r>
    </w:p>
    <w:p w14:paraId="5B7AAC0F">
      <w:pPr>
        <w:spacing w:before="205" w:line="360" w:lineRule="auto"/>
        <w:ind w:left="39"/>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    竞争性磋商文件构成</w:t>
      </w:r>
    </w:p>
    <w:p w14:paraId="66D8FA44">
      <w:pPr>
        <w:spacing w:before="287" w:line="360" w:lineRule="auto"/>
        <w:ind w:left="39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6.1       竞争性磋商文件包括以下部分：</w:t>
      </w:r>
    </w:p>
    <w:p w14:paraId="6A970086">
      <w:pPr>
        <w:spacing w:before="181"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第一章   采购邀请</w:t>
      </w:r>
    </w:p>
    <w:p w14:paraId="574D4307">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第二章   供应商须知</w:t>
      </w:r>
    </w:p>
    <w:p w14:paraId="598B426A">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第三章   评审方法和评审标准</w:t>
      </w:r>
    </w:p>
    <w:p w14:paraId="73A224F6">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第四章   采购需求</w:t>
      </w:r>
    </w:p>
    <w:p w14:paraId="7CB0B9DD">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第五章   合同草案条款</w:t>
      </w:r>
    </w:p>
    <w:p w14:paraId="3B386ABA">
      <w:pPr>
        <w:spacing w:before="182" w:line="360" w:lineRule="auto"/>
        <w:ind w:left="14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第六章   响应文件格式</w:t>
      </w:r>
    </w:p>
    <w:p w14:paraId="75FE9817">
      <w:pPr>
        <w:spacing w:before="182" w:line="360" w:lineRule="auto"/>
        <w:ind w:left="1117" w:right="186" w:hanging="7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6.2    供应商应认真阅读竞争性磋商文件的全部内容。供应商应按照竞争性磋商文</w:t>
      </w:r>
      <w:r>
        <w:rPr>
          <w:rFonts w:hint="eastAsia" w:ascii="宋体" w:hAnsi="宋体" w:eastAsia="宋体" w:cs="宋体"/>
          <w:color w:val="auto"/>
          <w:spacing w:val="2"/>
          <w:sz w:val="21"/>
          <w:szCs w:val="21"/>
          <w:highlight w:val="none"/>
        </w:rPr>
        <w:t>件要求提交响应文件并保证所提供的全部资料的真实性，并对竞争</w:t>
      </w:r>
      <w:r>
        <w:rPr>
          <w:rFonts w:hint="eastAsia" w:ascii="宋体" w:hAnsi="宋体" w:eastAsia="宋体" w:cs="宋体"/>
          <w:color w:val="auto"/>
          <w:spacing w:val="1"/>
          <w:sz w:val="21"/>
          <w:szCs w:val="21"/>
          <w:highlight w:val="none"/>
        </w:rPr>
        <w:t>性磋商文</w:t>
      </w:r>
      <w:r>
        <w:rPr>
          <w:rFonts w:hint="eastAsia" w:ascii="宋体" w:hAnsi="宋体" w:eastAsia="宋体" w:cs="宋体"/>
          <w:color w:val="auto"/>
          <w:spacing w:val="-1"/>
          <w:sz w:val="21"/>
          <w:szCs w:val="21"/>
          <w:highlight w:val="none"/>
        </w:rPr>
        <w:t>件做出实质性响应，否则</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353CF225">
      <w:pPr>
        <w:spacing w:line="360" w:lineRule="auto"/>
        <w:ind w:left="3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7    对竞争性磋商文件的澄清或修改</w:t>
      </w:r>
    </w:p>
    <w:p w14:paraId="5FDB1C77">
      <w:pPr>
        <w:spacing w:before="182" w:line="360" w:lineRule="auto"/>
        <w:ind w:left="1116" w:right="186"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7.1    采购人、采购代理机构或者磋商小组对已发出的竞争性磋商文件进行必要澄清或者修改的，将以书面形式通知所有获取竞争性磋商文件的</w:t>
      </w:r>
      <w:r>
        <w:rPr>
          <w:rFonts w:hint="eastAsia" w:ascii="宋体" w:hAnsi="宋体" w:eastAsia="宋体" w:cs="宋体"/>
          <w:color w:val="auto"/>
          <w:sz w:val="21"/>
          <w:szCs w:val="21"/>
          <w:highlight w:val="none"/>
        </w:rPr>
        <w:t xml:space="preserve">潜在供应商。 </w:t>
      </w:r>
      <w:r>
        <w:rPr>
          <w:rFonts w:hint="eastAsia" w:ascii="宋体" w:hAnsi="宋体" w:eastAsia="宋体" w:cs="宋体"/>
          <w:color w:val="auto"/>
          <w:spacing w:val="-1"/>
          <w:sz w:val="21"/>
          <w:szCs w:val="21"/>
          <w:highlight w:val="none"/>
        </w:rPr>
        <w:t>采用公告方式邀请供应商参与的，还将在原公告发布</w:t>
      </w:r>
      <w:r>
        <w:rPr>
          <w:rFonts w:hint="eastAsia" w:ascii="宋体" w:hAnsi="宋体" w:eastAsia="宋体" w:cs="宋体"/>
          <w:color w:val="auto"/>
          <w:spacing w:val="-2"/>
          <w:sz w:val="21"/>
          <w:szCs w:val="21"/>
          <w:highlight w:val="none"/>
        </w:rPr>
        <w:t>媒体上发布更正公告。</w:t>
      </w:r>
    </w:p>
    <w:p w14:paraId="473BE465">
      <w:pPr>
        <w:spacing w:before="182" w:line="360" w:lineRule="auto"/>
        <w:ind w:left="1118" w:hanging="7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    上述书面通知，按照获取竞争性磋商文件的潜在供应商提供的联系方式发出，</w:t>
      </w:r>
      <w:r>
        <w:rPr>
          <w:rFonts w:hint="eastAsia" w:ascii="宋体" w:hAnsi="宋体" w:eastAsia="宋体" w:cs="宋体"/>
          <w:color w:val="auto"/>
          <w:spacing w:val="2"/>
          <w:sz w:val="21"/>
          <w:szCs w:val="21"/>
          <w:highlight w:val="none"/>
        </w:rPr>
        <w:t>因提供的信息有误导致通知延迟或无法通知的，采购人或采购</w:t>
      </w:r>
      <w:r>
        <w:rPr>
          <w:rFonts w:hint="eastAsia" w:ascii="宋体" w:hAnsi="宋体" w:eastAsia="宋体" w:cs="宋体"/>
          <w:color w:val="auto"/>
          <w:spacing w:val="1"/>
          <w:sz w:val="21"/>
          <w:szCs w:val="21"/>
          <w:highlight w:val="none"/>
        </w:rPr>
        <w:t>代理机构不承</w:t>
      </w:r>
      <w:r>
        <w:rPr>
          <w:rFonts w:hint="eastAsia" w:ascii="宋体" w:hAnsi="宋体" w:eastAsia="宋体" w:cs="宋体"/>
          <w:color w:val="auto"/>
          <w:spacing w:val="-9"/>
          <w:sz w:val="21"/>
          <w:szCs w:val="21"/>
          <w:highlight w:val="none"/>
        </w:rPr>
        <w:t>担责任。</w:t>
      </w:r>
    </w:p>
    <w:p w14:paraId="7AF053F5">
      <w:pPr>
        <w:spacing w:before="180" w:line="360" w:lineRule="auto"/>
        <w:ind w:left="1118" w:right="186" w:hanging="721"/>
        <w:rPr>
          <w:rFonts w:ascii="宋体" w:hAnsi="宋体" w:eastAsia="宋体" w:cs="宋体"/>
          <w:color w:val="auto"/>
          <w:sz w:val="24"/>
          <w:szCs w:val="24"/>
          <w:highlight w:val="none"/>
        </w:rPr>
      </w:pPr>
      <w:r>
        <w:rPr>
          <w:rFonts w:hint="eastAsia" w:ascii="宋体" w:hAnsi="宋体" w:eastAsia="宋体" w:cs="宋体"/>
          <w:color w:val="auto"/>
          <w:spacing w:val="1"/>
          <w:sz w:val="21"/>
          <w:szCs w:val="21"/>
          <w:highlight w:val="none"/>
        </w:rPr>
        <w:t>7.3    澄清或者修改的内容为竞争性磋商文件的组成部分，并对所有获取竞争性磋</w:t>
      </w:r>
      <w:r>
        <w:rPr>
          <w:rFonts w:hint="eastAsia" w:ascii="宋体" w:hAnsi="宋体" w:eastAsia="宋体" w:cs="宋体"/>
          <w:color w:val="auto"/>
          <w:spacing w:val="2"/>
          <w:sz w:val="21"/>
          <w:szCs w:val="21"/>
          <w:highlight w:val="none"/>
        </w:rPr>
        <w:t>商文件的潜在供应商具有约束力。澄清或者修改的内容可能影</w:t>
      </w:r>
      <w:r>
        <w:rPr>
          <w:rFonts w:hint="eastAsia" w:ascii="宋体" w:hAnsi="宋体" w:eastAsia="宋体" w:cs="宋体"/>
          <w:color w:val="auto"/>
          <w:spacing w:val="1"/>
          <w:sz w:val="21"/>
          <w:szCs w:val="21"/>
          <w:highlight w:val="none"/>
        </w:rPr>
        <w:t>响响应文件编制的，将在提交首次响应文件截止之日</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1"/>
          <w:sz w:val="21"/>
          <w:szCs w:val="21"/>
          <w:highlight w:val="none"/>
        </w:rPr>
        <w:t>3 个工作日前，以书面形式通知所有</w:t>
      </w:r>
      <w:r>
        <w:rPr>
          <w:rFonts w:hint="eastAsia" w:ascii="宋体" w:hAnsi="宋体" w:eastAsia="宋体" w:cs="宋体"/>
          <w:color w:val="auto"/>
          <w:spacing w:val="2"/>
          <w:sz w:val="21"/>
          <w:szCs w:val="21"/>
          <w:highlight w:val="none"/>
        </w:rPr>
        <w:t>获取磋商文件的供应商；不足上述时间的，将顺延提交首次响</w:t>
      </w:r>
      <w:r>
        <w:rPr>
          <w:rFonts w:hint="eastAsia" w:ascii="宋体" w:hAnsi="宋体" w:eastAsia="宋体" w:cs="宋体"/>
          <w:color w:val="auto"/>
          <w:spacing w:val="1"/>
          <w:sz w:val="21"/>
          <w:szCs w:val="21"/>
          <w:highlight w:val="none"/>
        </w:rPr>
        <w:t>应文件截止时</w:t>
      </w:r>
      <w:r>
        <w:rPr>
          <w:rFonts w:ascii="宋体" w:hAnsi="宋体" w:eastAsia="宋体" w:cs="宋体"/>
          <w:color w:val="auto"/>
          <w:spacing w:val="-12"/>
          <w:sz w:val="24"/>
          <w:szCs w:val="24"/>
          <w:highlight w:val="none"/>
        </w:rPr>
        <w:t>间。</w:t>
      </w:r>
    </w:p>
    <w:p w14:paraId="7A105712">
      <w:pPr>
        <w:pStyle w:val="6"/>
        <w:spacing w:line="285" w:lineRule="auto"/>
        <w:rPr>
          <w:color w:val="auto"/>
          <w:highlight w:val="none"/>
        </w:rPr>
      </w:pPr>
    </w:p>
    <w:p w14:paraId="3EA3A72D">
      <w:pPr>
        <w:pStyle w:val="6"/>
        <w:spacing w:line="286" w:lineRule="auto"/>
        <w:rPr>
          <w:color w:val="auto"/>
          <w:highlight w:val="none"/>
        </w:rPr>
      </w:pPr>
    </w:p>
    <w:p w14:paraId="692815C2">
      <w:pPr>
        <w:spacing w:before="92" w:line="220" w:lineRule="auto"/>
        <w:ind w:left="3241"/>
        <w:outlineLvl w:val="1"/>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三</w:t>
      </w:r>
      <w:r>
        <w:rPr>
          <w:rFonts w:ascii="宋体" w:hAnsi="宋体" w:eastAsia="宋体" w:cs="宋体"/>
          <w:color w:val="auto"/>
          <w:spacing w:val="9"/>
          <w:sz w:val="28"/>
          <w:szCs w:val="28"/>
          <w:highlight w:val="none"/>
        </w:rPr>
        <w:t xml:space="preserve">   </w:t>
      </w:r>
      <w:r>
        <w:rPr>
          <w:rFonts w:ascii="宋体" w:hAnsi="宋体" w:eastAsia="宋体" w:cs="宋体"/>
          <w:b/>
          <w:bCs/>
          <w:color w:val="auto"/>
          <w:spacing w:val="-7"/>
          <w:sz w:val="28"/>
          <w:szCs w:val="28"/>
          <w:highlight w:val="none"/>
        </w:rPr>
        <w:t>响应文件的编制</w:t>
      </w:r>
    </w:p>
    <w:p w14:paraId="5829F480">
      <w:pPr>
        <w:spacing w:before="204" w:line="360" w:lineRule="auto"/>
        <w:ind w:left="43"/>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    响应范围、竞争性磋商文件中计量单位的使用及磋商语言</w:t>
      </w:r>
    </w:p>
    <w:p w14:paraId="2A5CFA88">
      <w:pPr>
        <w:spacing w:before="182" w:line="360" w:lineRule="auto"/>
        <w:ind w:left="1115" w:right="186" w:hanging="7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8.1    本项目如划分采购包，供应商可以对本项目的其中一个采购包进行响应，也</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2"/>
          <w:sz w:val="21"/>
          <w:szCs w:val="21"/>
          <w:highlight w:val="none"/>
        </w:rPr>
        <w:t>可同时对多个采购包进行响应。供应商应当对所参与采购包对应第四</w:t>
      </w:r>
      <w:r>
        <w:rPr>
          <w:rFonts w:hint="eastAsia" w:ascii="宋体" w:hAnsi="宋体" w:eastAsia="宋体" w:cs="宋体"/>
          <w:color w:val="auto"/>
          <w:spacing w:val="1"/>
          <w:sz w:val="21"/>
          <w:szCs w:val="21"/>
          <w:highlight w:val="none"/>
        </w:rPr>
        <w:t>章《采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购需求》所列的全部内容进行响应，不得将一个采购包中的内</w:t>
      </w:r>
      <w:r>
        <w:rPr>
          <w:rFonts w:hint="eastAsia" w:ascii="宋体" w:hAnsi="宋体" w:eastAsia="宋体" w:cs="宋体"/>
          <w:color w:val="auto"/>
          <w:spacing w:val="1"/>
          <w:sz w:val="21"/>
          <w:szCs w:val="21"/>
          <w:highlight w:val="none"/>
        </w:rPr>
        <w:t>容拆分响应，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否则其对该采购包的响应将被认定为</w:t>
      </w:r>
      <w:r>
        <w:rPr>
          <w:rFonts w:hint="eastAsia" w:ascii="宋体" w:hAnsi="宋体" w:eastAsia="宋体" w:cs="宋体"/>
          <w:b/>
          <w:bCs/>
          <w:color w:val="auto"/>
          <w:spacing w:val="-1"/>
          <w:sz w:val="21"/>
          <w:szCs w:val="21"/>
          <w:highlight w:val="none"/>
        </w:rPr>
        <w:t>无效响应</w:t>
      </w:r>
      <w:r>
        <w:rPr>
          <w:rFonts w:hint="eastAsia" w:ascii="宋体" w:hAnsi="宋体" w:eastAsia="宋体" w:cs="宋体"/>
          <w:color w:val="auto"/>
          <w:spacing w:val="-1"/>
          <w:sz w:val="21"/>
          <w:szCs w:val="21"/>
          <w:highlight w:val="none"/>
        </w:rPr>
        <w:t>。</w:t>
      </w:r>
    </w:p>
    <w:p w14:paraId="2E8B7AA3">
      <w:pPr>
        <w:spacing w:before="182" w:line="360" w:lineRule="auto"/>
        <w:ind w:left="1037" w:leftChars="191" w:hanging="636" w:hangingChars="3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8.2    除竞争性磋商文件有特殊要求外，本项目磋商所使用的计量单位，应采用中</w:t>
      </w:r>
      <w:r>
        <w:rPr>
          <w:rFonts w:hint="eastAsia" w:ascii="宋体" w:hAnsi="宋体" w:eastAsia="宋体" w:cs="宋体"/>
          <w:color w:val="auto"/>
          <w:spacing w:val="-4"/>
          <w:sz w:val="21"/>
          <w:szCs w:val="21"/>
          <w:highlight w:val="none"/>
        </w:rPr>
        <w:t>华人民共和国法定计量单位。</w:t>
      </w:r>
    </w:p>
    <w:p w14:paraId="50F5A377">
      <w:pPr>
        <w:spacing w:before="182" w:line="360" w:lineRule="auto"/>
        <w:ind w:left="1117" w:right="224" w:hanging="7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8.3    除专用术语外，响应文件及来往函电均应使用中文书写。必要时专用术语应</w:t>
      </w:r>
      <w:r>
        <w:rPr>
          <w:rFonts w:hint="eastAsia" w:ascii="宋体" w:hAnsi="宋体" w:eastAsia="宋体" w:cs="宋体"/>
          <w:color w:val="auto"/>
          <w:spacing w:val="2"/>
          <w:sz w:val="21"/>
          <w:szCs w:val="21"/>
          <w:highlight w:val="none"/>
        </w:rPr>
        <w:t>附有中文解释。供应商提交的支持资料和已印制的文献可以用外</w:t>
      </w:r>
      <w:r>
        <w:rPr>
          <w:rFonts w:hint="eastAsia" w:ascii="宋体" w:hAnsi="宋体" w:eastAsia="宋体" w:cs="宋体"/>
          <w:color w:val="auto"/>
          <w:spacing w:val="1"/>
          <w:sz w:val="21"/>
          <w:szCs w:val="21"/>
          <w:highlight w:val="none"/>
        </w:rPr>
        <w:t>文，但相应</w:t>
      </w:r>
      <w:r>
        <w:rPr>
          <w:rFonts w:hint="eastAsia" w:ascii="宋体" w:hAnsi="宋体" w:eastAsia="宋体" w:cs="宋体"/>
          <w:color w:val="auto"/>
          <w:spacing w:val="2"/>
          <w:sz w:val="21"/>
          <w:szCs w:val="21"/>
          <w:highlight w:val="none"/>
        </w:rPr>
        <w:t>内容应附有中文翻译本，在解释响应文件时以中文翻译本为准。</w:t>
      </w:r>
      <w:r>
        <w:rPr>
          <w:rFonts w:hint="eastAsia" w:ascii="宋体" w:hAnsi="宋体" w:eastAsia="宋体" w:cs="宋体"/>
          <w:color w:val="auto"/>
          <w:spacing w:val="1"/>
          <w:sz w:val="21"/>
          <w:szCs w:val="21"/>
          <w:highlight w:val="none"/>
        </w:rPr>
        <w:t>未附中文翻</w:t>
      </w:r>
      <w:r>
        <w:rPr>
          <w:rFonts w:hint="eastAsia" w:ascii="宋体" w:hAnsi="宋体" w:eastAsia="宋体" w:cs="宋体"/>
          <w:color w:val="auto"/>
          <w:spacing w:val="2"/>
          <w:sz w:val="21"/>
          <w:szCs w:val="21"/>
          <w:highlight w:val="none"/>
        </w:rPr>
        <w:t>译本或翻译本中文内容明显与外文内容不一致的，其不利后果由</w:t>
      </w:r>
      <w:r>
        <w:rPr>
          <w:rFonts w:hint="eastAsia" w:ascii="宋体" w:hAnsi="宋体" w:eastAsia="宋体" w:cs="宋体"/>
          <w:color w:val="auto"/>
          <w:spacing w:val="1"/>
          <w:sz w:val="21"/>
          <w:szCs w:val="21"/>
          <w:highlight w:val="none"/>
        </w:rPr>
        <w:t>供应商自行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承担。</w:t>
      </w:r>
    </w:p>
    <w:p w14:paraId="6B1EECFD">
      <w:pPr>
        <w:spacing w:line="360" w:lineRule="auto"/>
        <w:ind w:left="38"/>
        <w:outlineLvl w:val="1"/>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9</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5"/>
          <w:sz w:val="21"/>
          <w:szCs w:val="21"/>
          <w:highlight w:val="none"/>
        </w:rPr>
        <w:t>响应文件构成</w:t>
      </w:r>
    </w:p>
    <w:p w14:paraId="64DB7D2B">
      <w:pPr>
        <w:spacing w:before="179" w:line="360" w:lineRule="auto"/>
        <w:ind w:left="1113" w:right="224" w:hanging="7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9.1   供应商应当按照竞争性磋</w:t>
      </w:r>
      <w:r>
        <w:rPr>
          <w:rFonts w:hint="eastAsia" w:ascii="宋体" w:hAnsi="宋体" w:eastAsia="宋体" w:cs="宋体"/>
          <w:color w:val="auto"/>
          <w:spacing w:val="1"/>
          <w:sz w:val="21"/>
          <w:szCs w:val="21"/>
          <w:highlight w:val="none"/>
        </w:rPr>
        <w:t>商文件的要求编制响应文件，并对其提交的响应文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件的真实性、合法性承担法律责任。响应文件的部分格式要</w:t>
      </w:r>
      <w:r>
        <w:rPr>
          <w:rFonts w:hint="eastAsia" w:ascii="宋体" w:hAnsi="宋体" w:eastAsia="宋体" w:cs="宋体"/>
          <w:color w:val="auto"/>
          <w:spacing w:val="-9"/>
          <w:sz w:val="21"/>
          <w:szCs w:val="21"/>
          <w:highlight w:val="none"/>
        </w:rPr>
        <w:t>求，</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9"/>
          <w:sz w:val="21"/>
          <w:szCs w:val="21"/>
          <w:highlight w:val="none"/>
        </w:rPr>
        <w:t>见第六章《响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0"/>
          <w:sz w:val="21"/>
          <w:szCs w:val="21"/>
          <w:highlight w:val="none"/>
        </w:rPr>
        <w:t>应文件格式》。</w:t>
      </w:r>
    </w:p>
    <w:p w14:paraId="5CC6F930">
      <w:pPr>
        <w:spacing w:before="181" w:line="360" w:lineRule="auto"/>
        <w:ind w:left="1114" w:right="224" w:hanging="71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9.2   对于竞争性磋商文件中标记了“实质性格式”文件的，供应商不得改变格式中给定的文字所表达的含义，不得删减格式中的实质性内容，不得自行添</w:t>
      </w:r>
      <w:r>
        <w:rPr>
          <w:rFonts w:hint="eastAsia" w:ascii="宋体" w:hAnsi="宋体" w:eastAsia="宋体" w:cs="宋体"/>
          <w:color w:val="auto"/>
          <w:spacing w:val="1"/>
          <w:sz w:val="21"/>
          <w:szCs w:val="21"/>
          <w:highlight w:val="none"/>
        </w:rPr>
        <w:t>加与</w:t>
      </w:r>
      <w:r>
        <w:rPr>
          <w:rFonts w:hint="eastAsia" w:ascii="宋体" w:hAnsi="宋体" w:eastAsia="宋体" w:cs="宋体"/>
          <w:color w:val="auto"/>
          <w:spacing w:val="2"/>
          <w:sz w:val="21"/>
          <w:szCs w:val="21"/>
          <w:highlight w:val="none"/>
        </w:rPr>
        <w:t>格式中给定的文字内容相矛盾的内容，不得对应当填写的空格不填写或</w:t>
      </w:r>
      <w:r>
        <w:rPr>
          <w:rFonts w:hint="eastAsia" w:ascii="宋体" w:hAnsi="宋体" w:eastAsia="宋体" w:cs="宋体"/>
          <w:color w:val="auto"/>
          <w:spacing w:val="1"/>
          <w:sz w:val="21"/>
          <w:szCs w:val="21"/>
          <w:highlight w:val="none"/>
        </w:rPr>
        <w:t>不实</w:t>
      </w:r>
      <w:r>
        <w:rPr>
          <w:rFonts w:hint="eastAsia" w:ascii="宋体" w:hAnsi="宋体" w:eastAsia="宋体" w:cs="宋体"/>
          <w:color w:val="auto"/>
          <w:spacing w:val="2"/>
          <w:sz w:val="21"/>
          <w:szCs w:val="21"/>
          <w:highlight w:val="none"/>
        </w:rPr>
        <w:t>质性响应，</w:t>
      </w:r>
      <w:r>
        <w:rPr>
          <w:rFonts w:hint="eastAsia" w:ascii="宋体" w:hAnsi="宋体" w:eastAsia="宋体" w:cs="宋体"/>
          <w:b/>
          <w:bCs/>
          <w:color w:val="auto"/>
          <w:spacing w:val="2"/>
          <w:sz w:val="21"/>
          <w:szCs w:val="21"/>
          <w:highlight w:val="none"/>
        </w:rPr>
        <w:t>否则响应无效</w:t>
      </w:r>
      <w:r>
        <w:rPr>
          <w:rFonts w:hint="eastAsia" w:ascii="宋体" w:hAnsi="宋体" w:eastAsia="宋体" w:cs="宋体"/>
          <w:color w:val="auto"/>
          <w:spacing w:val="2"/>
          <w:sz w:val="21"/>
          <w:szCs w:val="21"/>
          <w:highlight w:val="none"/>
        </w:rPr>
        <w:t>。未标记“实质性格式”的文件和竞争性磋商文件未</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3"/>
          <w:sz w:val="21"/>
          <w:szCs w:val="21"/>
          <w:highlight w:val="none"/>
        </w:rPr>
        <w:t>提供格式的内容，可由供应商自行编写。</w:t>
      </w:r>
    </w:p>
    <w:p w14:paraId="12D6B214">
      <w:pPr>
        <w:spacing w:before="182" w:line="360" w:lineRule="auto"/>
        <w:ind w:left="39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9.3    第三章《评审方法和评审标</w:t>
      </w:r>
      <w:r>
        <w:rPr>
          <w:rFonts w:hint="eastAsia" w:ascii="宋体" w:hAnsi="宋体" w:eastAsia="宋体" w:cs="宋体"/>
          <w:color w:val="auto"/>
          <w:spacing w:val="-2"/>
          <w:sz w:val="21"/>
          <w:szCs w:val="21"/>
          <w:highlight w:val="none"/>
        </w:rPr>
        <w:t>准》中涉及的证明文件。</w:t>
      </w:r>
    </w:p>
    <w:p w14:paraId="76DB33BF">
      <w:pPr>
        <w:spacing w:before="184" w:line="360" w:lineRule="auto"/>
        <w:ind w:left="1116" w:right="223" w:hanging="72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9.4    对照第四章《采购需求》，说明所提供货物和服务已对第四章《采购需求》做</w:t>
      </w:r>
      <w:r>
        <w:rPr>
          <w:rFonts w:hint="eastAsia" w:ascii="宋体" w:hAnsi="宋体" w:eastAsia="宋体" w:cs="宋体"/>
          <w:color w:val="auto"/>
          <w:spacing w:val="2"/>
          <w:sz w:val="21"/>
          <w:szCs w:val="21"/>
          <w:highlight w:val="none"/>
        </w:rPr>
        <w:t>出了响应，或申明与第四章《采购需求》的偏差和例外。如第四章</w:t>
      </w:r>
      <w:r>
        <w:rPr>
          <w:rFonts w:hint="eastAsia" w:ascii="宋体" w:hAnsi="宋体" w:eastAsia="宋体" w:cs="宋体"/>
          <w:color w:val="auto"/>
          <w:spacing w:val="1"/>
          <w:sz w:val="21"/>
          <w:szCs w:val="21"/>
          <w:highlight w:val="none"/>
        </w:rPr>
        <w:t>《采购需</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求》中要求提供证明文件的，供应商应当按具体要求提供证明文件。</w:t>
      </w:r>
    </w:p>
    <w:p w14:paraId="0E5BEC2D">
      <w:pPr>
        <w:spacing w:before="182" w:line="360" w:lineRule="auto"/>
        <w:ind w:left="39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9.5    供应商认为应附的其他材料。</w:t>
      </w:r>
    </w:p>
    <w:p w14:paraId="750A0D71">
      <w:pPr>
        <w:spacing w:before="183"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10</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8"/>
          <w:sz w:val="21"/>
          <w:szCs w:val="21"/>
          <w:highlight w:val="none"/>
        </w:rPr>
        <w:t>报价</w:t>
      </w:r>
    </w:p>
    <w:p w14:paraId="18A0E470">
      <w:pPr>
        <w:spacing w:before="183"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10.1    所有响应均以人民币为计价货币。</w:t>
      </w:r>
    </w:p>
    <w:p w14:paraId="4DB00B06">
      <w:pPr>
        <w:spacing w:before="182" w:line="360" w:lineRule="auto"/>
        <w:ind w:left="1268" w:leftChars="200" w:right="224" w:hanging="848" w:hangingChars="4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10.2</w:t>
      </w:r>
      <w:r>
        <w:rPr>
          <w:rFonts w:hint="eastAsia" w:ascii="宋体" w:hAnsi="宋体" w:eastAsia="宋体" w:cs="宋体"/>
          <w:color w:val="auto"/>
          <w:spacing w:val="41"/>
          <w:w w:val="101"/>
          <w:sz w:val="21"/>
          <w:szCs w:val="21"/>
          <w:highlight w:val="none"/>
        </w:rPr>
        <w:t xml:space="preserve"> </w:t>
      </w:r>
      <w:r>
        <w:rPr>
          <w:rFonts w:hint="eastAsia" w:ascii="宋体" w:hAnsi="宋体" w:eastAsia="宋体" w:cs="宋体"/>
          <w:color w:val="auto"/>
          <w:spacing w:val="41"/>
          <w:w w:val="101"/>
          <w:sz w:val="21"/>
          <w:szCs w:val="21"/>
          <w:highlight w:val="none"/>
          <w:lang w:val="en-US" w:eastAsia="zh-CN"/>
        </w:rPr>
        <w:t xml:space="preserve">  </w:t>
      </w:r>
      <w:r>
        <w:rPr>
          <w:rFonts w:hint="eastAsia" w:ascii="宋体" w:hAnsi="宋体" w:eastAsia="宋体" w:cs="宋体"/>
          <w:color w:val="auto"/>
          <w:spacing w:val="1"/>
          <w:sz w:val="21"/>
          <w:szCs w:val="21"/>
          <w:highlight w:val="none"/>
        </w:rPr>
        <w:t>供应商的报价应包括为完成本项目所发生的一切费用和税费，采购</w:t>
      </w:r>
      <w:r>
        <w:rPr>
          <w:rFonts w:hint="eastAsia" w:ascii="宋体" w:hAnsi="宋体" w:eastAsia="宋体" w:cs="宋体"/>
          <w:color w:val="auto"/>
          <w:sz w:val="21"/>
          <w:szCs w:val="21"/>
          <w:highlight w:val="none"/>
        </w:rPr>
        <w:t>人将不再</w:t>
      </w:r>
      <w:r>
        <w:rPr>
          <w:rFonts w:hint="eastAsia" w:ascii="宋体" w:hAnsi="宋体" w:eastAsia="宋体" w:cs="宋体"/>
          <w:color w:val="auto"/>
          <w:spacing w:val="-3"/>
          <w:sz w:val="21"/>
          <w:szCs w:val="21"/>
          <w:highlight w:val="none"/>
        </w:rPr>
        <w:t>支付报价以外的任何费用。供应商的报价应包括但不限于下列内容，《供</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2"/>
          <w:sz w:val="21"/>
          <w:szCs w:val="21"/>
          <w:highlight w:val="none"/>
        </w:rPr>
        <w:t>应商须知资料表》中有特殊规定的，从其规</w:t>
      </w:r>
      <w:r>
        <w:rPr>
          <w:rFonts w:hint="eastAsia" w:ascii="宋体" w:hAnsi="宋体" w:eastAsia="宋体" w:cs="宋体"/>
          <w:color w:val="auto"/>
          <w:spacing w:val="-3"/>
          <w:sz w:val="21"/>
          <w:szCs w:val="21"/>
          <w:highlight w:val="none"/>
        </w:rPr>
        <w:t>定。</w:t>
      </w:r>
    </w:p>
    <w:p w14:paraId="6A60174F">
      <w:pPr>
        <w:spacing w:before="183" w:line="360" w:lineRule="auto"/>
        <w:ind w:left="2019" w:hanging="882"/>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10.2.1   响应货物及标准附件、备品备件、专用工具等的出厂价（包括已在中</w:t>
      </w:r>
      <w:r>
        <w:rPr>
          <w:rFonts w:hint="eastAsia" w:ascii="宋体" w:hAnsi="宋体" w:eastAsia="宋体" w:cs="宋体"/>
          <w:color w:val="auto"/>
          <w:spacing w:val="3"/>
          <w:sz w:val="21"/>
          <w:szCs w:val="21"/>
          <w:highlight w:val="none"/>
        </w:rPr>
        <w:t>国国内的进口货物完税后的仓库交货价、展室交货价或货架交货价）</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3"/>
          <w:sz w:val="21"/>
          <w:szCs w:val="21"/>
          <w:highlight w:val="none"/>
        </w:rPr>
        <w:t>和运至最终目的地的运输费和保险费，安装调试、检验、</w:t>
      </w:r>
      <w:r>
        <w:rPr>
          <w:rFonts w:hint="eastAsia" w:ascii="宋体" w:hAnsi="宋体" w:eastAsia="宋体" w:cs="宋体"/>
          <w:color w:val="auto"/>
          <w:spacing w:val="2"/>
          <w:sz w:val="21"/>
          <w:szCs w:val="21"/>
          <w:highlight w:val="none"/>
        </w:rPr>
        <w:t>技术服务、</w:t>
      </w:r>
      <w:r>
        <w:rPr>
          <w:rFonts w:hint="eastAsia" w:ascii="宋体" w:hAnsi="宋体" w:eastAsia="宋体" w:cs="宋体"/>
          <w:color w:val="auto"/>
          <w:spacing w:val="-4"/>
          <w:sz w:val="21"/>
          <w:szCs w:val="21"/>
          <w:highlight w:val="none"/>
        </w:rPr>
        <w:t>培训、质量保证、售后服务、税费等；</w:t>
      </w:r>
    </w:p>
    <w:p w14:paraId="725B5CCD">
      <w:pPr>
        <w:spacing w:before="181" w:line="360" w:lineRule="auto"/>
        <w:ind w:left="1137"/>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10.2.2   按照竞争性磋商文件要求完成本项目的全部相关费用。</w:t>
      </w:r>
    </w:p>
    <w:p w14:paraId="3AC664DD">
      <w:pPr>
        <w:spacing w:before="181" w:line="360" w:lineRule="auto"/>
        <w:ind w:firstLine="424"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10.3   采购人不得向供应商索要或者接受其给予的赠品、回扣或者与采购无关的其</w:t>
      </w:r>
      <w:r>
        <w:rPr>
          <w:rFonts w:hint="eastAsia" w:ascii="宋体" w:hAnsi="宋体" w:eastAsia="宋体" w:cs="宋体"/>
          <w:color w:val="auto"/>
          <w:spacing w:val="-6"/>
          <w:sz w:val="21"/>
          <w:szCs w:val="21"/>
          <w:highlight w:val="none"/>
        </w:rPr>
        <w:t>他商品、服务。</w:t>
      </w:r>
    </w:p>
    <w:p w14:paraId="3F53CBB9">
      <w:pPr>
        <w:spacing w:before="182" w:line="360" w:lineRule="auto"/>
        <w:ind w:left="1124" w:right="205" w:hanging="70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10.4   供应商不能提供任何有选择性或可调整的最后报价（竞争性磋商文件另有规</w:t>
      </w:r>
      <w:r>
        <w:rPr>
          <w:rFonts w:hint="eastAsia" w:ascii="宋体" w:hAnsi="宋体" w:eastAsia="宋体" w:cs="宋体"/>
          <w:color w:val="auto"/>
          <w:spacing w:val="-10"/>
          <w:sz w:val="21"/>
          <w:szCs w:val="21"/>
          <w:highlight w:val="none"/>
        </w:rPr>
        <w:t>定的除外</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10"/>
          <w:sz w:val="21"/>
          <w:szCs w:val="21"/>
          <w:highlight w:val="none"/>
        </w:rPr>
        <w:t>否则其</w:t>
      </w:r>
      <w:r>
        <w:rPr>
          <w:rFonts w:hint="eastAsia" w:ascii="宋体" w:hAnsi="宋体" w:eastAsia="宋体" w:cs="宋体"/>
          <w:b/>
          <w:bCs/>
          <w:color w:val="auto"/>
          <w:spacing w:val="-10"/>
          <w:sz w:val="21"/>
          <w:szCs w:val="21"/>
          <w:highlight w:val="none"/>
        </w:rPr>
        <w:t>响应无效</w:t>
      </w:r>
      <w:r>
        <w:rPr>
          <w:rFonts w:hint="eastAsia" w:ascii="宋体" w:hAnsi="宋体" w:eastAsia="宋体" w:cs="宋体"/>
          <w:color w:val="auto"/>
          <w:spacing w:val="-10"/>
          <w:sz w:val="21"/>
          <w:szCs w:val="21"/>
          <w:highlight w:val="none"/>
        </w:rPr>
        <w:t>。</w:t>
      </w:r>
    </w:p>
    <w:p w14:paraId="0F691B83">
      <w:pPr>
        <w:spacing w:before="181"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11  磋商保证金</w:t>
      </w:r>
    </w:p>
    <w:p w14:paraId="74D89FC7">
      <w:pPr>
        <w:spacing w:before="181" w:line="360" w:lineRule="auto"/>
        <w:ind w:left="1115" w:right="204"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11.1   供应商应按《供应商须知资料表》中规定的金额及要求交纳磋商保证金。供</w:t>
      </w:r>
      <w:r>
        <w:rPr>
          <w:rFonts w:hint="eastAsia" w:ascii="宋体" w:hAnsi="宋体" w:eastAsia="宋体" w:cs="宋体"/>
          <w:color w:val="auto"/>
          <w:spacing w:val="-2"/>
          <w:sz w:val="21"/>
          <w:szCs w:val="21"/>
          <w:highlight w:val="none"/>
        </w:rPr>
        <w:t>应商自愿超额缴纳磋商保证金的，响应文件不做无效处理。</w:t>
      </w:r>
    </w:p>
    <w:p w14:paraId="08D353BA">
      <w:pPr>
        <w:spacing w:before="181" w:line="360" w:lineRule="auto"/>
        <w:ind w:left="1134" w:hanging="7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交纳磋商保证金可采用的形式：政府采购法律法规接受的支票、汇票、本票、</w:t>
      </w:r>
      <w:r>
        <w:rPr>
          <w:rFonts w:hint="eastAsia" w:ascii="宋体" w:hAnsi="宋体" w:eastAsia="宋体" w:cs="宋体"/>
          <w:color w:val="auto"/>
          <w:spacing w:val="-2"/>
          <w:sz w:val="21"/>
          <w:szCs w:val="21"/>
          <w:highlight w:val="none"/>
        </w:rPr>
        <w:t>网上银行支付或者金融机构、担保机构出具的保函等非现</w:t>
      </w:r>
      <w:r>
        <w:rPr>
          <w:rFonts w:hint="eastAsia" w:ascii="宋体" w:hAnsi="宋体" w:eastAsia="宋体" w:cs="宋体"/>
          <w:color w:val="auto"/>
          <w:spacing w:val="-3"/>
          <w:sz w:val="21"/>
          <w:szCs w:val="21"/>
          <w:highlight w:val="none"/>
        </w:rPr>
        <w:t>金形式。</w:t>
      </w:r>
    </w:p>
    <w:p w14:paraId="26A1C67C">
      <w:pPr>
        <w:spacing w:before="185" w:line="360" w:lineRule="auto"/>
        <w:ind w:left="1114" w:right="204"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11.3   磋商保证金到账（保函提交）截止时间同首次响应文件提交截止时间。以支</w:t>
      </w:r>
      <w:r>
        <w:rPr>
          <w:rFonts w:hint="eastAsia" w:ascii="宋体" w:hAnsi="宋体" w:eastAsia="宋体" w:cs="宋体"/>
          <w:color w:val="auto"/>
          <w:spacing w:val="2"/>
          <w:sz w:val="21"/>
          <w:szCs w:val="21"/>
          <w:highlight w:val="none"/>
        </w:rPr>
        <w:t>票、汇票、本票、网上银行支付等形式提交磋商保证金的，应在首次响应文件提交截止时间前到账；以金融机构、担保机构出具的纸质保函等形式提交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磋商保证金的，应在首次响应文件提交截止时间前将原件提交至采购代理机构；以电子保函形式提交磋商保证金的，应在首次响应文件提交截止时间前通过北京市政府采购电子交易平台完成电子保函在线办理。未按上述要求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纳保证金的，其</w:t>
      </w:r>
      <w:r>
        <w:rPr>
          <w:rFonts w:hint="eastAsia" w:ascii="宋体" w:hAnsi="宋体" w:eastAsia="宋体" w:cs="宋体"/>
          <w:b/>
          <w:bCs/>
          <w:color w:val="auto"/>
          <w:spacing w:val="-2"/>
          <w:sz w:val="21"/>
          <w:szCs w:val="21"/>
          <w:highlight w:val="none"/>
        </w:rPr>
        <w:t>响应无效</w:t>
      </w:r>
      <w:r>
        <w:rPr>
          <w:rFonts w:hint="eastAsia" w:ascii="宋体" w:hAnsi="宋体" w:eastAsia="宋体" w:cs="宋体"/>
          <w:color w:val="auto"/>
          <w:spacing w:val="-2"/>
          <w:sz w:val="21"/>
          <w:szCs w:val="21"/>
          <w:highlight w:val="none"/>
        </w:rPr>
        <w:t>。</w:t>
      </w:r>
    </w:p>
    <w:p w14:paraId="7ED290D1">
      <w:pPr>
        <w:spacing w:before="179" w:line="360" w:lineRule="auto"/>
        <w:ind w:left="1117" w:right="205" w:hanging="703"/>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11.4   供应商除需在响应文件中提供“磋商保证金凭证/交款单据电子件</w:t>
      </w:r>
      <w:r>
        <w:rPr>
          <w:rFonts w:hint="eastAsia" w:ascii="宋体" w:hAnsi="宋体" w:eastAsia="宋体" w:cs="宋体"/>
          <w:color w:val="auto"/>
          <w:spacing w:val="-74"/>
          <w:sz w:val="21"/>
          <w:szCs w:val="21"/>
          <w:highlight w:val="none"/>
        </w:rPr>
        <w:t xml:space="preserve"> </w:t>
      </w:r>
      <w:r>
        <w:rPr>
          <w:rFonts w:hint="eastAsia" w:ascii="宋体" w:hAnsi="宋体" w:eastAsia="宋体" w:cs="宋体"/>
          <w:color w:val="auto"/>
          <w:spacing w:val="-7"/>
          <w:sz w:val="21"/>
          <w:szCs w:val="21"/>
          <w:highlight w:val="none"/>
        </w:rPr>
        <w:t>”，还需在首</w:t>
      </w:r>
      <w:r>
        <w:rPr>
          <w:rFonts w:hint="eastAsia" w:ascii="宋体" w:hAnsi="宋体" w:eastAsia="宋体" w:cs="宋体"/>
          <w:color w:val="auto"/>
          <w:sz w:val="21"/>
          <w:szCs w:val="21"/>
          <w:highlight w:val="none"/>
        </w:rPr>
        <w:t>次响应文件提交截止时间前，通过电子交易平台上传“磋商保证金</w:t>
      </w:r>
      <w:r>
        <w:rPr>
          <w:rFonts w:hint="eastAsia" w:ascii="宋体" w:hAnsi="宋体" w:eastAsia="宋体" w:cs="宋体"/>
          <w:color w:val="auto"/>
          <w:spacing w:val="-1"/>
          <w:sz w:val="21"/>
          <w:szCs w:val="21"/>
          <w:highlight w:val="none"/>
        </w:rPr>
        <w:t>凭证/交款</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单据电子件</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7"/>
          <w:sz w:val="21"/>
          <w:szCs w:val="21"/>
          <w:highlight w:val="none"/>
        </w:rPr>
        <w:t>”。</w:t>
      </w:r>
    </w:p>
    <w:p w14:paraId="30C63CAA">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11.5   磋商保证金有效期同响应有效期。</w:t>
      </w:r>
    </w:p>
    <w:p w14:paraId="713E17A0">
      <w:pPr>
        <w:spacing w:before="181" w:line="360" w:lineRule="auto"/>
        <w:ind w:left="1116" w:right="258" w:hanging="7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   供应商为联合体的，可以由联合体中的一方或者多方共同</w:t>
      </w:r>
      <w:r>
        <w:rPr>
          <w:rFonts w:hint="eastAsia" w:ascii="宋体" w:hAnsi="宋体" w:eastAsia="宋体" w:cs="宋体"/>
          <w:color w:val="auto"/>
          <w:spacing w:val="-1"/>
          <w:sz w:val="21"/>
          <w:szCs w:val="21"/>
          <w:highlight w:val="none"/>
        </w:rPr>
        <w:t>交纳磋商保证金，</w:t>
      </w:r>
      <w:r>
        <w:rPr>
          <w:rFonts w:hint="eastAsia" w:ascii="宋体" w:hAnsi="宋体" w:eastAsia="宋体" w:cs="宋体"/>
          <w:color w:val="auto"/>
          <w:spacing w:val="-3"/>
          <w:sz w:val="21"/>
          <w:szCs w:val="21"/>
          <w:highlight w:val="none"/>
        </w:rPr>
        <w:t>其交纳的保证金对联合体各方均具有约束力。</w:t>
      </w:r>
    </w:p>
    <w:p w14:paraId="10B2E50A">
      <w:pPr>
        <w:spacing w:before="183" w:line="360" w:lineRule="auto"/>
        <w:ind w:left="1118" w:right="204" w:hanging="70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11.7   采购人、采购代理机构将及时退还供应商的保证金，采用银行保函、担保机</w:t>
      </w:r>
      <w:r>
        <w:rPr>
          <w:rFonts w:hint="eastAsia" w:ascii="宋体" w:hAnsi="宋体" w:eastAsia="宋体" w:cs="宋体"/>
          <w:color w:val="auto"/>
          <w:spacing w:val="2"/>
          <w:sz w:val="21"/>
          <w:szCs w:val="21"/>
          <w:highlight w:val="none"/>
        </w:rPr>
        <w:t>构担保函等形式递交的保证金，经供应商同意后采购人、采购代</w:t>
      </w:r>
      <w:r>
        <w:rPr>
          <w:rFonts w:hint="eastAsia" w:ascii="宋体" w:hAnsi="宋体" w:eastAsia="宋体" w:cs="宋体"/>
          <w:color w:val="auto"/>
          <w:spacing w:val="1"/>
          <w:sz w:val="21"/>
          <w:szCs w:val="21"/>
          <w:highlight w:val="none"/>
        </w:rPr>
        <w:t>理机构可以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不再退还，但因供应商自身原因导致无法及时退还的除外：</w:t>
      </w:r>
    </w:p>
    <w:p w14:paraId="6012C1BE">
      <w:pPr>
        <w:spacing w:before="183" w:line="360" w:lineRule="auto"/>
        <w:ind w:left="2018" w:right="204" w:hanging="88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11.7.1   已提交响应文件的供应商，在提交</w:t>
      </w:r>
      <w:r>
        <w:rPr>
          <w:rFonts w:hint="eastAsia" w:ascii="宋体" w:hAnsi="宋体" w:eastAsia="宋体" w:cs="宋体"/>
          <w:color w:val="auto"/>
          <w:spacing w:val="-4"/>
          <w:sz w:val="21"/>
          <w:szCs w:val="21"/>
          <w:highlight w:val="none"/>
        </w:rPr>
        <w:t>最后报价之前，可以根据磋商情况</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退出磋商。采购人、采购代理机构将退还退出磋商的供应商的磋商保</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5"/>
          <w:sz w:val="21"/>
          <w:szCs w:val="21"/>
          <w:highlight w:val="none"/>
        </w:rPr>
        <w:t>证金；</w:t>
      </w:r>
    </w:p>
    <w:p w14:paraId="16AE33F1">
      <w:pPr>
        <w:spacing w:before="179" w:line="360" w:lineRule="auto"/>
        <w:ind w:left="2018" w:right="204" w:hanging="88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11.7.2   成交供应商的磋商</w:t>
      </w:r>
      <w:r>
        <w:rPr>
          <w:rFonts w:hint="eastAsia" w:ascii="宋体" w:hAnsi="宋体" w:eastAsia="宋体" w:cs="宋体"/>
          <w:color w:val="auto"/>
          <w:spacing w:val="-4"/>
          <w:sz w:val="21"/>
          <w:szCs w:val="21"/>
          <w:highlight w:val="none"/>
        </w:rPr>
        <w:t>保证金，在采购合同签订后</w:t>
      </w:r>
      <w:r>
        <w:rPr>
          <w:rFonts w:hint="eastAsia" w:ascii="宋体" w:hAnsi="宋体" w:eastAsia="宋体" w:cs="宋体"/>
          <w:color w:val="auto"/>
          <w:spacing w:val="-49"/>
          <w:sz w:val="21"/>
          <w:szCs w:val="21"/>
          <w:highlight w:val="none"/>
        </w:rPr>
        <w:t xml:space="preserve"> </w:t>
      </w:r>
      <w:r>
        <w:rPr>
          <w:rFonts w:hint="eastAsia" w:ascii="宋体" w:hAnsi="宋体" w:eastAsia="宋体" w:cs="宋体"/>
          <w:color w:val="auto"/>
          <w:spacing w:val="-4"/>
          <w:sz w:val="21"/>
          <w:szCs w:val="21"/>
          <w:highlight w:val="none"/>
        </w:rPr>
        <w:t>5 个工作日内退还成交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3"/>
          <w:sz w:val="21"/>
          <w:szCs w:val="21"/>
          <w:highlight w:val="none"/>
        </w:rPr>
        <w:t>供应商；</w:t>
      </w:r>
    </w:p>
    <w:p w14:paraId="5F346FEB">
      <w:pPr>
        <w:spacing w:before="287"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11.7.3   未成交供应商的磋商保证金，在成交通知书发出后</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1"/>
          <w:sz w:val="21"/>
          <w:szCs w:val="21"/>
          <w:highlight w:val="none"/>
        </w:rPr>
        <w:t>5</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
          <w:sz w:val="21"/>
          <w:szCs w:val="21"/>
          <w:highlight w:val="none"/>
        </w:rPr>
        <w:t>个工作日内退还。</w:t>
      </w:r>
    </w:p>
    <w:p w14:paraId="2FF46D9B">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     有下列情形之一的，采购人或采购代理机构不予退还</w:t>
      </w:r>
      <w:r>
        <w:rPr>
          <w:rFonts w:hint="eastAsia" w:ascii="宋体" w:hAnsi="宋体" w:eastAsia="宋体" w:cs="宋体"/>
          <w:color w:val="auto"/>
          <w:spacing w:val="-3"/>
          <w:sz w:val="21"/>
          <w:szCs w:val="21"/>
          <w:highlight w:val="none"/>
        </w:rPr>
        <w:t>磋商保证金：</w:t>
      </w:r>
    </w:p>
    <w:p w14:paraId="64A18185">
      <w:pPr>
        <w:spacing w:before="182"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11.8.1   供应商在响应文件</w:t>
      </w:r>
      <w:r>
        <w:rPr>
          <w:rFonts w:hint="eastAsia" w:ascii="宋体" w:hAnsi="宋体" w:eastAsia="宋体" w:cs="宋体"/>
          <w:color w:val="auto"/>
          <w:spacing w:val="-3"/>
          <w:sz w:val="21"/>
          <w:szCs w:val="21"/>
          <w:highlight w:val="none"/>
        </w:rPr>
        <w:t>提交截止时间后撤回响应文件的；</w:t>
      </w:r>
    </w:p>
    <w:p w14:paraId="6F8FCB53">
      <w:pPr>
        <w:spacing w:before="182"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11.8.2   供应商在响应文件中提供虚假材料的；</w:t>
      </w:r>
    </w:p>
    <w:p w14:paraId="1DFCFF00">
      <w:pPr>
        <w:spacing w:before="183" w:line="360" w:lineRule="auto"/>
        <w:ind w:left="2021" w:right="325" w:hanging="88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11.8.3   除因不可抗力或磋商文件认可的情</w:t>
      </w:r>
      <w:r>
        <w:rPr>
          <w:rFonts w:hint="eastAsia" w:ascii="宋体" w:hAnsi="宋体" w:eastAsia="宋体" w:cs="宋体"/>
          <w:color w:val="auto"/>
          <w:spacing w:val="-4"/>
          <w:sz w:val="21"/>
          <w:szCs w:val="21"/>
          <w:highlight w:val="none"/>
        </w:rPr>
        <w:t>形以外，成交供应商不与采购人签</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订合同的；</w:t>
      </w:r>
    </w:p>
    <w:p w14:paraId="39D416F5">
      <w:pPr>
        <w:spacing w:before="178"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11.8.4   供应商与采购人、其他供应商或者采购代理机</w:t>
      </w:r>
      <w:r>
        <w:rPr>
          <w:rFonts w:hint="eastAsia" w:ascii="宋体" w:hAnsi="宋体" w:eastAsia="宋体" w:cs="宋体"/>
          <w:color w:val="auto"/>
          <w:spacing w:val="-3"/>
          <w:sz w:val="21"/>
          <w:szCs w:val="21"/>
          <w:highlight w:val="none"/>
        </w:rPr>
        <w:t>构恶意串通的；</w:t>
      </w:r>
    </w:p>
    <w:p w14:paraId="6E3907B3">
      <w:pPr>
        <w:spacing w:before="182" w:line="360" w:lineRule="auto"/>
        <w:ind w:left="11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11.8.5   《供应商须知资料表》规定的其</w:t>
      </w:r>
      <w:r>
        <w:rPr>
          <w:rFonts w:hint="eastAsia" w:ascii="宋体" w:hAnsi="宋体" w:eastAsia="宋体" w:cs="宋体"/>
          <w:color w:val="auto"/>
          <w:spacing w:val="-3"/>
          <w:sz w:val="21"/>
          <w:szCs w:val="21"/>
          <w:highlight w:val="none"/>
        </w:rPr>
        <w:t>他情形。</w:t>
      </w:r>
    </w:p>
    <w:p w14:paraId="3AC28390">
      <w:pPr>
        <w:spacing w:before="182"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12</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8"/>
          <w:sz w:val="21"/>
          <w:szCs w:val="21"/>
          <w:highlight w:val="none"/>
        </w:rPr>
        <w:t>响应有效期</w:t>
      </w:r>
    </w:p>
    <w:p w14:paraId="26DF1A44">
      <w:pPr>
        <w:spacing w:before="180" w:line="360" w:lineRule="auto"/>
        <w:ind w:left="1262" w:leftChars="197" w:hanging="848" w:hangingChars="4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12.1   响应文件应在本竞争性磋商文件《供应商须知资料表》中规定的响应有效期</w:t>
      </w:r>
      <w:r>
        <w:rPr>
          <w:rFonts w:hint="eastAsia" w:ascii="宋体" w:hAnsi="宋体" w:eastAsia="宋体" w:cs="宋体"/>
          <w:color w:val="auto"/>
          <w:spacing w:val="-2"/>
          <w:sz w:val="21"/>
          <w:szCs w:val="21"/>
          <w:highlight w:val="none"/>
        </w:rPr>
        <w:t>内保持有效，响应有效期少于竞争性磋商文件规定期限的，其</w:t>
      </w:r>
      <w:r>
        <w:rPr>
          <w:rFonts w:hint="eastAsia" w:ascii="宋体" w:hAnsi="宋体" w:eastAsia="宋体" w:cs="宋体"/>
          <w:b/>
          <w:bCs/>
          <w:color w:val="auto"/>
          <w:spacing w:val="-2"/>
          <w:sz w:val="21"/>
          <w:szCs w:val="21"/>
          <w:highlight w:val="none"/>
        </w:rPr>
        <w:t>响应无效</w:t>
      </w:r>
      <w:r>
        <w:rPr>
          <w:rFonts w:hint="eastAsia" w:ascii="宋体" w:hAnsi="宋体" w:eastAsia="宋体" w:cs="宋体"/>
          <w:color w:val="auto"/>
          <w:spacing w:val="-2"/>
          <w:sz w:val="21"/>
          <w:szCs w:val="21"/>
          <w:highlight w:val="none"/>
        </w:rPr>
        <w:t>。</w:t>
      </w:r>
    </w:p>
    <w:p w14:paraId="7FD94B4C">
      <w:pPr>
        <w:spacing w:before="181"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13  响应文件的签署、盖章</w:t>
      </w:r>
    </w:p>
    <w:p w14:paraId="02625F3F">
      <w:pPr>
        <w:spacing w:before="184" w:line="360" w:lineRule="auto"/>
        <w:ind w:left="1098" w:right="85" w:hanging="6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供应商应准备一份响应文件正本和“供应商须知前附表</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z w:val="21"/>
          <w:szCs w:val="21"/>
          <w:highlight w:val="none"/>
        </w:rPr>
        <w:t xml:space="preserve">”中规定数目的副本， </w:t>
      </w:r>
      <w:r>
        <w:rPr>
          <w:rFonts w:hint="eastAsia" w:ascii="宋体" w:hAnsi="宋体" w:eastAsia="宋体" w:cs="宋体"/>
          <w:color w:val="auto"/>
          <w:spacing w:val="1"/>
          <w:sz w:val="21"/>
          <w:szCs w:val="21"/>
          <w:highlight w:val="none"/>
        </w:rPr>
        <w:t>及</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1 份电子版本（内容为全部响应文件（正本）签字并盖章后的</w:t>
      </w:r>
      <w:r>
        <w:rPr>
          <w:rFonts w:hint="eastAsia" w:ascii="宋体" w:hAnsi="宋体" w:eastAsia="宋体" w:cs="宋体"/>
          <w:color w:val="auto"/>
          <w:spacing w:val="1"/>
          <w:sz w:val="21"/>
          <w:szCs w:val="21"/>
          <w:highlight w:val="none"/>
          <w:lang w:val="en-US" w:eastAsia="zh-CN"/>
        </w:rPr>
        <w:t>PDF</w:t>
      </w:r>
      <w:r>
        <w:rPr>
          <w:rFonts w:hint="eastAsia" w:ascii="宋体" w:hAnsi="宋体" w:eastAsia="宋体" w:cs="宋体"/>
          <w:color w:val="auto"/>
          <w:spacing w:val="1"/>
          <w:sz w:val="21"/>
          <w:szCs w:val="21"/>
          <w:highlight w:val="none"/>
        </w:rPr>
        <w:t>扫描件</w:t>
      </w:r>
      <w:r>
        <w:rPr>
          <w:rFonts w:hint="eastAsia" w:ascii="宋体" w:hAnsi="宋体" w:eastAsia="宋体" w:cs="宋体"/>
          <w:color w:val="auto"/>
          <w:spacing w:val="-56"/>
          <w:sz w:val="21"/>
          <w:szCs w:val="21"/>
          <w:highlight w:val="none"/>
        </w:rPr>
        <w:t>），</w:t>
      </w:r>
      <w:r>
        <w:rPr>
          <w:rFonts w:hint="eastAsia" w:ascii="宋体" w:hAnsi="宋体" w:eastAsia="宋体" w:cs="宋体"/>
          <w:color w:val="auto"/>
          <w:spacing w:val="-7"/>
          <w:sz w:val="21"/>
          <w:szCs w:val="21"/>
          <w:highlight w:val="none"/>
        </w:rPr>
        <w:t>每套响应文件须清楚地标明“正本</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7"/>
          <w:sz w:val="21"/>
          <w:szCs w:val="21"/>
          <w:highlight w:val="none"/>
        </w:rPr>
        <w:t>”“副</w:t>
      </w:r>
      <w:r>
        <w:rPr>
          <w:rFonts w:hint="eastAsia" w:ascii="宋体" w:hAnsi="宋体" w:eastAsia="宋体" w:cs="宋体"/>
          <w:color w:val="auto"/>
          <w:spacing w:val="-8"/>
          <w:sz w:val="21"/>
          <w:szCs w:val="21"/>
          <w:highlight w:val="none"/>
        </w:rPr>
        <w:t>本</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“电子版本</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9"/>
          <w:sz w:val="21"/>
          <w:szCs w:val="21"/>
          <w:highlight w:val="none"/>
        </w:rPr>
        <w:t>”。若正本和副本不符， 以正本为准，电子版与纸制文件不符，以</w:t>
      </w:r>
      <w:r>
        <w:rPr>
          <w:rFonts w:hint="eastAsia" w:ascii="宋体" w:hAnsi="宋体" w:eastAsia="宋体" w:cs="宋体"/>
          <w:color w:val="auto"/>
          <w:spacing w:val="-1"/>
          <w:sz w:val="21"/>
          <w:szCs w:val="21"/>
          <w:highlight w:val="none"/>
        </w:rPr>
        <w:t>纸制文件为准，响应文件制作提倡双面打印，并胶装，不能为活页装订。</w:t>
      </w:r>
    </w:p>
    <w:p w14:paraId="09A48986">
      <w:pPr>
        <w:spacing w:before="182" w:line="360" w:lineRule="auto"/>
        <w:ind w:left="1117" w:right="325" w:hanging="70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13.2   响应文件的正本需打印，并由供应商或经正式授权的供应商代表在响应文件</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2"/>
          <w:sz w:val="21"/>
          <w:szCs w:val="21"/>
          <w:highlight w:val="none"/>
        </w:rPr>
        <w:t>上签字并加盖公章。响应文件的副本可采用正本的复印件。</w:t>
      </w:r>
    </w:p>
    <w:p w14:paraId="168361BF">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13.3   任何行间插字、涂改或</w:t>
      </w:r>
      <w:r>
        <w:rPr>
          <w:rFonts w:hint="eastAsia" w:ascii="宋体" w:hAnsi="宋体" w:eastAsia="宋体" w:cs="宋体"/>
          <w:color w:val="auto"/>
          <w:spacing w:val="-2"/>
          <w:sz w:val="21"/>
          <w:szCs w:val="21"/>
          <w:highlight w:val="none"/>
        </w:rPr>
        <w:t>增删，必须由响应文件签字人在旁边签字才有效。</w:t>
      </w:r>
    </w:p>
    <w:p w14:paraId="31F9848C">
      <w:pPr>
        <w:spacing w:before="182" w:line="360" w:lineRule="auto"/>
        <w:ind w:left="1116" w:right="325" w:hanging="70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13.4   响应文件应准备商务标书和技术标书（商务和技术可装</w:t>
      </w:r>
      <w:r>
        <w:rPr>
          <w:rFonts w:hint="eastAsia" w:ascii="宋体" w:hAnsi="宋体" w:eastAsia="宋体" w:cs="宋体"/>
          <w:color w:val="auto"/>
          <w:spacing w:val="-4"/>
          <w:sz w:val="21"/>
          <w:szCs w:val="21"/>
          <w:highlight w:val="none"/>
        </w:rPr>
        <w:t>订为一册</w:t>
      </w:r>
      <w:r>
        <w:rPr>
          <w:rFonts w:hint="eastAsia" w:ascii="宋体" w:hAnsi="宋体" w:eastAsia="宋体" w:cs="宋体"/>
          <w:color w:val="auto"/>
          <w:spacing w:val="-32"/>
          <w:sz w:val="21"/>
          <w:szCs w:val="21"/>
          <w:highlight w:val="none"/>
        </w:rPr>
        <w:t>），</w:t>
      </w:r>
      <w:r>
        <w:rPr>
          <w:rFonts w:hint="eastAsia" w:ascii="宋体" w:hAnsi="宋体" w:eastAsia="宋体" w:cs="宋体"/>
          <w:color w:val="auto"/>
          <w:spacing w:val="-4"/>
          <w:sz w:val="21"/>
          <w:szCs w:val="21"/>
          <w:highlight w:val="none"/>
        </w:rPr>
        <w:t>准备一份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响应文件正本和“供应商须知前附表</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1"/>
          <w:sz w:val="21"/>
          <w:szCs w:val="21"/>
          <w:highlight w:val="none"/>
        </w:rPr>
        <w:t>”中规定数目的副本。响应文</w:t>
      </w:r>
      <w:r>
        <w:rPr>
          <w:rFonts w:hint="eastAsia" w:ascii="宋体" w:hAnsi="宋体" w:eastAsia="宋体" w:cs="宋体"/>
          <w:color w:val="auto"/>
          <w:sz w:val="21"/>
          <w:szCs w:val="21"/>
          <w:highlight w:val="none"/>
        </w:rPr>
        <w:t xml:space="preserve">件正本需 </w:t>
      </w:r>
      <w:r>
        <w:rPr>
          <w:rFonts w:hint="eastAsia" w:ascii="宋体" w:hAnsi="宋体" w:eastAsia="宋体" w:cs="宋体"/>
          <w:color w:val="auto"/>
          <w:spacing w:val="2"/>
          <w:sz w:val="21"/>
          <w:szCs w:val="21"/>
          <w:highlight w:val="none"/>
        </w:rPr>
        <w:t>要打印并经正式授权的供应商代表签字并加盖公章（响应文件的副本</w:t>
      </w:r>
      <w:r>
        <w:rPr>
          <w:rFonts w:hint="eastAsia" w:ascii="宋体" w:hAnsi="宋体" w:eastAsia="宋体" w:cs="宋体"/>
          <w:color w:val="auto"/>
          <w:spacing w:val="1"/>
          <w:sz w:val="21"/>
          <w:szCs w:val="21"/>
          <w:highlight w:val="none"/>
        </w:rPr>
        <w:t>可采用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9"/>
          <w:sz w:val="21"/>
          <w:szCs w:val="21"/>
          <w:highlight w:val="none"/>
        </w:rPr>
        <w:t>正本的复印件）。</w:t>
      </w:r>
    </w:p>
    <w:p w14:paraId="5B736C85">
      <w:pPr>
        <w:pStyle w:val="6"/>
        <w:spacing w:line="360" w:lineRule="auto"/>
        <w:rPr>
          <w:color w:val="auto"/>
          <w:highlight w:val="none"/>
        </w:rPr>
      </w:pPr>
    </w:p>
    <w:p w14:paraId="5112EC29">
      <w:pPr>
        <w:spacing w:before="92" w:line="220" w:lineRule="auto"/>
        <w:ind w:left="3267"/>
        <w:outlineLvl w:val="1"/>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四</w:t>
      </w:r>
      <w:r>
        <w:rPr>
          <w:rFonts w:ascii="宋体" w:hAnsi="宋体" w:eastAsia="宋体" w:cs="宋体"/>
          <w:color w:val="auto"/>
          <w:spacing w:val="8"/>
          <w:sz w:val="28"/>
          <w:szCs w:val="28"/>
          <w:highlight w:val="none"/>
        </w:rPr>
        <w:t xml:space="preserve">   </w:t>
      </w:r>
      <w:r>
        <w:rPr>
          <w:rFonts w:ascii="宋体" w:hAnsi="宋体" w:eastAsia="宋体" w:cs="宋体"/>
          <w:b/>
          <w:bCs/>
          <w:color w:val="auto"/>
          <w:spacing w:val="-10"/>
          <w:sz w:val="28"/>
          <w:szCs w:val="28"/>
          <w:highlight w:val="none"/>
        </w:rPr>
        <w:t>响应文件的提交</w:t>
      </w:r>
    </w:p>
    <w:p w14:paraId="33ECB406">
      <w:pPr>
        <w:spacing w:before="205"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14</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6"/>
          <w:sz w:val="21"/>
          <w:szCs w:val="21"/>
          <w:highlight w:val="none"/>
        </w:rPr>
        <w:t>响应文件的提交</w:t>
      </w:r>
    </w:p>
    <w:p w14:paraId="3060D194">
      <w:pPr>
        <w:spacing w:before="181" w:line="360" w:lineRule="auto"/>
        <w:ind w:left="1115" w:right="325"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14.1   响应文件须密封提交，密封包装封口处应有供应商单位公章以及法定代表人</w:t>
      </w:r>
      <w:r>
        <w:rPr>
          <w:rFonts w:hint="eastAsia" w:ascii="宋体" w:hAnsi="宋体" w:eastAsia="宋体" w:cs="宋体"/>
          <w:color w:val="auto"/>
          <w:spacing w:val="-3"/>
          <w:sz w:val="21"/>
          <w:szCs w:val="21"/>
          <w:highlight w:val="none"/>
        </w:rPr>
        <w:t>签字（或印章）或授权代表签字。</w:t>
      </w:r>
    </w:p>
    <w:p w14:paraId="429F8C0C">
      <w:pPr>
        <w:spacing w:before="183" w:line="360" w:lineRule="auto"/>
        <w:ind w:left="1246" w:leftChars="197" w:hanging="832" w:hangingChars="4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14.2   所有信封上均需</w:t>
      </w:r>
      <w:r>
        <w:rPr>
          <w:rFonts w:hint="eastAsia" w:ascii="宋体" w:hAnsi="宋体" w:eastAsia="宋体" w:cs="宋体"/>
          <w:color w:val="auto"/>
          <w:spacing w:val="-51"/>
          <w:w w:val="80"/>
          <w:sz w:val="21"/>
          <w:szCs w:val="21"/>
          <w:highlight w:val="none"/>
        </w:rPr>
        <w:t>：（</w:t>
      </w:r>
      <w:r>
        <w:rPr>
          <w:rFonts w:hint="eastAsia" w:ascii="宋体" w:hAnsi="宋体" w:eastAsia="宋体" w:cs="宋体"/>
          <w:color w:val="auto"/>
          <w:spacing w:val="-1"/>
          <w:sz w:val="21"/>
          <w:szCs w:val="21"/>
          <w:highlight w:val="none"/>
        </w:rPr>
        <w:t>1）供应商名称和地址（2）注明竞争性磋商公告中的项目</w:t>
      </w:r>
      <w:r>
        <w:rPr>
          <w:rFonts w:hint="eastAsia" w:ascii="宋体" w:hAnsi="宋体" w:eastAsia="宋体" w:cs="宋体"/>
          <w:color w:val="auto"/>
          <w:spacing w:val="1"/>
          <w:sz w:val="21"/>
          <w:szCs w:val="21"/>
          <w:highlight w:val="none"/>
        </w:rPr>
        <w:t>名称、项目编号和“在（首次提交响应文件截止时间）之前不</w:t>
      </w:r>
      <w:r>
        <w:rPr>
          <w:rFonts w:hint="eastAsia" w:ascii="宋体" w:hAnsi="宋体" w:eastAsia="宋体" w:cs="宋体"/>
          <w:color w:val="auto"/>
          <w:sz w:val="21"/>
          <w:szCs w:val="21"/>
          <w:highlight w:val="none"/>
        </w:rPr>
        <w:t>得启封</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z w:val="21"/>
          <w:szCs w:val="21"/>
          <w:highlight w:val="none"/>
        </w:rPr>
        <w:t xml:space="preserve">”的字 </w:t>
      </w:r>
      <w:r>
        <w:rPr>
          <w:rFonts w:hint="eastAsia" w:ascii="宋体" w:hAnsi="宋体" w:eastAsia="宋体" w:cs="宋体"/>
          <w:color w:val="auto"/>
          <w:spacing w:val="-11"/>
          <w:sz w:val="21"/>
          <w:szCs w:val="21"/>
          <w:highlight w:val="none"/>
        </w:rPr>
        <w:t>样。</w:t>
      </w:r>
    </w:p>
    <w:p w14:paraId="15247E6A">
      <w:pPr>
        <w:spacing w:line="360" w:lineRule="auto"/>
        <w:ind w:left="1118" w:right="204" w:hanging="70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14.3   如果供应商未按上述要求包装密封及加写标记，采购单位对响应文件的误投</w:t>
      </w:r>
      <w:r>
        <w:rPr>
          <w:rFonts w:hint="eastAsia" w:ascii="宋体" w:hAnsi="宋体" w:eastAsia="宋体" w:cs="宋体"/>
          <w:color w:val="auto"/>
          <w:spacing w:val="-5"/>
          <w:sz w:val="21"/>
          <w:szCs w:val="21"/>
          <w:highlight w:val="none"/>
        </w:rPr>
        <w:t>或过早启封概不负责。</w:t>
      </w:r>
    </w:p>
    <w:p w14:paraId="3AF8DC42">
      <w:pPr>
        <w:spacing w:before="181"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14.4   未密封的响应文件，采购人、采购代理机构予以拒收。</w:t>
      </w:r>
    </w:p>
    <w:p w14:paraId="6A08F628">
      <w:pPr>
        <w:spacing w:before="18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14.5   采购人拒绝接受以电报、电话、传真、电子邮件形式递交的响应文件。</w:t>
      </w:r>
    </w:p>
    <w:p w14:paraId="412C2C06">
      <w:pPr>
        <w:spacing w:before="182"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15  响应文件提交截止时间</w:t>
      </w:r>
    </w:p>
    <w:p w14:paraId="29BBCF42">
      <w:pPr>
        <w:spacing w:before="182" w:line="360" w:lineRule="auto"/>
        <w:ind w:left="1116" w:right="204" w:hanging="7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15.1   供应商应在竞争性磋商文件规定的首次响应文件提交截止时间之前，将响应</w:t>
      </w:r>
      <w:r>
        <w:rPr>
          <w:rFonts w:hint="eastAsia" w:ascii="宋体" w:hAnsi="宋体" w:eastAsia="宋体" w:cs="宋体"/>
          <w:color w:val="auto"/>
          <w:spacing w:val="2"/>
          <w:sz w:val="21"/>
          <w:szCs w:val="21"/>
          <w:highlight w:val="none"/>
        </w:rPr>
        <w:t>文件密封送达指定地点并递交至采购代理机构，首次响应文件提交截</w:t>
      </w:r>
      <w:r>
        <w:rPr>
          <w:rFonts w:hint="eastAsia" w:ascii="宋体" w:hAnsi="宋体" w:eastAsia="宋体" w:cs="宋体"/>
          <w:color w:val="auto"/>
          <w:spacing w:val="1"/>
          <w:sz w:val="21"/>
          <w:szCs w:val="21"/>
          <w:highlight w:val="none"/>
        </w:rPr>
        <w:t>止时间</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和地点见《供应商须知资料表》。</w:t>
      </w:r>
    </w:p>
    <w:p w14:paraId="66572CE1">
      <w:pPr>
        <w:spacing w:before="183" w:line="360" w:lineRule="auto"/>
        <w:ind w:left="1114" w:right="204"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15.2   在规定的首次响应文件提交截止时间后送达的响应文件，采购人、采购代理</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3"/>
          <w:sz w:val="21"/>
          <w:szCs w:val="21"/>
          <w:highlight w:val="none"/>
        </w:rPr>
        <w:t>机构或者磋商小组将拒绝接收并原封退回。</w:t>
      </w:r>
    </w:p>
    <w:p w14:paraId="72994128">
      <w:pPr>
        <w:spacing w:before="181"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16  响应文件的修改与撤回</w:t>
      </w:r>
    </w:p>
    <w:p w14:paraId="632B46E6">
      <w:pPr>
        <w:spacing w:before="183" w:line="360" w:lineRule="auto"/>
        <w:ind w:left="1115" w:hanging="7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供应商在首次响应文件提交截止时间前，可以对所提交的响应文件进行补充、</w:t>
      </w:r>
      <w:r>
        <w:rPr>
          <w:rFonts w:hint="eastAsia" w:ascii="宋体" w:hAnsi="宋体" w:eastAsia="宋体" w:cs="宋体"/>
          <w:color w:val="auto"/>
          <w:spacing w:val="2"/>
          <w:sz w:val="21"/>
          <w:szCs w:val="21"/>
          <w:highlight w:val="none"/>
        </w:rPr>
        <w:t>修改或者撤回，并书面通知采购人、采购代理机构。补充、修改的内容</w:t>
      </w:r>
      <w:r>
        <w:rPr>
          <w:rFonts w:hint="eastAsia" w:ascii="宋体" w:hAnsi="宋体" w:eastAsia="宋体" w:cs="宋体"/>
          <w:color w:val="auto"/>
          <w:spacing w:val="1"/>
          <w:sz w:val="21"/>
          <w:szCs w:val="21"/>
          <w:highlight w:val="none"/>
        </w:rPr>
        <w:t>作为</w:t>
      </w:r>
      <w:r>
        <w:rPr>
          <w:rFonts w:hint="eastAsia" w:ascii="宋体" w:hAnsi="宋体" w:eastAsia="宋体" w:cs="宋体"/>
          <w:color w:val="auto"/>
          <w:spacing w:val="2"/>
          <w:sz w:val="21"/>
          <w:szCs w:val="21"/>
          <w:highlight w:val="none"/>
        </w:rPr>
        <w:t>响应文件的组成部分。补充、修改的内容与响应文件不一致的，以补充</w:t>
      </w:r>
      <w:r>
        <w:rPr>
          <w:rFonts w:hint="eastAsia" w:ascii="宋体" w:hAnsi="宋体" w:eastAsia="宋体" w:cs="宋体"/>
          <w:color w:val="auto"/>
          <w:spacing w:val="1"/>
          <w:sz w:val="21"/>
          <w:szCs w:val="21"/>
          <w:highlight w:val="none"/>
        </w:rPr>
        <w:t>、修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改的内容为准。</w:t>
      </w:r>
    </w:p>
    <w:p w14:paraId="48F38CCB">
      <w:pPr>
        <w:spacing w:before="180" w:line="360" w:lineRule="auto"/>
        <w:ind w:left="1115" w:right="204" w:hanging="70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16.2   供应商对响应文件补充、修改的书面材料或撤回的通知应</w:t>
      </w:r>
      <w:r>
        <w:rPr>
          <w:rFonts w:hint="eastAsia" w:ascii="宋体" w:hAnsi="宋体" w:eastAsia="宋体" w:cs="宋体"/>
          <w:color w:val="auto"/>
          <w:spacing w:val="-5"/>
          <w:sz w:val="21"/>
          <w:szCs w:val="21"/>
          <w:highlight w:val="none"/>
        </w:rPr>
        <w:t>按本须知第</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5"/>
          <w:sz w:val="21"/>
          <w:szCs w:val="21"/>
          <w:highlight w:val="none"/>
        </w:rPr>
        <w:t>13 和</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5"/>
          <w:sz w:val="21"/>
          <w:szCs w:val="21"/>
          <w:highlight w:val="none"/>
        </w:rPr>
        <w:t>14</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条规定进行编写、密封、标注和递送，并注明“修改响应文件</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1"/>
          <w:sz w:val="21"/>
          <w:szCs w:val="21"/>
          <w:highlight w:val="none"/>
        </w:rPr>
        <w:t>”或“</w:t>
      </w:r>
      <w:r>
        <w:rPr>
          <w:rFonts w:hint="eastAsia" w:ascii="宋体" w:hAnsi="宋体" w:eastAsia="宋体" w:cs="宋体"/>
          <w:color w:val="auto"/>
          <w:sz w:val="21"/>
          <w:szCs w:val="21"/>
          <w:highlight w:val="none"/>
        </w:rPr>
        <w:t xml:space="preserve">撤回响 </w:t>
      </w:r>
      <w:r>
        <w:rPr>
          <w:rFonts w:hint="eastAsia" w:ascii="宋体" w:hAnsi="宋体" w:eastAsia="宋体" w:cs="宋体"/>
          <w:color w:val="auto"/>
          <w:spacing w:val="-6"/>
          <w:sz w:val="21"/>
          <w:szCs w:val="21"/>
          <w:highlight w:val="none"/>
        </w:rPr>
        <w:t>应文件”字样。</w:t>
      </w:r>
    </w:p>
    <w:p w14:paraId="1D8994A9">
      <w:pPr>
        <w:spacing w:before="181"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16.3   在首次响应文件提交截止时</w:t>
      </w:r>
      <w:r>
        <w:rPr>
          <w:rFonts w:hint="eastAsia" w:ascii="宋体" w:hAnsi="宋体" w:eastAsia="宋体" w:cs="宋体"/>
          <w:color w:val="auto"/>
          <w:spacing w:val="-2"/>
          <w:sz w:val="21"/>
          <w:szCs w:val="21"/>
          <w:highlight w:val="none"/>
        </w:rPr>
        <w:t>间之后，供应商不得对其响应文件做任何修改。</w:t>
      </w:r>
    </w:p>
    <w:p w14:paraId="44FC7078">
      <w:pPr>
        <w:spacing w:before="183" w:line="360" w:lineRule="auto"/>
        <w:ind w:left="1116" w:right="204" w:hanging="702"/>
        <w:rPr>
          <w:rFonts w:hint="eastAsia" w:ascii="宋体" w:hAnsi="宋体" w:eastAsia="宋体" w:cs="宋体"/>
          <w:color w:val="auto"/>
          <w:spacing w:val="-4"/>
          <w:sz w:val="21"/>
          <w:szCs w:val="21"/>
          <w:highlight w:val="none"/>
        </w:rPr>
      </w:pPr>
      <w:r>
        <w:rPr>
          <w:rFonts w:hint="eastAsia" w:ascii="宋体" w:hAnsi="宋体" w:eastAsia="宋体" w:cs="宋体"/>
          <w:color w:val="auto"/>
          <w:spacing w:val="1"/>
          <w:sz w:val="21"/>
          <w:szCs w:val="21"/>
          <w:highlight w:val="none"/>
        </w:rPr>
        <w:t>16.4   供应商不得在递交最后报价后至响应有效期期满前撤回其响应文件，否则其</w:t>
      </w:r>
      <w:r>
        <w:rPr>
          <w:rFonts w:hint="eastAsia" w:ascii="宋体" w:hAnsi="宋体" w:eastAsia="宋体" w:cs="宋体"/>
          <w:color w:val="auto"/>
          <w:spacing w:val="-4"/>
          <w:sz w:val="21"/>
          <w:szCs w:val="21"/>
          <w:highlight w:val="none"/>
        </w:rPr>
        <w:t>保证金将按本须知</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4"/>
          <w:sz w:val="21"/>
          <w:szCs w:val="21"/>
          <w:highlight w:val="none"/>
        </w:rPr>
        <w:t>11.8 款的规定不予退还。</w:t>
      </w:r>
    </w:p>
    <w:p w14:paraId="5D5EF128">
      <w:pPr>
        <w:spacing w:before="183" w:line="360" w:lineRule="auto"/>
        <w:ind w:left="1116" w:right="204" w:hanging="702"/>
        <w:rPr>
          <w:rFonts w:hint="eastAsia" w:ascii="宋体" w:hAnsi="宋体" w:eastAsia="宋体" w:cs="宋体"/>
          <w:color w:val="auto"/>
          <w:spacing w:val="-4"/>
          <w:sz w:val="21"/>
          <w:szCs w:val="21"/>
          <w:highlight w:val="none"/>
        </w:rPr>
      </w:pPr>
    </w:p>
    <w:p w14:paraId="36E6EB25">
      <w:pPr>
        <w:spacing w:before="91" w:line="360" w:lineRule="auto"/>
        <w:ind w:left="3948"/>
        <w:outlineLvl w:val="1"/>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五</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11"/>
          <w:sz w:val="28"/>
          <w:szCs w:val="28"/>
          <w:highlight w:val="none"/>
        </w:rPr>
        <w:t>评审</w:t>
      </w:r>
    </w:p>
    <w:p w14:paraId="7CF4FB21">
      <w:pPr>
        <w:spacing w:before="204"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17</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6"/>
          <w:sz w:val="21"/>
          <w:szCs w:val="21"/>
          <w:highlight w:val="none"/>
        </w:rPr>
        <w:t>响应文件的开启</w:t>
      </w:r>
    </w:p>
    <w:p w14:paraId="4A7C283C">
      <w:pPr>
        <w:spacing w:before="182" w:line="360" w:lineRule="auto"/>
        <w:ind w:left="1114" w:right="204"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17.1   采购人或采购代理机构将按竞争性磋商文件的规定，在响应文件提交截止时</w:t>
      </w:r>
      <w:r>
        <w:rPr>
          <w:rFonts w:hint="eastAsia" w:ascii="宋体" w:hAnsi="宋体" w:eastAsia="宋体" w:cs="宋体"/>
          <w:color w:val="auto"/>
          <w:spacing w:val="2"/>
          <w:sz w:val="21"/>
          <w:szCs w:val="21"/>
          <w:highlight w:val="none"/>
        </w:rPr>
        <w:t>间的同一时间和竞争性磋商文件预先确定的地点开启响应文件。供应商参加</w:t>
      </w:r>
      <w:r>
        <w:rPr>
          <w:rFonts w:hint="eastAsia" w:ascii="宋体" w:hAnsi="宋体" w:eastAsia="宋体" w:cs="宋体"/>
          <w:color w:val="auto"/>
          <w:spacing w:val="-5"/>
          <w:sz w:val="21"/>
          <w:szCs w:val="21"/>
          <w:highlight w:val="none"/>
        </w:rPr>
        <w:t>磋商的代表应出示和递交的材料见《供应商须知资料表》，参加磋</w:t>
      </w:r>
      <w:r>
        <w:rPr>
          <w:rFonts w:hint="eastAsia" w:ascii="宋体" w:hAnsi="宋体" w:eastAsia="宋体" w:cs="宋体"/>
          <w:color w:val="auto"/>
          <w:spacing w:val="-6"/>
          <w:sz w:val="21"/>
          <w:szCs w:val="21"/>
          <w:highlight w:val="none"/>
        </w:rPr>
        <w:t>商的代表应</w:t>
      </w:r>
      <w:r>
        <w:rPr>
          <w:rFonts w:hint="eastAsia" w:ascii="宋体" w:hAnsi="宋体" w:eastAsia="宋体" w:cs="宋体"/>
          <w:color w:val="auto"/>
          <w:spacing w:val="-5"/>
          <w:sz w:val="21"/>
          <w:szCs w:val="21"/>
          <w:highlight w:val="none"/>
        </w:rPr>
        <w:t>签到以证明其出席。</w:t>
      </w:r>
      <w:r>
        <w:rPr>
          <w:rFonts w:hint="eastAsia" w:ascii="宋体" w:hAnsi="宋体" w:eastAsia="宋体" w:cs="宋体"/>
          <w:color w:val="auto"/>
          <w:spacing w:val="1"/>
          <w:sz w:val="21"/>
          <w:szCs w:val="21"/>
          <w:highlight w:val="none"/>
        </w:rPr>
        <w:t>17.2   供应商认为采购人员及相关人员与其他供应商有利害关系的，可以向采购人</w:t>
      </w:r>
      <w:r>
        <w:rPr>
          <w:rFonts w:hint="eastAsia" w:ascii="宋体" w:hAnsi="宋体" w:eastAsia="宋体" w:cs="宋体"/>
          <w:color w:val="auto"/>
          <w:spacing w:val="2"/>
          <w:sz w:val="21"/>
          <w:szCs w:val="21"/>
          <w:highlight w:val="none"/>
        </w:rPr>
        <w:t>或采购代理机构书面提出回避申请，并说明理由。采购人或采购代理机构将</w:t>
      </w:r>
      <w:r>
        <w:rPr>
          <w:rFonts w:hint="eastAsia" w:ascii="宋体" w:hAnsi="宋体" w:eastAsia="宋体" w:cs="宋体"/>
          <w:color w:val="auto"/>
          <w:spacing w:val="-2"/>
          <w:sz w:val="21"/>
          <w:szCs w:val="21"/>
          <w:highlight w:val="none"/>
        </w:rPr>
        <w:t>及时询问被申请回避人员，有利害关系的被申请回避人员将回避。</w:t>
      </w:r>
    </w:p>
    <w:p w14:paraId="45C82CB8">
      <w:pPr>
        <w:spacing w:before="180" w:line="360" w:lineRule="auto"/>
        <w:ind w:left="1117" w:right="29" w:hanging="70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17.3   除竞争性磋商管理办法或其补充通知规定的情形外，供</w:t>
      </w:r>
      <w:r>
        <w:rPr>
          <w:rFonts w:hint="eastAsia" w:ascii="宋体" w:hAnsi="宋体" w:eastAsia="宋体" w:cs="宋体"/>
          <w:color w:val="auto"/>
          <w:sz w:val="21"/>
          <w:szCs w:val="21"/>
          <w:highlight w:val="none"/>
        </w:rPr>
        <w:t>应商不足</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3 家的，不</w:t>
      </w:r>
      <w:r>
        <w:rPr>
          <w:rFonts w:hint="eastAsia" w:ascii="宋体" w:hAnsi="宋体" w:eastAsia="宋体" w:cs="宋体"/>
          <w:color w:val="auto"/>
          <w:spacing w:val="-6"/>
          <w:sz w:val="21"/>
          <w:szCs w:val="21"/>
          <w:highlight w:val="none"/>
        </w:rPr>
        <w:t>可以继续进行。</w:t>
      </w:r>
    </w:p>
    <w:p w14:paraId="08D5F5CE">
      <w:pPr>
        <w:spacing w:before="180"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17.4    本项目不公开报价。</w:t>
      </w:r>
    </w:p>
    <w:p w14:paraId="1C53EBB9">
      <w:pPr>
        <w:spacing w:before="183"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18  磋商小组</w:t>
      </w:r>
    </w:p>
    <w:p w14:paraId="3A2F43FC">
      <w:pPr>
        <w:spacing w:before="181" w:line="360" w:lineRule="auto"/>
        <w:ind w:left="1115" w:right="29"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18.1   磋商小组根据政府采购有关规定和本次采购项目的特点进行组建，并负责具</w:t>
      </w:r>
      <w:r>
        <w:rPr>
          <w:rFonts w:hint="eastAsia" w:ascii="宋体" w:hAnsi="宋体" w:eastAsia="宋体" w:cs="宋体"/>
          <w:color w:val="auto"/>
          <w:spacing w:val="-3"/>
          <w:sz w:val="21"/>
          <w:szCs w:val="21"/>
          <w:highlight w:val="none"/>
        </w:rPr>
        <w:t>体评审与磋商事务，独立履行职责。</w:t>
      </w:r>
    </w:p>
    <w:p w14:paraId="1CA4C236">
      <w:pPr>
        <w:spacing w:before="182" w:line="360" w:lineRule="auto"/>
        <w:ind w:left="1115" w:right="29" w:hanging="70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18.2   评审专家须符合《财政部关于在政府采购活动中查询及使用信用记录有关问</w:t>
      </w:r>
      <w:r>
        <w:rPr>
          <w:rFonts w:hint="eastAsia" w:ascii="宋体" w:hAnsi="宋体" w:eastAsia="宋体" w:cs="宋体"/>
          <w:color w:val="auto"/>
          <w:spacing w:val="-4"/>
          <w:sz w:val="21"/>
          <w:szCs w:val="21"/>
          <w:highlight w:val="none"/>
        </w:rPr>
        <w:t>题的通知》（财库〔2016〕125</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4"/>
          <w:sz w:val="21"/>
          <w:szCs w:val="21"/>
          <w:highlight w:val="none"/>
        </w:rPr>
        <w:t>号）的规定。依法自行选定评审专家的，采购</w:t>
      </w:r>
      <w:r>
        <w:rPr>
          <w:rFonts w:hint="eastAsia" w:ascii="宋体" w:hAnsi="宋体" w:eastAsia="宋体" w:cs="宋体"/>
          <w:color w:val="auto"/>
          <w:spacing w:val="2"/>
          <w:sz w:val="21"/>
          <w:szCs w:val="21"/>
          <w:highlight w:val="none"/>
        </w:rPr>
        <w:t>人和采购代理机构将查询有关信用记录，对具有行贿、受贿、欺诈等不</w:t>
      </w:r>
      <w:r>
        <w:rPr>
          <w:rFonts w:hint="eastAsia" w:ascii="宋体" w:hAnsi="宋体" w:eastAsia="宋体" w:cs="宋体"/>
          <w:color w:val="auto"/>
          <w:spacing w:val="1"/>
          <w:sz w:val="21"/>
          <w:szCs w:val="21"/>
          <w:highlight w:val="none"/>
        </w:rPr>
        <w:t>良信</w:t>
      </w:r>
      <w:r>
        <w:rPr>
          <w:rFonts w:hint="eastAsia" w:ascii="宋体" w:hAnsi="宋体" w:eastAsia="宋体" w:cs="宋体"/>
          <w:color w:val="auto"/>
          <w:spacing w:val="-3"/>
          <w:sz w:val="21"/>
          <w:szCs w:val="21"/>
          <w:highlight w:val="none"/>
        </w:rPr>
        <w:t>用记录的人员，拒绝其参与政府采购活动。</w:t>
      </w:r>
    </w:p>
    <w:p w14:paraId="4E0CB2F6">
      <w:pPr>
        <w:spacing w:before="182"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19  评审方法和评审标准</w:t>
      </w:r>
    </w:p>
    <w:p w14:paraId="7E239261">
      <w:pPr>
        <w:spacing w:before="181" w:line="360" w:lineRule="auto"/>
        <w:ind w:left="414"/>
        <w:outlineLvl w:val="0"/>
        <w:rPr>
          <w:rFonts w:hint="eastAsia" w:ascii="宋体" w:hAnsi="宋体" w:eastAsia="宋体" w:cs="宋体"/>
          <w:color w:val="auto"/>
          <w:sz w:val="21"/>
          <w:szCs w:val="21"/>
          <w:highlight w:val="none"/>
        </w:rPr>
      </w:pPr>
      <w:bookmarkStart w:id="3" w:name="bookmark8"/>
      <w:bookmarkEnd w:id="3"/>
      <w:r>
        <w:rPr>
          <w:rFonts w:hint="eastAsia" w:ascii="宋体" w:hAnsi="宋体" w:eastAsia="宋体" w:cs="宋体"/>
          <w:color w:val="auto"/>
          <w:spacing w:val="-7"/>
          <w:sz w:val="21"/>
          <w:szCs w:val="21"/>
          <w:highlight w:val="none"/>
        </w:rPr>
        <w:t>19.1     见第三章《评审方法和评审标准》。</w:t>
      </w:r>
    </w:p>
    <w:p w14:paraId="0F45CE82">
      <w:pPr>
        <w:pStyle w:val="6"/>
        <w:spacing w:line="360" w:lineRule="auto"/>
        <w:rPr>
          <w:color w:val="auto"/>
          <w:highlight w:val="none"/>
        </w:rPr>
      </w:pPr>
    </w:p>
    <w:p w14:paraId="1528D96C">
      <w:pPr>
        <w:pStyle w:val="6"/>
        <w:spacing w:line="360" w:lineRule="auto"/>
        <w:rPr>
          <w:color w:val="auto"/>
          <w:highlight w:val="none"/>
        </w:rPr>
      </w:pPr>
    </w:p>
    <w:p w14:paraId="092FE9FB">
      <w:pPr>
        <w:spacing w:before="92" w:line="360" w:lineRule="auto"/>
        <w:ind w:left="3665"/>
        <w:outlineLvl w:val="1"/>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六</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8"/>
          <w:sz w:val="28"/>
          <w:szCs w:val="28"/>
          <w:highlight w:val="none"/>
        </w:rPr>
        <w:t>确定成交</w:t>
      </w:r>
    </w:p>
    <w:p w14:paraId="5B7429FF">
      <w:pPr>
        <w:spacing w:before="204"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  确定成交供应商</w:t>
      </w:r>
    </w:p>
    <w:p w14:paraId="15D28BB0">
      <w:pPr>
        <w:spacing w:before="183" w:line="360" w:lineRule="auto"/>
        <w:ind w:left="1114" w:right="29" w:hanging="72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20.1   采购人将在收到评审报告后，从评审报</w:t>
      </w:r>
      <w:r>
        <w:rPr>
          <w:rFonts w:hint="eastAsia" w:ascii="宋体" w:hAnsi="宋体" w:eastAsia="宋体" w:cs="宋体"/>
          <w:color w:val="auto"/>
          <w:spacing w:val="1"/>
          <w:sz w:val="21"/>
          <w:szCs w:val="21"/>
          <w:highlight w:val="none"/>
        </w:rPr>
        <w:t>告提出的成交候选供应商中，按照排</w:t>
      </w:r>
      <w:r>
        <w:rPr>
          <w:rFonts w:hint="eastAsia" w:ascii="宋体" w:hAnsi="宋体" w:eastAsia="宋体" w:cs="宋体"/>
          <w:color w:val="auto"/>
          <w:spacing w:val="2"/>
          <w:sz w:val="21"/>
          <w:szCs w:val="21"/>
          <w:highlight w:val="none"/>
        </w:rPr>
        <w:t>序由高到低的原则确定成交供应商。采购人是否授权磋商小组直接确定成交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供应商，见《供应商须知资料表》。成交候选人并列的，按照《供应商须知资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料表》要求确定成交供应商。</w:t>
      </w:r>
    </w:p>
    <w:p w14:paraId="5C17880B">
      <w:pPr>
        <w:spacing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  成交公告与成交通知书</w:t>
      </w:r>
    </w:p>
    <w:p w14:paraId="3C98BB28">
      <w:pPr>
        <w:spacing w:before="182" w:line="360" w:lineRule="auto"/>
        <w:ind w:left="1114" w:right="29" w:hanging="7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21.1   采购人或采购代理机构将在成交供应商确定后</w:t>
      </w:r>
      <w:r>
        <w:rPr>
          <w:rFonts w:hint="eastAsia" w:ascii="宋体" w:hAnsi="宋体" w:eastAsia="宋体" w:cs="宋体"/>
          <w:color w:val="auto"/>
          <w:spacing w:val="-35"/>
          <w:sz w:val="21"/>
          <w:szCs w:val="21"/>
          <w:highlight w:val="none"/>
        </w:rPr>
        <w:t xml:space="preserve"> </w:t>
      </w:r>
      <w:r>
        <w:rPr>
          <w:rFonts w:hint="eastAsia" w:ascii="宋体" w:hAnsi="宋体" w:eastAsia="宋体" w:cs="宋体"/>
          <w:color w:val="auto"/>
          <w:spacing w:val="1"/>
          <w:sz w:val="21"/>
          <w:szCs w:val="21"/>
          <w:highlight w:val="none"/>
        </w:rPr>
        <w:t>2 个工作日内，在北京市政府</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采购网公告成交结果，同时向成交供应商发出成交通知书，成交公告期限为</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pacing w:val="-6"/>
          <w:sz w:val="21"/>
          <w:szCs w:val="21"/>
          <w:highlight w:val="none"/>
        </w:rPr>
        <w:t>1</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个工作日。</w:t>
      </w:r>
    </w:p>
    <w:p w14:paraId="3C283BCC">
      <w:pPr>
        <w:spacing w:before="179" w:line="360" w:lineRule="auto"/>
        <w:ind w:left="1116" w:right="29" w:hanging="7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21.2   成交通知书对采购人和成交供应</w:t>
      </w:r>
      <w:r>
        <w:rPr>
          <w:rFonts w:hint="eastAsia" w:ascii="宋体" w:hAnsi="宋体" w:eastAsia="宋体" w:cs="宋体"/>
          <w:color w:val="auto"/>
          <w:spacing w:val="1"/>
          <w:sz w:val="21"/>
          <w:szCs w:val="21"/>
          <w:highlight w:val="none"/>
        </w:rPr>
        <w:t>商均具有法律效力。成交通知书发出后，采</w:t>
      </w:r>
      <w:r>
        <w:rPr>
          <w:rFonts w:hint="eastAsia" w:ascii="宋体" w:hAnsi="宋体" w:eastAsia="宋体" w:cs="宋体"/>
          <w:color w:val="auto"/>
          <w:spacing w:val="2"/>
          <w:sz w:val="21"/>
          <w:szCs w:val="21"/>
          <w:highlight w:val="none"/>
        </w:rPr>
        <w:t>购人改变成交结果的，或者成交供应商放弃成交项目的，应当依法承</w:t>
      </w:r>
      <w:r>
        <w:rPr>
          <w:rFonts w:hint="eastAsia" w:ascii="宋体" w:hAnsi="宋体" w:eastAsia="宋体" w:cs="宋体"/>
          <w:color w:val="auto"/>
          <w:spacing w:val="1"/>
          <w:sz w:val="21"/>
          <w:szCs w:val="21"/>
          <w:highlight w:val="none"/>
        </w:rPr>
        <w:t>担法律</w:t>
      </w:r>
      <w:r>
        <w:rPr>
          <w:rFonts w:hint="eastAsia" w:ascii="宋体" w:hAnsi="宋体" w:eastAsia="宋体" w:cs="宋体"/>
          <w:color w:val="auto"/>
          <w:spacing w:val="-10"/>
          <w:sz w:val="21"/>
          <w:szCs w:val="21"/>
          <w:highlight w:val="none"/>
        </w:rPr>
        <w:t>责任。</w:t>
      </w:r>
    </w:p>
    <w:p w14:paraId="374A7C0E">
      <w:pPr>
        <w:spacing w:before="182"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22</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3"/>
          <w:sz w:val="21"/>
          <w:szCs w:val="21"/>
          <w:highlight w:val="none"/>
        </w:rPr>
        <w:t>终止</w:t>
      </w:r>
    </w:p>
    <w:p w14:paraId="42737CCE">
      <w:pPr>
        <w:spacing w:before="287" w:line="360" w:lineRule="auto"/>
        <w:ind w:left="1119" w:right="258" w:hanging="7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   出现下列情形之一的，采购人或采购代理机构将终止竞争性磋商采购活动，</w:t>
      </w:r>
      <w:r>
        <w:rPr>
          <w:rFonts w:hint="eastAsia" w:ascii="宋体" w:hAnsi="宋体" w:eastAsia="宋体" w:cs="宋体"/>
          <w:color w:val="auto"/>
          <w:spacing w:val="-3"/>
          <w:sz w:val="21"/>
          <w:szCs w:val="21"/>
          <w:highlight w:val="none"/>
        </w:rPr>
        <w:t>发布项目终止公告并说明原因，重新开展采购活动：</w:t>
      </w:r>
    </w:p>
    <w:p w14:paraId="54D0982D">
      <w:pPr>
        <w:spacing w:before="1" w:line="360" w:lineRule="auto"/>
        <w:ind w:left="1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22.1.1   因情况变化，不再符合规定的竞争性磋商采购方式适用情形的；</w:t>
      </w:r>
    </w:p>
    <w:p w14:paraId="255B9629">
      <w:pPr>
        <w:spacing w:before="182" w:line="360" w:lineRule="auto"/>
        <w:ind w:left="1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22.1.2   出现影响采购公正的违法、违规行为的；</w:t>
      </w:r>
    </w:p>
    <w:p w14:paraId="2C2F8DEF">
      <w:pPr>
        <w:spacing w:before="182" w:line="360" w:lineRule="auto"/>
        <w:ind w:left="2019" w:right="100" w:hanging="90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22.1.3   除了“市场竞争不充分的科研项目，以及需要扶持的科技成果转化项</w:t>
      </w:r>
      <w:r>
        <w:rPr>
          <w:rFonts w:hint="eastAsia" w:ascii="宋体" w:hAnsi="宋体" w:eastAsia="宋体" w:cs="宋体"/>
          <w:color w:val="auto"/>
          <w:spacing w:val="-4"/>
          <w:sz w:val="21"/>
          <w:szCs w:val="21"/>
          <w:highlight w:val="none"/>
        </w:rPr>
        <w:t>目，提交最后报价的供应商可以为</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4"/>
          <w:sz w:val="21"/>
          <w:szCs w:val="21"/>
          <w:highlight w:val="none"/>
        </w:rPr>
        <w:t>2 家；政府购买服务项目（含政府</w:t>
      </w:r>
      <w:r>
        <w:rPr>
          <w:rFonts w:hint="eastAsia" w:ascii="宋体" w:hAnsi="宋体" w:eastAsia="宋体" w:cs="宋体"/>
          <w:color w:val="auto"/>
          <w:spacing w:val="-5"/>
          <w:sz w:val="21"/>
          <w:szCs w:val="21"/>
          <w:highlight w:val="none"/>
        </w:rPr>
        <w:t>和社会资本合作项目</w:t>
      </w:r>
      <w:r>
        <w:rPr>
          <w:rFonts w:hint="eastAsia" w:ascii="宋体" w:hAnsi="宋体" w:eastAsia="宋体" w:cs="宋体"/>
          <w:color w:val="auto"/>
          <w:spacing w:val="-55"/>
          <w:sz w:val="21"/>
          <w:szCs w:val="21"/>
          <w:highlight w:val="none"/>
        </w:rPr>
        <w:t>），</w:t>
      </w:r>
      <w:r>
        <w:rPr>
          <w:rFonts w:hint="eastAsia" w:ascii="宋体" w:hAnsi="宋体" w:eastAsia="宋体" w:cs="宋体"/>
          <w:color w:val="auto"/>
          <w:spacing w:val="-5"/>
          <w:sz w:val="21"/>
          <w:szCs w:val="21"/>
          <w:highlight w:val="none"/>
        </w:rPr>
        <w:t>在采购过程中符合要求的供应商（社会资</w:t>
      </w:r>
      <w:r>
        <w:rPr>
          <w:rFonts w:hint="eastAsia" w:ascii="宋体" w:hAnsi="宋体" w:eastAsia="宋体" w:cs="宋体"/>
          <w:color w:val="auto"/>
          <w:spacing w:val="-6"/>
          <w:sz w:val="21"/>
          <w:szCs w:val="21"/>
          <w:highlight w:val="none"/>
        </w:rPr>
        <w:t>本）</w:t>
      </w:r>
      <w:r>
        <w:rPr>
          <w:rFonts w:hint="eastAsia" w:ascii="宋体" w:hAnsi="宋体" w:eastAsia="宋体" w:cs="宋体"/>
          <w:color w:val="auto"/>
          <w:sz w:val="21"/>
          <w:szCs w:val="21"/>
          <w:highlight w:val="none"/>
        </w:rPr>
        <w:t>只有</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z w:val="21"/>
          <w:szCs w:val="21"/>
          <w:highlight w:val="none"/>
        </w:rPr>
        <w:t>2 家的，竞争性磋商采购活动可以继续进行”的情形外，在采购</w:t>
      </w:r>
      <w:r>
        <w:rPr>
          <w:rFonts w:hint="eastAsia" w:ascii="宋体" w:hAnsi="宋体" w:eastAsia="宋体" w:cs="宋体"/>
          <w:color w:val="auto"/>
          <w:spacing w:val="3"/>
          <w:sz w:val="21"/>
          <w:szCs w:val="21"/>
          <w:highlight w:val="none"/>
        </w:rPr>
        <w:t>过程中符合要求的供应商或者报价未超过采购预算的供应商不足</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3"/>
          <w:sz w:val="21"/>
          <w:szCs w:val="21"/>
          <w:highlight w:val="none"/>
        </w:rPr>
        <w:t>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家的。</w:t>
      </w:r>
    </w:p>
    <w:p w14:paraId="24EE4275">
      <w:pPr>
        <w:spacing w:before="180"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23  签订合同</w:t>
      </w:r>
    </w:p>
    <w:p w14:paraId="01D9EA35">
      <w:pPr>
        <w:spacing w:before="180" w:line="360" w:lineRule="auto"/>
        <w:ind w:left="1116" w:right="204" w:hanging="72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23.1   采购人与成交供应商应当在成交通知书发出之日起</w:t>
      </w:r>
      <w:r>
        <w:rPr>
          <w:rFonts w:hint="eastAsia" w:ascii="宋体" w:hAnsi="宋体" w:eastAsia="宋体" w:cs="宋体"/>
          <w:color w:val="auto"/>
          <w:spacing w:val="-36"/>
          <w:sz w:val="21"/>
          <w:szCs w:val="21"/>
          <w:highlight w:val="none"/>
        </w:rPr>
        <w:t xml:space="preserve"> </w:t>
      </w:r>
      <w:r>
        <w:rPr>
          <w:rFonts w:hint="eastAsia" w:ascii="宋体" w:hAnsi="宋体" w:eastAsia="宋体" w:cs="宋体"/>
          <w:color w:val="auto"/>
          <w:spacing w:val="-3"/>
          <w:sz w:val="21"/>
          <w:szCs w:val="21"/>
          <w:highlight w:val="none"/>
        </w:rPr>
        <w:t>30  日内，按照磋商文件确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定的合同文本以及采购标的、规格型号、采购金额、采购数量、技术</w:t>
      </w:r>
      <w:r>
        <w:rPr>
          <w:rFonts w:hint="eastAsia" w:ascii="宋体" w:hAnsi="宋体" w:eastAsia="宋体" w:cs="宋体"/>
          <w:color w:val="auto"/>
          <w:spacing w:val="1"/>
          <w:sz w:val="21"/>
          <w:szCs w:val="21"/>
          <w:highlight w:val="none"/>
        </w:rPr>
        <w:t>和服务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要求等事项签订政府采购合同。</w:t>
      </w:r>
    </w:p>
    <w:p w14:paraId="5403CB56">
      <w:pPr>
        <w:spacing w:before="183" w:line="360" w:lineRule="auto"/>
        <w:ind w:left="1114" w:hanging="72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23.2   成交供应商拒绝签订政府采购合同的，</w:t>
      </w:r>
      <w:r>
        <w:rPr>
          <w:rFonts w:hint="eastAsia" w:ascii="宋体" w:hAnsi="宋体" w:eastAsia="宋体" w:cs="宋体"/>
          <w:color w:val="auto"/>
          <w:spacing w:val="1"/>
          <w:sz w:val="21"/>
          <w:szCs w:val="21"/>
          <w:highlight w:val="none"/>
        </w:rPr>
        <w:t>采购人可以按照评审报告推荐的成交候选人名单排序，确定下一候选人为成交供应商，也可以重新开展采</w:t>
      </w:r>
      <w:r>
        <w:rPr>
          <w:rFonts w:hint="eastAsia" w:ascii="宋体" w:hAnsi="宋体" w:eastAsia="宋体" w:cs="宋体"/>
          <w:color w:val="auto"/>
          <w:sz w:val="21"/>
          <w:szCs w:val="21"/>
          <w:highlight w:val="none"/>
        </w:rPr>
        <w:t xml:space="preserve">购活动。 </w:t>
      </w:r>
      <w:r>
        <w:rPr>
          <w:rFonts w:hint="eastAsia" w:ascii="宋体" w:hAnsi="宋体" w:eastAsia="宋体" w:cs="宋体"/>
          <w:color w:val="auto"/>
          <w:spacing w:val="1"/>
          <w:sz w:val="21"/>
          <w:szCs w:val="21"/>
          <w:highlight w:val="none"/>
        </w:rPr>
        <w:t>拒绝签订政府采购合同的成交供应商不得参加对该项目重新开展的采</w:t>
      </w:r>
      <w:r>
        <w:rPr>
          <w:rFonts w:hint="eastAsia" w:ascii="宋体" w:hAnsi="宋体" w:eastAsia="宋体" w:cs="宋体"/>
          <w:color w:val="auto"/>
          <w:sz w:val="21"/>
          <w:szCs w:val="21"/>
          <w:highlight w:val="none"/>
        </w:rPr>
        <w:t>购活动。</w:t>
      </w:r>
    </w:p>
    <w:p w14:paraId="5A5C13B5">
      <w:pPr>
        <w:spacing w:before="182" w:line="360" w:lineRule="auto"/>
        <w:ind w:left="1115" w:right="204" w:hanging="72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23.3   联合体成交的，联合体各方应当共同与</w:t>
      </w:r>
      <w:r>
        <w:rPr>
          <w:rFonts w:hint="eastAsia" w:ascii="宋体" w:hAnsi="宋体" w:eastAsia="宋体" w:cs="宋体"/>
          <w:color w:val="auto"/>
          <w:spacing w:val="1"/>
          <w:sz w:val="21"/>
          <w:szCs w:val="21"/>
          <w:highlight w:val="none"/>
        </w:rPr>
        <w:t>采购人签订合同，就采购合同约定的</w:t>
      </w:r>
      <w:r>
        <w:rPr>
          <w:rFonts w:hint="eastAsia" w:ascii="宋体" w:hAnsi="宋体" w:eastAsia="宋体" w:cs="宋体"/>
          <w:color w:val="auto"/>
          <w:spacing w:val="-4"/>
          <w:sz w:val="21"/>
          <w:szCs w:val="21"/>
          <w:highlight w:val="none"/>
        </w:rPr>
        <w:t>事项向采购人承担连带责任。</w:t>
      </w:r>
    </w:p>
    <w:p w14:paraId="418E1CA8">
      <w:pPr>
        <w:spacing w:before="182"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23.4   政府采购合同不能转包。</w:t>
      </w:r>
    </w:p>
    <w:p w14:paraId="4CEC1784">
      <w:pPr>
        <w:spacing w:before="183" w:line="360" w:lineRule="auto"/>
        <w:ind w:left="1119" w:right="204" w:hanging="72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23.5   采购人允许采用分包方式履行合同的，</w:t>
      </w:r>
      <w:r>
        <w:rPr>
          <w:rFonts w:hint="eastAsia" w:ascii="宋体" w:hAnsi="宋体" w:eastAsia="宋体" w:cs="宋体"/>
          <w:color w:val="auto"/>
          <w:spacing w:val="1"/>
          <w:sz w:val="21"/>
          <w:szCs w:val="21"/>
          <w:highlight w:val="none"/>
        </w:rPr>
        <w:t>成交供应商可以依法采取分包方式履</w:t>
      </w:r>
      <w:r>
        <w:rPr>
          <w:rFonts w:hint="eastAsia" w:ascii="宋体" w:hAnsi="宋体" w:eastAsia="宋体" w:cs="宋体"/>
          <w:color w:val="auto"/>
          <w:spacing w:val="-10"/>
          <w:sz w:val="21"/>
          <w:szCs w:val="21"/>
          <w:highlight w:val="none"/>
        </w:rPr>
        <w:t>行合同。本项目是否允许分包，</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10"/>
          <w:sz w:val="21"/>
          <w:szCs w:val="21"/>
          <w:highlight w:val="none"/>
        </w:rPr>
        <w:t>见《供应商</w:t>
      </w:r>
      <w:r>
        <w:rPr>
          <w:rFonts w:hint="eastAsia" w:ascii="宋体" w:hAnsi="宋体" w:eastAsia="宋体" w:cs="宋体"/>
          <w:color w:val="auto"/>
          <w:spacing w:val="-11"/>
          <w:sz w:val="21"/>
          <w:szCs w:val="21"/>
          <w:highlight w:val="none"/>
        </w:rPr>
        <w:t>须知资料表》。政府采购合同分包</w:t>
      </w:r>
      <w:r>
        <w:rPr>
          <w:rFonts w:hint="eastAsia" w:ascii="宋体" w:hAnsi="宋体" w:eastAsia="宋体" w:cs="宋体"/>
          <w:color w:val="auto"/>
          <w:spacing w:val="2"/>
          <w:sz w:val="21"/>
          <w:szCs w:val="21"/>
          <w:highlight w:val="none"/>
        </w:rPr>
        <w:t>履行的，应当在响应文件中载明分包承担主体，分包承担主体</w:t>
      </w:r>
      <w:r>
        <w:rPr>
          <w:rFonts w:hint="eastAsia" w:ascii="宋体" w:hAnsi="宋体" w:eastAsia="宋体" w:cs="宋体"/>
          <w:color w:val="auto"/>
          <w:spacing w:val="1"/>
          <w:sz w:val="21"/>
          <w:szCs w:val="21"/>
          <w:highlight w:val="none"/>
        </w:rPr>
        <w:t>应当具备相应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资质条件且不得再次分包，</w:t>
      </w:r>
      <w:r>
        <w:rPr>
          <w:rFonts w:hint="eastAsia" w:ascii="宋体" w:hAnsi="宋体" w:eastAsia="宋体" w:cs="宋体"/>
          <w:b/>
          <w:bCs/>
          <w:color w:val="auto"/>
          <w:spacing w:val="1"/>
          <w:sz w:val="21"/>
          <w:szCs w:val="21"/>
          <w:highlight w:val="none"/>
        </w:rPr>
        <w:t>否则响应无效</w:t>
      </w:r>
      <w:r>
        <w:rPr>
          <w:rFonts w:hint="eastAsia" w:ascii="宋体" w:hAnsi="宋体" w:eastAsia="宋体" w:cs="宋体"/>
          <w:color w:val="auto"/>
          <w:spacing w:val="1"/>
          <w:sz w:val="21"/>
          <w:szCs w:val="21"/>
          <w:highlight w:val="none"/>
        </w:rPr>
        <w:t>。成交供应商就采购项目和分包项</w:t>
      </w:r>
      <w:r>
        <w:rPr>
          <w:rFonts w:hint="eastAsia" w:ascii="宋体" w:hAnsi="宋体" w:eastAsia="宋体" w:cs="宋体"/>
          <w:color w:val="auto"/>
          <w:spacing w:val="-2"/>
          <w:sz w:val="21"/>
          <w:szCs w:val="21"/>
          <w:highlight w:val="none"/>
        </w:rPr>
        <w:t>目向采购人负责，分包供应商就分包项目承担责任。</w:t>
      </w:r>
    </w:p>
    <w:p w14:paraId="6A113DEA">
      <w:pPr>
        <w:spacing w:before="182"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23.6   “政采贷”融资指引：详见《供应</w:t>
      </w:r>
      <w:r>
        <w:rPr>
          <w:rFonts w:hint="eastAsia" w:ascii="宋体" w:hAnsi="宋体" w:eastAsia="宋体" w:cs="宋体"/>
          <w:color w:val="auto"/>
          <w:spacing w:val="-5"/>
          <w:sz w:val="21"/>
          <w:szCs w:val="21"/>
          <w:highlight w:val="none"/>
        </w:rPr>
        <w:t>商须知资料表》。</w:t>
      </w:r>
    </w:p>
    <w:p w14:paraId="6C13C6EB">
      <w:pPr>
        <w:spacing w:before="183"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24  询问与质疑</w:t>
      </w:r>
    </w:p>
    <w:p w14:paraId="52ED06C4">
      <w:pPr>
        <w:spacing w:before="181"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24.1</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询问</w:t>
      </w:r>
    </w:p>
    <w:p w14:paraId="0C74BE19">
      <w:pPr>
        <w:spacing w:before="179" w:line="360" w:lineRule="auto"/>
        <w:ind w:left="2021" w:right="204" w:hanging="90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24.1.1   供应商对政府采购活动事项有疑问的，可依法向采购人或采购代理机</w:t>
      </w:r>
      <w:r>
        <w:rPr>
          <w:rFonts w:hint="eastAsia" w:ascii="宋体" w:hAnsi="宋体" w:eastAsia="宋体" w:cs="宋体"/>
          <w:color w:val="auto"/>
          <w:spacing w:val="-7"/>
          <w:sz w:val="21"/>
          <w:szCs w:val="21"/>
          <w:highlight w:val="none"/>
        </w:rPr>
        <w:t>构提出询问，提出形式见《供应商须知资料表》。</w:t>
      </w:r>
    </w:p>
    <w:p w14:paraId="79A2E795">
      <w:pPr>
        <w:spacing w:before="287" w:line="360" w:lineRule="auto"/>
        <w:ind w:left="2038" w:right="204" w:hanging="92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24.1.2   采购人或采购代理机构对供应商依法提出的询问，在</w:t>
      </w:r>
      <w:r>
        <w:rPr>
          <w:rFonts w:hint="eastAsia" w:ascii="宋体" w:hAnsi="宋体" w:eastAsia="宋体" w:cs="宋体"/>
          <w:color w:val="auto"/>
          <w:spacing w:val="-49"/>
          <w:sz w:val="21"/>
          <w:szCs w:val="21"/>
          <w:highlight w:val="none"/>
        </w:rPr>
        <w:t xml:space="preserve"> </w:t>
      </w:r>
      <w:r>
        <w:rPr>
          <w:rFonts w:hint="eastAsia" w:ascii="宋体" w:hAnsi="宋体" w:eastAsia="宋体" w:cs="宋体"/>
          <w:color w:val="auto"/>
          <w:spacing w:val="-3"/>
          <w:sz w:val="21"/>
          <w:szCs w:val="21"/>
          <w:highlight w:val="none"/>
        </w:rPr>
        <w:t>3 个工作日内作</w:t>
      </w:r>
      <w:r>
        <w:rPr>
          <w:rFonts w:hint="eastAsia" w:ascii="宋体" w:hAnsi="宋体" w:eastAsia="宋体" w:cs="宋体"/>
          <w:color w:val="auto"/>
          <w:spacing w:val="-4"/>
          <w:sz w:val="21"/>
          <w:szCs w:val="21"/>
          <w:highlight w:val="none"/>
        </w:rPr>
        <w:t>出答复，但答复的内容不得涉及商业秘密。</w:t>
      </w:r>
    </w:p>
    <w:p w14:paraId="404E720C">
      <w:pPr>
        <w:spacing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24.2</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质疑</w:t>
      </w:r>
    </w:p>
    <w:p w14:paraId="115CEBD4">
      <w:pPr>
        <w:spacing w:before="181" w:line="360" w:lineRule="auto"/>
        <w:ind w:left="2018" w:right="18"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24.2.1   供应商认为竞争性磋商文件、采购过程、成交结果使自己的权益受到</w:t>
      </w:r>
      <w:r>
        <w:rPr>
          <w:rFonts w:hint="eastAsia" w:ascii="宋体" w:hAnsi="宋体" w:eastAsia="宋体" w:cs="宋体"/>
          <w:color w:val="auto"/>
          <w:spacing w:val="2"/>
          <w:sz w:val="21"/>
          <w:szCs w:val="21"/>
          <w:highlight w:val="none"/>
        </w:rPr>
        <w:t>损害的，可以在知道或者应知其权益受到损害之日起</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pacing w:val="1"/>
          <w:sz w:val="21"/>
          <w:szCs w:val="21"/>
          <w:highlight w:val="none"/>
        </w:rPr>
        <w:t>7 个工作日内，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以书面形式向采购人、采购代理机构提出质疑。采购人、采购代理机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构在收到质疑函后</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3"/>
          <w:sz w:val="21"/>
          <w:szCs w:val="21"/>
          <w:highlight w:val="none"/>
        </w:rPr>
        <w:t>7 个工作日内作出答复。</w:t>
      </w:r>
    </w:p>
    <w:p w14:paraId="33885B5D">
      <w:pPr>
        <w:spacing w:before="182" w:line="360" w:lineRule="auto"/>
        <w:ind w:left="2017" w:right="204" w:hanging="903"/>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24.2.2   质疑函须使用财政部制定的范本文件。供应商为自</w:t>
      </w:r>
      <w:r>
        <w:rPr>
          <w:rFonts w:hint="eastAsia" w:ascii="宋体" w:hAnsi="宋体" w:eastAsia="宋体" w:cs="宋体"/>
          <w:color w:val="auto"/>
          <w:spacing w:val="-5"/>
          <w:sz w:val="21"/>
          <w:szCs w:val="21"/>
          <w:highlight w:val="none"/>
        </w:rPr>
        <w:t>然人的，</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5"/>
          <w:sz w:val="21"/>
          <w:szCs w:val="21"/>
          <w:highlight w:val="none"/>
        </w:rPr>
        <w:t>质疑函应</w:t>
      </w:r>
      <w:r>
        <w:rPr>
          <w:rFonts w:hint="eastAsia" w:ascii="宋体" w:hAnsi="宋体" w:eastAsia="宋体" w:cs="宋体"/>
          <w:color w:val="auto"/>
          <w:spacing w:val="-4"/>
          <w:sz w:val="21"/>
          <w:szCs w:val="21"/>
          <w:highlight w:val="none"/>
        </w:rPr>
        <w:t>当由本人签字；供应商为法人或者其他组织的，质疑函应当由法定代</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表人、主要负责人，或者其授权代表签字或者盖章，并加盖公章。</w:t>
      </w:r>
    </w:p>
    <w:p w14:paraId="1B12391C">
      <w:pPr>
        <w:spacing w:before="183" w:line="360" w:lineRule="auto"/>
        <w:ind w:left="2017" w:right="21" w:hanging="90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24.2.3   供应商委托代理人进行质疑的，应当随质疑函同时提交供应商签署的</w:t>
      </w:r>
      <w:r>
        <w:rPr>
          <w:rFonts w:hint="eastAsia" w:ascii="宋体" w:hAnsi="宋体" w:eastAsia="宋体" w:cs="宋体"/>
          <w:color w:val="auto"/>
          <w:spacing w:val="-9"/>
          <w:sz w:val="21"/>
          <w:szCs w:val="21"/>
          <w:highlight w:val="none"/>
        </w:rPr>
        <w:t>授权委托书。授权委托书应当载明代理人的姓名或者名称、代理事项、</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2"/>
          <w:sz w:val="21"/>
          <w:szCs w:val="21"/>
          <w:highlight w:val="none"/>
        </w:rPr>
        <w:t>具体权限、期限和相关事项。供应商为自然人的，应当由本人签字；</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4"/>
          <w:sz w:val="21"/>
          <w:szCs w:val="21"/>
          <w:highlight w:val="none"/>
        </w:rPr>
        <w:t>供应商为法人或者其他组织的，应当由法定代表人、主要负责人签字或者盖章，并加盖公章。</w:t>
      </w:r>
    </w:p>
    <w:p w14:paraId="2F9ACF53">
      <w:pPr>
        <w:spacing w:before="184" w:line="360" w:lineRule="auto"/>
        <w:ind w:left="2017" w:right="18" w:hanging="90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24.2.4   供应商应在法定质疑期内一次性提出针对同一</w:t>
      </w:r>
      <w:r>
        <w:rPr>
          <w:rFonts w:hint="eastAsia" w:ascii="宋体" w:hAnsi="宋体" w:eastAsia="宋体" w:cs="宋体"/>
          <w:color w:val="auto"/>
          <w:spacing w:val="1"/>
          <w:sz w:val="21"/>
          <w:szCs w:val="21"/>
          <w:highlight w:val="none"/>
        </w:rPr>
        <w:t>采购程序环节的质疑，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法定质疑期内针对同一采购程序环节再次提出的质疑，采购人、采购</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代理机构有权不予答复。</w:t>
      </w:r>
    </w:p>
    <w:p w14:paraId="254557B5">
      <w:pPr>
        <w:spacing w:before="182"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24.3    接收询问和质疑的联系部门、联系电话和通讯地址见《</w:t>
      </w:r>
      <w:r>
        <w:rPr>
          <w:rFonts w:hint="eastAsia" w:ascii="宋体" w:hAnsi="宋体" w:eastAsia="宋体" w:cs="宋体"/>
          <w:color w:val="auto"/>
          <w:sz w:val="21"/>
          <w:szCs w:val="21"/>
          <w:highlight w:val="none"/>
        </w:rPr>
        <w:t>供应商须知资料表》。</w:t>
      </w:r>
    </w:p>
    <w:p w14:paraId="75D49032">
      <w:pPr>
        <w:spacing w:before="182"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25  代理费</w:t>
      </w:r>
    </w:p>
    <w:p w14:paraId="02833C0E">
      <w:pPr>
        <w:spacing w:before="183" w:line="360" w:lineRule="auto"/>
        <w:ind w:left="640" w:leftChars="0" w:firstLine="0" w:firstLineChars="0"/>
        <w:jc w:val="right"/>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25.1    收费对象、收费标准及缴纳时间见《供应商须知资料表》。由成交供应商支付</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的，成交供应商须一次性向采购代理机构缴纳代理费，报价应包含代理费用。</w:t>
      </w:r>
    </w:p>
    <w:p w14:paraId="785F475B">
      <w:pPr>
        <w:spacing w:line="360" w:lineRule="auto"/>
        <w:rPr>
          <w:rFonts w:hint="eastAsia" w:ascii="宋体" w:hAnsi="宋体" w:eastAsia="宋体" w:cs="宋体"/>
          <w:color w:val="auto"/>
          <w:sz w:val="21"/>
          <w:szCs w:val="21"/>
          <w:highlight w:val="none"/>
        </w:rPr>
        <w:sectPr>
          <w:headerReference r:id="rId11" w:type="default"/>
          <w:footerReference r:id="rId12" w:type="default"/>
          <w:pgSz w:w="11907" w:h="16840"/>
          <w:pgMar w:top="1167" w:right="929" w:bottom="1011" w:left="1672" w:header="830" w:footer="851" w:gutter="0"/>
          <w:pgNumType w:fmt="decimal"/>
          <w:cols w:space="720" w:num="1"/>
        </w:sectPr>
      </w:pPr>
    </w:p>
    <w:p w14:paraId="01337444">
      <w:pPr>
        <w:spacing w:before="306" w:line="219" w:lineRule="auto"/>
        <w:ind w:left="2140"/>
        <w:outlineLvl w:val="0"/>
        <w:rPr>
          <w:rFonts w:ascii="宋体" w:hAnsi="宋体" w:eastAsia="宋体" w:cs="宋体"/>
          <w:color w:val="auto"/>
          <w:sz w:val="36"/>
          <w:szCs w:val="36"/>
          <w:highlight w:val="none"/>
        </w:rPr>
      </w:pPr>
      <w:bookmarkStart w:id="4" w:name="bookmark3"/>
      <w:bookmarkEnd w:id="4"/>
      <w:r>
        <w:rPr>
          <w:rFonts w:ascii="宋体" w:hAnsi="宋体" w:eastAsia="宋体" w:cs="宋体"/>
          <w:b/>
          <w:bCs/>
          <w:color w:val="auto"/>
          <w:spacing w:val="-3"/>
          <w:sz w:val="36"/>
          <w:szCs w:val="36"/>
          <w:highlight w:val="none"/>
        </w:rPr>
        <w:t>第三章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评审方法和评审标准</w:t>
      </w:r>
    </w:p>
    <w:p w14:paraId="33F804B0">
      <w:pPr>
        <w:spacing w:before="255" w:line="220" w:lineRule="auto"/>
        <w:ind w:left="3493"/>
        <w:outlineLvl w:val="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一、评审程序和方法</w:t>
      </w:r>
    </w:p>
    <w:p w14:paraId="68DEA40A">
      <w:pPr>
        <w:pStyle w:val="6"/>
        <w:spacing w:line="375" w:lineRule="auto"/>
        <w:rPr>
          <w:color w:val="auto"/>
          <w:highlight w:val="none"/>
        </w:rPr>
      </w:pPr>
    </w:p>
    <w:p w14:paraId="3B08D6EB">
      <w:pPr>
        <w:spacing w:before="78" w:line="360" w:lineRule="auto"/>
        <w:ind w:left="57"/>
        <w:outlineLvl w:val="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    响应文件的资格审查和符合性审查</w:t>
      </w:r>
    </w:p>
    <w:p w14:paraId="4FC10678">
      <w:pPr>
        <w:spacing w:before="181" w:line="360" w:lineRule="auto"/>
        <w:ind w:left="1114" w:right="29" w:hanging="70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    磋商小组将根据《资格审查要求》和《符合性审查要求》中规定的内容，对</w:t>
      </w:r>
      <w:r>
        <w:rPr>
          <w:rFonts w:hint="eastAsia" w:ascii="宋体" w:hAnsi="宋体" w:eastAsia="宋体" w:cs="宋体"/>
          <w:color w:val="auto"/>
          <w:spacing w:val="2"/>
          <w:sz w:val="21"/>
          <w:szCs w:val="21"/>
          <w:highlight w:val="none"/>
        </w:rPr>
        <w:t>供应商进行检查，并形成检查结果。供应商《响应文件》有任何一项不符合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《资格审查要求》和《符合性审查要求》要求的，视为未实质性响应磋商文件。未实质性响应磋商文件的响应文件按</w:t>
      </w:r>
      <w:r>
        <w:rPr>
          <w:rFonts w:hint="eastAsia" w:ascii="宋体" w:hAnsi="宋体" w:eastAsia="宋体" w:cs="宋体"/>
          <w:b/>
          <w:bCs/>
          <w:color w:val="auto"/>
          <w:spacing w:val="2"/>
          <w:sz w:val="21"/>
          <w:szCs w:val="21"/>
          <w:highlight w:val="none"/>
        </w:rPr>
        <w:t>无效响应</w:t>
      </w:r>
      <w:r>
        <w:rPr>
          <w:rFonts w:hint="eastAsia" w:ascii="宋体" w:hAnsi="宋体" w:eastAsia="宋体" w:cs="宋体"/>
          <w:color w:val="auto"/>
          <w:spacing w:val="1"/>
          <w:sz w:val="21"/>
          <w:szCs w:val="21"/>
          <w:highlight w:val="none"/>
        </w:rPr>
        <w:t>处理，磋商小组应当告知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提交响应文件的供应商。</w:t>
      </w:r>
    </w:p>
    <w:p w14:paraId="482315C9">
      <w:pPr>
        <w:spacing w:before="183" w:line="360" w:lineRule="auto"/>
        <w:ind w:left="1116" w:right="29" w:hanging="70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1.2    《资格审查要求》中对格式有要求的，除竞争性磋商文件另有规定外，均为“实</w:t>
      </w:r>
      <w:r>
        <w:rPr>
          <w:rFonts w:hint="eastAsia" w:ascii="宋体" w:hAnsi="宋体" w:eastAsia="宋体" w:cs="宋体"/>
          <w:color w:val="auto"/>
          <w:spacing w:val="-5"/>
          <w:sz w:val="21"/>
          <w:szCs w:val="21"/>
          <w:highlight w:val="none"/>
        </w:rPr>
        <w:t>质性格式”文件。</w:t>
      </w:r>
    </w:p>
    <w:p w14:paraId="001518BA">
      <w:pPr>
        <w:spacing w:before="180"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1.3    《资格审查要求》见下表：</w:t>
      </w:r>
    </w:p>
    <w:p w14:paraId="76209BE5">
      <w:pPr>
        <w:spacing w:before="181" w:line="360" w:lineRule="auto"/>
        <w:ind w:left="3765"/>
        <w:rPr>
          <w:rFonts w:hint="eastAsia" w:ascii="宋体" w:hAnsi="宋体" w:eastAsia="宋体" w:cs="宋体"/>
          <w:color w:val="auto"/>
          <w:sz w:val="21"/>
          <w:szCs w:val="21"/>
          <w:highlight w:val="none"/>
        </w:rPr>
      </w:pPr>
      <w:r>
        <w:rPr>
          <w:rFonts w:hint="eastAsia" w:ascii="宋体" w:hAnsi="宋体" w:eastAsia="宋体" w:cs="宋体"/>
          <w:b/>
          <w:bCs/>
          <w:color w:val="auto"/>
          <w:spacing w:val="-6"/>
          <w:sz w:val="21"/>
          <w:szCs w:val="21"/>
          <w:highlight w:val="none"/>
        </w:rPr>
        <w:t>资格审查要求</w:t>
      </w:r>
    </w:p>
    <w:p w14:paraId="227CA929">
      <w:pPr>
        <w:spacing w:line="360" w:lineRule="auto"/>
        <w:rPr>
          <w:rFonts w:hint="eastAsia" w:ascii="宋体" w:hAnsi="宋体" w:eastAsia="宋体" w:cs="宋体"/>
          <w:color w:val="auto"/>
          <w:sz w:val="21"/>
          <w:szCs w:val="21"/>
          <w:highlight w:val="none"/>
        </w:rPr>
      </w:pPr>
    </w:p>
    <w:tbl>
      <w:tblPr>
        <w:tblStyle w:val="18"/>
        <w:tblW w:w="9062"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
        <w:gridCol w:w="1698"/>
        <w:gridCol w:w="4669"/>
        <w:gridCol w:w="1866"/>
      </w:tblGrid>
      <w:tr w14:paraId="5BEBA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29" w:type="dxa"/>
            <w:vAlign w:val="top"/>
          </w:tcPr>
          <w:p w14:paraId="643F6409">
            <w:pPr>
              <w:pStyle w:val="19"/>
              <w:spacing w:before="115" w:line="360" w:lineRule="auto"/>
              <w:ind w:left="174"/>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序号</w:t>
            </w:r>
          </w:p>
        </w:tc>
        <w:tc>
          <w:tcPr>
            <w:tcW w:w="1698" w:type="dxa"/>
            <w:vAlign w:val="top"/>
          </w:tcPr>
          <w:p w14:paraId="1F4EF6C6">
            <w:pPr>
              <w:pStyle w:val="19"/>
              <w:spacing w:before="115" w:line="360" w:lineRule="auto"/>
              <w:ind w:left="368"/>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检查因素</w:t>
            </w:r>
          </w:p>
        </w:tc>
        <w:tc>
          <w:tcPr>
            <w:tcW w:w="4669" w:type="dxa"/>
            <w:vAlign w:val="top"/>
          </w:tcPr>
          <w:p w14:paraId="7FB78058">
            <w:pPr>
              <w:pStyle w:val="19"/>
              <w:spacing w:before="115" w:line="360" w:lineRule="auto"/>
              <w:ind w:left="1857"/>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检查内容</w:t>
            </w:r>
          </w:p>
        </w:tc>
        <w:tc>
          <w:tcPr>
            <w:tcW w:w="1866" w:type="dxa"/>
            <w:vAlign w:val="top"/>
          </w:tcPr>
          <w:p w14:paraId="5DAF6DD4">
            <w:pPr>
              <w:pStyle w:val="19"/>
              <w:spacing w:before="115" w:line="360" w:lineRule="auto"/>
              <w:ind w:left="456"/>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格式要求</w:t>
            </w:r>
          </w:p>
        </w:tc>
      </w:tr>
      <w:tr w14:paraId="0B4BD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829" w:type="dxa"/>
            <w:vAlign w:val="top"/>
          </w:tcPr>
          <w:p w14:paraId="2B6EB84A">
            <w:pPr>
              <w:spacing w:line="360" w:lineRule="auto"/>
              <w:rPr>
                <w:rFonts w:hint="eastAsia" w:ascii="宋体" w:hAnsi="宋体" w:eastAsia="宋体" w:cs="宋体"/>
                <w:color w:val="auto"/>
                <w:sz w:val="21"/>
                <w:szCs w:val="21"/>
                <w:highlight w:val="none"/>
              </w:rPr>
            </w:pPr>
          </w:p>
          <w:p w14:paraId="37FF9B50">
            <w:pPr>
              <w:spacing w:before="69" w:line="360" w:lineRule="auto"/>
              <w:ind w:left="3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98" w:type="dxa"/>
            <w:vAlign w:val="top"/>
          </w:tcPr>
          <w:p w14:paraId="7F65D08A">
            <w:pPr>
              <w:pStyle w:val="19"/>
              <w:spacing w:before="36" w:line="360" w:lineRule="auto"/>
              <w:ind w:left="107" w:right="148"/>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满足《中华人</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
                <w:sz w:val="21"/>
                <w:szCs w:val="21"/>
                <w:highlight w:val="none"/>
              </w:rPr>
              <w:t>民共和国政府</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采购法》第二</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十二条规定</w:t>
            </w:r>
          </w:p>
        </w:tc>
        <w:tc>
          <w:tcPr>
            <w:tcW w:w="4669" w:type="dxa"/>
            <w:vAlign w:val="top"/>
          </w:tcPr>
          <w:p w14:paraId="0F9A7BA9">
            <w:pPr>
              <w:spacing w:line="360" w:lineRule="auto"/>
              <w:rPr>
                <w:rFonts w:hint="eastAsia" w:ascii="宋体" w:hAnsi="宋体" w:eastAsia="宋体" w:cs="宋体"/>
                <w:color w:val="auto"/>
                <w:sz w:val="21"/>
                <w:szCs w:val="21"/>
                <w:highlight w:val="none"/>
              </w:rPr>
            </w:pPr>
          </w:p>
          <w:p w14:paraId="7C9BA4B6">
            <w:pPr>
              <w:pStyle w:val="19"/>
              <w:spacing w:before="78"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具体规定见第一章《采购邀请》</w:t>
            </w:r>
          </w:p>
        </w:tc>
        <w:tc>
          <w:tcPr>
            <w:tcW w:w="1866" w:type="dxa"/>
            <w:vAlign w:val="top"/>
          </w:tcPr>
          <w:p w14:paraId="05E0BAC0">
            <w:pPr>
              <w:spacing w:line="360" w:lineRule="auto"/>
              <w:rPr>
                <w:rFonts w:hint="eastAsia" w:ascii="宋体" w:hAnsi="宋体" w:eastAsia="宋体" w:cs="宋体"/>
                <w:color w:val="auto"/>
                <w:sz w:val="21"/>
                <w:szCs w:val="21"/>
                <w:highlight w:val="none"/>
              </w:rPr>
            </w:pPr>
          </w:p>
        </w:tc>
      </w:tr>
      <w:tr w14:paraId="71C5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7" w:hRule="atLeast"/>
        </w:trPr>
        <w:tc>
          <w:tcPr>
            <w:tcW w:w="829" w:type="dxa"/>
            <w:vAlign w:val="top"/>
          </w:tcPr>
          <w:p w14:paraId="0E68D763">
            <w:pPr>
              <w:spacing w:line="360" w:lineRule="auto"/>
              <w:rPr>
                <w:rFonts w:hint="eastAsia" w:ascii="宋体" w:hAnsi="宋体" w:eastAsia="宋体" w:cs="宋体"/>
                <w:color w:val="auto"/>
                <w:sz w:val="21"/>
                <w:szCs w:val="21"/>
                <w:highlight w:val="none"/>
              </w:rPr>
            </w:pPr>
          </w:p>
          <w:p w14:paraId="04898B2E">
            <w:pPr>
              <w:spacing w:line="360" w:lineRule="auto"/>
              <w:rPr>
                <w:rFonts w:hint="eastAsia" w:ascii="宋体" w:hAnsi="宋体" w:eastAsia="宋体" w:cs="宋体"/>
                <w:color w:val="auto"/>
                <w:sz w:val="21"/>
                <w:szCs w:val="21"/>
                <w:highlight w:val="none"/>
              </w:rPr>
            </w:pPr>
          </w:p>
          <w:p w14:paraId="7B5A0A86">
            <w:pPr>
              <w:spacing w:line="360" w:lineRule="auto"/>
              <w:rPr>
                <w:rFonts w:hint="eastAsia" w:ascii="宋体" w:hAnsi="宋体" w:eastAsia="宋体" w:cs="宋体"/>
                <w:color w:val="auto"/>
                <w:sz w:val="21"/>
                <w:szCs w:val="21"/>
                <w:highlight w:val="none"/>
              </w:rPr>
            </w:pPr>
          </w:p>
          <w:p w14:paraId="45AA9DCC">
            <w:pPr>
              <w:spacing w:line="360" w:lineRule="auto"/>
              <w:rPr>
                <w:rFonts w:hint="eastAsia" w:ascii="宋体" w:hAnsi="宋体" w:eastAsia="宋体" w:cs="宋体"/>
                <w:color w:val="auto"/>
                <w:sz w:val="21"/>
                <w:szCs w:val="21"/>
                <w:highlight w:val="none"/>
              </w:rPr>
            </w:pPr>
          </w:p>
          <w:p w14:paraId="609B8718">
            <w:pPr>
              <w:spacing w:line="360" w:lineRule="auto"/>
              <w:rPr>
                <w:rFonts w:hint="eastAsia" w:ascii="宋体" w:hAnsi="宋体" w:eastAsia="宋体" w:cs="宋体"/>
                <w:color w:val="auto"/>
                <w:sz w:val="21"/>
                <w:szCs w:val="21"/>
                <w:highlight w:val="none"/>
              </w:rPr>
            </w:pPr>
          </w:p>
          <w:p w14:paraId="4D870F27">
            <w:pPr>
              <w:spacing w:before="6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1-1</w:t>
            </w:r>
          </w:p>
        </w:tc>
        <w:tc>
          <w:tcPr>
            <w:tcW w:w="1698" w:type="dxa"/>
            <w:vAlign w:val="top"/>
          </w:tcPr>
          <w:p w14:paraId="738D1F6D">
            <w:pPr>
              <w:spacing w:line="360" w:lineRule="auto"/>
              <w:rPr>
                <w:rFonts w:hint="eastAsia" w:ascii="宋体" w:hAnsi="宋体" w:eastAsia="宋体" w:cs="宋体"/>
                <w:color w:val="auto"/>
                <w:sz w:val="21"/>
                <w:szCs w:val="21"/>
                <w:highlight w:val="none"/>
              </w:rPr>
            </w:pPr>
          </w:p>
          <w:p w14:paraId="037D8833">
            <w:pPr>
              <w:spacing w:line="360" w:lineRule="auto"/>
              <w:rPr>
                <w:rFonts w:hint="eastAsia" w:ascii="宋体" w:hAnsi="宋体" w:eastAsia="宋体" w:cs="宋体"/>
                <w:color w:val="auto"/>
                <w:sz w:val="21"/>
                <w:szCs w:val="21"/>
                <w:highlight w:val="none"/>
              </w:rPr>
            </w:pPr>
          </w:p>
          <w:p w14:paraId="2CA69069">
            <w:pPr>
              <w:spacing w:line="360" w:lineRule="auto"/>
              <w:rPr>
                <w:rFonts w:hint="eastAsia" w:ascii="宋体" w:hAnsi="宋体" w:eastAsia="宋体" w:cs="宋体"/>
                <w:color w:val="auto"/>
                <w:sz w:val="21"/>
                <w:szCs w:val="21"/>
                <w:highlight w:val="none"/>
              </w:rPr>
            </w:pPr>
          </w:p>
          <w:p w14:paraId="02F4690F">
            <w:pPr>
              <w:spacing w:line="360" w:lineRule="auto"/>
              <w:rPr>
                <w:rFonts w:hint="eastAsia" w:ascii="宋体" w:hAnsi="宋体" w:eastAsia="宋体" w:cs="宋体"/>
                <w:color w:val="auto"/>
                <w:sz w:val="21"/>
                <w:szCs w:val="21"/>
                <w:highlight w:val="none"/>
              </w:rPr>
            </w:pPr>
          </w:p>
          <w:p w14:paraId="591777E1">
            <w:pPr>
              <w:pStyle w:val="19"/>
              <w:spacing w:before="78" w:line="360" w:lineRule="auto"/>
              <w:ind w:left="130" w:right="148" w:hanging="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营业执照等证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明文件</w:t>
            </w:r>
          </w:p>
        </w:tc>
        <w:tc>
          <w:tcPr>
            <w:tcW w:w="4669" w:type="dxa"/>
            <w:vAlign w:val="top"/>
          </w:tcPr>
          <w:p w14:paraId="1CBC3CA3">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供应商为企业（包括合伙企业）的，应提供有效的 “营业执照 ”；</w:t>
            </w:r>
          </w:p>
          <w:p w14:paraId="74EEFF68">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供应商为事业单位的，应提供有效的 “事业单 位法人证书 ”；</w:t>
            </w:r>
          </w:p>
          <w:p w14:paraId="5B981542">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供应商是非企业机构的，应提供有效的 “执业 许可证 ” 、“登记证书 ”等证明文件；</w:t>
            </w:r>
          </w:p>
          <w:p w14:paraId="08824967">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供应商是个体工商户的，应提供有效的 “个体 工商户营业执照 ”；</w:t>
            </w:r>
          </w:p>
          <w:p w14:paraId="7EA7A56C">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供应商是自然人的，应提供有效的自然人身份证明。</w:t>
            </w:r>
          </w:p>
          <w:p w14:paraId="3E5FEBA4">
            <w:pPr>
              <w:pStyle w:val="19"/>
              <w:spacing w:before="1" w:line="360" w:lineRule="auto"/>
              <w:ind w:left="116" w:right="237" w:hanging="6"/>
              <w:rPr>
                <w:rFonts w:hint="eastAsia" w:ascii="宋体" w:hAnsi="宋体" w:eastAsia="宋体" w:cs="宋体"/>
                <w:color w:val="auto"/>
                <w:sz w:val="21"/>
                <w:szCs w:val="21"/>
                <w:highlight w:val="none"/>
              </w:rPr>
            </w:pPr>
            <w:r>
              <w:rPr>
                <w:rFonts w:hint="eastAsia" w:ascii="宋体" w:hAnsi="宋体" w:eastAsia="宋体" w:cs="宋体"/>
                <w:snapToGrid w:val="0"/>
                <w:color w:val="auto"/>
                <w:spacing w:val="-1"/>
                <w:kern w:val="0"/>
                <w:sz w:val="21"/>
                <w:szCs w:val="21"/>
                <w:highlight w:val="none"/>
                <w:lang w:val="en-US" w:eastAsia="en-US" w:bidi="ar-SA"/>
              </w:rPr>
              <w:t>分支机构参加响应的，应提供该分支机构或其所属法人/其他组织的相应证明文件；同时还应提供其所属法人/其他组织出具的授权其参与本项目的授权书（格式自拟，须加盖 其所属法人/其他组织的公章）；对于银行、保险、石油石化、电力、电信等行业的分支 机构 ，可以提供上述授权，也可以提供其所属法人/其他组织的有关文件或制度等能够证明授权其独立开展业务的证明材料。</w:t>
            </w:r>
          </w:p>
        </w:tc>
        <w:tc>
          <w:tcPr>
            <w:tcW w:w="1866" w:type="dxa"/>
            <w:vAlign w:val="top"/>
          </w:tcPr>
          <w:p w14:paraId="6C22FB16">
            <w:pPr>
              <w:spacing w:line="360" w:lineRule="auto"/>
              <w:rPr>
                <w:rFonts w:hint="eastAsia" w:ascii="宋体" w:hAnsi="宋体" w:eastAsia="宋体" w:cs="宋体"/>
                <w:color w:val="auto"/>
                <w:sz w:val="21"/>
                <w:szCs w:val="21"/>
                <w:highlight w:val="none"/>
              </w:rPr>
            </w:pPr>
          </w:p>
          <w:p w14:paraId="74EF714B">
            <w:pPr>
              <w:spacing w:line="360" w:lineRule="auto"/>
              <w:rPr>
                <w:rFonts w:hint="eastAsia" w:ascii="宋体" w:hAnsi="宋体" w:eastAsia="宋体" w:cs="宋体"/>
                <w:color w:val="auto"/>
                <w:sz w:val="21"/>
                <w:szCs w:val="21"/>
                <w:highlight w:val="none"/>
              </w:rPr>
            </w:pPr>
          </w:p>
          <w:p w14:paraId="009C0621">
            <w:pPr>
              <w:spacing w:line="360" w:lineRule="auto"/>
              <w:rPr>
                <w:rFonts w:hint="eastAsia" w:ascii="宋体" w:hAnsi="宋体" w:eastAsia="宋体" w:cs="宋体"/>
                <w:color w:val="auto"/>
                <w:sz w:val="21"/>
                <w:szCs w:val="21"/>
                <w:highlight w:val="none"/>
              </w:rPr>
            </w:pPr>
          </w:p>
          <w:p w14:paraId="1407CA55">
            <w:pPr>
              <w:spacing w:line="360" w:lineRule="auto"/>
              <w:rPr>
                <w:rFonts w:hint="eastAsia" w:ascii="宋体" w:hAnsi="宋体" w:eastAsia="宋体" w:cs="宋体"/>
                <w:color w:val="auto"/>
                <w:sz w:val="21"/>
                <w:szCs w:val="21"/>
                <w:highlight w:val="none"/>
              </w:rPr>
            </w:pPr>
          </w:p>
          <w:p w14:paraId="0E40356D">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提供复印件并</w:t>
            </w:r>
          </w:p>
          <w:p w14:paraId="20F4483D">
            <w:pPr>
              <w:pStyle w:val="19"/>
              <w:spacing w:before="5" w:line="360" w:lineRule="auto"/>
              <w:ind w:left="108" w:right="104" w:firstLine="1"/>
              <w:rPr>
                <w:rFonts w:hint="eastAsia" w:ascii="宋体" w:hAnsi="宋体" w:eastAsia="宋体" w:cs="宋体"/>
                <w:snapToGrid w:val="0"/>
                <w:color w:val="auto"/>
                <w:spacing w:val="-1"/>
                <w:kern w:val="0"/>
                <w:sz w:val="21"/>
                <w:szCs w:val="21"/>
                <w:highlight w:val="none"/>
                <w:lang w:val="en-US" w:eastAsia="en-US" w:bidi="ar-SA"/>
              </w:rPr>
            </w:pPr>
            <w:r>
              <w:rPr>
                <w:rFonts w:hint="eastAsia" w:ascii="宋体" w:hAnsi="宋体" w:eastAsia="宋体" w:cs="宋体"/>
                <w:snapToGrid w:val="0"/>
                <w:color w:val="auto"/>
                <w:spacing w:val="-1"/>
                <w:kern w:val="0"/>
                <w:sz w:val="21"/>
                <w:szCs w:val="21"/>
                <w:highlight w:val="none"/>
                <w:lang w:val="en-US" w:eastAsia="en-US" w:bidi="ar-SA"/>
              </w:rPr>
              <w:t>加盖单位章，证书有效期内。</w:t>
            </w:r>
          </w:p>
          <w:p w14:paraId="666C306F">
            <w:pPr>
              <w:pStyle w:val="19"/>
              <w:spacing w:before="78" w:line="360" w:lineRule="auto"/>
              <w:ind w:left="116" w:right="309"/>
              <w:jc w:val="both"/>
              <w:rPr>
                <w:rFonts w:hint="eastAsia" w:ascii="宋体" w:hAnsi="宋体" w:eastAsia="宋体" w:cs="宋体"/>
                <w:color w:val="auto"/>
                <w:sz w:val="21"/>
                <w:szCs w:val="21"/>
                <w:highlight w:val="none"/>
              </w:rPr>
            </w:pPr>
          </w:p>
        </w:tc>
      </w:tr>
      <w:tr w14:paraId="4CF5F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29" w:type="dxa"/>
            <w:vAlign w:val="top"/>
          </w:tcPr>
          <w:p w14:paraId="7CDB4567">
            <w:pPr>
              <w:spacing w:before="23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1-2</w:t>
            </w:r>
          </w:p>
        </w:tc>
        <w:tc>
          <w:tcPr>
            <w:tcW w:w="1698" w:type="dxa"/>
            <w:vAlign w:val="top"/>
          </w:tcPr>
          <w:p w14:paraId="54695E8C">
            <w:pPr>
              <w:pStyle w:val="19"/>
              <w:spacing w:before="41" w:line="360" w:lineRule="auto"/>
              <w:ind w:left="130" w:right="148" w:hanging="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供应商资格声</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8"/>
                <w:sz w:val="21"/>
                <w:szCs w:val="21"/>
                <w:highlight w:val="none"/>
              </w:rPr>
              <w:t>明书</w:t>
            </w:r>
          </w:p>
        </w:tc>
        <w:tc>
          <w:tcPr>
            <w:tcW w:w="4669" w:type="dxa"/>
            <w:vAlign w:val="top"/>
          </w:tcPr>
          <w:p w14:paraId="068392A6">
            <w:pPr>
              <w:pStyle w:val="19"/>
              <w:spacing w:before="41" w:line="360" w:lineRule="auto"/>
              <w:ind w:left="114" w:right="237" w:hanging="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提供了符合竞争性磋商文件要求的《供应</w:t>
            </w:r>
            <w:r>
              <w:rPr>
                <w:rFonts w:hint="eastAsia" w:ascii="宋体" w:hAnsi="宋体" w:eastAsia="宋体" w:cs="宋体"/>
                <w:color w:val="auto"/>
                <w:spacing w:val="-18"/>
                <w:sz w:val="21"/>
                <w:szCs w:val="21"/>
                <w:highlight w:val="none"/>
              </w:rPr>
              <w:t>商资格声明书》。</w:t>
            </w:r>
          </w:p>
        </w:tc>
        <w:tc>
          <w:tcPr>
            <w:tcW w:w="1866" w:type="dxa"/>
            <w:vAlign w:val="top"/>
          </w:tcPr>
          <w:p w14:paraId="1A1750F4">
            <w:pPr>
              <w:pStyle w:val="19"/>
              <w:spacing w:before="41" w:line="360" w:lineRule="auto"/>
              <w:ind w:left="116" w:right="309" w:hanging="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格式见《响应</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文件格式》</w:t>
            </w:r>
          </w:p>
        </w:tc>
      </w:tr>
      <w:tr w14:paraId="7647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3" w:hRule="atLeast"/>
        </w:trPr>
        <w:tc>
          <w:tcPr>
            <w:tcW w:w="829" w:type="dxa"/>
            <w:vAlign w:val="top"/>
          </w:tcPr>
          <w:p w14:paraId="7BB67C81">
            <w:pPr>
              <w:spacing w:line="360" w:lineRule="auto"/>
              <w:rPr>
                <w:rFonts w:hint="eastAsia" w:ascii="宋体" w:hAnsi="宋体" w:eastAsia="宋体" w:cs="宋体"/>
                <w:color w:val="auto"/>
                <w:sz w:val="21"/>
                <w:szCs w:val="21"/>
                <w:highlight w:val="none"/>
              </w:rPr>
            </w:pPr>
          </w:p>
          <w:p w14:paraId="17B3D8C0">
            <w:pPr>
              <w:spacing w:line="360" w:lineRule="auto"/>
              <w:rPr>
                <w:rFonts w:hint="eastAsia" w:ascii="宋体" w:hAnsi="宋体" w:eastAsia="宋体" w:cs="宋体"/>
                <w:color w:val="auto"/>
                <w:sz w:val="21"/>
                <w:szCs w:val="21"/>
                <w:highlight w:val="none"/>
              </w:rPr>
            </w:pPr>
          </w:p>
          <w:p w14:paraId="4067BEF5">
            <w:pPr>
              <w:spacing w:line="360" w:lineRule="auto"/>
              <w:rPr>
                <w:rFonts w:hint="eastAsia" w:ascii="宋体" w:hAnsi="宋体" w:eastAsia="宋体" w:cs="宋体"/>
                <w:color w:val="auto"/>
                <w:sz w:val="21"/>
                <w:szCs w:val="21"/>
                <w:highlight w:val="none"/>
              </w:rPr>
            </w:pPr>
          </w:p>
          <w:p w14:paraId="3C0DC322">
            <w:pPr>
              <w:spacing w:line="360" w:lineRule="auto"/>
              <w:rPr>
                <w:rFonts w:hint="eastAsia" w:ascii="宋体" w:hAnsi="宋体" w:eastAsia="宋体" w:cs="宋体"/>
                <w:color w:val="auto"/>
                <w:sz w:val="21"/>
                <w:szCs w:val="21"/>
                <w:highlight w:val="none"/>
              </w:rPr>
            </w:pPr>
          </w:p>
          <w:p w14:paraId="76A199B9">
            <w:pPr>
              <w:spacing w:line="360" w:lineRule="auto"/>
              <w:rPr>
                <w:rFonts w:hint="eastAsia" w:ascii="宋体" w:hAnsi="宋体" w:eastAsia="宋体" w:cs="宋体"/>
                <w:color w:val="auto"/>
                <w:sz w:val="21"/>
                <w:szCs w:val="21"/>
                <w:highlight w:val="none"/>
              </w:rPr>
            </w:pPr>
          </w:p>
          <w:p w14:paraId="5985674C">
            <w:pPr>
              <w:spacing w:line="360" w:lineRule="auto"/>
              <w:rPr>
                <w:rFonts w:hint="eastAsia" w:ascii="宋体" w:hAnsi="宋体" w:eastAsia="宋体" w:cs="宋体"/>
                <w:color w:val="auto"/>
                <w:sz w:val="21"/>
                <w:szCs w:val="21"/>
                <w:highlight w:val="none"/>
              </w:rPr>
            </w:pPr>
          </w:p>
          <w:p w14:paraId="4413BDB6">
            <w:pPr>
              <w:spacing w:line="360" w:lineRule="auto"/>
              <w:rPr>
                <w:rFonts w:hint="eastAsia" w:ascii="宋体" w:hAnsi="宋体" w:eastAsia="宋体" w:cs="宋体"/>
                <w:color w:val="auto"/>
                <w:sz w:val="21"/>
                <w:szCs w:val="21"/>
                <w:highlight w:val="none"/>
              </w:rPr>
            </w:pPr>
          </w:p>
          <w:p w14:paraId="00A008A2">
            <w:pPr>
              <w:spacing w:line="360" w:lineRule="auto"/>
              <w:rPr>
                <w:rFonts w:hint="eastAsia" w:ascii="宋体" w:hAnsi="宋体" w:eastAsia="宋体" w:cs="宋体"/>
                <w:color w:val="auto"/>
                <w:sz w:val="21"/>
                <w:szCs w:val="21"/>
                <w:highlight w:val="none"/>
              </w:rPr>
            </w:pPr>
          </w:p>
          <w:p w14:paraId="7927EA57">
            <w:pPr>
              <w:spacing w:before="6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1-3</w:t>
            </w:r>
          </w:p>
        </w:tc>
        <w:tc>
          <w:tcPr>
            <w:tcW w:w="1698" w:type="dxa"/>
            <w:vAlign w:val="top"/>
          </w:tcPr>
          <w:p w14:paraId="31F14A0D">
            <w:pPr>
              <w:spacing w:line="360" w:lineRule="auto"/>
              <w:rPr>
                <w:rFonts w:hint="eastAsia" w:ascii="宋体" w:hAnsi="宋体" w:eastAsia="宋体" w:cs="宋体"/>
                <w:color w:val="auto"/>
                <w:sz w:val="21"/>
                <w:szCs w:val="21"/>
                <w:highlight w:val="none"/>
              </w:rPr>
            </w:pPr>
          </w:p>
          <w:p w14:paraId="337AA52D">
            <w:pPr>
              <w:spacing w:line="360" w:lineRule="auto"/>
              <w:rPr>
                <w:rFonts w:hint="eastAsia" w:ascii="宋体" w:hAnsi="宋体" w:eastAsia="宋体" w:cs="宋体"/>
                <w:color w:val="auto"/>
                <w:sz w:val="21"/>
                <w:szCs w:val="21"/>
                <w:highlight w:val="none"/>
              </w:rPr>
            </w:pPr>
          </w:p>
          <w:p w14:paraId="7E57D2C0">
            <w:pPr>
              <w:spacing w:line="360" w:lineRule="auto"/>
              <w:rPr>
                <w:rFonts w:hint="eastAsia" w:ascii="宋体" w:hAnsi="宋体" w:eastAsia="宋体" w:cs="宋体"/>
                <w:color w:val="auto"/>
                <w:sz w:val="21"/>
                <w:szCs w:val="21"/>
                <w:highlight w:val="none"/>
              </w:rPr>
            </w:pPr>
          </w:p>
          <w:p w14:paraId="3BDDA2A7">
            <w:pPr>
              <w:spacing w:line="360" w:lineRule="auto"/>
              <w:rPr>
                <w:rFonts w:hint="eastAsia" w:ascii="宋体" w:hAnsi="宋体" w:eastAsia="宋体" w:cs="宋体"/>
                <w:color w:val="auto"/>
                <w:sz w:val="21"/>
                <w:szCs w:val="21"/>
                <w:highlight w:val="none"/>
              </w:rPr>
            </w:pPr>
          </w:p>
          <w:p w14:paraId="50B13956">
            <w:pPr>
              <w:spacing w:line="360" w:lineRule="auto"/>
              <w:rPr>
                <w:rFonts w:hint="eastAsia" w:ascii="宋体" w:hAnsi="宋体" w:eastAsia="宋体" w:cs="宋体"/>
                <w:color w:val="auto"/>
                <w:sz w:val="21"/>
                <w:szCs w:val="21"/>
                <w:highlight w:val="none"/>
              </w:rPr>
            </w:pPr>
          </w:p>
          <w:p w14:paraId="0D0665F9">
            <w:pPr>
              <w:spacing w:line="360" w:lineRule="auto"/>
              <w:rPr>
                <w:rFonts w:hint="eastAsia" w:ascii="宋体" w:hAnsi="宋体" w:eastAsia="宋体" w:cs="宋体"/>
                <w:color w:val="auto"/>
                <w:sz w:val="21"/>
                <w:szCs w:val="21"/>
                <w:highlight w:val="none"/>
              </w:rPr>
            </w:pPr>
          </w:p>
          <w:p w14:paraId="447DEEB8">
            <w:pPr>
              <w:spacing w:line="360" w:lineRule="auto"/>
              <w:rPr>
                <w:rFonts w:hint="eastAsia" w:ascii="宋体" w:hAnsi="宋体" w:eastAsia="宋体" w:cs="宋体"/>
                <w:color w:val="auto"/>
                <w:sz w:val="21"/>
                <w:szCs w:val="21"/>
                <w:highlight w:val="none"/>
              </w:rPr>
            </w:pPr>
          </w:p>
          <w:p w14:paraId="50C1E931">
            <w:pPr>
              <w:pStyle w:val="19"/>
              <w:spacing w:before="78" w:line="360" w:lineRule="auto"/>
              <w:ind w:left="108" w:right="105"/>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供应商信用记</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z w:val="21"/>
                <w:szCs w:val="21"/>
                <w:highlight w:val="none"/>
              </w:rPr>
              <w:t>录</w:t>
            </w:r>
          </w:p>
        </w:tc>
        <w:tc>
          <w:tcPr>
            <w:tcW w:w="4669" w:type="dxa"/>
            <w:vAlign w:val="top"/>
          </w:tcPr>
          <w:p w14:paraId="0F48DB7D">
            <w:pPr>
              <w:pStyle w:val="19"/>
              <w:spacing w:before="33" w:line="360" w:lineRule="auto"/>
              <w:ind w:left="116" w:right="99" w:hanging="3"/>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查询渠道：信用中国网站和中国政府采购网</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1"/>
                <w:sz w:val="21"/>
                <w:szCs w:val="21"/>
                <w:highlight w:val="none"/>
              </w:rPr>
              <w:t>（</w:t>
            </w:r>
            <w:r>
              <w:rPr>
                <w:rFonts w:hint="eastAsia" w:ascii="宋体" w:hAnsi="宋体" w:eastAsia="宋体"/>
                <w:color w:val="auto"/>
                <w:highlight w:val="none"/>
                <w:u w:val="single"/>
                <w:lang w:val="en-US" w:eastAsia="zh-CN"/>
              </w:rPr>
              <w:t>https://www.creditchina.gov.cn/zhuanxiangchaxun/</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"https://www.ccgp.gov.cn"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pacing w:val="-1"/>
                <w:sz w:val="21"/>
                <w:szCs w:val="21"/>
                <w:highlight w:val="none"/>
              </w:rPr>
              <w:t>www.ccgp.g</w:t>
            </w:r>
            <w:r>
              <w:rPr>
                <w:rFonts w:hint="eastAsia" w:ascii="宋体" w:hAnsi="宋体" w:eastAsia="宋体" w:cs="宋体"/>
                <w:color w:val="auto"/>
                <w:spacing w:val="-2"/>
                <w:sz w:val="21"/>
                <w:szCs w:val="21"/>
                <w:highlight w:val="none"/>
              </w:rPr>
              <w:t>ov.cn</w:t>
            </w:r>
            <w:r>
              <w:rPr>
                <w:rFonts w:hint="eastAsia" w:ascii="宋体" w:hAnsi="宋体" w:eastAsia="宋体" w:cs="宋体"/>
                <w:color w:val="auto"/>
                <w:spacing w:val="-2"/>
                <w:sz w:val="21"/>
                <w:szCs w:val="21"/>
                <w:highlight w:val="none"/>
              </w:rPr>
              <w:fldChar w:fldCharType="end"/>
            </w:r>
            <w:r>
              <w:rPr>
                <w:rFonts w:hint="eastAsia" w:ascii="宋体" w:hAnsi="宋体" w:eastAsia="宋体" w:cs="宋体"/>
                <w:color w:val="auto"/>
                <w:spacing w:val="-62"/>
                <w:w w:val="97"/>
                <w:sz w:val="21"/>
                <w:szCs w:val="21"/>
                <w:highlight w:val="none"/>
              </w:rPr>
              <w:t>）；</w:t>
            </w:r>
          </w:p>
          <w:p w14:paraId="5F0079B8">
            <w:pPr>
              <w:pStyle w:val="19"/>
              <w:spacing w:before="8" w:line="360" w:lineRule="auto"/>
              <w:ind w:left="120" w:hanging="11"/>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截止时点：首次响应文件提交截止时间以后、</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1"/>
                <w:sz w:val="21"/>
                <w:szCs w:val="21"/>
                <w:highlight w:val="none"/>
              </w:rPr>
              <w:t>资格审查阶段采购人或采购代理机构的实</w:t>
            </w:r>
            <w:r>
              <w:rPr>
                <w:rFonts w:hint="eastAsia" w:ascii="宋体" w:hAnsi="宋体" w:eastAsia="宋体" w:cs="宋体"/>
                <w:color w:val="auto"/>
                <w:spacing w:val="-14"/>
                <w:sz w:val="21"/>
                <w:szCs w:val="21"/>
                <w:highlight w:val="none"/>
              </w:rPr>
              <w:t>际查询时间；</w:t>
            </w:r>
          </w:p>
          <w:p w14:paraId="0C62E71B">
            <w:pPr>
              <w:pStyle w:val="19"/>
              <w:spacing w:before="1" w:line="360" w:lineRule="auto"/>
              <w:ind w:left="110" w:right="9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信用信息查询记录和证据留存具体方式：查询结果网页打印页作为查询记录和证据，与</w:t>
            </w:r>
            <w:r>
              <w:rPr>
                <w:rFonts w:hint="eastAsia" w:ascii="宋体" w:hAnsi="宋体" w:eastAsia="宋体" w:cs="宋体"/>
                <w:color w:val="auto"/>
                <w:spacing w:val="-4"/>
                <w:sz w:val="21"/>
                <w:szCs w:val="21"/>
                <w:highlight w:val="none"/>
              </w:rPr>
              <w:t>其他竞争性磋商文件一并保存；</w:t>
            </w:r>
          </w:p>
          <w:p w14:paraId="79220387">
            <w:pPr>
              <w:pStyle w:val="19"/>
              <w:spacing w:before="2" w:line="360" w:lineRule="auto"/>
              <w:ind w:left="109" w:right="3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信用信息的使用原则：经认定的被列入</w:t>
            </w:r>
            <w:r>
              <w:rPr>
                <w:rFonts w:hint="eastAsia" w:ascii="宋体" w:hAnsi="宋体" w:eastAsia="宋体" w:cs="宋体"/>
                <w:color w:val="auto"/>
                <w:spacing w:val="-6"/>
                <w:sz w:val="21"/>
                <w:szCs w:val="21"/>
                <w:highlight w:val="none"/>
                <w:lang w:val="en-US" w:eastAsia="zh-CN"/>
              </w:rPr>
              <w:t>失信被执行人、重大税收违法失信主体、政府采购严重违法失信行为记录名单</w:t>
            </w:r>
            <w:r>
              <w:rPr>
                <w:rFonts w:hint="eastAsia" w:ascii="宋体" w:hAnsi="宋体" w:eastAsia="宋体" w:cs="宋体"/>
                <w:color w:val="auto"/>
                <w:spacing w:val="-6"/>
                <w:sz w:val="21"/>
                <w:szCs w:val="21"/>
                <w:highlight w:val="none"/>
              </w:rPr>
              <w:t>的</w:t>
            </w:r>
            <w:r>
              <w:rPr>
                <w:rFonts w:hint="eastAsia" w:ascii="宋体" w:hAnsi="宋体" w:eastAsia="宋体" w:cs="宋体"/>
                <w:color w:val="auto"/>
                <w:spacing w:val="7"/>
                <w:sz w:val="21"/>
                <w:szCs w:val="21"/>
                <w:highlight w:val="none"/>
              </w:rPr>
              <w:t>供</w:t>
            </w:r>
            <w:r>
              <w:rPr>
                <w:rFonts w:hint="eastAsia" w:ascii="宋体" w:hAnsi="宋体" w:eastAsia="宋体" w:cs="宋体"/>
                <w:color w:val="auto"/>
                <w:spacing w:val="-12"/>
                <w:sz w:val="21"/>
                <w:szCs w:val="21"/>
                <w:highlight w:val="none"/>
              </w:rPr>
              <w:t>应商，其</w:t>
            </w:r>
            <w:r>
              <w:rPr>
                <w:rFonts w:hint="eastAsia" w:ascii="宋体" w:hAnsi="宋体" w:eastAsia="宋体" w:cs="宋体"/>
                <w:b/>
                <w:bCs/>
                <w:color w:val="auto"/>
                <w:spacing w:val="-12"/>
                <w:sz w:val="21"/>
                <w:szCs w:val="21"/>
                <w:highlight w:val="none"/>
              </w:rPr>
              <w:t>响应无效</w:t>
            </w:r>
            <w:r>
              <w:rPr>
                <w:rFonts w:hint="eastAsia" w:ascii="宋体" w:hAnsi="宋体" w:eastAsia="宋体" w:cs="宋体"/>
                <w:color w:val="auto"/>
                <w:spacing w:val="-12"/>
                <w:sz w:val="21"/>
                <w:szCs w:val="21"/>
                <w:highlight w:val="none"/>
              </w:rPr>
              <w:t>。联合体形式磋商的，</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12"/>
                <w:sz w:val="21"/>
                <w:szCs w:val="21"/>
                <w:highlight w:val="none"/>
              </w:rPr>
              <w:t>联</w:t>
            </w:r>
            <w:r>
              <w:rPr>
                <w:rFonts w:hint="eastAsia" w:ascii="宋体" w:hAnsi="宋体" w:eastAsia="宋体" w:cs="宋体"/>
                <w:color w:val="auto"/>
                <w:spacing w:val="-6"/>
                <w:sz w:val="21"/>
                <w:szCs w:val="21"/>
                <w:highlight w:val="none"/>
              </w:rPr>
              <w:t>合体成员存在不良信用记录，视同联合体存</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5"/>
                <w:sz w:val="21"/>
                <w:szCs w:val="21"/>
                <w:highlight w:val="none"/>
              </w:rPr>
              <w:t>在不良信用记录。</w:t>
            </w:r>
          </w:p>
        </w:tc>
        <w:tc>
          <w:tcPr>
            <w:tcW w:w="1866" w:type="dxa"/>
            <w:vAlign w:val="top"/>
          </w:tcPr>
          <w:p w14:paraId="2B698E42">
            <w:pPr>
              <w:spacing w:line="360" w:lineRule="auto"/>
              <w:rPr>
                <w:rFonts w:hint="eastAsia" w:ascii="宋体" w:hAnsi="宋体" w:eastAsia="宋体" w:cs="宋体"/>
                <w:color w:val="auto"/>
                <w:sz w:val="21"/>
                <w:szCs w:val="21"/>
                <w:highlight w:val="none"/>
              </w:rPr>
            </w:pPr>
          </w:p>
          <w:p w14:paraId="50113196">
            <w:pPr>
              <w:spacing w:line="360" w:lineRule="auto"/>
              <w:rPr>
                <w:rFonts w:hint="eastAsia" w:ascii="宋体" w:hAnsi="宋体" w:eastAsia="宋体" w:cs="宋体"/>
                <w:color w:val="auto"/>
                <w:sz w:val="21"/>
                <w:szCs w:val="21"/>
                <w:highlight w:val="none"/>
              </w:rPr>
            </w:pPr>
          </w:p>
          <w:p w14:paraId="71DF2ECB">
            <w:pPr>
              <w:spacing w:line="360" w:lineRule="auto"/>
              <w:rPr>
                <w:rFonts w:hint="eastAsia" w:ascii="宋体" w:hAnsi="宋体" w:eastAsia="宋体" w:cs="宋体"/>
                <w:color w:val="auto"/>
                <w:sz w:val="21"/>
                <w:szCs w:val="21"/>
                <w:highlight w:val="none"/>
              </w:rPr>
            </w:pPr>
          </w:p>
          <w:p w14:paraId="5F8D3E93">
            <w:pPr>
              <w:spacing w:line="360" w:lineRule="auto"/>
              <w:rPr>
                <w:rFonts w:hint="eastAsia" w:ascii="宋体" w:hAnsi="宋体" w:eastAsia="宋体" w:cs="宋体"/>
                <w:color w:val="auto"/>
                <w:sz w:val="21"/>
                <w:szCs w:val="21"/>
                <w:highlight w:val="none"/>
              </w:rPr>
            </w:pPr>
          </w:p>
          <w:p w14:paraId="43F31BF4">
            <w:pPr>
              <w:spacing w:line="360" w:lineRule="auto"/>
              <w:rPr>
                <w:rFonts w:hint="eastAsia" w:ascii="宋体" w:hAnsi="宋体" w:eastAsia="宋体" w:cs="宋体"/>
                <w:color w:val="auto"/>
                <w:sz w:val="21"/>
                <w:szCs w:val="21"/>
                <w:highlight w:val="none"/>
              </w:rPr>
            </w:pPr>
          </w:p>
          <w:p w14:paraId="23611843">
            <w:pPr>
              <w:spacing w:line="360" w:lineRule="auto"/>
              <w:rPr>
                <w:rFonts w:hint="eastAsia" w:ascii="宋体" w:hAnsi="宋体" w:eastAsia="宋体" w:cs="宋体"/>
                <w:color w:val="auto"/>
                <w:sz w:val="21"/>
                <w:szCs w:val="21"/>
                <w:highlight w:val="none"/>
              </w:rPr>
            </w:pPr>
          </w:p>
          <w:p w14:paraId="1D9F8314">
            <w:pPr>
              <w:pStyle w:val="19"/>
              <w:spacing w:before="78" w:line="360" w:lineRule="auto"/>
              <w:ind w:left="114" w:right="102" w:firstLine="2"/>
              <w:jc w:val="left"/>
              <w:rPr>
                <w:rFonts w:hint="eastAsia" w:ascii="宋体" w:hAnsi="宋体" w:eastAsia="宋体" w:cs="宋体"/>
                <w:color w:val="auto"/>
                <w:sz w:val="21"/>
                <w:szCs w:val="21"/>
                <w:highlight w:val="none"/>
              </w:rPr>
            </w:pPr>
            <w:r>
              <w:rPr>
                <w:rFonts w:hint="eastAsia" w:ascii="宋体" w:hAnsi="宋体" w:eastAsia="宋体" w:cs="宋体"/>
                <w:color w:val="auto"/>
                <w:spacing w:val="32"/>
                <w:sz w:val="21"/>
                <w:szCs w:val="21"/>
                <w:highlight w:val="none"/>
              </w:rPr>
              <w:t>无须供应商提</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6"/>
                <w:sz w:val="21"/>
                <w:szCs w:val="21"/>
                <w:highlight w:val="none"/>
              </w:rPr>
              <w:t>供，由采购人或</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3"/>
                <w:sz w:val="21"/>
                <w:szCs w:val="21"/>
                <w:highlight w:val="none"/>
              </w:rPr>
              <w:t>采购代理机构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查询。</w:t>
            </w:r>
          </w:p>
        </w:tc>
      </w:tr>
      <w:tr w14:paraId="210DC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9" w:type="dxa"/>
            <w:vAlign w:val="top"/>
          </w:tcPr>
          <w:p w14:paraId="276D7F87">
            <w:pPr>
              <w:spacing w:line="360" w:lineRule="auto"/>
              <w:rPr>
                <w:rFonts w:hint="eastAsia" w:ascii="宋体" w:hAnsi="宋体" w:eastAsia="宋体" w:cs="宋体"/>
                <w:color w:val="auto"/>
                <w:sz w:val="21"/>
                <w:szCs w:val="21"/>
                <w:highlight w:val="none"/>
              </w:rPr>
            </w:pPr>
          </w:p>
          <w:p w14:paraId="5146889B">
            <w:pPr>
              <w:spacing w:before="69" w:line="360" w:lineRule="auto"/>
              <w:ind w:left="275"/>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1-4</w:t>
            </w:r>
          </w:p>
        </w:tc>
        <w:tc>
          <w:tcPr>
            <w:tcW w:w="1698" w:type="dxa"/>
            <w:vAlign w:val="top"/>
          </w:tcPr>
          <w:p w14:paraId="4BE8C644">
            <w:pPr>
              <w:pStyle w:val="19"/>
              <w:spacing w:before="37" w:line="360" w:lineRule="auto"/>
              <w:ind w:left="109" w:right="105"/>
              <w:jc w:val="both"/>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法律、行政法</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5"/>
                <w:sz w:val="21"/>
                <w:szCs w:val="21"/>
                <w:highlight w:val="none"/>
              </w:rPr>
              <w:t>规规定的其他</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3"/>
                <w:sz w:val="21"/>
                <w:szCs w:val="21"/>
                <w:highlight w:val="none"/>
              </w:rPr>
              <w:t>条件</w:t>
            </w:r>
          </w:p>
        </w:tc>
        <w:tc>
          <w:tcPr>
            <w:tcW w:w="4669" w:type="dxa"/>
            <w:vAlign w:val="top"/>
          </w:tcPr>
          <w:p w14:paraId="3B9EA421">
            <w:pPr>
              <w:spacing w:line="360" w:lineRule="auto"/>
              <w:rPr>
                <w:rFonts w:hint="eastAsia" w:ascii="宋体" w:hAnsi="宋体" w:eastAsia="宋体" w:cs="宋体"/>
                <w:color w:val="auto"/>
                <w:sz w:val="21"/>
                <w:szCs w:val="21"/>
                <w:highlight w:val="none"/>
              </w:rPr>
            </w:pPr>
          </w:p>
          <w:p w14:paraId="40A56C8B">
            <w:pPr>
              <w:pStyle w:val="19"/>
              <w:spacing w:before="78" w:line="360" w:lineRule="auto"/>
              <w:ind w:left="11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法律、行政法规规定的其他条件</w:t>
            </w:r>
          </w:p>
        </w:tc>
        <w:tc>
          <w:tcPr>
            <w:tcW w:w="1866" w:type="dxa"/>
            <w:vAlign w:val="top"/>
          </w:tcPr>
          <w:p w14:paraId="3ED8F65F">
            <w:pPr>
              <w:spacing w:line="360" w:lineRule="auto"/>
              <w:rPr>
                <w:rFonts w:hint="eastAsia" w:ascii="宋体" w:hAnsi="宋体" w:eastAsia="宋体" w:cs="宋体"/>
                <w:color w:val="auto"/>
                <w:sz w:val="21"/>
                <w:szCs w:val="21"/>
                <w:highlight w:val="none"/>
              </w:rPr>
            </w:pPr>
          </w:p>
          <w:p w14:paraId="75EFACF8">
            <w:pPr>
              <w:spacing w:before="69" w:line="360" w:lineRule="auto"/>
              <w:ind w:left="89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3E99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9" w:type="dxa"/>
            <w:vAlign w:val="top"/>
          </w:tcPr>
          <w:p w14:paraId="5CFB383E">
            <w:pPr>
              <w:spacing w:line="360" w:lineRule="auto"/>
              <w:rPr>
                <w:rFonts w:hint="eastAsia" w:ascii="宋体" w:hAnsi="宋体" w:eastAsia="宋体" w:cs="宋体"/>
                <w:color w:val="auto"/>
                <w:sz w:val="21"/>
                <w:szCs w:val="21"/>
                <w:highlight w:val="none"/>
              </w:rPr>
            </w:pPr>
          </w:p>
          <w:p w14:paraId="722906F6">
            <w:pPr>
              <w:spacing w:before="69" w:line="360" w:lineRule="auto"/>
              <w:ind w:left="3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98" w:type="dxa"/>
            <w:vAlign w:val="top"/>
          </w:tcPr>
          <w:p w14:paraId="53F9693B">
            <w:pPr>
              <w:pStyle w:val="19"/>
              <w:spacing w:before="37" w:line="360" w:lineRule="auto"/>
              <w:ind w:left="107" w:right="148" w:firstLine="2"/>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落实政府采购</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政策需满足的</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rPr>
              <w:t>资格要求</w:t>
            </w:r>
          </w:p>
        </w:tc>
        <w:tc>
          <w:tcPr>
            <w:tcW w:w="4669" w:type="dxa"/>
            <w:vAlign w:val="top"/>
          </w:tcPr>
          <w:p w14:paraId="3D967222">
            <w:pPr>
              <w:spacing w:line="360" w:lineRule="auto"/>
              <w:rPr>
                <w:rFonts w:hint="eastAsia" w:ascii="宋体" w:hAnsi="宋体" w:eastAsia="宋体" w:cs="宋体"/>
                <w:color w:val="auto"/>
                <w:sz w:val="21"/>
                <w:szCs w:val="21"/>
                <w:highlight w:val="none"/>
              </w:rPr>
            </w:pPr>
          </w:p>
          <w:p w14:paraId="3544D86E">
            <w:pPr>
              <w:pStyle w:val="19"/>
              <w:spacing w:before="78"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具体要求见第一章《采购邀请》</w:t>
            </w:r>
          </w:p>
        </w:tc>
        <w:tc>
          <w:tcPr>
            <w:tcW w:w="1866" w:type="dxa"/>
            <w:vAlign w:val="top"/>
          </w:tcPr>
          <w:p w14:paraId="160B09AC">
            <w:pPr>
              <w:spacing w:line="360" w:lineRule="auto"/>
              <w:rPr>
                <w:rFonts w:hint="eastAsia" w:ascii="宋体" w:hAnsi="宋体" w:eastAsia="宋体" w:cs="宋体"/>
                <w:color w:val="auto"/>
                <w:sz w:val="21"/>
                <w:szCs w:val="21"/>
                <w:highlight w:val="none"/>
              </w:rPr>
            </w:pPr>
          </w:p>
        </w:tc>
      </w:tr>
      <w:tr w14:paraId="0BCC6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9" w:type="dxa"/>
            <w:vAlign w:val="top"/>
          </w:tcPr>
          <w:p w14:paraId="5C7E7F07">
            <w:pPr>
              <w:spacing w:before="237" w:line="360" w:lineRule="auto"/>
              <w:ind w:left="25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w:t>
            </w:r>
          </w:p>
        </w:tc>
        <w:tc>
          <w:tcPr>
            <w:tcW w:w="1698" w:type="dxa"/>
            <w:vAlign w:val="top"/>
          </w:tcPr>
          <w:p w14:paraId="2480DEF3">
            <w:pPr>
              <w:pStyle w:val="19"/>
              <w:spacing w:before="40" w:line="360" w:lineRule="auto"/>
              <w:ind w:left="108" w:right="148" w:firstLine="2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中小企业政策</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2"/>
                <w:sz w:val="21"/>
                <w:szCs w:val="21"/>
                <w:highlight w:val="none"/>
              </w:rPr>
              <w:t>证明文件</w:t>
            </w:r>
          </w:p>
        </w:tc>
        <w:tc>
          <w:tcPr>
            <w:tcW w:w="4669" w:type="dxa"/>
            <w:vAlign w:val="top"/>
          </w:tcPr>
          <w:p w14:paraId="3629B868">
            <w:pPr>
              <w:pStyle w:val="19"/>
              <w:spacing w:before="194" w:line="36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具体要求见第一章《采购邀请》</w:t>
            </w:r>
          </w:p>
        </w:tc>
        <w:tc>
          <w:tcPr>
            <w:tcW w:w="1866" w:type="dxa"/>
            <w:vAlign w:val="top"/>
          </w:tcPr>
          <w:p w14:paraId="5A713788">
            <w:pPr>
              <w:spacing w:line="360" w:lineRule="auto"/>
              <w:rPr>
                <w:rFonts w:hint="eastAsia" w:ascii="宋体" w:hAnsi="宋体" w:eastAsia="宋体" w:cs="宋体"/>
                <w:color w:val="auto"/>
                <w:sz w:val="21"/>
                <w:szCs w:val="21"/>
                <w:highlight w:val="none"/>
              </w:rPr>
            </w:pPr>
          </w:p>
        </w:tc>
      </w:tr>
      <w:tr w14:paraId="2DE8C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6" w:hRule="atLeast"/>
        </w:trPr>
        <w:tc>
          <w:tcPr>
            <w:tcW w:w="829" w:type="dxa"/>
            <w:vAlign w:val="top"/>
          </w:tcPr>
          <w:p w14:paraId="12C65D8A">
            <w:pPr>
              <w:spacing w:line="360" w:lineRule="auto"/>
              <w:rPr>
                <w:rFonts w:hint="eastAsia" w:ascii="宋体" w:hAnsi="宋体" w:eastAsia="宋体" w:cs="宋体"/>
                <w:color w:val="auto"/>
                <w:sz w:val="21"/>
                <w:szCs w:val="21"/>
                <w:highlight w:val="none"/>
              </w:rPr>
            </w:pPr>
          </w:p>
          <w:p w14:paraId="3D1564F3">
            <w:pPr>
              <w:spacing w:line="360" w:lineRule="auto"/>
              <w:rPr>
                <w:rFonts w:hint="eastAsia" w:ascii="宋体" w:hAnsi="宋体" w:eastAsia="宋体" w:cs="宋体"/>
                <w:color w:val="auto"/>
                <w:sz w:val="21"/>
                <w:szCs w:val="21"/>
                <w:highlight w:val="none"/>
              </w:rPr>
            </w:pPr>
          </w:p>
          <w:p w14:paraId="78867C7A">
            <w:pPr>
              <w:spacing w:line="360" w:lineRule="auto"/>
              <w:rPr>
                <w:rFonts w:hint="eastAsia" w:ascii="宋体" w:hAnsi="宋体" w:eastAsia="宋体" w:cs="宋体"/>
                <w:color w:val="auto"/>
                <w:sz w:val="21"/>
                <w:szCs w:val="21"/>
                <w:highlight w:val="none"/>
              </w:rPr>
            </w:pPr>
          </w:p>
          <w:p w14:paraId="1EC9E5E8">
            <w:pPr>
              <w:spacing w:before="69" w:line="360" w:lineRule="auto"/>
              <w:ind w:left="15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2-1-1</w:t>
            </w:r>
          </w:p>
        </w:tc>
        <w:tc>
          <w:tcPr>
            <w:tcW w:w="1698" w:type="dxa"/>
            <w:vAlign w:val="top"/>
          </w:tcPr>
          <w:p w14:paraId="0509174A">
            <w:pPr>
              <w:spacing w:line="360" w:lineRule="auto"/>
              <w:rPr>
                <w:rFonts w:hint="eastAsia" w:ascii="宋体" w:hAnsi="宋体" w:eastAsia="宋体" w:cs="宋体"/>
                <w:color w:val="auto"/>
                <w:sz w:val="21"/>
                <w:szCs w:val="21"/>
                <w:highlight w:val="none"/>
              </w:rPr>
            </w:pPr>
          </w:p>
          <w:p w14:paraId="35DB99CD">
            <w:pPr>
              <w:spacing w:line="360" w:lineRule="auto"/>
              <w:rPr>
                <w:rFonts w:hint="eastAsia" w:ascii="宋体" w:hAnsi="宋体" w:eastAsia="宋体" w:cs="宋体"/>
                <w:color w:val="auto"/>
                <w:sz w:val="21"/>
                <w:szCs w:val="21"/>
                <w:highlight w:val="none"/>
              </w:rPr>
            </w:pPr>
          </w:p>
          <w:p w14:paraId="361A6F6E">
            <w:pPr>
              <w:spacing w:line="360" w:lineRule="auto"/>
              <w:rPr>
                <w:rFonts w:hint="eastAsia" w:ascii="宋体" w:hAnsi="宋体" w:eastAsia="宋体" w:cs="宋体"/>
                <w:color w:val="auto"/>
                <w:sz w:val="21"/>
                <w:szCs w:val="21"/>
                <w:highlight w:val="none"/>
              </w:rPr>
            </w:pPr>
          </w:p>
          <w:p w14:paraId="37BBD179">
            <w:pPr>
              <w:pStyle w:val="19"/>
              <w:spacing w:before="78" w:line="360" w:lineRule="auto"/>
              <w:ind w:left="110" w:right="148" w:firstLine="2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中小企业证明</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3"/>
                <w:sz w:val="21"/>
                <w:szCs w:val="21"/>
                <w:highlight w:val="none"/>
              </w:rPr>
              <w:t>文件</w:t>
            </w:r>
          </w:p>
        </w:tc>
        <w:tc>
          <w:tcPr>
            <w:tcW w:w="4669" w:type="dxa"/>
            <w:vAlign w:val="top"/>
          </w:tcPr>
          <w:p w14:paraId="5C8EA695">
            <w:pPr>
              <w:spacing w:before="42" w:line="360" w:lineRule="auto"/>
              <w:ind w:left="109" w:right="118" w:firstLine="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当本项目（包）涉及预留份额专门面向中小</w:t>
            </w:r>
            <w:r>
              <w:rPr>
                <w:rFonts w:hint="eastAsia" w:ascii="宋体" w:hAnsi="宋体" w:eastAsia="宋体" w:cs="宋体"/>
                <w:color w:val="auto"/>
                <w:spacing w:val="-4"/>
                <w:sz w:val="21"/>
                <w:szCs w:val="21"/>
                <w:highlight w:val="none"/>
              </w:rPr>
              <w:t>企业采购</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4"/>
                <w:sz w:val="21"/>
                <w:szCs w:val="21"/>
                <w:highlight w:val="none"/>
              </w:rPr>
              <w:t>，提供如下资料：</w:t>
            </w:r>
          </w:p>
          <w:p w14:paraId="4B8D1BAF">
            <w:pPr>
              <w:pStyle w:val="19"/>
              <w:spacing w:before="5" w:line="360" w:lineRule="auto"/>
              <w:ind w:left="106" w:right="118" w:firstLine="2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1、供应商单独响应的，应提供《中小企业声明函》或《残疾人福利性单位声明函》或由省级以上监狱管理局、戒毒管理局（含新疆生产建设兵团）出具的属于监狱企业的证明文件。</w:t>
            </w:r>
          </w:p>
          <w:p w14:paraId="4DE3A6D2">
            <w:pPr>
              <w:pStyle w:val="19"/>
              <w:spacing w:before="4" w:line="360" w:lineRule="auto"/>
              <w:ind w:left="107" w:right="118" w:firstLine="1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2、如磋商文件要求以联合体形式参加或者</w:t>
            </w:r>
            <w:r>
              <w:rPr>
                <w:rFonts w:hint="eastAsia" w:ascii="宋体" w:hAnsi="宋体" w:eastAsia="宋体" w:cs="宋体"/>
                <w:color w:val="auto"/>
                <w:spacing w:val="-1"/>
                <w:sz w:val="21"/>
                <w:szCs w:val="21"/>
                <w:highlight w:val="none"/>
              </w:rPr>
              <w:t>要求合同分包的，且供应商为联合体或拟进</w:t>
            </w:r>
          </w:p>
          <w:p w14:paraId="127A09CA">
            <w:pPr>
              <w:pStyle w:val="19"/>
              <w:spacing w:before="26" w:line="360" w:lineRule="auto"/>
              <w:ind w:left="114" w:right="247" w:firstLine="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行合同分包的，则联合体中的中小企业、签</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z w:val="21"/>
                <w:szCs w:val="21"/>
                <w:highlight w:val="none"/>
              </w:rPr>
              <w:t>订分包意向协议的中小企业具体情况须在《中小企业声明函》或《残疾人福利性单位</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z w:val="21"/>
                <w:szCs w:val="21"/>
                <w:highlight w:val="none"/>
              </w:rPr>
              <w:t>声明函》或由省级以上监狱管理局、戒毒管</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z w:val="21"/>
                <w:szCs w:val="21"/>
                <w:highlight w:val="none"/>
              </w:rPr>
              <w:t>理局（含新疆生产建设兵团）出具的属于监</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z w:val="21"/>
                <w:szCs w:val="21"/>
                <w:highlight w:val="none"/>
              </w:rPr>
              <w:t>狱企业的证明文件中如实填报，且满足采购</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1"/>
                <w:sz w:val="21"/>
                <w:szCs w:val="21"/>
                <w:highlight w:val="none"/>
              </w:rPr>
              <w:t>文件关于预留份额的要求。</w:t>
            </w:r>
          </w:p>
        </w:tc>
        <w:tc>
          <w:tcPr>
            <w:tcW w:w="1866" w:type="dxa"/>
            <w:vAlign w:val="top"/>
          </w:tcPr>
          <w:p w14:paraId="5AA7092E">
            <w:pPr>
              <w:spacing w:line="360" w:lineRule="auto"/>
              <w:rPr>
                <w:rFonts w:hint="eastAsia" w:ascii="宋体" w:hAnsi="宋体" w:eastAsia="宋体" w:cs="宋体"/>
                <w:color w:val="auto"/>
                <w:sz w:val="21"/>
                <w:szCs w:val="21"/>
                <w:highlight w:val="none"/>
              </w:rPr>
            </w:pPr>
          </w:p>
          <w:p w14:paraId="56FA885D">
            <w:pPr>
              <w:spacing w:line="360" w:lineRule="auto"/>
              <w:rPr>
                <w:rFonts w:hint="eastAsia" w:ascii="宋体" w:hAnsi="宋体" w:eastAsia="宋体" w:cs="宋体"/>
                <w:color w:val="auto"/>
                <w:sz w:val="21"/>
                <w:szCs w:val="21"/>
                <w:highlight w:val="none"/>
              </w:rPr>
            </w:pPr>
          </w:p>
          <w:p w14:paraId="5A301421">
            <w:pPr>
              <w:spacing w:line="360" w:lineRule="auto"/>
              <w:rPr>
                <w:rFonts w:hint="eastAsia" w:ascii="宋体" w:hAnsi="宋体" w:eastAsia="宋体" w:cs="宋体"/>
                <w:color w:val="auto"/>
                <w:sz w:val="21"/>
                <w:szCs w:val="21"/>
                <w:highlight w:val="none"/>
              </w:rPr>
            </w:pPr>
          </w:p>
          <w:p w14:paraId="3B07CCC0">
            <w:pPr>
              <w:pStyle w:val="19"/>
              <w:spacing w:before="78" w:line="360" w:lineRule="auto"/>
              <w:ind w:left="116" w:right="309" w:hanging="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格式见《响应</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文件格式》</w:t>
            </w:r>
          </w:p>
        </w:tc>
      </w:tr>
      <w:tr w14:paraId="44E26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29" w:type="dxa"/>
            <w:vAlign w:val="top"/>
          </w:tcPr>
          <w:p w14:paraId="7757581B">
            <w:pPr>
              <w:spacing w:before="240" w:line="360" w:lineRule="auto"/>
              <w:ind w:left="35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98" w:type="dxa"/>
            <w:vAlign w:val="top"/>
          </w:tcPr>
          <w:p w14:paraId="7A76B9D2">
            <w:pPr>
              <w:pStyle w:val="19"/>
              <w:spacing w:before="42" w:line="360" w:lineRule="auto"/>
              <w:ind w:left="118" w:right="148" w:hanging="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本项目的特定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资格要求</w:t>
            </w:r>
          </w:p>
        </w:tc>
        <w:tc>
          <w:tcPr>
            <w:tcW w:w="4669" w:type="dxa"/>
            <w:vAlign w:val="top"/>
          </w:tcPr>
          <w:p w14:paraId="4CA2DFF5">
            <w:pPr>
              <w:pStyle w:val="19"/>
              <w:spacing w:before="197" w:line="360"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如有，见第一章《采购邀请》</w:t>
            </w:r>
          </w:p>
        </w:tc>
        <w:tc>
          <w:tcPr>
            <w:tcW w:w="1866" w:type="dxa"/>
            <w:vAlign w:val="top"/>
          </w:tcPr>
          <w:p w14:paraId="58501DB4">
            <w:pPr>
              <w:spacing w:line="360" w:lineRule="auto"/>
              <w:rPr>
                <w:rFonts w:hint="eastAsia" w:ascii="宋体" w:hAnsi="宋体" w:eastAsia="宋体" w:cs="宋体"/>
                <w:color w:val="auto"/>
                <w:sz w:val="21"/>
                <w:szCs w:val="21"/>
                <w:highlight w:val="none"/>
              </w:rPr>
            </w:pPr>
          </w:p>
        </w:tc>
      </w:tr>
      <w:tr w14:paraId="24AB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829" w:type="dxa"/>
            <w:shd w:val="clear" w:color="auto" w:fill="auto"/>
            <w:vAlign w:val="top"/>
          </w:tcPr>
          <w:p w14:paraId="7465FAD3">
            <w:pPr>
              <w:spacing w:line="360" w:lineRule="auto"/>
              <w:rPr>
                <w:rFonts w:hint="eastAsia" w:ascii="宋体" w:hAnsi="宋体" w:eastAsia="宋体" w:cs="宋体"/>
                <w:color w:val="auto"/>
                <w:sz w:val="21"/>
                <w:szCs w:val="21"/>
                <w:highlight w:val="none"/>
              </w:rPr>
            </w:pPr>
          </w:p>
          <w:p w14:paraId="1F5B8AD6">
            <w:pPr>
              <w:spacing w:line="360" w:lineRule="auto"/>
              <w:rPr>
                <w:rFonts w:hint="eastAsia" w:ascii="宋体" w:hAnsi="宋体" w:eastAsia="宋体" w:cs="宋体"/>
                <w:color w:val="auto"/>
                <w:sz w:val="21"/>
                <w:szCs w:val="21"/>
                <w:highlight w:val="none"/>
              </w:rPr>
            </w:pPr>
          </w:p>
          <w:p w14:paraId="7C986735">
            <w:pPr>
              <w:spacing w:line="360" w:lineRule="auto"/>
              <w:rPr>
                <w:rFonts w:hint="eastAsia" w:ascii="宋体" w:hAnsi="宋体" w:eastAsia="宋体" w:cs="宋体"/>
                <w:color w:val="auto"/>
                <w:sz w:val="21"/>
                <w:szCs w:val="21"/>
                <w:highlight w:val="none"/>
              </w:rPr>
            </w:pPr>
          </w:p>
          <w:p w14:paraId="56EAF3D2">
            <w:pPr>
              <w:spacing w:line="360" w:lineRule="auto"/>
              <w:rPr>
                <w:rFonts w:hint="eastAsia" w:ascii="宋体" w:hAnsi="宋体" w:eastAsia="宋体" w:cs="宋体"/>
                <w:color w:val="auto"/>
                <w:sz w:val="21"/>
                <w:szCs w:val="21"/>
                <w:highlight w:val="none"/>
              </w:rPr>
            </w:pPr>
          </w:p>
          <w:p w14:paraId="2CD891F0">
            <w:pPr>
              <w:spacing w:line="360" w:lineRule="auto"/>
              <w:rPr>
                <w:rFonts w:hint="eastAsia" w:ascii="宋体" w:hAnsi="宋体" w:eastAsia="宋体" w:cs="宋体"/>
                <w:color w:val="auto"/>
                <w:sz w:val="21"/>
                <w:szCs w:val="21"/>
                <w:highlight w:val="none"/>
              </w:rPr>
            </w:pPr>
          </w:p>
          <w:p w14:paraId="751C09ED">
            <w:pPr>
              <w:spacing w:line="360" w:lineRule="auto"/>
              <w:rPr>
                <w:rFonts w:hint="eastAsia" w:ascii="宋体" w:hAnsi="宋体" w:eastAsia="宋体" w:cs="宋体"/>
                <w:color w:val="auto"/>
                <w:sz w:val="21"/>
                <w:szCs w:val="21"/>
                <w:highlight w:val="none"/>
              </w:rPr>
            </w:pPr>
          </w:p>
          <w:p w14:paraId="1B418E6A">
            <w:pPr>
              <w:spacing w:line="360" w:lineRule="auto"/>
              <w:rPr>
                <w:rFonts w:hint="eastAsia" w:ascii="宋体" w:hAnsi="宋体" w:eastAsia="宋体" w:cs="宋体"/>
                <w:color w:val="auto"/>
                <w:sz w:val="21"/>
                <w:szCs w:val="21"/>
                <w:highlight w:val="none"/>
              </w:rPr>
            </w:pPr>
          </w:p>
          <w:p w14:paraId="1AE5F4B0">
            <w:pPr>
              <w:spacing w:line="360" w:lineRule="auto"/>
              <w:rPr>
                <w:rFonts w:hint="eastAsia" w:ascii="宋体" w:hAnsi="宋体" w:eastAsia="宋体" w:cs="宋体"/>
                <w:color w:val="auto"/>
                <w:sz w:val="21"/>
                <w:szCs w:val="21"/>
                <w:highlight w:val="none"/>
              </w:rPr>
            </w:pPr>
          </w:p>
          <w:p w14:paraId="669F5856">
            <w:pPr>
              <w:spacing w:before="69" w:line="360" w:lineRule="auto"/>
              <w:ind w:left="257" w:leftChars="0"/>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4"/>
                <w:sz w:val="21"/>
                <w:szCs w:val="21"/>
                <w:highlight w:val="none"/>
              </w:rPr>
              <w:t>3-1</w:t>
            </w:r>
          </w:p>
        </w:tc>
        <w:tc>
          <w:tcPr>
            <w:tcW w:w="1698" w:type="dxa"/>
            <w:shd w:val="clear" w:color="auto" w:fill="auto"/>
            <w:vAlign w:val="top"/>
          </w:tcPr>
          <w:p w14:paraId="67192D98">
            <w:pPr>
              <w:spacing w:line="360" w:lineRule="auto"/>
              <w:rPr>
                <w:rFonts w:hint="eastAsia" w:ascii="宋体" w:hAnsi="宋体" w:eastAsia="宋体" w:cs="宋体"/>
                <w:color w:val="auto"/>
                <w:sz w:val="21"/>
                <w:szCs w:val="21"/>
                <w:highlight w:val="none"/>
              </w:rPr>
            </w:pPr>
          </w:p>
          <w:p w14:paraId="2DC9A40C">
            <w:pPr>
              <w:spacing w:line="360" w:lineRule="auto"/>
              <w:rPr>
                <w:rFonts w:hint="eastAsia" w:ascii="宋体" w:hAnsi="宋体" w:eastAsia="宋体" w:cs="宋体"/>
                <w:color w:val="auto"/>
                <w:sz w:val="21"/>
                <w:szCs w:val="21"/>
                <w:highlight w:val="none"/>
              </w:rPr>
            </w:pPr>
          </w:p>
          <w:p w14:paraId="60CD16BC">
            <w:pPr>
              <w:spacing w:line="360" w:lineRule="auto"/>
              <w:rPr>
                <w:rFonts w:hint="eastAsia" w:ascii="宋体" w:hAnsi="宋体" w:eastAsia="宋体" w:cs="宋体"/>
                <w:color w:val="auto"/>
                <w:sz w:val="21"/>
                <w:szCs w:val="21"/>
                <w:highlight w:val="none"/>
              </w:rPr>
            </w:pPr>
          </w:p>
          <w:p w14:paraId="7D78987E">
            <w:pPr>
              <w:spacing w:line="360" w:lineRule="auto"/>
              <w:rPr>
                <w:rFonts w:hint="eastAsia" w:ascii="宋体" w:hAnsi="宋体" w:eastAsia="宋体" w:cs="宋体"/>
                <w:color w:val="auto"/>
                <w:sz w:val="21"/>
                <w:szCs w:val="21"/>
                <w:highlight w:val="none"/>
              </w:rPr>
            </w:pPr>
          </w:p>
          <w:p w14:paraId="6DB28D4F">
            <w:pPr>
              <w:spacing w:line="360" w:lineRule="auto"/>
              <w:rPr>
                <w:rFonts w:hint="eastAsia" w:ascii="宋体" w:hAnsi="宋体" w:eastAsia="宋体" w:cs="宋体"/>
                <w:color w:val="auto"/>
                <w:sz w:val="21"/>
                <w:szCs w:val="21"/>
                <w:highlight w:val="none"/>
              </w:rPr>
            </w:pPr>
          </w:p>
          <w:p w14:paraId="5C2A5F4D">
            <w:pPr>
              <w:spacing w:line="360" w:lineRule="auto"/>
              <w:rPr>
                <w:rFonts w:hint="eastAsia" w:ascii="宋体" w:hAnsi="宋体" w:eastAsia="宋体" w:cs="宋体"/>
                <w:color w:val="auto"/>
                <w:sz w:val="21"/>
                <w:szCs w:val="21"/>
                <w:highlight w:val="none"/>
              </w:rPr>
            </w:pPr>
          </w:p>
          <w:p w14:paraId="34A84034">
            <w:pPr>
              <w:spacing w:line="360" w:lineRule="auto"/>
              <w:rPr>
                <w:rFonts w:hint="eastAsia" w:ascii="宋体" w:hAnsi="宋体" w:eastAsia="宋体" w:cs="宋体"/>
                <w:color w:val="auto"/>
                <w:sz w:val="21"/>
                <w:szCs w:val="21"/>
                <w:highlight w:val="none"/>
              </w:rPr>
            </w:pPr>
          </w:p>
          <w:p w14:paraId="6E5B299A">
            <w:pPr>
              <w:pStyle w:val="19"/>
              <w:spacing w:before="78" w:line="360" w:lineRule="auto"/>
              <w:ind w:left="109" w:leftChars="0" w:right="105" w:rightChars="0"/>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5"/>
                <w:sz w:val="21"/>
                <w:szCs w:val="21"/>
                <w:highlight w:val="none"/>
              </w:rPr>
              <w:t>其他特定资格</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3"/>
                <w:sz w:val="21"/>
                <w:szCs w:val="21"/>
                <w:highlight w:val="none"/>
              </w:rPr>
              <w:t>要求</w:t>
            </w:r>
          </w:p>
        </w:tc>
        <w:tc>
          <w:tcPr>
            <w:tcW w:w="4669" w:type="dxa"/>
            <w:shd w:val="clear" w:color="auto" w:fill="auto"/>
            <w:vAlign w:val="top"/>
          </w:tcPr>
          <w:p w14:paraId="7CE4BA5B">
            <w:pPr>
              <w:pStyle w:val="12"/>
              <w:keepNext w:val="0"/>
              <w:keepLines w:val="0"/>
              <w:widowControl/>
              <w:suppressLineNumbers w:val="0"/>
              <w:spacing w:before="150" w:beforeAutospacing="0" w:after="0" w:afterAutospacing="0" w:line="435" w:lineRule="atLeast"/>
              <w:ind w:left="218" w:leftChars="98" w:hanging="12" w:hangingChars="6"/>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1) 供应商须具有建设行政主管部门颁发的公路工程施工总承包三级（含）以上资质或市政公用工程施工总承包三级（含）以上；</w:t>
            </w:r>
          </w:p>
          <w:p w14:paraId="30C6CD4E">
            <w:pPr>
              <w:spacing w:before="181" w:line="240" w:lineRule="auto"/>
              <w:ind w:left="218" w:leftChars="98" w:right="69" w:hanging="12" w:hangingChars="6"/>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2) 供应商具有有效的安全生产许可证；</w:t>
            </w:r>
          </w:p>
          <w:p w14:paraId="187D9436">
            <w:pPr>
              <w:spacing w:before="181" w:line="360" w:lineRule="auto"/>
              <w:ind w:left="218" w:leftChars="98" w:right="69" w:hanging="12" w:hangingChars="6"/>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3) 拟派项目经理需具有公路工程或市政公用工程专业二级（含）以上注册建造师执业资格和有效的安全生产考核合格证书（B 本），且在确认成交时不得担任其他在施建设项目的项目经理；</w:t>
            </w:r>
          </w:p>
          <w:p w14:paraId="385EA183">
            <w:pPr>
              <w:spacing w:before="181" w:line="360" w:lineRule="auto"/>
              <w:ind w:left="218" w:leftChars="98" w:right="69" w:hanging="12" w:hangingChars="6"/>
              <w:rPr>
                <w:rFonts w:hint="eastAsia" w:ascii="宋体" w:hAnsi="宋体" w:eastAsia="宋体" w:cs="宋体"/>
                <w:snapToGrid w:val="0"/>
                <w:color w:val="auto"/>
                <w:spacing w:val="-2"/>
                <w:kern w:val="0"/>
                <w:sz w:val="21"/>
                <w:szCs w:val="21"/>
                <w:highlight w:val="none"/>
                <w:lang w:val="en-US" w:eastAsia="en-US" w:bidi="ar-SA"/>
              </w:rPr>
            </w:pPr>
            <w:r>
              <w:rPr>
                <w:rFonts w:hint="eastAsia" w:ascii="宋体" w:hAnsi="宋体" w:eastAsia="宋体" w:cs="宋体"/>
                <w:snapToGrid w:val="0"/>
                <w:color w:val="auto"/>
                <w:spacing w:val="-2"/>
                <w:kern w:val="0"/>
                <w:sz w:val="21"/>
                <w:szCs w:val="21"/>
                <w:highlight w:val="none"/>
                <w:lang w:val="en-US" w:eastAsia="en-US" w:bidi="ar-SA"/>
              </w:rPr>
              <w:t xml:space="preserve">4) </w:t>
            </w:r>
            <w:r>
              <w:rPr>
                <w:rFonts w:hint="eastAsia" w:ascii="宋体" w:hAnsi="宋体" w:eastAsia="宋体" w:cs="宋体"/>
                <w:snapToGrid w:val="0"/>
                <w:color w:val="auto"/>
                <w:spacing w:val="-2"/>
                <w:kern w:val="0"/>
                <w:sz w:val="21"/>
                <w:szCs w:val="21"/>
                <w:highlight w:val="none"/>
                <w:lang w:val="en-US" w:eastAsia="zh-CN" w:bidi="ar-SA"/>
              </w:rPr>
              <w:t>外地企业参与本项目采购需提交有效的《外省市建筑企业来京施工备案表》；供应商未被列入信用中国网站(https://www.creditchina.gov.cn/zhuanxiangchaxun/)、中国政府采购网(www.ccgp.gov.cn)渠道信用记录失信被执行人、重大税收违法失信主体、政府采购严重违法失信行为记录名单、拖欠农民工工资失信联合惩戒对象；与采购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在近三年内投标人、法定代表人、项目负责人在中国裁判文书网(网址:http://wenshu.court.gov.cn)网站中查询记录显示有行贿犯罪的，不得参与本项目的竞争性磋商活动。</w:t>
            </w:r>
            <w:r>
              <w:rPr>
                <w:rFonts w:hint="eastAsia" w:ascii="宋体" w:hAnsi="宋体" w:eastAsia="宋体" w:cs="宋体"/>
                <w:snapToGrid w:val="0"/>
                <w:color w:val="auto"/>
                <w:spacing w:val="-2"/>
                <w:kern w:val="0"/>
                <w:sz w:val="21"/>
                <w:szCs w:val="21"/>
                <w:highlight w:val="none"/>
                <w:lang w:val="en-US" w:eastAsia="en-US" w:bidi="ar-SA"/>
              </w:rPr>
              <w:t xml:space="preserve">  </w:t>
            </w:r>
          </w:p>
          <w:p w14:paraId="5D3F7EA6">
            <w:pPr>
              <w:pStyle w:val="19"/>
              <w:spacing w:before="28" w:line="360" w:lineRule="auto"/>
              <w:ind w:left="112" w:leftChars="0" w:right="99" w:rightChars="0"/>
              <w:rPr>
                <w:rFonts w:hint="eastAsia" w:ascii="宋体" w:hAnsi="宋体" w:eastAsia="宋体" w:cs="宋体"/>
                <w:snapToGrid w:val="0"/>
                <w:color w:val="auto"/>
                <w:spacing w:val="-6"/>
                <w:kern w:val="0"/>
                <w:sz w:val="21"/>
                <w:szCs w:val="21"/>
                <w:highlight w:val="none"/>
                <w:lang w:val="en-US" w:eastAsia="en-US" w:bidi="ar-SA"/>
              </w:rPr>
            </w:pPr>
          </w:p>
        </w:tc>
        <w:tc>
          <w:tcPr>
            <w:tcW w:w="1866" w:type="dxa"/>
            <w:shd w:val="clear" w:color="auto" w:fill="auto"/>
            <w:vAlign w:val="top"/>
          </w:tcPr>
          <w:p w14:paraId="6E6C06E9">
            <w:pPr>
              <w:spacing w:line="360" w:lineRule="auto"/>
              <w:rPr>
                <w:rFonts w:hint="eastAsia" w:ascii="宋体" w:hAnsi="宋体" w:eastAsia="宋体" w:cs="宋体"/>
                <w:color w:val="auto"/>
                <w:sz w:val="21"/>
                <w:szCs w:val="21"/>
                <w:highlight w:val="none"/>
              </w:rPr>
            </w:pPr>
          </w:p>
          <w:p w14:paraId="25EF6923">
            <w:pPr>
              <w:spacing w:line="360" w:lineRule="auto"/>
              <w:rPr>
                <w:rFonts w:hint="eastAsia" w:ascii="宋体" w:hAnsi="宋体" w:eastAsia="宋体" w:cs="宋体"/>
                <w:color w:val="auto"/>
                <w:sz w:val="21"/>
                <w:szCs w:val="21"/>
                <w:highlight w:val="none"/>
              </w:rPr>
            </w:pPr>
          </w:p>
          <w:p w14:paraId="2A5D2022">
            <w:pPr>
              <w:spacing w:line="360" w:lineRule="auto"/>
              <w:rPr>
                <w:rFonts w:hint="eastAsia" w:ascii="宋体" w:hAnsi="宋体" w:eastAsia="宋体" w:cs="宋体"/>
                <w:color w:val="auto"/>
                <w:sz w:val="21"/>
                <w:szCs w:val="21"/>
                <w:highlight w:val="none"/>
              </w:rPr>
            </w:pPr>
          </w:p>
          <w:p w14:paraId="76B68140">
            <w:pPr>
              <w:spacing w:line="360" w:lineRule="auto"/>
              <w:rPr>
                <w:rFonts w:hint="eastAsia" w:ascii="宋体" w:hAnsi="宋体" w:eastAsia="宋体" w:cs="宋体"/>
                <w:color w:val="auto"/>
                <w:sz w:val="21"/>
                <w:szCs w:val="21"/>
                <w:highlight w:val="none"/>
              </w:rPr>
            </w:pPr>
          </w:p>
          <w:p w14:paraId="616C3C40">
            <w:pPr>
              <w:pStyle w:val="19"/>
              <w:spacing w:before="78" w:line="360" w:lineRule="auto"/>
              <w:ind w:left="114" w:leftChars="0" w:right="102" w:rightChars="0" w:firstLine="19" w:firstLineChars="0"/>
              <w:jc w:val="both"/>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pacing w:val="1"/>
                <w:sz w:val="21"/>
                <w:szCs w:val="21"/>
                <w:highlight w:val="none"/>
              </w:rPr>
              <w:t>提供</w:t>
            </w:r>
            <w:r>
              <w:rPr>
                <w:rFonts w:hint="eastAsia" w:ascii="宋体" w:hAnsi="宋体" w:eastAsia="宋体" w:cs="宋体"/>
                <w:color w:val="auto"/>
                <w:spacing w:val="33"/>
                <w:sz w:val="21"/>
                <w:szCs w:val="21"/>
                <w:highlight w:val="none"/>
              </w:rPr>
              <w:t>证明文件的复</w:t>
            </w:r>
            <w:r>
              <w:rPr>
                <w:rFonts w:hint="eastAsia" w:ascii="宋体" w:hAnsi="宋体" w:eastAsia="宋体" w:cs="宋体"/>
                <w:color w:val="auto"/>
                <w:spacing w:val="-1"/>
                <w:sz w:val="21"/>
                <w:szCs w:val="21"/>
                <w:highlight w:val="none"/>
              </w:rPr>
              <w:t>印件（加</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
                <w:sz w:val="21"/>
                <w:szCs w:val="21"/>
                <w:highlight w:val="none"/>
              </w:rPr>
              <w:t>盖</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
                <w:sz w:val="21"/>
                <w:szCs w:val="21"/>
                <w:highlight w:val="none"/>
              </w:rPr>
              <w:t>公</w:t>
            </w:r>
            <w:r>
              <w:rPr>
                <w:rFonts w:hint="eastAsia" w:ascii="宋体" w:hAnsi="宋体" w:eastAsia="宋体" w:cs="宋体"/>
                <w:color w:val="auto"/>
                <w:spacing w:val="1"/>
                <w:sz w:val="21"/>
                <w:szCs w:val="21"/>
                <w:highlight w:val="none"/>
              </w:rPr>
              <w:t>章</w:t>
            </w:r>
            <w:r>
              <w:rPr>
                <w:rFonts w:hint="eastAsia" w:ascii="宋体" w:hAnsi="宋体" w:eastAsia="宋体" w:cs="宋体"/>
                <w:color w:val="auto"/>
                <w:spacing w:val="-58"/>
                <w:sz w:val="21"/>
                <w:szCs w:val="21"/>
                <w:highlight w:val="none"/>
              </w:rPr>
              <w:t>）</w:t>
            </w:r>
          </w:p>
        </w:tc>
      </w:tr>
    </w:tbl>
    <w:p w14:paraId="7F27EF2C">
      <w:pPr>
        <w:spacing w:before="312" w:line="360"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1.4       《符合性审查要求》见下表：</w:t>
      </w:r>
    </w:p>
    <w:p w14:paraId="7EF4C34F">
      <w:pPr>
        <w:spacing w:before="180" w:line="360" w:lineRule="auto"/>
        <w:ind w:left="3732"/>
        <w:rPr>
          <w:rFonts w:hint="eastAsia" w:ascii="宋体" w:hAnsi="宋体" w:eastAsia="宋体" w:cs="宋体"/>
          <w:color w:val="auto"/>
          <w:sz w:val="21"/>
          <w:szCs w:val="21"/>
          <w:highlight w:val="none"/>
        </w:rPr>
      </w:pPr>
      <w:r>
        <w:rPr>
          <w:rFonts w:hint="eastAsia" w:ascii="宋体" w:hAnsi="宋体" w:eastAsia="宋体" w:cs="宋体"/>
          <w:b/>
          <w:bCs/>
          <w:color w:val="auto"/>
          <w:spacing w:val="-4"/>
          <w:sz w:val="21"/>
          <w:szCs w:val="21"/>
          <w:highlight w:val="none"/>
        </w:rPr>
        <w:t>符合性审查要求</w:t>
      </w:r>
    </w:p>
    <w:p w14:paraId="2947B10B">
      <w:pPr>
        <w:spacing w:line="360" w:lineRule="auto"/>
        <w:rPr>
          <w:rFonts w:hint="eastAsia" w:ascii="宋体" w:hAnsi="宋体" w:eastAsia="宋体" w:cs="宋体"/>
          <w:color w:val="auto"/>
          <w:sz w:val="21"/>
          <w:szCs w:val="21"/>
          <w:highlight w:val="none"/>
        </w:rPr>
      </w:pPr>
    </w:p>
    <w:tbl>
      <w:tblPr>
        <w:tblStyle w:val="18"/>
        <w:tblW w:w="9061"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667"/>
        <w:gridCol w:w="4543"/>
        <w:gridCol w:w="1859"/>
      </w:tblGrid>
      <w:tr w14:paraId="30547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992" w:type="dxa"/>
            <w:vAlign w:val="top"/>
          </w:tcPr>
          <w:p w14:paraId="03343341">
            <w:pPr>
              <w:pStyle w:val="19"/>
              <w:spacing w:before="224" w:line="360" w:lineRule="auto"/>
              <w:ind w:left="256"/>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序号</w:t>
            </w:r>
          </w:p>
        </w:tc>
        <w:tc>
          <w:tcPr>
            <w:tcW w:w="1667" w:type="dxa"/>
            <w:vAlign w:val="top"/>
          </w:tcPr>
          <w:p w14:paraId="00AA33EB">
            <w:pPr>
              <w:pStyle w:val="19"/>
              <w:spacing w:before="223" w:line="360" w:lineRule="auto"/>
              <w:ind w:left="352"/>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检查因素</w:t>
            </w:r>
          </w:p>
        </w:tc>
        <w:tc>
          <w:tcPr>
            <w:tcW w:w="4543" w:type="dxa"/>
            <w:vAlign w:val="top"/>
          </w:tcPr>
          <w:p w14:paraId="7BE69BD9">
            <w:pPr>
              <w:pStyle w:val="19"/>
              <w:spacing w:before="223" w:line="360" w:lineRule="auto"/>
              <w:ind w:left="954"/>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检查内容</w:t>
            </w:r>
          </w:p>
        </w:tc>
        <w:tc>
          <w:tcPr>
            <w:tcW w:w="1859" w:type="dxa"/>
            <w:vAlign w:val="top"/>
          </w:tcPr>
          <w:p w14:paraId="5049F80E">
            <w:pPr>
              <w:pStyle w:val="19"/>
              <w:spacing w:before="223" w:line="360" w:lineRule="auto"/>
              <w:ind w:left="211"/>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是否允许澄清、说明或者更正</w:t>
            </w:r>
          </w:p>
        </w:tc>
      </w:tr>
      <w:tr w14:paraId="07546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92" w:type="dxa"/>
            <w:vAlign w:val="top"/>
          </w:tcPr>
          <w:p w14:paraId="34D87BA4">
            <w:pPr>
              <w:pStyle w:val="19"/>
              <w:spacing w:before="230" w:line="360" w:lineRule="auto"/>
              <w:ind w:left="45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67" w:type="dxa"/>
            <w:vAlign w:val="top"/>
          </w:tcPr>
          <w:p w14:paraId="0388640A">
            <w:pPr>
              <w:pStyle w:val="19"/>
              <w:spacing w:before="230" w:line="360" w:lineRule="auto"/>
              <w:ind w:left="28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授权委托书</w:t>
            </w:r>
          </w:p>
        </w:tc>
        <w:tc>
          <w:tcPr>
            <w:tcW w:w="4543" w:type="dxa"/>
            <w:vAlign w:val="top"/>
          </w:tcPr>
          <w:p w14:paraId="6FF03B6C">
            <w:pPr>
              <w:pStyle w:val="19"/>
              <w:spacing w:before="87"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按磋商文件要求提供授权委</w:t>
            </w:r>
            <w:r>
              <w:rPr>
                <w:rFonts w:hint="eastAsia" w:ascii="宋体" w:hAnsi="宋体" w:eastAsia="宋体" w:cs="宋体"/>
                <w:color w:val="auto"/>
                <w:spacing w:val="-14"/>
                <w:sz w:val="21"/>
                <w:szCs w:val="21"/>
                <w:highlight w:val="none"/>
              </w:rPr>
              <w:t>托书；</w:t>
            </w:r>
          </w:p>
        </w:tc>
        <w:tc>
          <w:tcPr>
            <w:tcW w:w="1859" w:type="dxa"/>
            <w:vAlign w:val="top"/>
          </w:tcPr>
          <w:p w14:paraId="5B583F3C">
            <w:pPr>
              <w:pStyle w:val="19"/>
              <w:spacing w:before="230"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66E9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992" w:type="dxa"/>
            <w:vAlign w:val="top"/>
          </w:tcPr>
          <w:p w14:paraId="673437DE">
            <w:pPr>
              <w:pStyle w:val="19"/>
              <w:spacing w:before="231" w:line="360" w:lineRule="auto"/>
              <w:ind w:left="44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67" w:type="dxa"/>
            <w:vAlign w:val="top"/>
          </w:tcPr>
          <w:p w14:paraId="194EA7D2">
            <w:pPr>
              <w:pStyle w:val="19"/>
              <w:spacing w:before="230" w:line="360" w:lineRule="auto"/>
              <w:ind w:left="295"/>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响应完整性</w:t>
            </w:r>
          </w:p>
        </w:tc>
        <w:tc>
          <w:tcPr>
            <w:tcW w:w="4543" w:type="dxa"/>
            <w:vAlign w:val="top"/>
          </w:tcPr>
          <w:p w14:paraId="59C88510">
            <w:pPr>
              <w:pStyle w:val="19"/>
              <w:spacing w:before="88" w:line="360" w:lineRule="auto"/>
              <w:ind w:left="11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未将一个采购包中的内容拆</w:t>
            </w:r>
            <w:r>
              <w:rPr>
                <w:rFonts w:hint="eastAsia" w:ascii="宋体" w:hAnsi="宋体" w:eastAsia="宋体" w:cs="宋体"/>
                <w:color w:val="auto"/>
                <w:spacing w:val="-12"/>
                <w:sz w:val="21"/>
                <w:szCs w:val="21"/>
                <w:highlight w:val="none"/>
              </w:rPr>
              <w:t>开响应；</w:t>
            </w:r>
          </w:p>
        </w:tc>
        <w:tc>
          <w:tcPr>
            <w:tcW w:w="1859" w:type="dxa"/>
            <w:vAlign w:val="top"/>
          </w:tcPr>
          <w:p w14:paraId="19D443AA">
            <w:pPr>
              <w:pStyle w:val="19"/>
              <w:spacing w:before="231"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314A4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992" w:type="dxa"/>
            <w:vAlign w:val="top"/>
          </w:tcPr>
          <w:p w14:paraId="484F0335">
            <w:pPr>
              <w:spacing w:line="360" w:lineRule="auto"/>
              <w:rPr>
                <w:rFonts w:hint="eastAsia" w:ascii="宋体" w:hAnsi="宋体" w:eastAsia="宋体" w:cs="宋体"/>
                <w:color w:val="auto"/>
                <w:sz w:val="21"/>
                <w:szCs w:val="21"/>
                <w:highlight w:val="none"/>
              </w:rPr>
            </w:pPr>
          </w:p>
          <w:p w14:paraId="3F0B3E8C">
            <w:pPr>
              <w:pStyle w:val="19"/>
              <w:spacing w:before="71" w:line="360" w:lineRule="auto"/>
              <w:ind w:left="44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67" w:type="dxa"/>
            <w:vAlign w:val="top"/>
          </w:tcPr>
          <w:p w14:paraId="326F94A2">
            <w:pPr>
              <w:spacing w:line="360" w:lineRule="auto"/>
              <w:rPr>
                <w:rFonts w:hint="eastAsia" w:ascii="宋体" w:hAnsi="宋体" w:eastAsia="宋体" w:cs="宋体"/>
                <w:color w:val="auto"/>
                <w:sz w:val="21"/>
                <w:szCs w:val="21"/>
                <w:highlight w:val="none"/>
              </w:rPr>
            </w:pPr>
          </w:p>
          <w:p w14:paraId="7858A760">
            <w:pPr>
              <w:pStyle w:val="19"/>
              <w:spacing w:before="72" w:line="360" w:lineRule="auto"/>
              <w:ind w:left="39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投标报价</w:t>
            </w:r>
          </w:p>
        </w:tc>
        <w:tc>
          <w:tcPr>
            <w:tcW w:w="4543" w:type="dxa"/>
            <w:vAlign w:val="top"/>
          </w:tcPr>
          <w:p w14:paraId="72F26973">
            <w:pPr>
              <w:pStyle w:val="19"/>
              <w:spacing w:before="32" w:line="360" w:lineRule="auto"/>
              <w:ind w:left="1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投标报价未超过磋商文件中规定的项目/采购包预算金额或者项目/采购包最高限</w:t>
            </w:r>
            <w:r>
              <w:rPr>
                <w:rFonts w:hint="eastAsia" w:ascii="宋体" w:hAnsi="宋体" w:eastAsia="宋体" w:cs="宋体"/>
                <w:color w:val="auto"/>
                <w:spacing w:val="-16"/>
                <w:sz w:val="21"/>
                <w:szCs w:val="21"/>
                <w:highlight w:val="none"/>
              </w:rPr>
              <w:t>价；</w:t>
            </w:r>
          </w:p>
        </w:tc>
        <w:tc>
          <w:tcPr>
            <w:tcW w:w="1859" w:type="dxa"/>
            <w:vAlign w:val="top"/>
          </w:tcPr>
          <w:p w14:paraId="7F2D78CE">
            <w:pPr>
              <w:spacing w:line="360" w:lineRule="auto"/>
              <w:ind w:left="420" w:leftChars="200" w:firstLine="0" w:firstLineChars="0"/>
              <w:jc w:val="center"/>
              <w:rPr>
                <w:rFonts w:hint="eastAsia" w:ascii="宋体" w:hAnsi="宋体" w:eastAsia="宋体" w:cs="宋体"/>
                <w:color w:val="auto"/>
                <w:sz w:val="21"/>
                <w:szCs w:val="21"/>
                <w:highlight w:val="none"/>
              </w:rPr>
            </w:pPr>
          </w:p>
          <w:p w14:paraId="172767B2">
            <w:pPr>
              <w:pStyle w:val="19"/>
              <w:spacing w:before="72"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71BD2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992" w:type="dxa"/>
            <w:vAlign w:val="top"/>
          </w:tcPr>
          <w:p w14:paraId="3BA2C4A9">
            <w:pPr>
              <w:spacing w:line="360" w:lineRule="auto"/>
              <w:rPr>
                <w:rFonts w:hint="eastAsia" w:ascii="宋体" w:hAnsi="宋体" w:eastAsia="宋体" w:cs="宋体"/>
                <w:color w:val="auto"/>
                <w:sz w:val="21"/>
                <w:szCs w:val="21"/>
                <w:highlight w:val="none"/>
              </w:rPr>
            </w:pPr>
          </w:p>
          <w:p w14:paraId="336B7E1C">
            <w:pPr>
              <w:pStyle w:val="19"/>
              <w:spacing w:before="71" w:line="360" w:lineRule="auto"/>
              <w:ind w:left="44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67" w:type="dxa"/>
            <w:vAlign w:val="top"/>
          </w:tcPr>
          <w:p w14:paraId="354A54AF">
            <w:pPr>
              <w:spacing w:line="360" w:lineRule="auto"/>
              <w:rPr>
                <w:rFonts w:hint="eastAsia" w:ascii="宋体" w:hAnsi="宋体" w:eastAsia="宋体" w:cs="宋体"/>
                <w:color w:val="auto"/>
                <w:sz w:val="21"/>
                <w:szCs w:val="21"/>
                <w:highlight w:val="none"/>
              </w:rPr>
            </w:pPr>
          </w:p>
          <w:p w14:paraId="323043F0">
            <w:pPr>
              <w:pStyle w:val="19"/>
              <w:spacing w:before="71" w:line="360" w:lineRule="auto"/>
              <w:ind w:left="28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报价唯一性</w:t>
            </w:r>
          </w:p>
        </w:tc>
        <w:tc>
          <w:tcPr>
            <w:tcW w:w="4543" w:type="dxa"/>
            <w:vAlign w:val="top"/>
          </w:tcPr>
          <w:p w14:paraId="069B386D">
            <w:pPr>
              <w:pStyle w:val="19"/>
              <w:spacing w:before="34" w:line="36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响应文件未出现可选择性或</w:t>
            </w:r>
            <w:r>
              <w:rPr>
                <w:rFonts w:hint="eastAsia" w:ascii="宋体" w:hAnsi="宋体" w:eastAsia="宋体" w:cs="宋体"/>
                <w:color w:val="auto"/>
                <w:spacing w:val="-1"/>
                <w:sz w:val="21"/>
                <w:szCs w:val="21"/>
                <w:highlight w:val="none"/>
              </w:rPr>
              <w:t>可调整的报价（磋商文件</w:t>
            </w:r>
            <w:r>
              <w:rPr>
                <w:rFonts w:hint="eastAsia" w:ascii="宋体" w:hAnsi="宋体" w:eastAsia="宋体" w:cs="宋体"/>
                <w:color w:val="auto"/>
                <w:spacing w:val="-18"/>
                <w:sz w:val="21"/>
                <w:szCs w:val="21"/>
                <w:highlight w:val="none"/>
              </w:rPr>
              <w:t>另有规定的除外</w:t>
            </w:r>
            <w:r>
              <w:rPr>
                <w:rFonts w:hint="eastAsia" w:ascii="宋体" w:hAnsi="宋体" w:eastAsia="宋体" w:cs="宋体"/>
                <w:color w:val="auto"/>
                <w:spacing w:val="-7"/>
                <w:sz w:val="21"/>
                <w:szCs w:val="21"/>
                <w:highlight w:val="none"/>
              </w:rPr>
              <w:t>）；</w:t>
            </w:r>
          </w:p>
        </w:tc>
        <w:tc>
          <w:tcPr>
            <w:tcW w:w="1859" w:type="dxa"/>
            <w:vAlign w:val="top"/>
          </w:tcPr>
          <w:p w14:paraId="0208A1FF">
            <w:pPr>
              <w:spacing w:line="360" w:lineRule="auto"/>
              <w:ind w:left="420" w:leftChars="200" w:firstLine="0" w:firstLineChars="0"/>
              <w:jc w:val="center"/>
              <w:rPr>
                <w:rFonts w:hint="eastAsia" w:ascii="宋体" w:hAnsi="宋体" w:eastAsia="宋体" w:cs="宋体"/>
                <w:color w:val="auto"/>
                <w:sz w:val="21"/>
                <w:szCs w:val="21"/>
                <w:highlight w:val="none"/>
              </w:rPr>
            </w:pPr>
          </w:p>
          <w:p w14:paraId="5F6B2719">
            <w:pPr>
              <w:pStyle w:val="19"/>
              <w:spacing w:before="71"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AAF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992" w:type="dxa"/>
            <w:vAlign w:val="top"/>
          </w:tcPr>
          <w:p w14:paraId="1648CF5C">
            <w:pPr>
              <w:spacing w:line="360" w:lineRule="auto"/>
              <w:rPr>
                <w:rFonts w:hint="eastAsia" w:ascii="宋体" w:hAnsi="宋体" w:eastAsia="宋体" w:cs="宋体"/>
                <w:color w:val="auto"/>
                <w:sz w:val="21"/>
                <w:szCs w:val="21"/>
                <w:highlight w:val="none"/>
              </w:rPr>
            </w:pPr>
          </w:p>
          <w:p w14:paraId="453EF691">
            <w:pPr>
              <w:pStyle w:val="19"/>
              <w:spacing w:before="72" w:line="360" w:lineRule="auto"/>
              <w:ind w:left="44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67" w:type="dxa"/>
            <w:vAlign w:val="top"/>
          </w:tcPr>
          <w:p w14:paraId="1C4EF5D4">
            <w:pPr>
              <w:spacing w:line="360" w:lineRule="auto"/>
              <w:rPr>
                <w:rFonts w:hint="eastAsia" w:ascii="宋体" w:hAnsi="宋体" w:eastAsia="宋体" w:cs="宋体"/>
                <w:color w:val="auto"/>
                <w:sz w:val="21"/>
                <w:szCs w:val="21"/>
                <w:highlight w:val="none"/>
              </w:rPr>
            </w:pPr>
          </w:p>
          <w:p w14:paraId="7DC2908E">
            <w:pPr>
              <w:pStyle w:val="19"/>
              <w:spacing w:before="71" w:line="360" w:lineRule="auto"/>
              <w:ind w:left="295"/>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响应有效期</w:t>
            </w:r>
          </w:p>
        </w:tc>
        <w:tc>
          <w:tcPr>
            <w:tcW w:w="4543" w:type="dxa"/>
            <w:vAlign w:val="top"/>
          </w:tcPr>
          <w:p w14:paraId="19A3650C">
            <w:pPr>
              <w:pStyle w:val="19"/>
              <w:spacing w:before="35" w:line="36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响应文件中承诺的响应有效</w:t>
            </w:r>
            <w:r>
              <w:rPr>
                <w:rFonts w:hint="eastAsia" w:ascii="宋体" w:hAnsi="宋体" w:eastAsia="宋体" w:cs="宋体"/>
                <w:color w:val="auto"/>
                <w:spacing w:val="-1"/>
                <w:sz w:val="21"/>
                <w:szCs w:val="21"/>
                <w:highlight w:val="none"/>
              </w:rPr>
              <w:t>期满足采购文件中载明的投</w:t>
            </w:r>
            <w:r>
              <w:rPr>
                <w:rFonts w:hint="eastAsia" w:ascii="宋体" w:hAnsi="宋体" w:eastAsia="宋体" w:cs="宋体"/>
                <w:color w:val="auto"/>
                <w:spacing w:val="-9"/>
                <w:sz w:val="21"/>
                <w:szCs w:val="21"/>
                <w:highlight w:val="none"/>
              </w:rPr>
              <w:t>标有效期的；</w:t>
            </w:r>
          </w:p>
        </w:tc>
        <w:tc>
          <w:tcPr>
            <w:tcW w:w="1859" w:type="dxa"/>
            <w:vAlign w:val="top"/>
          </w:tcPr>
          <w:p w14:paraId="338E66B7">
            <w:pPr>
              <w:spacing w:line="360" w:lineRule="auto"/>
              <w:ind w:left="420" w:leftChars="200" w:firstLine="0" w:firstLineChars="0"/>
              <w:jc w:val="center"/>
              <w:rPr>
                <w:rFonts w:hint="eastAsia" w:ascii="宋体" w:hAnsi="宋体" w:eastAsia="宋体" w:cs="宋体"/>
                <w:color w:val="auto"/>
                <w:sz w:val="21"/>
                <w:szCs w:val="21"/>
                <w:highlight w:val="none"/>
              </w:rPr>
            </w:pPr>
          </w:p>
          <w:p w14:paraId="3B825170">
            <w:pPr>
              <w:pStyle w:val="19"/>
              <w:spacing w:before="71"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3E9E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992" w:type="dxa"/>
            <w:vAlign w:val="top"/>
          </w:tcPr>
          <w:p w14:paraId="15D7C330">
            <w:pPr>
              <w:pStyle w:val="19"/>
              <w:spacing w:before="236" w:line="360" w:lineRule="auto"/>
              <w:ind w:left="44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667" w:type="dxa"/>
            <w:vAlign w:val="top"/>
          </w:tcPr>
          <w:p w14:paraId="508F11BD">
            <w:pPr>
              <w:pStyle w:val="19"/>
              <w:spacing w:before="236" w:line="360" w:lineRule="auto"/>
              <w:ind w:left="28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签署、盖章</w:t>
            </w:r>
          </w:p>
        </w:tc>
        <w:tc>
          <w:tcPr>
            <w:tcW w:w="4543" w:type="dxa"/>
            <w:vAlign w:val="top"/>
          </w:tcPr>
          <w:p w14:paraId="154F6866">
            <w:pPr>
              <w:pStyle w:val="19"/>
              <w:spacing w:before="93"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按照采购文件要求签署、盖</w:t>
            </w:r>
            <w:r>
              <w:rPr>
                <w:rFonts w:hint="eastAsia" w:ascii="宋体" w:hAnsi="宋体" w:eastAsia="宋体" w:cs="宋体"/>
                <w:color w:val="auto"/>
                <w:spacing w:val="-16"/>
                <w:sz w:val="21"/>
                <w:szCs w:val="21"/>
                <w:highlight w:val="none"/>
              </w:rPr>
              <w:t>章的；</w:t>
            </w:r>
          </w:p>
        </w:tc>
        <w:tc>
          <w:tcPr>
            <w:tcW w:w="1859" w:type="dxa"/>
            <w:vAlign w:val="top"/>
          </w:tcPr>
          <w:p w14:paraId="779D4095">
            <w:pPr>
              <w:pStyle w:val="19"/>
              <w:spacing w:before="236"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3F5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992" w:type="dxa"/>
            <w:vAlign w:val="top"/>
          </w:tcPr>
          <w:p w14:paraId="01DAE148">
            <w:pPr>
              <w:spacing w:line="360" w:lineRule="auto"/>
              <w:rPr>
                <w:rFonts w:hint="eastAsia" w:ascii="宋体" w:hAnsi="宋体" w:eastAsia="宋体" w:cs="宋体"/>
                <w:color w:val="auto"/>
                <w:sz w:val="21"/>
                <w:szCs w:val="21"/>
                <w:highlight w:val="none"/>
              </w:rPr>
            </w:pPr>
          </w:p>
          <w:p w14:paraId="4168CA66">
            <w:pPr>
              <w:pStyle w:val="19"/>
              <w:spacing w:before="72" w:line="360" w:lineRule="auto"/>
              <w:ind w:left="44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667" w:type="dxa"/>
            <w:vAlign w:val="top"/>
          </w:tcPr>
          <w:p w14:paraId="11CD7AB3">
            <w:pPr>
              <w:spacing w:line="360" w:lineRule="auto"/>
              <w:rPr>
                <w:rFonts w:hint="eastAsia" w:ascii="宋体" w:hAnsi="宋体" w:eastAsia="宋体" w:cs="宋体"/>
                <w:color w:val="auto"/>
                <w:sz w:val="21"/>
                <w:szCs w:val="21"/>
                <w:highlight w:val="none"/>
              </w:rPr>
            </w:pPr>
          </w:p>
          <w:p w14:paraId="60E01D35">
            <w:pPr>
              <w:pStyle w:val="19"/>
              <w:spacing w:before="71" w:line="360" w:lineRule="auto"/>
              <w:ind w:left="28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实质性格式</w:t>
            </w:r>
          </w:p>
        </w:tc>
        <w:tc>
          <w:tcPr>
            <w:tcW w:w="4543" w:type="dxa"/>
            <w:vAlign w:val="top"/>
          </w:tcPr>
          <w:p w14:paraId="77A31A5E">
            <w:pPr>
              <w:pStyle w:val="19"/>
              <w:spacing w:before="37" w:line="360" w:lineRule="auto"/>
              <w:ind w:left="116"/>
              <w:jc w:val="left"/>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标记为“实质性格式</w:t>
            </w:r>
            <w:r>
              <w:rPr>
                <w:rFonts w:hint="eastAsia" w:ascii="宋体" w:hAnsi="宋体" w:eastAsia="宋体" w:cs="宋体"/>
                <w:color w:val="auto"/>
                <w:spacing w:val="-72"/>
                <w:sz w:val="21"/>
                <w:szCs w:val="21"/>
                <w:highlight w:val="none"/>
              </w:rPr>
              <w:t xml:space="preserve"> </w:t>
            </w:r>
            <w:r>
              <w:rPr>
                <w:rFonts w:hint="eastAsia" w:ascii="宋体" w:hAnsi="宋体" w:eastAsia="宋体" w:cs="宋体"/>
                <w:color w:val="auto"/>
                <w:spacing w:val="-3"/>
                <w:sz w:val="21"/>
                <w:szCs w:val="21"/>
                <w:highlight w:val="none"/>
              </w:rPr>
              <w:t>”的文</w:t>
            </w:r>
            <w:r>
              <w:rPr>
                <w:rFonts w:hint="eastAsia" w:ascii="宋体" w:hAnsi="宋体" w:eastAsia="宋体" w:cs="宋体"/>
                <w:color w:val="auto"/>
                <w:spacing w:val="-1"/>
                <w:sz w:val="21"/>
                <w:szCs w:val="21"/>
                <w:highlight w:val="none"/>
              </w:rPr>
              <w:t>件均按磋商文件要求提</w:t>
            </w:r>
            <w:r>
              <w:rPr>
                <w:rFonts w:hint="eastAsia" w:ascii="宋体" w:hAnsi="宋体" w:eastAsia="宋体" w:cs="宋体"/>
                <w:color w:val="auto"/>
                <w:spacing w:val="-16"/>
                <w:sz w:val="21"/>
                <w:szCs w:val="21"/>
                <w:highlight w:val="none"/>
              </w:rPr>
              <w:t>供；</w:t>
            </w:r>
          </w:p>
        </w:tc>
        <w:tc>
          <w:tcPr>
            <w:tcW w:w="1859" w:type="dxa"/>
            <w:vAlign w:val="top"/>
          </w:tcPr>
          <w:p w14:paraId="3905AE56">
            <w:pPr>
              <w:spacing w:line="360" w:lineRule="auto"/>
              <w:ind w:left="420" w:leftChars="200" w:firstLine="0" w:firstLineChars="0"/>
              <w:jc w:val="center"/>
              <w:rPr>
                <w:rFonts w:hint="eastAsia" w:ascii="宋体" w:hAnsi="宋体" w:eastAsia="宋体" w:cs="宋体"/>
                <w:color w:val="auto"/>
                <w:sz w:val="21"/>
                <w:szCs w:val="21"/>
                <w:highlight w:val="none"/>
              </w:rPr>
            </w:pPr>
          </w:p>
          <w:p w14:paraId="2B5C578E">
            <w:pPr>
              <w:pStyle w:val="19"/>
              <w:spacing w:before="71" w:line="360" w:lineRule="auto"/>
              <w:ind w:left="420" w:leftChars="20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7DCA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992" w:type="dxa"/>
            <w:vAlign w:val="top"/>
          </w:tcPr>
          <w:p w14:paraId="47F093C1">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5B0249B0">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4C21274A">
            <w:pPr>
              <w:spacing w:before="69" w:line="360" w:lineRule="auto"/>
              <w:ind w:left="443"/>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8</w:t>
            </w:r>
          </w:p>
        </w:tc>
        <w:tc>
          <w:tcPr>
            <w:tcW w:w="1667" w:type="dxa"/>
            <w:vAlign w:val="top"/>
          </w:tcPr>
          <w:p w14:paraId="4EE7F8EC">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1C1D9408">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13230B04">
            <w:pPr>
              <w:pStyle w:val="19"/>
              <w:spacing w:before="68" w:line="360" w:lineRule="auto"/>
              <w:ind w:left="420"/>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公平竞争</w:t>
            </w:r>
          </w:p>
        </w:tc>
        <w:tc>
          <w:tcPr>
            <w:tcW w:w="4543" w:type="dxa"/>
            <w:vAlign w:val="top"/>
          </w:tcPr>
          <w:p w14:paraId="2FE4709C">
            <w:pPr>
              <w:pStyle w:val="19"/>
              <w:spacing w:before="37" w:line="360" w:lineRule="auto"/>
              <w:ind w:left="116"/>
              <w:jc w:val="left"/>
              <w:rPr>
                <w:rFonts w:hint="eastAsia" w:ascii="宋体" w:hAnsi="宋体" w:eastAsia="宋体" w:cs="宋体"/>
                <w:color w:val="auto"/>
                <w:spacing w:val="-3"/>
                <w:sz w:val="21"/>
                <w:szCs w:val="21"/>
                <w:highlight w:val="none"/>
                <w:lang w:val="en-US" w:eastAsia="en-US"/>
              </w:rPr>
            </w:pPr>
            <w:r>
              <w:rPr>
                <w:rFonts w:hint="eastAsia" w:ascii="宋体" w:hAnsi="宋体" w:eastAsia="宋体" w:cs="宋体"/>
                <w:color w:val="auto"/>
                <w:spacing w:val="-3"/>
                <w:sz w:val="21"/>
                <w:szCs w:val="21"/>
                <w:highlight w:val="none"/>
                <w:lang w:val="en-US" w:eastAsia="en-US"/>
              </w:rPr>
              <w:t>投标人遵循公平竞争的原则，不存在恶意串通，妨碍其他投标人的竞争行为，不存在损害采购人或者其他投标人的合法权益情形的；</w:t>
            </w:r>
          </w:p>
        </w:tc>
        <w:tc>
          <w:tcPr>
            <w:tcW w:w="1859" w:type="dxa"/>
            <w:vAlign w:val="top"/>
          </w:tcPr>
          <w:p w14:paraId="6AF737E9">
            <w:pPr>
              <w:spacing w:line="360" w:lineRule="auto"/>
              <w:ind w:left="420" w:leftChars="200" w:firstLine="0" w:firstLineChars="0"/>
              <w:jc w:val="center"/>
              <w:rPr>
                <w:rFonts w:hint="eastAsia" w:ascii="宋体" w:hAnsi="宋体" w:eastAsia="宋体" w:cs="宋体"/>
                <w:snapToGrid w:val="0"/>
                <w:color w:val="auto"/>
                <w:spacing w:val="-3"/>
                <w:kern w:val="0"/>
                <w:sz w:val="21"/>
                <w:szCs w:val="21"/>
                <w:highlight w:val="none"/>
                <w:lang w:val="en-US" w:eastAsia="en-US" w:bidi="ar-SA"/>
              </w:rPr>
            </w:pPr>
          </w:p>
          <w:p w14:paraId="22B8BE4C">
            <w:pPr>
              <w:spacing w:before="82" w:line="360" w:lineRule="auto"/>
              <w:ind w:left="420" w:leftChars="200" w:firstLine="0" w:firstLineChars="0"/>
              <w:jc w:val="center"/>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否</w:t>
            </w:r>
          </w:p>
        </w:tc>
      </w:tr>
      <w:tr w14:paraId="450EC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992" w:type="dxa"/>
            <w:vAlign w:val="top"/>
          </w:tcPr>
          <w:p w14:paraId="388C6716">
            <w:pPr>
              <w:spacing w:before="266" w:line="360" w:lineRule="auto"/>
              <w:ind w:left="438"/>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9</w:t>
            </w:r>
          </w:p>
        </w:tc>
        <w:tc>
          <w:tcPr>
            <w:tcW w:w="1667" w:type="dxa"/>
            <w:vAlign w:val="top"/>
          </w:tcPr>
          <w:p w14:paraId="77AC3174">
            <w:pPr>
              <w:pStyle w:val="19"/>
              <w:spacing w:before="238" w:line="360" w:lineRule="auto"/>
              <w:ind w:left="430"/>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附加条件</w:t>
            </w:r>
          </w:p>
        </w:tc>
        <w:tc>
          <w:tcPr>
            <w:tcW w:w="4543" w:type="dxa"/>
            <w:vAlign w:val="top"/>
          </w:tcPr>
          <w:p w14:paraId="35F63F0B">
            <w:pPr>
              <w:pStyle w:val="19"/>
              <w:spacing w:before="37" w:line="360" w:lineRule="auto"/>
              <w:ind w:left="116"/>
              <w:jc w:val="left"/>
              <w:rPr>
                <w:rFonts w:hint="eastAsia" w:ascii="宋体" w:hAnsi="宋体" w:eastAsia="宋体" w:cs="宋体"/>
                <w:color w:val="auto"/>
                <w:spacing w:val="-3"/>
                <w:sz w:val="21"/>
                <w:szCs w:val="21"/>
                <w:highlight w:val="none"/>
                <w:lang w:val="en-US" w:eastAsia="en-US"/>
              </w:rPr>
            </w:pPr>
            <w:r>
              <w:rPr>
                <w:rFonts w:hint="eastAsia" w:ascii="宋体" w:hAnsi="宋体" w:eastAsia="宋体" w:cs="宋体"/>
                <w:color w:val="auto"/>
                <w:spacing w:val="-3"/>
                <w:sz w:val="21"/>
                <w:szCs w:val="21"/>
                <w:highlight w:val="none"/>
                <w:lang w:val="en-US" w:eastAsia="en-US"/>
              </w:rPr>
              <w:t>响应文件未含有采购人不能接受的附加条件的；</w:t>
            </w:r>
          </w:p>
        </w:tc>
        <w:tc>
          <w:tcPr>
            <w:tcW w:w="1859" w:type="dxa"/>
            <w:vAlign w:val="top"/>
          </w:tcPr>
          <w:p w14:paraId="415E4D9B">
            <w:pPr>
              <w:spacing w:before="205" w:line="360" w:lineRule="auto"/>
              <w:ind w:left="420" w:leftChars="200" w:firstLine="0" w:firstLineChars="0"/>
              <w:jc w:val="center"/>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否</w:t>
            </w:r>
          </w:p>
        </w:tc>
      </w:tr>
      <w:tr w14:paraId="164AA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992" w:type="dxa"/>
            <w:vAlign w:val="top"/>
          </w:tcPr>
          <w:p w14:paraId="00048817">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08581AB2">
            <w:pPr>
              <w:pStyle w:val="19"/>
              <w:spacing w:before="71" w:line="360" w:lineRule="auto"/>
              <w:ind w:left="403"/>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10</w:t>
            </w:r>
          </w:p>
        </w:tc>
        <w:tc>
          <w:tcPr>
            <w:tcW w:w="1667" w:type="dxa"/>
            <w:vAlign w:val="top"/>
          </w:tcPr>
          <w:p w14:paraId="2EDD2AA8">
            <w:pPr>
              <w:spacing w:line="360" w:lineRule="auto"/>
              <w:rPr>
                <w:rFonts w:hint="eastAsia" w:ascii="宋体" w:hAnsi="宋体" w:eastAsia="宋体" w:cs="宋体"/>
                <w:snapToGrid w:val="0"/>
                <w:color w:val="auto"/>
                <w:spacing w:val="-3"/>
                <w:kern w:val="0"/>
                <w:sz w:val="21"/>
                <w:szCs w:val="21"/>
                <w:highlight w:val="none"/>
                <w:lang w:val="en-US" w:eastAsia="en-US" w:bidi="ar-SA"/>
              </w:rPr>
            </w:pPr>
          </w:p>
          <w:p w14:paraId="6DB04D7B">
            <w:pPr>
              <w:pStyle w:val="19"/>
              <w:spacing w:before="72" w:line="360" w:lineRule="auto"/>
              <w:ind w:left="174"/>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其他无效情形</w:t>
            </w:r>
          </w:p>
        </w:tc>
        <w:tc>
          <w:tcPr>
            <w:tcW w:w="4543" w:type="dxa"/>
            <w:vAlign w:val="top"/>
          </w:tcPr>
          <w:p w14:paraId="17065121">
            <w:pPr>
              <w:pStyle w:val="19"/>
              <w:spacing w:before="37" w:line="360" w:lineRule="auto"/>
              <w:ind w:left="116"/>
              <w:jc w:val="left"/>
              <w:rPr>
                <w:rFonts w:hint="eastAsia" w:ascii="宋体" w:hAnsi="宋体" w:eastAsia="宋体" w:cs="宋体"/>
                <w:color w:val="auto"/>
                <w:spacing w:val="-3"/>
                <w:sz w:val="21"/>
                <w:szCs w:val="21"/>
                <w:highlight w:val="none"/>
                <w:lang w:val="en-US" w:eastAsia="en-US"/>
              </w:rPr>
            </w:pPr>
            <w:r>
              <w:rPr>
                <w:rFonts w:hint="eastAsia" w:ascii="宋体" w:hAnsi="宋体" w:eastAsia="宋体" w:cs="宋体"/>
                <w:color w:val="auto"/>
                <w:spacing w:val="-3"/>
                <w:sz w:val="21"/>
                <w:szCs w:val="21"/>
                <w:highlight w:val="none"/>
                <w:lang w:val="en-US" w:eastAsia="en-US"/>
              </w:rPr>
              <w:t>供应商、响应文件不存在不符合法律、法规和磋商文件规定的其他无效情形。</w:t>
            </w:r>
          </w:p>
        </w:tc>
        <w:tc>
          <w:tcPr>
            <w:tcW w:w="1859" w:type="dxa"/>
            <w:vAlign w:val="top"/>
          </w:tcPr>
          <w:p w14:paraId="330C5962">
            <w:pPr>
              <w:spacing w:line="360" w:lineRule="auto"/>
              <w:ind w:left="420" w:leftChars="200" w:firstLine="0" w:firstLineChars="0"/>
              <w:jc w:val="center"/>
              <w:rPr>
                <w:rFonts w:hint="eastAsia" w:ascii="宋体" w:hAnsi="宋体" w:eastAsia="宋体" w:cs="宋体"/>
                <w:snapToGrid w:val="0"/>
                <w:color w:val="auto"/>
                <w:spacing w:val="-3"/>
                <w:kern w:val="0"/>
                <w:sz w:val="21"/>
                <w:szCs w:val="21"/>
                <w:highlight w:val="none"/>
                <w:lang w:val="en-US" w:eastAsia="en-US" w:bidi="ar-SA"/>
              </w:rPr>
            </w:pPr>
          </w:p>
          <w:p w14:paraId="30AA4317">
            <w:pPr>
              <w:pStyle w:val="19"/>
              <w:spacing w:before="72" w:line="360" w:lineRule="auto"/>
              <w:ind w:left="420" w:leftChars="200" w:firstLine="0" w:firstLineChars="0"/>
              <w:jc w:val="center"/>
              <w:rPr>
                <w:rFonts w:hint="eastAsia" w:ascii="宋体" w:hAnsi="宋体" w:eastAsia="宋体" w:cs="宋体"/>
                <w:snapToGrid w:val="0"/>
                <w:color w:val="auto"/>
                <w:spacing w:val="-3"/>
                <w:kern w:val="0"/>
                <w:sz w:val="21"/>
                <w:szCs w:val="21"/>
                <w:highlight w:val="none"/>
                <w:lang w:val="en-US" w:eastAsia="en-US" w:bidi="ar-SA"/>
              </w:rPr>
            </w:pPr>
            <w:r>
              <w:rPr>
                <w:rFonts w:hint="eastAsia" w:ascii="宋体" w:hAnsi="宋体" w:eastAsia="宋体" w:cs="宋体"/>
                <w:snapToGrid w:val="0"/>
                <w:color w:val="auto"/>
                <w:spacing w:val="-3"/>
                <w:kern w:val="0"/>
                <w:sz w:val="21"/>
                <w:szCs w:val="21"/>
                <w:highlight w:val="none"/>
                <w:lang w:val="en-US" w:eastAsia="en-US" w:bidi="ar-SA"/>
              </w:rPr>
              <w:t>否</w:t>
            </w:r>
          </w:p>
        </w:tc>
      </w:tr>
    </w:tbl>
    <w:p w14:paraId="477F82A8">
      <w:pPr>
        <w:pStyle w:val="6"/>
        <w:spacing w:line="360" w:lineRule="auto"/>
        <w:rPr>
          <w:rFonts w:hint="eastAsia" w:ascii="宋体" w:hAnsi="宋体" w:eastAsia="宋体" w:cs="宋体"/>
          <w:color w:val="auto"/>
          <w:sz w:val="21"/>
          <w:szCs w:val="21"/>
          <w:highlight w:val="none"/>
        </w:rPr>
      </w:pPr>
    </w:p>
    <w:p w14:paraId="5DB2E786">
      <w:pPr>
        <w:spacing w:before="78" w:line="360" w:lineRule="auto"/>
        <w:ind w:left="34"/>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磋商、响应文件有关事项的澄清、说明或者更</w:t>
      </w:r>
      <w:r>
        <w:rPr>
          <w:rFonts w:hint="eastAsia" w:ascii="宋体" w:hAnsi="宋体" w:eastAsia="宋体" w:cs="宋体"/>
          <w:color w:val="auto"/>
          <w:spacing w:val="-1"/>
          <w:sz w:val="21"/>
          <w:szCs w:val="21"/>
          <w:highlight w:val="none"/>
        </w:rPr>
        <w:t>正和最后报价</w:t>
      </w:r>
    </w:p>
    <w:p w14:paraId="793822A2">
      <w:pPr>
        <w:spacing w:before="183" w:line="360" w:lineRule="auto"/>
        <w:ind w:left="1134" w:right="204" w:hanging="74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    磋商小组所有成员将集中与单一供</w:t>
      </w:r>
      <w:r>
        <w:rPr>
          <w:rFonts w:hint="eastAsia" w:ascii="宋体" w:hAnsi="宋体" w:eastAsia="宋体" w:cs="宋体"/>
          <w:color w:val="auto"/>
          <w:spacing w:val="1"/>
          <w:sz w:val="21"/>
          <w:szCs w:val="21"/>
          <w:highlight w:val="none"/>
        </w:rPr>
        <w:t>应商分别进行磋商，并给予所有参加磋商</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的供应商平等的磋商机会。</w:t>
      </w:r>
    </w:p>
    <w:p w14:paraId="26E32B5B">
      <w:pPr>
        <w:spacing w:before="183" w:line="360" w:lineRule="auto"/>
        <w:ind w:left="1121" w:hanging="73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2.2    在磋商过程中，磋商小组可以根据</w:t>
      </w:r>
      <w:r>
        <w:rPr>
          <w:rFonts w:hint="eastAsia" w:ascii="宋体" w:hAnsi="宋体" w:eastAsia="宋体" w:cs="宋体"/>
          <w:color w:val="auto"/>
          <w:spacing w:val="1"/>
          <w:sz w:val="21"/>
          <w:szCs w:val="21"/>
          <w:highlight w:val="none"/>
        </w:rPr>
        <w:t>磋商文件和磋商情况实质性变动采购需求</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中的技术、服务要求以及合同草案条款，但不得变动</w:t>
      </w:r>
      <w:r>
        <w:rPr>
          <w:rFonts w:hint="eastAsia" w:ascii="宋体" w:hAnsi="宋体" w:eastAsia="宋体" w:cs="宋体"/>
          <w:color w:val="auto"/>
          <w:sz w:val="21"/>
          <w:szCs w:val="21"/>
          <w:highlight w:val="none"/>
        </w:rPr>
        <w:t xml:space="preserve">磋商文件中的其他内容。 </w:t>
      </w:r>
      <w:r>
        <w:rPr>
          <w:rFonts w:hint="eastAsia" w:ascii="宋体" w:hAnsi="宋体" w:eastAsia="宋体" w:cs="宋体"/>
          <w:color w:val="auto"/>
          <w:spacing w:val="-3"/>
          <w:sz w:val="21"/>
          <w:szCs w:val="21"/>
          <w:highlight w:val="none"/>
        </w:rPr>
        <w:t>实质性变动的内容，须经采购人代表确认。</w:t>
      </w:r>
    </w:p>
    <w:p w14:paraId="23C4A04F">
      <w:pPr>
        <w:spacing w:before="182" w:line="360" w:lineRule="auto"/>
        <w:ind w:left="1126" w:right="204" w:hanging="73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2.3    对磋商文件作出的实质性变动是磋</w:t>
      </w:r>
      <w:r>
        <w:rPr>
          <w:rFonts w:hint="eastAsia" w:ascii="宋体" w:hAnsi="宋体" w:eastAsia="宋体" w:cs="宋体"/>
          <w:color w:val="auto"/>
          <w:spacing w:val="1"/>
          <w:sz w:val="21"/>
          <w:szCs w:val="21"/>
          <w:highlight w:val="none"/>
        </w:rPr>
        <w:t>商文件的有效组成部分，磋商小组应当及</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时以书面形式同时通知所有参加磋商的供应商。</w:t>
      </w:r>
    </w:p>
    <w:p w14:paraId="25B1A7C3">
      <w:pPr>
        <w:spacing w:before="182" w:line="360" w:lineRule="auto"/>
        <w:ind w:left="1115" w:right="204" w:hanging="72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2.4    供应商应当按照磋商文件的变</w:t>
      </w:r>
      <w:r>
        <w:rPr>
          <w:rFonts w:hint="eastAsia" w:ascii="宋体" w:hAnsi="宋体" w:eastAsia="宋体" w:cs="宋体"/>
          <w:color w:val="auto"/>
          <w:spacing w:val="1"/>
          <w:sz w:val="21"/>
          <w:szCs w:val="21"/>
          <w:highlight w:val="none"/>
        </w:rPr>
        <w:t>动情况和磋商小组的要求重新提交响应文件，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并由其法定代表人（若供应商为事业单位或其他组织或分支机构，可为</w:t>
      </w:r>
      <w:r>
        <w:rPr>
          <w:rFonts w:hint="eastAsia" w:ascii="宋体" w:hAnsi="宋体" w:eastAsia="宋体" w:cs="宋体"/>
          <w:color w:val="auto"/>
          <w:spacing w:val="1"/>
          <w:sz w:val="21"/>
          <w:szCs w:val="21"/>
          <w:highlight w:val="none"/>
        </w:rPr>
        <w:t>单位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负责人）或授权代表签字或者加盖公章。由授权代表签字的，应当附授</w:t>
      </w:r>
      <w:r>
        <w:rPr>
          <w:rFonts w:hint="eastAsia" w:ascii="宋体" w:hAnsi="宋体" w:eastAsia="宋体" w:cs="宋体"/>
          <w:color w:val="auto"/>
          <w:spacing w:val="1"/>
          <w:sz w:val="21"/>
          <w:szCs w:val="21"/>
          <w:highlight w:val="none"/>
        </w:rPr>
        <w:t>权委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托书。供应商为自然人的，应当由本人签字并附身份证明。</w:t>
      </w:r>
    </w:p>
    <w:p w14:paraId="41C94DFD">
      <w:pPr>
        <w:spacing w:before="182"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2.5     响应文件的澄清、说明或者更正：</w:t>
      </w:r>
    </w:p>
    <w:p w14:paraId="0A3530CC">
      <w:pPr>
        <w:spacing w:before="180" w:line="360" w:lineRule="auto"/>
        <w:ind w:left="2040" w:right="204" w:hanging="92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2.5.1    磋商小组在对响应文件的有效性、完整性和响应程度进行</w:t>
      </w:r>
      <w:r>
        <w:rPr>
          <w:rFonts w:hint="eastAsia" w:ascii="宋体" w:hAnsi="宋体" w:eastAsia="宋体" w:cs="宋体"/>
          <w:color w:val="auto"/>
          <w:spacing w:val="-5"/>
          <w:sz w:val="21"/>
          <w:szCs w:val="21"/>
          <w:highlight w:val="none"/>
        </w:rPr>
        <w:t>审查时，</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可以要求供应商对响应文件中含义不明确、同类问题表述不一致或者有</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3"/>
          <w:sz w:val="21"/>
          <w:szCs w:val="21"/>
          <w:highlight w:val="none"/>
        </w:rPr>
        <w:t>明显文字和计算错误的内容等作出必要的澄清、说明或者更正。</w:t>
      </w:r>
    </w:p>
    <w:p w14:paraId="06126B58">
      <w:pPr>
        <w:spacing w:before="182" w:line="360" w:lineRule="auto"/>
        <w:ind w:left="2018" w:right="45" w:hanging="904"/>
        <w:rPr>
          <w:rFonts w:hint="eastAsia" w:ascii="宋体" w:hAnsi="宋体" w:eastAsia="宋体" w:cs="宋体"/>
          <w:color w:val="auto"/>
          <w:spacing w:val="-1"/>
          <w:sz w:val="21"/>
          <w:szCs w:val="21"/>
          <w:highlight w:val="none"/>
        </w:rPr>
      </w:pPr>
      <w:r>
        <w:rPr>
          <w:rFonts w:hint="eastAsia" w:ascii="宋体" w:hAnsi="宋体" w:eastAsia="宋体" w:cs="宋体"/>
          <w:color w:val="auto"/>
          <w:spacing w:val="-3"/>
          <w:sz w:val="21"/>
          <w:szCs w:val="21"/>
          <w:highlight w:val="none"/>
        </w:rPr>
        <w:t>2.5.2    磋商小组对响应文件进行审查，如发现供应商提交的响应文件存在不</w:t>
      </w:r>
      <w:r>
        <w:rPr>
          <w:rFonts w:hint="eastAsia" w:ascii="宋体" w:hAnsi="宋体" w:eastAsia="宋体" w:cs="宋体"/>
          <w:color w:val="auto"/>
          <w:spacing w:val="-7"/>
          <w:sz w:val="21"/>
          <w:szCs w:val="21"/>
          <w:highlight w:val="none"/>
        </w:rPr>
        <w:t>满足《符合性审查要求》的内容，如属于表中“不允许”澄清、说明或</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2"/>
          <w:sz w:val="21"/>
          <w:szCs w:val="21"/>
          <w:highlight w:val="none"/>
        </w:rPr>
        <w:t>者更正的内容，则供应商响应文件按</w:t>
      </w:r>
      <w:r>
        <w:rPr>
          <w:rFonts w:hint="eastAsia" w:ascii="宋体" w:hAnsi="宋体" w:eastAsia="宋体" w:cs="宋体"/>
          <w:b/>
          <w:bCs/>
          <w:color w:val="auto"/>
          <w:spacing w:val="2"/>
          <w:sz w:val="21"/>
          <w:szCs w:val="21"/>
          <w:highlight w:val="none"/>
        </w:rPr>
        <w:t>无效处理</w:t>
      </w:r>
      <w:r>
        <w:rPr>
          <w:rFonts w:hint="eastAsia" w:ascii="宋体" w:hAnsi="宋体" w:eastAsia="宋体" w:cs="宋体"/>
          <w:color w:val="auto"/>
          <w:spacing w:val="2"/>
          <w:sz w:val="21"/>
          <w:szCs w:val="21"/>
          <w:highlight w:val="none"/>
        </w:rPr>
        <w:t>；如属于表中的</w:t>
      </w:r>
      <w:r>
        <w:rPr>
          <w:rFonts w:hint="eastAsia" w:ascii="宋体" w:hAnsi="宋体" w:eastAsia="宋体" w:cs="宋体"/>
          <w:color w:val="auto"/>
          <w:spacing w:val="1"/>
          <w:sz w:val="21"/>
          <w:szCs w:val="21"/>
          <w:highlight w:val="none"/>
        </w:rPr>
        <w:t>“允许”</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澄清、说明或更正的内容，</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6"/>
          <w:sz w:val="21"/>
          <w:szCs w:val="21"/>
          <w:highlight w:val="none"/>
        </w:rPr>
        <w:t>磋商小组将要求供应商在规定的时间内对</w:t>
      </w:r>
      <w:r>
        <w:rPr>
          <w:rFonts w:hint="eastAsia" w:ascii="宋体" w:hAnsi="宋体" w:eastAsia="宋体" w:cs="宋体"/>
          <w:color w:val="auto"/>
          <w:spacing w:val="-4"/>
          <w:sz w:val="21"/>
          <w:szCs w:val="21"/>
          <w:highlight w:val="none"/>
        </w:rPr>
        <w:t>响应文件进行澄清、说明或者更正。如供应商在磋商小组规定的时间</w:t>
      </w:r>
      <w:r>
        <w:rPr>
          <w:rFonts w:hint="eastAsia" w:ascii="宋体" w:hAnsi="宋体" w:eastAsia="宋体" w:cs="宋体"/>
          <w:color w:val="auto"/>
          <w:spacing w:val="-7"/>
          <w:sz w:val="21"/>
          <w:szCs w:val="21"/>
          <w:highlight w:val="none"/>
        </w:rPr>
        <w:t>内未作出必要的澄清、说明或者更正，</w:t>
      </w:r>
      <w:r>
        <w:rPr>
          <w:rFonts w:hint="eastAsia" w:ascii="宋体" w:hAnsi="宋体" w:eastAsia="宋体" w:cs="宋体"/>
          <w:color w:val="auto"/>
          <w:spacing w:val="-25"/>
          <w:sz w:val="21"/>
          <w:szCs w:val="21"/>
          <w:highlight w:val="none"/>
        </w:rPr>
        <w:t xml:space="preserve"> </w:t>
      </w:r>
      <w:r>
        <w:rPr>
          <w:rFonts w:hint="eastAsia" w:ascii="宋体" w:hAnsi="宋体" w:eastAsia="宋体" w:cs="宋体"/>
          <w:color w:val="auto"/>
          <w:spacing w:val="-7"/>
          <w:sz w:val="21"/>
          <w:szCs w:val="21"/>
          <w:highlight w:val="none"/>
        </w:rPr>
        <w:t>或澄清、说明或者更</w:t>
      </w:r>
      <w:r>
        <w:rPr>
          <w:rFonts w:hint="eastAsia" w:ascii="宋体" w:hAnsi="宋体" w:eastAsia="宋体" w:cs="宋体"/>
          <w:color w:val="auto"/>
          <w:spacing w:val="-8"/>
          <w:sz w:val="21"/>
          <w:szCs w:val="21"/>
          <w:highlight w:val="none"/>
        </w:rPr>
        <w:t>正后仍不</w:t>
      </w:r>
      <w:r>
        <w:rPr>
          <w:rFonts w:hint="eastAsia" w:ascii="宋体" w:hAnsi="宋体" w:eastAsia="宋体" w:cs="宋体"/>
          <w:color w:val="auto"/>
          <w:spacing w:val="-1"/>
          <w:sz w:val="21"/>
          <w:szCs w:val="21"/>
          <w:highlight w:val="none"/>
        </w:rPr>
        <w:t>能满足采购文件要求的，则供应商的响应文件按</w:t>
      </w:r>
      <w:r>
        <w:rPr>
          <w:rFonts w:hint="eastAsia" w:ascii="宋体" w:hAnsi="宋体" w:eastAsia="宋体" w:cs="宋体"/>
          <w:b/>
          <w:bCs/>
          <w:color w:val="auto"/>
          <w:spacing w:val="-1"/>
          <w:sz w:val="21"/>
          <w:szCs w:val="21"/>
          <w:highlight w:val="none"/>
        </w:rPr>
        <w:t>无效处理</w:t>
      </w:r>
      <w:r>
        <w:rPr>
          <w:rFonts w:hint="eastAsia" w:ascii="宋体" w:hAnsi="宋体" w:eastAsia="宋体" w:cs="宋体"/>
          <w:color w:val="auto"/>
          <w:spacing w:val="-1"/>
          <w:sz w:val="21"/>
          <w:szCs w:val="21"/>
          <w:highlight w:val="none"/>
        </w:rPr>
        <w:t>。</w:t>
      </w:r>
    </w:p>
    <w:p w14:paraId="0A4B0AB4">
      <w:pPr>
        <w:spacing w:before="182" w:line="360" w:lineRule="auto"/>
        <w:ind w:left="2018" w:right="45"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2.5.3    供应商的澄清、说明或者更正不得超出响应文件的范围或者改变响应</w:t>
      </w:r>
      <w:r>
        <w:rPr>
          <w:rFonts w:hint="eastAsia" w:ascii="宋体" w:hAnsi="宋体" w:eastAsia="宋体" w:cs="宋体"/>
          <w:color w:val="auto"/>
          <w:spacing w:val="-4"/>
          <w:sz w:val="21"/>
          <w:szCs w:val="21"/>
          <w:highlight w:val="none"/>
        </w:rPr>
        <w:t>文件的实质性内容。磋商小组要求供应商澄清、说明或者更正响应文件应当以书面形式作出。供应商的澄清、说明或者更正应当由法定代</w:t>
      </w:r>
      <w:r>
        <w:rPr>
          <w:rFonts w:hint="eastAsia" w:ascii="宋体" w:hAnsi="宋体" w:eastAsia="宋体" w:cs="宋体"/>
          <w:color w:val="auto"/>
          <w:spacing w:val="-8"/>
          <w:sz w:val="21"/>
          <w:szCs w:val="21"/>
          <w:highlight w:val="none"/>
        </w:rPr>
        <w:t>表人（若供应商为事业单位或其他组织或分支机构，可为</w:t>
      </w:r>
      <w:r>
        <w:rPr>
          <w:rFonts w:hint="eastAsia" w:ascii="宋体" w:hAnsi="宋体" w:eastAsia="宋体" w:cs="宋体"/>
          <w:color w:val="auto"/>
          <w:spacing w:val="-9"/>
          <w:sz w:val="21"/>
          <w:szCs w:val="21"/>
          <w:highlight w:val="none"/>
        </w:rPr>
        <w:t>单位负责人）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或其授权代表签字或者加盖公章。由授权代表签字的，</w:t>
      </w:r>
      <w:r>
        <w:rPr>
          <w:rFonts w:hint="eastAsia" w:ascii="宋体" w:hAnsi="宋体" w:eastAsia="宋体" w:cs="宋体"/>
          <w:color w:val="auto"/>
          <w:spacing w:val="-58"/>
          <w:sz w:val="21"/>
          <w:szCs w:val="21"/>
          <w:highlight w:val="none"/>
        </w:rPr>
        <w:t xml:space="preserve"> </w:t>
      </w:r>
      <w:r>
        <w:rPr>
          <w:rFonts w:hint="eastAsia" w:ascii="宋体" w:hAnsi="宋体" w:eastAsia="宋体" w:cs="宋体"/>
          <w:color w:val="auto"/>
          <w:spacing w:val="-6"/>
          <w:sz w:val="21"/>
          <w:szCs w:val="21"/>
          <w:highlight w:val="none"/>
        </w:rPr>
        <w:t>应当附授权委</w:t>
      </w:r>
      <w:r>
        <w:rPr>
          <w:rFonts w:hint="eastAsia" w:ascii="宋体" w:hAnsi="宋体" w:eastAsia="宋体" w:cs="宋体"/>
          <w:color w:val="auto"/>
          <w:spacing w:val="-4"/>
          <w:sz w:val="21"/>
          <w:szCs w:val="21"/>
          <w:highlight w:val="none"/>
        </w:rPr>
        <w:t>托书。供应商为自然人的，应当由本人签字并附身份证明。澄清、说</w:t>
      </w:r>
      <w:r>
        <w:rPr>
          <w:rFonts w:hint="eastAsia" w:ascii="宋体" w:hAnsi="宋体" w:eastAsia="宋体" w:cs="宋体"/>
          <w:color w:val="auto"/>
          <w:spacing w:val="-2"/>
          <w:sz w:val="21"/>
          <w:szCs w:val="21"/>
          <w:highlight w:val="none"/>
        </w:rPr>
        <w:t>明或者更正文件将作为响应文件内容的一部分。</w:t>
      </w:r>
    </w:p>
    <w:p w14:paraId="665E90EA">
      <w:pPr>
        <w:spacing w:before="1" w:line="360" w:lineRule="auto"/>
        <w:ind w:left="1555" w:leftChars="186" w:right="104" w:hanging="1164" w:hangingChars="54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2.6       磋商结束后，磋商小组将要求所有</w:t>
      </w:r>
      <w:r>
        <w:rPr>
          <w:rFonts w:hint="eastAsia" w:ascii="宋体" w:hAnsi="宋体" w:eastAsia="宋体" w:cs="宋体"/>
          <w:color w:val="auto"/>
          <w:spacing w:val="1"/>
          <w:sz w:val="21"/>
          <w:szCs w:val="21"/>
          <w:highlight w:val="none"/>
        </w:rPr>
        <w:t>实质性响应的供应商在规定时间内提交最</w:t>
      </w:r>
      <w:r>
        <w:rPr>
          <w:rFonts w:hint="eastAsia" w:ascii="宋体" w:hAnsi="宋体" w:eastAsia="宋体" w:cs="宋体"/>
          <w:color w:val="auto"/>
          <w:spacing w:val="2"/>
          <w:sz w:val="21"/>
          <w:szCs w:val="21"/>
          <w:highlight w:val="none"/>
        </w:rPr>
        <w:t>后报价。最后报价时间为磋商小组指定的时间，具体时间根据磋商进度</w:t>
      </w:r>
      <w:r>
        <w:rPr>
          <w:rFonts w:hint="eastAsia" w:ascii="宋体" w:hAnsi="宋体" w:eastAsia="宋体" w:cs="宋体"/>
          <w:color w:val="auto"/>
          <w:spacing w:val="1"/>
          <w:sz w:val="21"/>
          <w:szCs w:val="21"/>
          <w:highlight w:val="none"/>
        </w:rPr>
        <w:t>另行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通知。</w:t>
      </w:r>
    </w:p>
    <w:p w14:paraId="5A13B660">
      <w:pPr>
        <w:spacing w:before="177" w:line="360" w:lineRule="auto"/>
        <w:ind w:left="1115" w:right="104" w:hanging="72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2.7    磋商小组发现供应商的报价明显低</w:t>
      </w:r>
      <w:r>
        <w:rPr>
          <w:rFonts w:hint="eastAsia" w:ascii="宋体" w:hAnsi="宋体" w:eastAsia="宋体" w:cs="宋体"/>
          <w:color w:val="auto"/>
          <w:spacing w:val="1"/>
          <w:sz w:val="21"/>
          <w:szCs w:val="21"/>
          <w:highlight w:val="none"/>
        </w:rPr>
        <w:t>于其他报价或认为其低于成本报价且有可能影响其履约合同的，应当要求该供应商作出说明并提供相应的证</w:t>
      </w:r>
      <w:r>
        <w:rPr>
          <w:rFonts w:hint="eastAsia" w:ascii="宋体" w:hAnsi="宋体" w:eastAsia="宋体" w:cs="宋体"/>
          <w:color w:val="auto"/>
          <w:sz w:val="21"/>
          <w:szCs w:val="21"/>
          <w:highlight w:val="none"/>
        </w:rPr>
        <w:t>明材料。</w:t>
      </w:r>
      <w:r>
        <w:rPr>
          <w:rFonts w:hint="eastAsia" w:ascii="宋体" w:hAnsi="宋体" w:eastAsia="宋体" w:cs="宋体"/>
          <w:color w:val="auto"/>
          <w:spacing w:val="2"/>
          <w:sz w:val="21"/>
          <w:szCs w:val="21"/>
          <w:highlight w:val="none"/>
        </w:rPr>
        <w:t>供应商不能合理说明或者不能提供相应证明材料的，由磋商小组应当认</w:t>
      </w:r>
      <w:r>
        <w:rPr>
          <w:rFonts w:hint="eastAsia" w:ascii="宋体" w:hAnsi="宋体" w:eastAsia="宋体" w:cs="宋体"/>
          <w:color w:val="auto"/>
          <w:spacing w:val="1"/>
          <w:sz w:val="21"/>
          <w:szCs w:val="21"/>
          <w:highlight w:val="none"/>
        </w:rPr>
        <w:t>定该</w:t>
      </w:r>
      <w:r>
        <w:rPr>
          <w:rFonts w:hint="eastAsia" w:ascii="宋体" w:hAnsi="宋体" w:eastAsia="宋体" w:cs="宋体"/>
          <w:color w:val="auto"/>
          <w:spacing w:val="-2"/>
          <w:sz w:val="21"/>
          <w:szCs w:val="21"/>
          <w:highlight w:val="none"/>
        </w:rPr>
        <w:t>供应商以低于成本报价，否决其响应文件的有效性。</w:t>
      </w:r>
    </w:p>
    <w:p w14:paraId="46C29F9B">
      <w:pPr>
        <w:spacing w:before="177" w:line="360" w:lineRule="auto"/>
        <w:ind w:left="1113" w:right="104" w:hanging="7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2.8    磋商文件能够详细列明采购标的的</w:t>
      </w:r>
      <w:r>
        <w:rPr>
          <w:rFonts w:hint="eastAsia" w:ascii="宋体" w:hAnsi="宋体" w:eastAsia="宋体" w:cs="宋体"/>
          <w:color w:val="auto"/>
          <w:spacing w:val="1"/>
          <w:sz w:val="21"/>
          <w:szCs w:val="21"/>
          <w:highlight w:val="none"/>
        </w:rPr>
        <w:t>技术、服务要求的，磋商结束后，磋商小</w:t>
      </w:r>
      <w:r>
        <w:rPr>
          <w:rFonts w:hint="eastAsia" w:ascii="宋体" w:hAnsi="宋体" w:eastAsia="宋体" w:cs="宋体"/>
          <w:color w:val="auto"/>
          <w:spacing w:val="2"/>
          <w:sz w:val="21"/>
          <w:szCs w:val="21"/>
          <w:highlight w:val="none"/>
        </w:rPr>
        <w:t>组应当要求所有实质性响应的供应商在规定时间内提交最后报价，提交最后</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报价的供应商不得少于</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2"/>
          <w:sz w:val="21"/>
          <w:szCs w:val="21"/>
          <w:highlight w:val="none"/>
        </w:rPr>
        <w:t>3 家。磋商文件不能</w:t>
      </w:r>
      <w:r>
        <w:rPr>
          <w:rFonts w:hint="eastAsia" w:ascii="宋体" w:hAnsi="宋体" w:eastAsia="宋体" w:cs="宋体"/>
          <w:color w:val="auto"/>
          <w:spacing w:val="1"/>
          <w:sz w:val="21"/>
          <w:szCs w:val="21"/>
          <w:highlight w:val="none"/>
        </w:rPr>
        <w:t>详细列明采购标的的技术、服务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要求，需经磋商由供应商提供最终设计方案或解决方案的，磋商结束后，磋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商小组应当按照少数服从多数的原则投票推荐</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1"/>
          <w:sz w:val="21"/>
          <w:szCs w:val="21"/>
          <w:highlight w:val="none"/>
        </w:rPr>
        <w:t>3 家以上供应商的设计方案或</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者解决方案，并要求其在规定时间内提交最后报价。市场竞争不充分的科研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项目，以及需要扶持的科技成果转化项目，提交最后报价</w:t>
      </w:r>
      <w:r>
        <w:rPr>
          <w:rFonts w:hint="eastAsia" w:ascii="宋体" w:hAnsi="宋体" w:eastAsia="宋体" w:cs="宋体"/>
          <w:color w:val="auto"/>
          <w:spacing w:val="1"/>
          <w:sz w:val="21"/>
          <w:szCs w:val="21"/>
          <w:highlight w:val="none"/>
        </w:rPr>
        <w:t>的供应商可以为</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家；政府购买服务项目（含政府和社会资本合作项目</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6"/>
          <w:sz w:val="21"/>
          <w:szCs w:val="21"/>
          <w:highlight w:val="none"/>
        </w:rPr>
        <w:t>在采购过程中符合要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求的供应商（社会资本）只有</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1"/>
          <w:sz w:val="21"/>
          <w:szCs w:val="21"/>
          <w:highlight w:val="none"/>
        </w:rPr>
        <w:t>2 家的，竞争性磋</w:t>
      </w:r>
      <w:r>
        <w:rPr>
          <w:rFonts w:hint="eastAsia" w:ascii="宋体" w:hAnsi="宋体" w:eastAsia="宋体" w:cs="宋体"/>
          <w:color w:val="auto"/>
          <w:spacing w:val="-2"/>
          <w:sz w:val="21"/>
          <w:szCs w:val="21"/>
          <w:highlight w:val="none"/>
        </w:rPr>
        <w:t>商采购活动可以继续进行。</w:t>
      </w:r>
    </w:p>
    <w:p w14:paraId="0BC99E6A">
      <w:pPr>
        <w:spacing w:before="183" w:line="360" w:lineRule="auto"/>
        <w:ind w:left="39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2.9    最后报价是供应商响应文</w:t>
      </w:r>
      <w:r>
        <w:rPr>
          <w:rFonts w:hint="eastAsia" w:ascii="宋体" w:hAnsi="宋体" w:eastAsia="宋体" w:cs="宋体"/>
          <w:color w:val="auto"/>
          <w:spacing w:val="-2"/>
          <w:sz w:val="21"/>
          <w:szCs w:val="21"/>
          <w:highlight w:val="none"/>
        </w:rPr>
        <w:t>件的有效组成部分。</w:t>
      </w:r>
    </w:p>
    <w:p w14:paraId="72EF6969">
      <w:pPr>
        <w:spacing w:before="182" w:line="360" w:lineRule="auto"/>
        <w:ind w:left="1120" w:right="104" w:hanging="72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2.10  已提交响应文件的供应商，在提交最后</w:t>
      </w:r>
      <w:r>
        <w:rPr>
          <w:rFonts w:hint="eastAsia" w:ascii="宋体" w:hAnsi="宋体" w:eastAsia="宋体" w:cs="宋体"/>
          <w:color w:val="auto"/>
          <w:spacing w:val="1"/>
          <w:sz w:val="21"/>
          <w:szCs w:val="21"/>
          <w:highlight w:val="none"/>
        </w:rPr>
        <w:t>报价之前，可以根据磋商情况退出磋</w:t>
      </w:r>
      <w:r>
        <w:rPr>
          <w:rFonts w:hint="eastAsia" w:ascii="宋体" w:hAnsi="宋体" w:eastAsia="宋体" w:cs="宋体"/>
          <w:color w:val="auto"/>
          <w:spacing w:val="-13"/>
          <w:sz w:val="21"/>
          <w:szCs w:val="21"/>
          <w:highlight w:val="none"/>
        </w:rPr>
        <w:t>商。</w:t>
      </w:r>
    </w:p>
    <w:p w14:paraId="767B6226">
      <w:pPr>
        <w:spacing w:before="181" w:line="360" w:lineRule="auto"/>
        <w:ind w:left="38"/>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    最后报价的算术修正及政策调整</w:t>
      </w:r>
    </w:p>
    <w:p w14:paraId="3D453120">
      <w:pPr>
        <w:spacing w:before="184" w:line="360" w:lineRule="auto"/>
        <w:ind w:left="1113" w:right="104" w:hanging="7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3.1    最后报价须包含竞争性磋</w:t>
      </w:r>
      <w:r>
        <w:rPr>
          <w:rFonts w:hint="eastAsia" w:ascii="宋体" w:hAnsi="宋体" w:eastAsia="宋体" w:cs="宋体"/>
          <w:color w:val="auto"/>
          <w:spacing w:val="1"/>
          <w:sz w:val="21"/>
          <w:szCs w:val="21"/>
          <w:highlight w:val="none"/>
        </w:rPr>
        <w:t>商文件全部内容，如最后分项报价表有缺漏视为已</w:t>
      </w:r>
      <w:r>
        <w:rPr>
          <w:rFonts w:hint="eastAsia" w:ascii="宋体" w:hAnsi="宋体" w:eastAsia="宋体" w:cs="宋体"/>
          <w:color w:val="auto"/>
          <w:spacing w:val="2"/>
          <w:sz w:val="21"/>
          <w:szCs w:val="21"/>
          <w:highlight w:val="none"/>
        </w:rPr>
        <w:t>含在其他各项报价中，将不对最后报价进行调整。磋商小组有权要求供应商在评审现场合理的时间内对此进行书面确认，供应商不确认的，视为将一个</w:t>
      </w:r>
      <w:r>
        <w:rPr>
          <w:rFonts w:hint="eastAsia" w:ascii="宋体" w:hAnsi="宋体" w:eastAsia="宋体" w:cs="宋体"/>
          <w:color w:val="auto"/>
          <w:spacing w:val="-1"/>
          <w:sz w:val="21"/>
          <w:szCs w:val="21"/>
          <w:highlight w:val="none"/>
        </w:rPr>
        <w:t>采购包中的内容拆分响应，其</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35FE296A">
      <w:pPr>
        <w:spacing w:before="182" w:line="360" w:lineRule="auto"/>
        <w:ind w:left="39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3.2    最后报价出现前后不一致的，按照下列规定修正：</w:t>
      </w:r>
    </w:p>
    <w:p w14:paraId="5666561A">
      <w:pPr>
        <w:spacing w:before="183"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3.2.1    竞争性磋商文件对于报价修正是否另有规定：</w:t>
      </w:r>
    </w:p>
    <w:p w14:paraId="08527352">
      <w:pPr>
        <w:spacing w:before="183" w:line="360" w:lineRule="auto"/>
        <w:ind w:left="208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□有，具体规定为：___________</w:t>
      </w:r>
    </w:p>
    <w:p w14:paraId="5E803526">
      <w:pPr>
        <w:spacing w:before="190" w:line="360" w:lineRule="auto"/>
        <w:ind w:left="209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■无，按下述</w:t>
      </w:r>
      <w:r>
        <w:rPr>
          <w:rFonts w:hint="eastAsia" w:ascii="宋体" w:hAnsi="宋体" w:eastAsia="宋体" w:cs="宋体"/>
          <w:color w:val="auto"/>
          <w:spacing w:val="-50"/>
          <w:sz w:val="21"/>
          <w:szCs w:val="21"/>
          <w:highlight w:val="none"/>
        </w:rPr>
        <w:t xml:space="preserve"> </w:t>
      </w:r>
      <w:r>
        <w:rPr>
          <w:rFonts w:hint="eastAsia" w:ascii="宋体" w:hAnsi="宋体" w:eastAsia="宋体" w:cs="宋体"/>
          <w:color w:val="auto"/>
          <w:spacing w:val="-3"/>
          <w:sz w:val="21"/>
          <w:szCs w:val="21"/>
          <w:highlight w:val="none"/>
        </w:rPr>
        <w:t>3.2.2-3.2.6 项规定修正。</w:t>
      </w:r>
    </w:p>
    <w:p w14:paraId="4EA44C29">
      <w:pPr>
        <w:spacing w:before="181"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3.2.2    大写金额和小写金额不一致的，以大写金额为准；</w:t>
      </w:r>
    </w:p>
    <w:p w14:paraId="3B9A9E90">
      <w:pPr>
        <w:spacing w:before="181" w:line="360" w:lineRule="auto"/>
        <w:ind w:firstLine="1176" w:firstLineChars="600"/>
        <w:jc w:val="left"/>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3.2.3    单价金额小数点或者百分比有明显错位的，以总价为准，并修改单价；</w:t>
      </w:r>
    </w:p>
    <w:p w14:paraId="7CECA51E">
      <w:pPr>
        <w:spacing w:before="184"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3.2.4    总价金额与按单价汇总金额不一致的，以单价金额计算结果为准。</w:t>
      </w:r>
    </w:p>
    <w:p w14:paraId="275E1EDA">
      <w:pPr>
        <w:spacing w:before="183"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3.2.5    同时出现两种以上不一致的，按照前款规定的顺序</w:t>
      </w:r>
      <w:r>
        <w:rPr>
          <w:rFonts w:hint="eastAsia" w:ascii="宋体" w:hAnsi="宋体" w:eastAsia="宋体" w:cs="宋体"/>
          <w:color w:val="auto"/>
          <w:spacing w:val="-2"/>
          <w:sz w:val="21"/>
          <w:szCs w:val="21"/>
          <w:highlight w:val="none"/>
        </w:rPr>
        <w:t>修正。</w:t>
      </w:r>
    </w:p>
    <w:p w14:paraId="7EB56EE1">
      <w:pPr>
        <w:spacing w:before="180" w:line="360" w:lineRule="auto"/>
        <w:ind w:left="2084" w:right="64" w:hanging="91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3.2.6    修正后的报价经供应商书面确认后产生约束力，供应商不确认的，</w:t>
      </w:r>
      <w:r>
        <w:rPr>
          <w:rFonts w:hint="eastAsia" w:ascii="宋体" w:hAnsi="宋体" w:eastAsia="宋体" w:cs="宋体"/>
          <w:b/>
          <w:bCs/>
          <w:color w:val="auto"/>
          <w:spacing w:val="-3"/>
          <w:sz w:val="21"/>
          <w:szCs w:val="21"/>
          <w:highlight w:val="none"/>
        </w:rPr>
        <w:t>其</w:t>
      </w:r>
      <w:r>
        <w:rPr>
          <w:rFonts w:hint="eastAsia" w:ascii="宋体" w:hAnsi="宋体" w:eastAsia="宋体" w:cs="宋体"/>
          <w:color w:val="auto"/>
          <w:spacing w:val="5"/>
          <w:sz w:val="21"/>
          <w:szCs w:val="21"/>
          <w:highlight w:val="none"/>
        </w:rPr>
        <w:t xml:space="preserve"> </w:t>
      </w:r>
      <w:r>
        <w:rPr>
          <w:rFonts w:hint="eastAsia" w:ascii="宋体" w:hAnsi="宋体" w:eastAsia="宋体" w:cs="宋体"/>
          <w:b/>
          <w:bCs/>
          <w:color w:val="auto"/>
          <w:spacing w:val="-6"/>
          <w:sz w:val="21"/>
          <w:szCs w:val="21"/>
          <w:highlight w:val="none"/>
        </w:rPr>
        <w:t>响应无效</w:t>
      </w:r>
      <w:r>
        <w:rPr>
          <w:rFonts w:hint="eastAsia" w:ascii="宋体" w:hAnsi="宋体" w:eastAsia="宋体" w:cs="宋体"/>
          <w:color w:val="auto"/>
          <w:spacing w:val="-6"/>
          <w:sz w:val="21"/>
          <w:szCs w:val="21"/>
          <w:highlight w:val="none"/>
        </w:rPr>
        <w:t>。</w:t>
      </w:r>
    </w:p>
    <w:p w14:paraId="0956190A">
      <w:pPr>
        <w:spacing w:before="181" w:line="360" w:lineRule="auto"/>
        <w:ind w:left="1117" w:right="63" w:hanging="72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3.3    落实政府采购政策的价格调整：只有符合第二章《供应商须</w:t>
      </w:r>
      <w:r>
        <w:rPr>
          <w:rFonts w:hint="eastAsia" w:ascii="宋体" w:hAnsi="宋体" w:eastAsia="宋体" w:cs="宋体"/>
          <w:color w:val="auto"/>
          <w:spacing w:val="-2"/>
          <w:sz w:val="21"/>
          <w:szCs w:val="21"/>
          <w:highlight w:val="none"/>
        </w:rPr>
        <w:t>知》4.2 条规定情</w:t>
      </w:r>
      <w:r>
        <w:rPr>
          <w:rFonts w:hint="eastAsia" w:ascii="宋体" w:hAnsi="宋体" w:eastAsia="宋体" w:cs="宋体"/>
          <w:color w:val="auto"/>
          <w:spacing w:val="2"/>
          <w:sz w:val="21"/>
          <w:szCs w:val="21"/>
          <w:highlight w:val="none"/>
        </w:rPr>
        <w:t>形的，可以享受中小企业扶持政策，用扣除后的价格参加评审；</w:t>
      </w:r>
      <w:r>
        <w:rPr>
          <w:rFonts w:hint="eastAsia" w:ascii="宋体" w:hAnsi="宋体" w:eastAsia="宋体" w:cs="宋体"/>
          <w:color w:val="auto"/>
          <w:spacing w:val="1"/>
          <w:sz w:val="21"/>
          <w:szCs w:val="21"/>
          <w:highlight w:val="none"/>
        </w:rPr>
        <w:t>否则，评审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时价格不予扣除。</w:t>
      </w:r>
    </w:p>
    <w:p w14:paraId="2C3681B5">
      <w:pPr>
        <w:spacing w:before="1" w:line="360" w:lineRule="auto"/>
        <w:ind w:left="2074" w:right="63" w:hanging="90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3.3.1    对于未预留份额专门面向中小企业采购的采购项目，以及预留份额项目中的非预留部分采购包，对小微企业报价给予</w:t>
      </w:r>
      <w:r>
        <w:rPr>
          <w:rFonts w:hint="eastAsia" w:ascii="宋体" w:hAnsi="宋体" w:eastAsia="宋体" w:cs="宋体"/>
          <w:color w:val="auto"/>
          <w:spacing w:val="-46"/>
          <w:sz w:val="21"/>
          <w:szCs w:val="21"/>
          <w:highlight w:val="none"/>
        </w:rPr>
        <w:t xml:space="preserve"> </w:t>
      </w:r>
      <w:r>
        <w:rPr>
          <w:rFonts w:hint="eastAsia" w:ascii="宋体" w:hAnsi="宋体" w:eastAsia="宋体" w:cs="宋体"/>
          <w:color w:val="auto"/>
          <w:spacing w:val="-3"/>
          <w:sz w:val="21"/>
          <w:szCs w:val="21"/>
          <w:highlight w:val="none"/>
          <w:u w:val="single" w:color="auto"/>
          <w:lang w:val="en-US" w:eastAsia="zh-CN"/>
        </w:rPr>
        <w:t>10</w:t>
      </w:r>
      <w:r>
        <w:rPr>
          <w:rFonts w:hint="eastAsia" w:ascii="宋体" w:hAnsi="宋体" w:eastAsia="宋体" w:cs="宋体"/>
          <w:color w:val="auto"/>
          <w:spacing w:val="-3"/>
          <w:sz w:val="21"/>
          <w:szCs w:val="21"/>
          <w:highlight w:val="none"/>
        </w:rPr>
        <w:t>%的扣除，用扣除</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后的价格参加评审。</w:t>
      </w:r>
    </w:p>
    <w:p w14:paraId="15AC438B">
      <w:pPr>
        <w:spacing w:before="181" w:line="360" w:lineRule="auto"/>
        <w:ind w:left="2071" w:right="63" w:hanging="89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3.3.2    对于未预留份额专门面向中小企业采购的采购项目，以及预留份额项</w:t>
      </w:r>
      <w:r>
        <w:rPr>
          <w:rFonts w:hint="eastAsia" w:ascii="宋体" w:hAnsi="宋体" w:eastAsia="宋体" w:cs="宋体"/>
          <w:color w:val="auto"/>
          <w:spacing w:val="2"/>
          <w:sz w:val="21"/>
          <w:szCs w:val="21"/>
          <w:highlight w:val="none"/>
        </w:rPr>
        <w:t>目中的非预留部分采购包，且接受大中型企业与小微企业组成联合体或者允许大中型企业向一家或者多家小微企业分包的采购项目，对于联合协议或者分包意向协议约定小微企业的合同份额占到合同</w:t>
      </w:r>
      <w:r>
        <w:rPr>
          <w:rFonts w:hint="eastAsia" w:ascii="宋体" w:hAnsi="宋体" w:eastAsia="宋体" w:cs="宋体"/>
          <w:color w:val="auto"/>
          <w:spacing w:val="1"/>
          <w:sz w:val="21"/>
          <w:szCs w:val="21"/>
          <w:highlight w:val="none"/>
        </w:rPr>
        <w:t>总金额</w:t>
      </w:r>
      <w:r>
        <w:rPr>
          <w:rFonts w:hint="eastAsia" w:ascii="宋体" w:hAnsi="宋体" w:eastAsia="宋体" w:cs="宋体"/>
          <w:color w:val="auto"/>
          <w:spacing w:val="-54"/>
          <w:sz w:val="21"/>
          <w:szCs w:val="21"/>
          <w:highlight w:val="none"/>
        </w:rPr>
        <w:t xml:space="preserve"> </w:t>
      </w:r>
      <w:r>
        <w:rPr>
          <w:rFonts w:hint="eastAsia" w:ascii="宋体" w:hAnsi="宋体" w:eastAsia="宋体" w:cs="宋体"/>
          <w:color w:val="auto"/>
          <w:spacing w:val="1"/>
          <w:sz w:val="21"/>
          <w:szCs w:val="21"/>
          <w:highlight w:val="none"/>
        </w:rPr>
        <w:t>40%以上的联合体或者大中型企业的报价给予</w:t>
      </w:r>
      <w:r>
        <w:rPr>
          <w:rFonts w:hint="eastAsia" w:ascii="宋体" w:hAnsi="宋体" w:eastAsia="宋体" w:cs="宋体"/>
          <w:color w:val="auto"/>
          <w:spacing w:val="1"/>
          <w:sz w:val="21"/>
          <w:szCs w:val="21"/>
          <w:highlight w:val="none"/>
          <w:u w:val="single"/>
          <w:lang w:val="en-US" w:eastAsia="zh-CN"/>
        </w:rPr>
        <w:t>4</w:t>
      </w:r>
      <w:r>
        <w:rPr>
          <w:rFonts w:hint="eastAsia" w:ascii="宋体" w:hAnsi="宋体" w:eastAsia="宋体" w:cs="宋体"/>
          <w:color w:val="auto"/>
          <w:spacing w:val="1"/>
          <w:sz w:val="21"/>
          <w:szCs w:val="21"/>
          <w:highlight w:val="none"/>
          <w:u w:val="single"/>
        </w:rPr>
        <w:t>%</w:t>
      </w:r>
      <w:r>
        <w:rPr>
          <w:rFonts w:hint="eastAsia" w:ascii="宋体" w:hAnsi="宋体" w:eastAsia="宋体" w:cs="宋体"/>
          <w:color w:val="auto"/>
          <w:spacing w:val="1"/>
          <w:sz w:val="21"/>
          <w:szCs w:val="21"/>
          <w:highlight w:val="none"/>
        </w:rPr>
        <w:t>的</w:t>
      </w:r>
      <w:r>
        <w:rPr>
          <w:rFonts w:hint="eastAsia" w:ascii="宋体" w:hAnsi="宋体" w:eastAsia="宋体" w:cs="宋体"/>
          <w:color w:val="auto"/>
          <w:sz w:val="21"/>
          <w:szCs w:val="21"/>
          <w:highlight w:val="none"/>
        </w:rPr>
        <w:t>扣除，</w:t>
      </w:r>
      <w:r>
        <w:rPr>
          <w:rFonts w:hint="eastAsia" w:ascii="宋体" w:hAnsi="宋体" w:eastAsia="宋体" w:cs="宋体"/>
          <w:color w:val="auto"/>
          <w:spacing w:val="-4"/>
          <w:sz w:val="21"/>
          <w:szCs w:val="21"/>
          <w:highlight w:val="none"/>
        </w:rPr>
        <w:t>用扣除后的价格参加评审。</w:t>
      </w:r>
    </w:p>
    <w:p w14:paraId="5605BE28">
      <w:pPr>
        <w:spacing w:before="182" w:line="360" w:lineRule="auto"/>
        <w:ind w:left="2074" w:right="63" w:hanging="90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3.3.3    组成联合体或者接受分包的小微企业与联合体内其他企业、分包企业</w:t>
      </w:r>
      <w:r>
        <w:rPr>
          <w:rFonts w:hint="eastAsia" w:ascii="宋体" w:hAnsi="宋体" w:eastAsia="宋体" w:cs="宋体"/>
          <w:color w:val="auto"/>
          <w:spacing w:val="-2"/>
          <w:sz w:val="21"/>
          <w:szCs w:val="21"/>
          <w:highlight w:val="none"/>
        </w:rPr>
        <w:t>之间存在直接控股、管理关系的，不享受价格扣除优惠政策。</w:t>
      </w:r>
    </w:p>
    <w:p w14:paraId="72B7D97E">
      <w:pPr>
        <w:spacing w:before="184"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3.3.4    价格扣除比例对小型企业和微型企业同等对待，不作区</w:t>
      </w:r>
      <w:r>
        <w:rPr>
          <w:rFonts w:hint="eastAsia" w:ascii="宋体" w:hAnsi="宋体" w:eastAsia="宋体" w:cs="宋体"/>
          <w:color w:val="auto"/>
          <w:spacing w:val="-2"/>
          <w:sz w:val="21"/>
          <w:szCs w:val="21"/>
          <w:highlight w:val="none"/>
        </w:rPr>
        <w:t>分。</w:t>
      </w:r>
    </w:p>
    <w:p w14:paraId="7AAC7ACE">
      <w:pPr>
        <w:spacing w:before="184" w:line="360" w:lineRule="auto"/>
        <w:ind w:left="2077" w:right="63" w:hanging="9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3.3.5    中小企业参加政府采购活动，应当按照竞争性磋商文件给定的格式出</w:t>
      </w:r>
      <w:r>
        <w:rPr>
          <w:rFonts w:hint="eastAsia" w:ascii="宋体" w:hAnsi="宋体" w:eastAsia="宋体" w:cs="宋体"/>
          <w:color w:val="auto"/>
          <w:spacing w:val="-6"/>
          <w:sz w:val="21"/>
          <w:szCs w:val="21"/>
          <w:highlight w:val="none"/>
        </w:rPr>
        <w:t>具《中小企业声明函》，否则不得享受相关中小企业扶持政策。</w:t>
      </w:r>
    </w:p>
    <w:p w14:paraId="42DAA15E">
      <w:pPr>
        <w:spacing w:before="182" w:line="360" w:lineRule="auto"/>
        <w:ind w:left="2076" w:right="74" w:hanging="903"/>
        <w:rPr>
          <w:rFonts w:hint="eastAsia" w:ascii="宋体" w:hAnsi="宋体" w:eastAsia="宋体" w:cs="宋体"/>
          <w:color w:val="auto"/>
          <w:spacing w:val="-2"/>
          <w:sz w:val="21"/>
          <w:szCs w:val="21"/>
          <w:highlight w:val="none"/>
        </w:rPr>
      </w:pPr>
      <w:r>
        <w:rPr>
          <w:rFonts w:hint="eastAsia" w:ascii="宋体" w:hAnsi="宋体" w:eastAsia="宋体" w:cs="宋体"/>
          <w:color w:val="auto"/>
          <w:spacing w:val="-3"/>
          <w:sz w:val="21"/>
          <w:szCs w:val="21"/>
          <w:highlight w:val="none"/>
        </w:rPr>
        <w:t>3.3.6    监狱企业提供了由省级以上监狱管理局、戒毒管理局（含新疆生</w:t>
      </w:r>
      <w:r>
        <w:rPr>
          <w:rFonts w:hint="eastAsia" w:ascii="宋体" w:hAnsi="宋体" w:eastAsia="宋体" w:cs="宋体"/>
          <w:color w:val="auto"/>
          <w:spacing w:val="-4"/>
          <w:sz w:val="21"/>
          <w:szCs w:val="21"/>
          <w:highlight w:val="none"/>
        </w:rPr>
        <w:t>产建</w:t>
      </w:r>
      <w:r>
        <w:rPr>
          <w:rFonts w:hint="eastAsia" w:ascii="宋体" w:hAnsi="宋体" w:eastAsia="宋体" w:cs="宋体"/>
          <w:color w:val="auto"/>
          <w:spacing w:val="-2"/>
          <w:sz w:val="21"/>
          <w:szCs w:val="21"/>
          <w:highlight w:val="none"/>
        </w:rPr>
        <w:t>设兵团）出具的属于监狱企业的证明文件的，视同小微企业。</w:t>
      </w:r>
    </w:p>
    <w:p w14:paraId="70EEAFC3">
      <w:pPr>
        <w:spacing w:before="182" w:line="360" w:lineRule="auto"/>
        <w:ind w:left="2076" w:right="74" w:hanging="90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3.3.7   残疾人福利性单位按竞争性磋商文件要求提供了《残疾人福利性单位</w:t>
      </w:r>
      <w:r>
        <w:rPr>
          <w:rFonts w:hint="eastAsia" w:ascii="宋体" w:hAnsi="宋体" w:eastAsia="宋体" w:cs="宋体"/>
          <w:color w:val="auto"/>
          <w:spacing w:val="-4"/>
          <w:sz w:val="21"/>
          <w:szCs w:val="21"/>
          <w:highlight w:val="none"/>
        </w:rPr>
        <w:t>声明函》的，视同小微企业。</w:t>
      </w:r>
    </w:p>
    <w:p w14:paraId="738139D9">
      <w:pPr>
        <w:spacing w:before="180" w:line="360" w:lineRule="auto"/>
        <w:ind w:left="2092" w:right="28" w:hanging="91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3.3.8   若供应商同时属于小型或微型企业、监狱企业、残疾人福利性单位中的两种及以上，将不重复享受小微企业价格扣减的优惠政策。</w:t>
      </w:r>
    </w:p>
    <w:p w14:paraId="01E04FEE">
      <w:pPr>
        <w:spacing w:before="161" w:line="360" w:lineRule="auto"/>
        <w:ind w:left="117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3.3.9   其他为落实政府采购政策实施的优</w:t>
      </w:r>
      <w:r>
        <w:rPr>
          <w:rFonts w:hint="eastAsia" w:ascii="宋体" w:hAnsi="宋体" w:eastAsia="宋体" w:cs="宋体"/>
          <w:color w:val="auto"/>
          <w:spacing w:val="-1"/>
          <w:sz w:val="21"/>
          <w:szCs w:val="21"/>
          <w:highlight w:val="none"/>
        </w:rPr>
        <w:t>先采购：</w:t>
      </w:r>
      <w:r>
        <w:rPr>
          <w:rFonts w:hint="eastAsia" w:ascii="宋体" w:hAnsi="宋体" w:eastAsia="宋体" w:cs="宋体"/>
          <w:color w:val="auto"/>
          <w:spacing w:val="-1"/>
          <w:sz w:val="21"/>
          <w:szCs w:val="21"/>
          <w:highlight w:val="none"/>
          <w:u w:val="single" w:color="auto"/>
        </w:rPr>
        <w:t>/</w:t>
      </w:r>
      <w:r>
        <w:rPr>
          <w:rFonts w:hint="eastAsia" w:ascii="宋体" w:hAnsi="宋体" w:eastAsia="宋体" w:cs="宋体"/>
          <w:color w:val="auto"/>
          <w:spacing w:val="-1"/>
          <w:sz w:val="21"/>
          <w:szCs w:val="21"/>
          <w:highlight w:val="none"/>
        </w:rPr>
        <w:t>。</w:t>
      </w:r>
    </w:p>
    <w:p w14:paraId="6DB814D3">
      <w:pPr>
        <w:spacing w:before="193" w:line="360" w:lineRule="auto"/>
        <w:ind w:left="32"/>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磋商环节及提交最后报价后如出现以</w:t>
      </w:r>
      <w:r>
        <w:rPr>
          <w:rFonts w:hint="eastAsia" w:ascii="宋体" w:hAnsi="宋体" w:eastAsia="宋体" w:cs="宋体"/>
          <w:color w:val="auto"/>
          <w:spacing w:val="-1"/>
          <w:sz w:val="21"/>
          <w:szCs w:val="21"/>
          <w:highlight w:val="none"/>
        </w:rPr>
        <w:t>下情况的，供应商的</w:t>
      </w:r>
      <w:r>
        <w:rPr>
          <w:rFonts w:hint="eastAsia" w:ascii="宋体" w:hAnsi="宋体" w:eastAsia="宋体" w:cs="宋体"/>
          <w:b/>
          <w:bCs/>
          <w:color w:val="auto"/>
          <w:spacing w:val="-1"/>
          <w:sz w:val="21"/>
          <w:szCs w:val="21"/>
          <w:highlight w:val="none"/>
        </w:rPr>
        <w:t>响应文件无效</w:t>
      </w:r>
      <w:r>
        <w:rPr>
          <w:rFonts w:hint="eastAsia" w:ascii="宋体" w:hAnsi="宋体" w:eastAsia="宋体" w:cs="宋体"/>
          <w:color w:val="auto"/>
          <w:spacing w:val="-1"/>
          <w:sz w:val="21"/>
          <w:szCs w:val="21"/>
          <w:highlight w:val="none"/>
        </w:rPr>
        <w:t>：</w:t>
      </w:r>
    </w:p>
    <w:p w14:paraId="5F0F10D8">
      <w:pPr>
        <w:spacing w:before="183"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4.1    供应商对实质性变动不予确认的；</w:t>
      </w:r>
    </w:p>
    <w:p w14:paraId="5BF7F6E5">
      <w:pPr>
        <w:spacing w:before="197" w:line="360" w:lineRule="auto"/>
        <w:ind w:left="1116" w:right="29" w:hanging="72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4.2    不满足磋商文件*号条款或磋商文件技术指标超出磋商文件《</w:t>
      </w:r>
      <w:r>
        <w:rPr>
          <w:rFonts w:hint="eastAsia" w:ascii="宋体" w:hAnsi="宋体" w:eastAsia="宋体" w:cs="宋体"/>
          <w:color w:val="auto"/>
          <w:spacing w:val="4"/>
          <w:sz w:val="21"/>
          <w:szCs w:val="21"/>
          <w:highlight w:val="none"/>
        </w:rPr>
        <w:t>采购需求》中</w:t>
      </w:r>
      <w:r>
        <w:rPr>
          <w:rFonts w:hint="eastAsia" w:ascii="宋体" w:hAnsi="宋体" w:eastAsia="宋体" w:cs="宋体"/>
          <w:color w:val="auto"/>
          <w:spacing w:val="-8"/>
          <w:sz w:val="21"/>
          <w:szCs w:val="21"/>
          <w:highlight w:val="none"/>
        </w:rPr>
        <w:t>主要技术参数允许偏差的最大范围的（如有</w:t>
      </w:r>
      <w:r>
        <w:rPr>
          <w:rFonts w:hint="eastAsia" w:ascii="宋体" w:hAnsi="宋体" w:eastAsia="宋体" w:cs="宋体"/>
          <w:color w:val="auto"/>
          <w:spacing w:val="1"/>
          <w:sz w:val="21"/>
          <w:szCs w:val="21"/>
          <w:highlight w:val="none"/>
        </w:rPr>
        <w:t>）；</w:t>
      </w:r>
    </w:p>
    <w:p w14:paraId="0CA2D3E9">
      <w:pPr>
        <w:spacing w:before="181"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4.3    未按照磋商小组规定的时间、逾期提交最后报价的；</w:t>
      </w:r>
    </w:p>
    <w:p w14:paraId="48D215C4">
      <w:pPr>
        <w:spacing w:before="182" w:line="360" w:lineRule="auto"/>
        <w:ind w:left="1118" w:right="29" w:hanging="72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如供应商的最后报价超过竞争性磋商文件中规定的项目/采购包预算金额或者</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6"/>
          <w:sz w:val="21"/>
          <w:szCs w:val="21"/>
          <w:highlight w:val="none"/>
        </w:rPr>
        <w:t>项目/采购包最高限价的；</w:t>
      </w:r>
    </w:p>
    <w:p w14:paraId="1B861D69">
      <w:pPr>
        <w:spacing w:before="182" w:line="360" w:lineRule="auto"/>
        <w:ind w:left="1119" w:right="29" w:hanging="73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4.5   响应文件中出现可选择性或可调整的报</w:t>
      </w:r>
      <w:r>
        <w:rPr>
          <w:rFonts w:hint="eastAsia" w:ascii="宋体" w:hAnsi="宋体" w:eastAsia="宋体" w:cs="宋体"/>
          <w:color w:val="auto"/>
          <w:spacing w:val="1"/>
          <w:sz w:val="21"/>
          <w:szCs w:val="21"/>
          <w:highlight w:val="none"/>
        </w:rPr>
        <w:t>价的（竞争性磋商文件另有规定的除外）；</w:t>
      </w:r>
    </w:p>
    <w:p w14:paraId="6B3953F7">
      <w:pPr>
        <w:spacing w:before="181"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4.6   最后报价出现前后不一致，供应商对修正后的报价不予确认的；</w:t>
      </w:r>
    </w:p>
    <w:p w14:paraId="028FEB65">
      <w:pPr>
        <w:spacing w:before="160" w:line="360" w:lineRule="auto"/>
        <w:ind w:left="38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4.7   其他：</w:t>
      </w:r>
      <w:r>
        <w:rPr>
          <w:rFonts w:hint="eastAsia" w:ascii="宋体" w:hAnsi="宋体" w:eastAsia="宋体" w:cs="宋体"/>
          <w:color w:val="auto"/>
          <w:spacing w:val="-1"/>
          <w:sz w:val="21"/>
          <w:szCs w:val="21"/>
          <w:highlight w:val="none"/>
          <w:u w:val="single" w:color="auto"/>
        </w:rPr>
        <w:t>/</w:t>
      </w:r>
      <w:r>
        <w:rPr>
          <w:rFonts w:hint="eastAsia" w:ascii="宋体" w:hAnsi="宋体" w:eastAsia="宋体" w:cs="宋体"/>
          <w:color w:val="auto"/>
          <w:spacing w:val="-1"/>
          <w:sz w:val="21"/>
          <w:szCs w:val="21"/>
          <w:highlight w:val="none"/>
        </w:rPr>
        <w:t>。</w:t>
      </w:r>
    </w:p>
    <w:p w14:paraId="1BA3BFA5">
      <w:pPr>
        <w:spacing w:before="192" w:line="360" w:lineRule="auto"/>
        <w:ind w:left="40"/>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    评审方法和评审标准</w:t>
      </w:r>
    </w:p>
    <w:p w14:paraId="1630A1CB">
      <w:pPr>
        <w:spacing w:before="182" w:line="360" w:lineRule="auto"/>
        <w:ind w:left="1117" w:right="29" w:hanging="7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5.1   本项目采用的评审方</w:t>
      </w:r>
      <w:r>
        <w:rPr>
          <w:rFonts w:hint="eastAsia" w:ascii="宋体" w:hAnsi="宋体" w:eastAsia="宋体" w:cs="宋体"/>
          <w:color w:val="auto"/>
          <w:spacing w:val="1"/>
          <w:sz w:val="21"/>
          <w:szCs w:val="21"/>
          <w:highlight w:val="none"/>
        </w:rPr>
        <w:t>法为：本项目的评审采用综合评分法。综合评分法，是</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指响应文件满足磋商文件全部实质性要求且按评审因素的量化指</w:t>
      </w:r>
      <w:r>
        <w:rPr>
          <w:rFonts w:hint="eastAsia" w:ascii="宋体" w:hAnsi="宋体" w:eastAsia="宋体" w:cs="宋体"/>
          <w:color w:val="auto"/>
          <w:spacing w:val="1"/>
          <w:sz w:val="21"/>
          <w:szCs w:val="21"/>
          <w:highlight w:val="none"/>
        </w:rPr>
        <w:t>标评审得分</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最高的供应商为成交候选供应商的评审方法。</w:t>
      </w:r>
    </w:p>
    <w:p w14:paraId="5422AEC4">
      <w:pPr>
        <w:spacing w:before="182" w:line="360" w:lineRule="auto"/>
        <w:ind w:left="39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5.2   竞争性磋商文件中没有规定的评审标</w:t>
      </w:r>
      <w:r>
        <w:rPr>
          <w:rFonts w:hint="eastAsia" w:ascii="宋体" w:hAnsi="宋体" w:eastAsia="宋体" w:cs="宋体"/>
          <w:color w:val="auto"/>
          <w:spacing w:val="-2"/>
          <w:sz w:val="21"/>
          <w:szCs w:val="21"/>
          <w:highlight w:val="none"/>
        </w:rPr>
        <w:t>准不得作为评审依据。</w:t>
      </w:r>
    </w:p>
    <w:p w14:paraId="66DFEEB8">
      <w:pPr>
        <w:spacing w:before="182" w:line="360" w:lineRule="auto"/>
        <w:ind w:left="1113" w:right="29" w:hanging="71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5.3   非政府强制采购的节</w:t>
      </w:r>
      <w:r>
        <w:rPr>
          <w:rFonts w:hint="eastAsia" w:ascii="宋体" w:hAnsi="宋体" w:eastAsia="宋体" w:cs="宋体"/>
          <w:color w:val="auto"/>
          <w:spacing w:val="1"/>
          <w:sz w:val="21"/>
          <w:szCs w:val="21"/>
          <w:highlight w:val="none"/>
        </w:rPr>
        <w:t>能产品或环境标志产品，依据品目清单和认证证书实施</w:t>
      </w:r>
      <w:r>
        <w:rPr>
          <w:rFonts w:hint="eastAsia" w:ascii="宋体" w:hAnsi="宋体" w:eastAsia="宋体" w:cs="宋体"/>
          <w:color w:val="auto"/>
          <w:sz w:val="21"/>
          <w:szCs w:val="21"/>
          <w:highlight w:val="none"/>
        </w:rPr>
        <w:t xml:space="preserve"> 政府优先采购。优先采购的具体规定（如涉及）</w:t>
      </w:r>
      <w:r>
        <w:rPr>
          <w:rFonts w:hint="eastAsia" w:ascii="宋体" w:hAnsi="宋体" w:eastAsia="宋体" w:cs="宋体"/>
          <w:color w:val="auto"/>
          <w:spacing w:val="-1"/>
          <w:sz w:val="21"/>
          <w:szCs w:val="21"/>
          <w:highlight w:val="none"/>
          <w:u w:val="single" w:color="auto"/>
        </w:rPr>
        <w:t xml:space="preserve">    /    </w:t>
      </w:r>
      <w:r>
        <w:rPr>
          <w:rFonts w:hint="eastAsia" w:ascii="宋体" w:hAnsi="宋体" w:eastAsia="宋体" w:cs="宋体"/>
          <w:color w:val="auto"/>
          <w:spacing w:val="-1"/>
          <w:sz w:val="21"/>
          <w:szCs w:val="21"/>
          <w:highlight w:val="none"/>
        </w:rPr>
        <w:t>。</w:t>
      </w:r>
    </w:p>
    <w:p w14:paraId="204B02DA">
      <w:pPr>
        <w:spacing w:before="182" w:line="360" w:lineRule="auto"/>
        <w:ind w:left="39"/>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    确定成交候选人名单</w:t>
      </w:r>
    </w:p>
    <w:p w14:paraId="4734B6FE">
      <w:pPr>
        <w:spacing w:before="180" w:line="360" w:lineRule="auto"/>
        <w:ind w:left="1114" w:right="29" w:hanging="7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6.1    磋商小组将根据各供应</w:t>
      </w:r>
      <w:r>
        <w:rPr>
          <w:rFonts w:hint="eastAsia" w:ascii="宋体" w:hAnsi="宋体" w:eastAsia="宋体" w:cs="宋体"/>
          <w:color w:val="auto"/>
          <w:spacing w:val="1"/>
          <w:sz w:val="21"/>
          <w:szCs w:val="21"/>
          <w:highlight w:val="none"/>
        </w:rPr>
        <w:t>商的评审排序以及磋商文件中关于成交候选人的相关</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规定，确定本项目成交候选人名单，按照评审得分由高到低顺序推荐成交候</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选人的排名顺序。评审得分相同的，按照最后报价由低到高的顺序推荐。评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审得分且最后报价相同的，按照技术指标优劣顺序推荐。响应文件满足竞争</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性磋商文件全部实质性要求，且按照评审因素的量化指标评审得分最高的供</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应商为排名第一的成交候选人。评分分值计算保留小数点后两位，第三位四</w:t>
      </w:r>
      <w:r>
        <w:rPr>
          <w:rFonts w:hint="eastAsia" w:ascii="宋体" w:hAnsi="宋体" w:eastAsia="宋体" w:cs="宋体"/>
          <w:color w:val="auto"/>
          <w:spacing w:val="-9"/>
          <w:sz w:val="21"/>
          <w:szCs w:val="21"/>
          <w:highlight w:val="none"/>
        </w:rPr>
        <w:t>舍五入。</w:t>
      </w:r>
    </w:p>
    <w:p w14:paraId="5C15EF4A">
      <w:pPr>
        <w:spacing w:before="179" w:line="360" w:lineRule="auto"/>
        <w:ind w:left="1115" w:right="29" w:hanging="7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6.2    磋商小组根据上述供应商排序，依次推荐排序前</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1"/>
          <w:sz w:val="21"/>
          <w:szCs w:val="21"/>
          <w:highlight w:val="none"/>
        </w:rPr>
        <w:t>3 名的供应商为成交候选供</w:t>
      </w:r>
      <w:r>
        <w:rPr>
          <w:rFonts w:hint="eastAsia" w:ascii="宋体" w:hAnsi="宋体" w:eastAsia="宋体" w:cs="宋体"/>
          <w:color w:val="auto"/>
          <w:spacing w:val="2"/>
          <w:sz w:val="21"/>
          <w:szCs w:val="21"/>
          <w:highlight w:val="none"/>
        </w:rPr>
        <w:t>应商（若在磋商文件允许的情形下提交最后报价的供应商为二家，则依</w:t>
      </w:r>
      <w:r>
        <w:rPr>
          <w:rFonts w:hint="eastAsia" w:ascii="宋体" w:hAnsi="宋体" w:eastAsia="宋体" w:cs="宋体"/>
          <w:color w:val="auto"/>
          <w:spacing w:val="1"/>
          <w:sz w:val="21"/>
          <w:szCs w:val="21"/>
          <w:highlight w:val="none"/>
        </w:rPr>
        <w:t>次推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荐二名供应商为成交候选供应商</w:t>
      </w:r>
      <w:r>
        <w:rPr>
          <w:rFonts w:hint="eastAsia" w:ascii="宋体" w:hAnsi="宋体" w:eastAsia="宋体" w:cs="宋体"/>
          <w:color w:val="auto"/>
          <w:sz w:val="21"/>
          <w:szCs w:val="21"/>
          <w:highlight w:val="none"/>
        </w:rPr>
        <w:t>），</w:t>
      </w:r>
      <w:r>
        <w:rPr>
          <w:rFonts w:hint="eastAsia" w:ascii="宋体" w:hAnsi="宋体" w:eastAsia="宋体" w:cs="宋体"/>
          <w:color w:val="auto"/>
          <w:spacing w:val="-2"/>
          <w:sz w:val="21"/>
          <w:szCs w:val="21"/>
          <w:highlight w:val="none"/>
        </w:rPr>
        <w:t>并编写评审报告。</w:t>
      </w:r>
    </w:p>
    <w:p w14:paraId="1AFD5E68">
      <w:pPr>
        <w:spacing w:before="184" w:line="360" w:lineRule="auto"/>
        <w:ind w:left="1127" w:right="63" w:hanging="73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6.3    磋商小组要对评分汇总情况进行复核，特</w:t>
      </w:r>
      <w:r>
        <w:rPr>
          <w:rFonts w:hint="eastAsia" w:ascii="宋体" w:hAnsi="宋体" w:eastAsia="宋体" w:cs="宋体"/>
          <w:color w:val="auto"/>
          <w:sz w:val="21"/>
          <w:szCs w:val="21"/>
          <w:highlight w:val="none"/>
        </w:rPr>
        <w:t xml:space="preserve">别是对排名第一的、报价最低的、 </w:t>
      </w:r>
      <w:r>
        <w:rPr>
          <w:rFonts w:hint="eastAsia" w:ascii="宋体" w:hAnsi="宋体" w:eastAsia="宋体" w:cs="宋体"/>
          <w:color w:val="auto"/>
          <w:spacing w:val="-3"/>
          <w:sz w:val="21"/>
          <w:szCs w:val="21"/>
          <w:highlight w:val="none"/>
        </w:rPr>
        <w:t>响应文件被认定为无效的情形进行重点复核。</w:t>
      </w:r>
    </w:p>
    <w:p w14:paraId="107F320C">
      <w:pPr>
        <w:spacing w:before="181" w:line="360" w:lineRule="auto"/>
        <w:ind w:left="37"/>
        <w:outlineLvl w:val="0"/>
        <w:rPr>
          <w:rFonts w:hint="eastAsia" w:ascii="宋体" w:hAnsi="宋体" w:eastAsia="宋体" w:cs="宋体"/>
          <w:color w:val="auto"/>
          <w:sz w:val="21"/>
          <w:szCs w:val="21"/>
          <w:highlight w:val="none"/>
        </w:rPr>
      </w:pPr>
      <w:bookmarkStart w:id="5" w:name="bookmark9"/>
      <w:bookmarkEnd w:id="5"/>
      <w:r>
        <w:rPr>
          <w:rFonts w:hint="eastAsia" w:ascii="宋体" w:hAnsi="宋体" w:eastAsia="宋体" w:cs="宋体"/>
          <w:color w:val="auto"/>
          <w:spacing w:val="-1"/>
          <w:sz w:val="21"/>
          <w:szCs w:val="21"/>
          <w:highlight w:val="none"/>
        </w:rPr>
        <w:t>7    报告违法行为</w:t>
      </w:r>
    </w:p>
    <w:p w14:paraId="5A73A125">
      <w:pPr>
        <w:spacing w:before="184" w:line="360" w:lineRule="auto"/>
        <w:ind w:left="1117" w:right="103" w:hanging="72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磋商小组在评审过程中发现供应商有行贿、提供虚假</w:t>
      </w:r>
      <w:r>
        <w:rPr>
          <w:rFonts w:hint="eastAsia" w:ascii="宋体" w:hAnsi="宋体" w:eastAsia="宋体" w:cs="宋体"/>
          <w:color w:val="auto"/>
          <w:spacing w:val="-1"/>
          <w:sz w:val="21"/>
          <w:szCs w:val="21"/>
          <w:highlight w:val="none"/>
        </w:rPr>
        <w:t>材料或者串通等违法行</w:t>
      </w:r>
      <w:r>
        <w:rPr>
          <w:rFonts w:hint="eastAsia" w:ascii="宋体" w:hAnsi="宋体" w:eastAsia="宋体" w:cs="宋体"/>
          <w:color w:val="auto"/>
          <w:spacing w:val="-3"/>
          <w:sz w:val="21"/>
          <w:szCs w:val="21"/>
          <w:highlight w:val="none"/>
        </w:rPr>
        <w:t>为时，应当及时向财政部门报告。</w:t>
      </w:r>
    </w:p>
    <w:p w14:paraId="4A4B59F8">
      <w:pPr>
        <w:spacing w:line="360" w:lineRule="auto"/>
        <w:rPr>
          <w:rFonts w:hint="eastAsia" w:ascii="宋体" w:hAnsi="宋体" w:eastAsia="宋体" w:cs="宋体"/>
          <w:color w:val="auto"/>
          <w:sz w:val="21"/>
          <w:szCs w:val="21"/>
          <w:highlight w:val="none"/>
        </w:rPr>
        <w:sectPr>
          <w:headerReference r:id="rId13" w:type="default"/>
          <w:footerReference r:id="rId14" w:type="default"/>
          <w:pgSz w:w="11907" w:h="16840"/>
          <w:pgMar w:top="1167" w:right="1105" w:bottom="1011" w:left="1672" w:header="830" w:footer="851" w:gutter="0"/>
          <w:pgNumType w:fmt="decimal"/>
          <w:cols w:space="720" w:num="1"/>
        </w:sectPr>
      </w:pPr>
    </w:p>
    <w:p w14:paraId="1BC65230">
      <w:pPr>
        <w:spacing w:before="287" w:line="220" w:lineRule="auto"/>
        <w:ind w:left="3855"/>
        <w:outlineLvl w:val="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二、评审标准</w:t>
      </w:r>
    </w:p>
    <w:p w14:paraId="48606CC1">
      <w:pPr>
        <w:spacing w:before="37"/>
        <w:rPr>
          <w:color w:val="auto"/>
          <w:highlight w:val="none"/>
        </w:rPr>
      </w:pP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1843"/>
        <w:gridCol w:w="5812"/>
        <w:gridCol w:w="816"/>
      </w:tblGrid>
      <w:tr w14:paraId="391E3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6EF83D17">
            <w:pPr>
              <w:pStyle w:val="3"/>
              <w:widowControl w:val="0"/>
              <w:spacing w:line="360" w:lineRule="auto"/>
              <w:ind w:firstLine="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843" w:type="dxa"/>
            <w:noWrap w:val="0"/>
            <w:vAlign w:val="top"/>
          </w:tcPr>
          <w:p w14:paraId="52E9B8D2">
            <w:pPr>
              <w:pStyle w:val="3"/>
              <w:widowControl w:val="0"/>
              <w:spacing w:line="360" w:lineRule="auto"/>
              <w:ind w:firstLine="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评审内容及权重</w:t>
            </w:r>
          </w:p>
        </w:tc>
        <w:tc>
          <w:tcPr>
            <w:tcW w:w="5812" w:type="dxa"/>
            <w:noWrap w:val="0"/>
            <w:vAlign w:val="top"/>
          </w:tcPr>
          <w:p w14:paraId="17ED6D1A">
            <w:pPr>
              <w:pStyle w:val="3"/>
              <w:widowControl w:val="0"/>
              <w:spacing w:line="360" w:lineRule="auto"/>
              <w:ind w:firstLine="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评审要素</w:t>
            </w:r>
          </w:p>
        </w:tc>
        <w:tc>
          <w:tcPr>
            <w:tcW w:w="816" w:type="dxa"/>
            <w:noWrap w:val="0"/>
            <w:vAlign w:val="top"/>
          </w:tcPr>
          <w:p w14:paraId="5B08FF74">
            <w:pPr>
              <w:pStyle w:val="3"/>
              <w:widowControl w:val="0"/>
              <w:spacing w:line="360" w:lineRule="auto"/>
              <w:ind w:firstLine="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r>
      <w:tr w14:paraId="78EE5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4F49367">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43" w:type="dxa"/>
            <w:noWrap w:val="0"/>
            <w:vAlign w:val="center"/>
          </w:tcPr>
          <w:p w14:paraId="36F5C7BD">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施工方案与技术措施</w:t>
            </w:r>
          </w:p>
          <w:p w14:paraId="4F8084B1">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（12分）</w:t>
            </w:r>
          </w:p>
        </w:tc>
        <w:tc>
          <w:tcPr>
            <w:tcW w:w="5812" w:type="dxa"/>
            <w:noWrap w:val="0"/>
            <w:vAlign w:val="top"/>
          </w:tcPr>
          <w:p w14:paraId="6FEEA21B">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方案科学、合理、可行，针对性强；重点、难点分析全面；技术措施可靠、有保障；资源投入能够满足本工程的施工需要的，得12分；</w:t>
            </w:r>
          </w:p>
          <w:p w14:paraId="237C8BAA">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方案较合理、可行；重点、难点分析较全面；技术措施较可靠；资源投入较满足本工程的施工需要的，得9分；</w:t>
            </w:r>
          </w:p>
          <w:p w14:paraId="5D8C070E">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方案基本合理、可行；重点、难点分析基本全面；技术措施基本可靠，但细节待完善；资源投入基本满足本工程的施工需要的，得6分；</w:t>
            </w:r>
          </w:p>
          <w:p w14:paraId="7B89D44F">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方案一般，重点、难点分析不全面；资源投入不足以本工程施工需要的，得3分；</w:t>
            </w:r>
          </w:p>
          <w:p w14:paraId="4A9E932A">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p>
        </w:tc>
        <w:tc>
          <w:tcPr>
            <w:tcW w:w="816" w:type="dxa"/>
            <w:noWrap w:val="0"/>
            <w:vAlign w:val="center"/>
          </w:tcPr>
          <w:p w14:paraId="13AC22D1">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r>
      <w:tr w14:paraId="46E34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130655C1">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43" w:type="dxa"/>
            <w:noWrap w:val="0"/>
            <w:vAlign w:val="center"/>
          </w:tcPr>
          <w:p w14:paraId="0100787D">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质量目标和质量保证措施</w:t>
            </w:r>
          </w:p>
          <w:p w14:paraId="6C5F538D">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（9分）</w:t>
            </w:r>
          </w:p>
        </w:tc>
        <w:tc>
          <w:tcPr>
            <w:tcW w:w="5812" w:type="dxa"/>
            <w:noWrap w:val="0"/>
            <w:vAlign w:val="top"/>
          </w:tcPr>
          <w:p w14:paraId="21BADBE2">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质量目标和质量保证措施科学、合理、有效，完全满足磋商文件要求的，得9分；</w:t>
            </w:r>
          </w:p>
          <w:p w14:paraId="31D62002">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质量目标和质量保证措施较合理，基本满足磋商文件要求的，得7分；</w:t>
            </w:r>
          </w:p>
          <w:p w14:paraId="619D5EA6">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质量目标和质量保证措施基本合理，但细节待完善的，得4分；</w:t>
            </w:r>
          </w:p>
          <w:p w14:paraId="65DE8826">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质量目标和质量保证措施不足以满足工程需要，可实施性差的，得2分；</w:t>
            </w:r>
          </w:p>
          <w:p w14:paraId="7382762A">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p>
        </w:tc>
        <w:tc>
          <w:tcPr>
            <w:tcW w:w="816" w:type="dxa"/>
            <w:noWrap w:val="0"/>
            <w:vAlign w:val="center"/>
          </w:tcPr>
          <w:p w14:paraId="6323DDAA">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r>
      <w:tr w14:paraId="30C62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73BB993">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43" w:type="dxa"/>
            <w:noWrap w:val="0"/>
            <w:vAlign w:val="center"/>
          </w:tcPr>
          <w:p w14:paraId="6B486338">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施工总体进度计划及保证措施（10分）</w:t>
            </w:r>
          </w:p>
        </w:tc>
        <w:tc>
          <w:tcPr>
            <w:tcW w:w="5812" w:type="dxa"/>
            <w:noWrap w:val="0"/>
            <w:vAlign w:val="top"/>
          </w:tcPr>
          <w:p w14:paraId="2BBF6DD3">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总体进度计划科学、合理，保障措施科学、合理、可行，针对性强，满足本项目的工期要求，得10分；</w:t>
            </w:r>
          </w:p>
          <w:p w14:paraId="62035D16">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总体进度计划较合理，保障措施较可行善，得7分；</w:t>
            </w:r>
          </w:p>
          <w:p w14:paraId="573102A7">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总体进度计划一般合理，保障措施基本可行，但细节待完善，得3分；</w:t>
            </w:r>
          </w:p>
          <w:p w14:paraId="101BDD3A">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总体进度计划欠合理，保障措施针对性差，得1分；</w:t>
            </w:r>
          </w:p>
          <w:p w14:paraId="0210AC33">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r>
              <w:rPr>
                <w:rFonts w:hint="eastAsia" w:ascii="宋体" w:hAnsi="宋体" w:eastAsia="宋体" w:cs="宋体"/>
                <w:color w:val="auto"/>
                <w:sz w:val="21"/>
                <w:szCs w:val="21"/>
                <w:highlight w:val="none"/>
              </w:rPr>
              <w:tab/>
            </w:r>
          </w:p>
        </w:tc>
        <w:tc>
          <w:tcPr>
            <w:tcW w:w="816" w:type="dxa"/>
            <w:noWrap w:val="0"/>
            <w:vAlign w:val="center"/>
          </w:tcPr>
          <w:p w14:paraId="65223F55">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7236B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712404F">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843" w:type="dxa"/>
            <w:noWrap w:val="0"/>
            <w:vAlign w:val="center"/>
          </w:tcPr>
          <w:p w14:paraId="17F7CECF">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现场组织管理机构和劳动力计划及保障措施（9分）</w:t>
            </w:r>
          </w:p>
        </w:tc>
        <w:tc>
          <w:tcPr>
            <w:tcW w:w="5812" w:type="dxa"/>
            <w:noWrap w:val="0"/>
            <w:vAlign w:val="top"/>
          </w:tcPr>
          <w:p w14:paraId="2C00698F">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组织机构设置合理，劳动力计划和施工队伍的选择能够满足本工程施工的劳动力需要，保障措施科学、合理、可靠、针对性强，得9分；</w:t>
            </w:r>
          </w:p>
          <w:p w14:paraId="1B3232A8">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组织机构设置基本合理，劳动力计划和施工队伍的选择基本能满足本工程施工的劳动力需要，保障措施基本合理，但细节待完善，得7分；</w:t>
            </w:r>
          </w:p>
          <w:p w14:paraId="095B6037">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组织机构设置不合理，劳动力配置和施工队伍的选择一般，措施一般，得4分；</w:t>
            </w:r>
          </w:p>
          <w:p w14:paraId="135D7F2D">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拟投入的施工机械设备配置欠合理，且不能满足工程需要，得2分；</w:t>
            </w:r>
          </w:p>
          <w:p w14:paraId="67863A1A">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p>
        </w:tc>
        <w:tc>
          <w:tcPr>
            <w:tcW w:w="816" w:type="dxa"/>
            <w:noWrap w:val="0"/>
            <w:vAlign w:val="center"/>
          </w:tcPr>
          <w:p w14:paraId="0FE33055">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r>
      <w:tr w14:paraId="053BC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6FC9069A">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843" w:type="dxa"/>
            <w:noWrap w:val="0"/>
            <w:vAlign w:val="center"/>
          </w:tcPr>
          <w:p w14:paraId="20E0D1D8">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材料设备采购计划（9分）</w:t>
            </w:r>
          </w:p>
        </w:tc>
        <w:tc>
          <w:tcPr>
            <w:tcW w:w="5812" w:type="dxa"/>
            <w:noWrap w:val="0"/>
            <w:vAlign w:val="top"/>
          </w:tcPr>
          <w:p w14:paraId="3C206CFC">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材料设备供应满足本项工程要求，切实可行，得9分</w:t>
            </w:r>
          </w:p>
          <w:p w14:paraId="0CD5938F">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材料设备供应较满足本项工程要求，较可行，得7分</w:t>
            </w:r>
          </w:p>
          <w:p w14:paraId="5C8A390D">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材料设备供应基本满足本项工程要求，一般可行，得4分</w:t>
            </w:r>
          </w:p>
          <w:p w14:paraId="2BED8436">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材料设备供应不能完全满足本项工程要求，得2分</w:t>
            </w:r>
          </w:p>
          <w:p w14:paraId="2D9A070A">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p>
        </w:tc>
        <w:tc>
          <w:tcPr>
            <w:tcW w:w="816" w:type="dxa"/>
            <w:noWrap w:val="0"/>
            <w:vAlign w:val="center"/>
          </w:tcPr>
          <w:p w14:paraId="792D991D">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r>
      <w:tr w14:paraId="18E5A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EEA2D26">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843" w:type="dxa"/>
            <w:noWrap w:val="0"/>
            <w:vAlign w:val="center"/>
          </w:tcPr>
          <w:p w14:paraId="2E6C1710">
            <w:pPr>
              <w:pStyle w:val="3"/>
              <w:widowControl w:val="0"/>
              <w:spacing w:line="360" w:lineRule="auto"/>
              <w:ind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安全、职业健康、环境保护和绿色施工保障措施（8分）</w:t>
            </w:r>
          </w:p>
        </w:tc>
        <w:tc>
          <w:tcPr>
            <w:tcW w:w="5812" w:type="dxa"/>
            <w:noWrap w:val="0"/>
            <w:vAlign w:val="top"/>
          </w:tcPr>
          <w:p w14:paraId="739236A2">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措施科学、合理、可靠，针对性强，得8分</w:t>
            </w:r>
          </w:p>
          <w:p w14:paraId="509C2C2C">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措施较科学、合理、可靠，针对性较强，得6分</w:t>
            </w:r>
          </w:p>
          <w:p w14:paraId="03E371A6">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措施较科学、合理、可靠，针对性一般，细节待完善，得4分</w:t>
            </w:r>
          </w:p>
          <w:p w14:paraId="4F1B3F1E">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措施欠合理、欠可靠，针对性差，得2分</w:t>
            </w:r>
          </w:p>
          <w:p w14:paraId="4DEC1473">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p>
        </w:tc>
        <w:tc>
          <w:tcPr>
            <w:tcW w:w="816" w:type="dxa"/>
            <w:noWrap w:val="0"/>
            <w:vAlign w:val="center"/>
          </w:tcPr>
          <w:p w14:paraId="71AD95CE">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r>
      <w:tr w14:paraId="46CD7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4C9A9EDE">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843" w:type="dxa"/>
            <w:noWrap w:val="0"/>
            <w:vAlign w:val="center"/>
          </w:tcPr>
          <w:p w14:paraId="2CDF24EC">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工程保修和维护管理的措施</w:t>
            </w:r>
          </w:p>
          <w:p w14:paraId="10FDDEC7">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（7分）</w:t>
            </w:r>
          </w:p>
        </w:tc>
        <w:tc>
          <w:tcPr>
            <w:tcW w:w="5812" w:type="dxa"/>
            <w:noWrap w:val="0"/>
            <w:vAlign w:val="top"/>
          </w:tcPr>
          <w:p w14:paraId="2C139C6F">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措施科学、合理、可靠，针对性强，得7分</w:t>
            </w:r>
          </w:p>
          <w:p w14:paraId="22C374E5">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措施较科学、合理、可靠，针对性较强，得5分</w:t>
            </w:r>
          </w:p>
          <w:p w14:paraId="45824073">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措施较科学、合理、可靠，针对性一般，细节待完善，得3分</w:t>
            </w:r>
          </w:p>
          <w:p w14:paraId="704740A0">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措施欠合理、欠可靠，针对性差，得1分</w:t>
            </w:r>
          </w:p>
          <w:p w14:paraId="14B1AFA8">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未提供相关内容不得分。</w:t>
            </w:r>
          </w:p>
        </w:tc>
        <w:tc>
          <w:tcPr>
            <w:tcW w:w="816" w:type="dxa"/>
            <w:noWrap w:val="0"/>
            <w:vAlign w:val="center"/>
          </w:tcPr>
          <w:p w14:paraId="3F7C99A0">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r>
      <w:tr w14:paraId="5408B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54550E94">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843" w:type="dxa"/>
            <w:noWrap w:val="0"/>
            <w:vAlign w:val="center"/>
          </w:tcPr>
          <w:p w14:paraId="273D9AC8">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企业业绩</w:t>
            </w:r>
          </w:p>
          <w:p w14:paraId="62276C64">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（6分）</w:t>
            </w:r>
          </w:p>
        </w:tc>
        <w:tc>
          <w:tcPr>
            <w:tcW w:w="5812" w:type="dxa"/>
            <w:noWrap w:val="0"/>
            <w:vAlign w:val="top"/>
          </w:tcPr>
          <w:p w14:paraId="7A4DE026">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供应商完成的类似施工项目业绩，每提供1个得3分，最高得分6分。须提供施工合同或协议书并加盖供应商单位公章。</w:t>
            </w:r>
          </w:p>
        </w:tc>
        <w:tc>
          <w:tcPr>
            <w:tcW w:w="816" w:type="dxa"/>
            <w:noWrap w:val="0"/>
            <w:vAlign w:val="center"/>
          </w:tcPr>
          <w:p w14:paraId="3437AA77">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4CF6C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166924B4">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843" w:type="dxa"/>
            <w:noWrap w:val="0"/>
            <w:vAlign w:val="center"/>
          </w:tcPr>
          <w:p w14:paraId="5B55F0F6">
            <w:pPr>
              <w:pStyle w:val="3"/>
              <w:widowControl w:val="0"/>
              <w:spacing w:line="360" w:lineRule="auto"/>
              <w:ind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w:t>
            </w:r>
          </w:p>
          <w:p w14:paraId="3C10960B">
            <w:pPr>
              <w:pStyle w:val="3"/>
              <w:widowControl w:val="0"/>
              <w:spacing w:line="360" w:lineRule="auto"/>
              <w:ind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（30分）</w:t>
            </w:r>
          </w:p>
        </w:tc>
        <w:tc>
          <w:tcPr>
            <w:tcW w:w="5812" w:type="dxa"/>
            <w:noWrap w:val="0"/>
            <w:vAlign w:val="top"/>
          </w:tcPr>
          <w:p w14:paraId="26787EA2">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报价得分=（评审基准价÷评审价）×价格权值×100</w:t>
            </w:r>
          </w:p>
          <w:p w14:paraId="6E0581D7">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（价格权值为30%）</w:t>
            </w:r>
          </w:p>
          <w:p w14:paraId="0D076D5E">
            <w:pPr>
              <w:pStyle w:val="3"/>
              <w:widowControl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满足磋商文件需求且最后报价最低的为评审基准价</w:t>
            </w:r>
          </w:p>
        </w:tc>
        <w:tc>
          <w:tcPr>
            <w:tcW w:w="816" w:type="dxa"/>
            <w:noWrap w:val="0"/>
            <w:vAlign w:val="center"/>
          </w:tcPr>
          <w:p w14:paraId="1F86D681">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r>
      <w:tr w14:paraId="05EC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0CA44279">
            <w:pPr>
              <w:pStyle w:val="3"/>
              <w:widowControl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7655" w:type="dxa"/>
            <w:gridSpan w:val="2"/>
            <w:noWrap w:val="0"/>
            <w:vAlign w:val="top"/>
          </w:tcPr>
          <w:p w14:paraId="74251F51">
            <w:pPr>
              <w:pStyle w:val="3"/>
              <w:widowControl w:val="0"/>
              <w:spacing w:line="360" w:lineRule="auto"/>
              <w:ind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816" w:type="dxa"/>
            <w:noWrap w:val="0"/>
            <w:vAlign w:val="center"/>
          </w:tcPr>
          <w:p w14:paraId="7A80076A">
            <w:pPr>
              <w:pStyle w:val="3"/>
              <w:widowControl w:val="0"/>
              <w:spacing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r>
    </w:tbl>
    <w:p w14:paraId="7337DA28">
      <w:pPr>
        <w:spacing w:before="36"/>
        <w:rPr>
          <w:color w:val="auto"/>
          <w:highlight w:val="none"/>
        </w:rPr>
      </w:pPr>
    </w:p>
    <w:p w14:paraId="5F986D74">
      <w:pPr>
        <w:pStyle w:val="6"/>
        <w:rPr>
          <w:color w:val="auto"/>
          <w:highlight w:val="none"/>
        </w:rPr>
      </w:pPr>
    </w:p>
    <w:p w14:paraId="36A86F19">
      <w:pPr>
        <w:rPr>
          <w:color w:val="auto"/>
          <w:highlight w:val="none"/>
        </w:rPr>
        <w:sectPr>
          <w:footerReference r:id="rId15" w:type="default"/>
          <w:pgSz w:w="11907" w:h="16840"/>
          <w:pgMar w:top="1167" w:right="1105" w:bottom="1011" w:left="1672" w:header="830" w:footer="851" w:gutter="0"/>
          <w:pgNumType w:fmt="decimal"/>
          <w:cols w:space="720" w:num="1"/>
        </w:sectPr>
      </w:pPr>
    </w:p>
    <w:p w14:paraId="3F20A691">
      <w:pPr>
        <w:spacing w:before="8"/>
        <w:rPr>
          <w:color w:val="auto"/>
          <w:highlight w:val="none"/>
        </w:rPr>
      </w:pPr>
    </w:p>
    <w:p w14:paraId="6AC2F438">
      <w:pPr>
        <w:pStyle w:val="6"/>
        <w:rPr>
          <w:color w:val="auto"/>
          <w:highlight w:val="none"/>
        </w:rPr>
      </w:pPr>
    </w:p>
    <w:p w14:paraId="6F0A9F50">
      <w:pPr>
        <w:spacing w:before="306" w:line="219" w:lineRule="auto"/>
        <w:ind w:left="3043"/>
        <w:outlineLvl w:val="0"/>
        <w:rPr>
          <w:rFonts w:ascii="宋体" w:hAnsi="宋体" w:eastAsia="宋体" w:cs="宋体"/>
          <w:color w:val="auto"/>
          <w:sz w:val="36"/>
          <w:szCs w:val="36"/>
          <w:highlight w:val="none"/>
        </w:rPr>
      </w:pPr>
      <w:bookmarkStart w:id="6" w:name="bookmark4"/>
      <w:bookmarkEnd w:id="6"/>
      <w:r>
        <w:rPr>
          <w:rFonts w:ascii="宋体" w:hAnsi="宋体" w:eastAsia="宋体" w:cs="宋体"/>
          <w:b/>
          <w:bCs/>
          <w:color w:val="auto"/>
          <w:spacing w:val="-4"/>
          <w:sz w:val="36"/>
          <w:szCs w:val="36"/>
          <w:highlight w:val="none"/>
        </w:rPr>
        <w:t>第四章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采购需求</w:t>
      </w:r>
    </w:p>
    <w:p w14:paraId="06611423">
      <w:pPr>
        <w:pStyle w:val="6"/>
        <w:spacing w:line="353" w:lineRule="auto"/>
        <w:rPr>
          <w:rFonts w:hint="eastAsia" w:ascii="宋体" w:hAnsi="宋体" w:eastAsia="宋体" w:cs="宋体"/>
          <w:color w:val="auto"/>
          <w:sz w:val="21"/>
          <w:szCs w:val="21"/>
          <w:highlight w:val="none"/>
        </w:rPr>
      </w:pPr>
    </w:p>
    <w:p w14:paraId="25D21EA2">
      <w:pPr>
        <w:widowControl/>
        <w:numPr>
          <w:ilvl w:val="0"/>
          <w:numId w:val="2"/>
        </w:num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采购标的</w:t>
      </w:r>
    </w:p>
    <w:p w14:paraId="61793898">
      <w:pPr>
        <w:spacing w:before="104" w:line="359" w:lineRule="auto"/>
        <w:ind w:left="420" w:leftChars="200" w:right="-109" w:rightChars="-52"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（一）采购标的：</w:t>
      </w:r>
      <w:r>
        <w:rPr>
          <w:rFonts w:hint="eastAsia" w:ascii="宋体" w:hAnsi="宋体" w:eastAsia="宋体" w:cs="宋体"/>
          <w:snapToGrid w:val="0"/>
          <w:color w:val="auto"/>
          <w:spacing w:val="-2"/>
          <w:kern w:val="0"/>
          <w:sz w:val="21"/>
          <w:szCs w:val="21"/>
          <w:highlight w:val="none"/>
          <w:lang w:val="en-US" w:eastAsia="zh-CN" w:bidi="ar-SA"/>
        </w:rPr>
        <w:t>2025年通州区西集镇通香旧路（K0+479-K1+326）养护工程</w:t>
      </w:r>
    </w:p>
    <w:p w14:paraId="07AE0356">
      <w:pPr>
        <w:widowControl/>
        <w:numPr>
          <w:ilvl w:val="0"/>
          <w:numId w:val="0"/>
        </w:numPr>
        <w:spacing w:line="360" w:lineRule="auto"/>
        <w:ind w:left="420" w:leftChars="20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（二）采购内容：</w:t>
      </w:r>
    </w:p>
    <w:p w14:paraId="1A7E70DE">
      <w:pPr>
        <w:widowControl/>
        <w:spacing w:line="360" w:lineRule="auto"/>
        <w:ind w:firstLine="412"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spacing w:val="-2"/>
          <w:kern w:val="0"/>
          <w:sz w:val="21"/>
          <w:szCs w:val="21"/>
          <w:highlight w:val="none"/>
          <w:lang w:val="en-US" w:eastAsia="zh-CN" w:bidi="ar-SA"/>
        </w:rPr>
        <w:t>2025年通州区西集镇通香旧路（K0+479-K1+326）养护工程</w:t>
      </w:r>
      <w:r>
        <w:rPr>
          <w:rFonts w:hint="eastAsia" w:ascii="宋体" w:hAnsi="宋体" w:eastAsia="宋体" w:cs="宋体"/>
          <w:color w:val="auto"/>
          <w:sz w:val="21"/>
          <w:szCs w:val="21"/>
          <w:highlight w:val="none"/>
        </w:rPr>
        <w:t>工程量清单显示的全部内容。</w:t>
      </w:r>
    </w:p>
    <w:p w14:paraId="47256115">
      <w:pPr>
        <w:spacing w:before="164"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3"/>
          <w:sz w:val="21"/>
          <w:szCs w:val="21"/>
          <w:highlight w:val="none"/>
        </w:rPr>
        <w:t>本工程最高</w:t>
      </w:r>
      <w:r>
        <w:rPr>
          <w:rFonts w:hint="eastAsia" w:ascii="宋体" w:hAnsi="宋体" w:eastAsia="宋体" w:cs="宋体"/>
          <w:spacing w:val="3"/>
          <w:sz w:val="21"/>
          <w:szCs w:val="21"/>
          <w:highlight w:val="none"/>
          <w:lang w:val="en-US" w:eastAsia="zh-CN"/>
        </w:rPr>
        <w:t>磋商</w:t>
      </w:r>
      <w:r>
        <w:rPr>
          <w:rFonts w:ascii="宋体" w:hAnsi="宋体" w:eastAsia="宋体" w:cs="宋体"/>
          <w:spacing w:val="3"/>
          <w:sz w:val="21"/>
          <w:szCs w:val="21"/>
          <w:highlight w:val="none"/>
        </w:rPr>
        <w:t>限价：</w:t>
      </w:r>
      <w:r>
        <w:rPr>
          <w:rFonts w:ascii="宋体" w:hAnsi="宋体" w:eastAsia="宋体" w:cs="宋体"/>
          <w:spacing w:val="3"/>
          <w:sz w:val="21"/>
          <w:szCs w:val="21"/>
          <w:highlight w:val="none"/>
          <w:u w:val="single" w:color="auto"/>
        </w:rPr>
        <w:t xml:space="preserve">          </w:t>
      </w:r>
      <w:r>
        <w:rPr>
          <w:rFonts w:hint="eastAsia" w:ascii="宋体" w:hAnsi="宋体" w:eastAsia="宋体" w:cs="宋体"/>
          <w:color w:val="auto"/>
          <w:sz w:val="22"/>
          <w:szCs w:val="22"/>
          <w:highlight w:val="none"/>
          <w:u w:val="single"/>
          <w:lang w:val="en-US" w:eastAsia="zh-CN"/>
        </w:rPr>
        <w:t>1080474.42</w:t>
      </w:r>
      <w:r>
        <w:rPr>
          <w:rFonts w:ascii="宋体" w:hAnsi="宋体" w:eastAsia="宋体" w:cs="宋体"/>
          <w:spacing w:val="2"/>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2"/>
          <w:sz w:val="21"/>
          <w:szCs w:val="21"/>
          <w:highlight w:val="none"/>
        </w:rPr>
        <w:t>元。</w:t>
      </w:r>
    </w:p>
    <w:p w14:paraId="28B330D9">
      <w:pPr>
        <w:spacing w:before="163"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4"/>
          <w:sz w:val="21"/>
          <w:szCs w:val="21"/>
          <w:highlight w:val="none"/>
        </w:rPr>
        <w:t>其中：分部分项工程合价：</w:t>
      </w:r>
      <w:r>
        <w:rPr>
          <w:rFonts w:ascii="宋体" w:hAnsi="宋体" w:eastAsia="宋体" w:cs="宋体"/>
          <w:spacing w:val="2"/>
          <w:sz w:val="21"/>
          <w:szCs w:val="21"/>
          <w:highlight w:val="none"/>
          <w:u w:val="single" w:color="auto"/>
        </w:rPr>
        <w:t xml:space="preserve">          </w:t>
      </w:r>
      <w:r>
        <w:rPr>
          <w:rFonts w:hint="eastAsia" w:ascii="宋体" w:hAnsi="宋体" w:eastAsia="宋体" w:cs="宋体"/>
          <w:color w:val="auto"/>
          <w:sz w:val="22"/>
          <w:szCs w:val="22"/>
          <w:highlight w:val="none"/>
          <w:u w:val="single"/>
          <w:lang w:val="en-US" w:eastAsia="zh-CN"/>
        </w:rPr>
        <w:t>887116.11</w:t>
      </w:r>
      <w:r>
        <w:rPr>
          <w:rFonts w:ascii="宋体" w:hAnsi="宋体" w:eastAsia="宋体" w:cs="宋体"/>
          <w:spacing w:val="2"/>
          <w:sz w:val="21"/>
          <w:szCs w:val="21"/>
          <w:highlight w:val="none"/>
          <w:u w:val="single" w:color="auto"/>
        </w:rPr>
        <w:t xml:space="preserve">       </w:t>
      </w:r>
      <w:r>
        <w:rPr>
          <w:rFonts w:ascii="宋体" w:hAnsi="宋体" w:eastAsia="宋体" w:cs="宋体"/>
          <w:spacing w:val="-78"/>
          <w:sz w:val="21"/>
          <w:szCs w:val="21"/>
          <w:highlight w:val="none"/>
        </w:rPr>
        <w:t xml:space="preserve"> </w:t>
      </w:r>
      <w:r>
        <w:rPr>
          <w:rFonts w:ascii="宋体" w:hAnsi="宋体" w:eastAsia="宋体" w:cs="宋体"/>
          <w:spacing w:val="4"/>
          <w:sz w:val="21"/>
          <w:szCs w:val="21"/>
          <w:highlight w:val="none"/>
        </w:rPr>
        <w:t>元；</w:t>
      </w:r>
    </w:p>
    <w:p w14:paraId="013D0FAF">
      <w:pPr>
        <w:spacing w:before="162"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1"/>
          <w:sz w:val="21"/>
          <w:szCs w:val="21"/>
          <w:highlight w:val="none"/>
        </w:rPr>
        <w:t>措施项目合价：</w:t>
      </w:r>
      <w:r>
        <w:rPr>
          <w:rFonts w:ascii="宋体" w:hAnsi="宋体" w:eastAsia="宋体" w:cs="宋体"/>
          <w:sz w:val="21"/>
          <w:szCs w:val="21"/>
          <w:highlight w:val="none"/>
          <w:u w:val="single" w:color="auto"/>
        </w:rPr>
        <w:t xml:space="preserve">     </w:t>
      </w:r>
      <w:r>
        <w:rPr>
          <w:rFonts w:hint="eastAsia" w:ascii="宋体" w:hAnsi="宋体" w:eastAsia="宋体" w:cs="宋体"/>
          <w:color w:val="auto"/>
          <w:sz w:val="22"/>
          <w:szCs w:val="22"/>
          <w:highlight w:val="none"/>
          <w:u w:val="single"/>
          <w:lang w:val="en-US" w:eastAsia="zh-CN"/>
        </w:rPr>
        <w:t xml:space="preserve">104144.83 </w:t>
      </w:r>
      <w:r>
        <w:rPr>
          <w:rFonts w:ascii="宋体" w:hAnsi="宋体" w:eastAsia="宋体" w:cs="宋体"/>
          <w:sz w:val="21"/>
          <w:szCs w:val="21"/>
          <w:highlight w:val="none"/>
          <w:u w:val="single" w:color="auto"/>
        </w:rPr>
        <w:t xml:space="preserve">              </w:t>
      </w:r>
      <w:r>
        <w:rPr>
          <w:rFonts w:ascii="宋体" w:hAnsi="宋体" w:eastAsia="宋体" w:cs="宋体"/>
          <w:spacing w:val="-82"/>
          <w:sz w:val="21"/>
          <w:szCs w:val="21"/>
          <w:highlight w:val="none"/>
        </w:rPr>
        <w:t xml:space="preserve"> </w:t>
      </w:r>
      <w:r>
        <w:rPr>
          <w:rFonts w:ascii="宋体" w:hAnsi="宋体" w:eastAsia="宋体" w:cs="宋体"/>
          <w:spacing w:val="1"/>
          <w:sz w:val="21"/>
          <w:szCs w:val="21"/>
          <w:highlight w:val="none"/>
        </w:rPr>
        <w:t>元；</w:t>
      </w:r>
    </w:p>
    <w:p w14:paraId="249505F9">
      <w:pPr>
        <w:spacing w:before="162"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1"/>
          <w:sz w:val="21"/>
          <w:szCs w:val="21"/>
          <w:highlight w:val="none"/>
        </w:rPr>
        <w:t>其他项目合价：</w:t>
      </w:r>
      <w:r>
        <w:rPr>
          <w:rFonts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ascii="宋体" w:hAnsi="宋体" w:eastAsia="宋体" w:cs="宋体"/>
          <w:sz w:val="21"/>
          <w:szCs w:val="21"/>
          <w:highlight w:val="none"/>
          <w:u w:val="single" w:color="auto"/>
        </w:rPr>
        <w:t xml:space="preserve">                   </w:t>
      </w:r>
      <w:r>
        <w:rPr>
          <w:rFonts w:ascii="宋体" w:hAnsi="宋体" w:eastAsia="宋体" w:cs="宋体"/>
          <w:spacing w:val="-83"/>
          <w:sz w:val="21"/>
          <w:szCs w:val="21"/>
          <w:highlight w:val="none"/>
        </w:rPr>
        <w:t xml:space="preserve"> </w:t>
      </w:r>
      <w:r>
        <w:rPr>
          <w:rFonts w:ascii="宋体" w:hAnsi="宋体" w:eastAsia="宋体" w:cs="宋体"/>
          <w:spacing w:val="1"/>
          <w:sz w:val="21"/>
          <w:szCs w:val="21"/>
          <w:highlight w:val="none"/>
        </w:rPr>
        <w:t>元；</w:t>
      </w:r>
    </w:p>
    <w:p w14:paraId="7D60DF2D">
      <w:pPr>
        <w:spacing w:before="162"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3"/>
          <w:sz w:val="21"/>
          <w:szCs w:val="21"/>
          <w:highlight w:val="none"/>
        </w:rPr>
        <w:t>增值税的合价：</w:t>
      </w:r>
      <w:r>
        <w:rPr>
          <w:rFonts w:ascii="宋体" w:hAnsi="宋体" w:eastAsia="宋体" w:cs="宋体"/>
          <w:spacing w:val="3"/>
          <w:sz w:val="21"/>
          <w:szCs w:val="21"/>
          <w:highlight w:val="none"/>
          <w:u w:val="single" w:color="auto"/>
        </w:rPr>
        <w:t xml:space="preserve">        </w:t>
      </w:r>
      <w:r>
        <w:rPr>
          <w:rFonts w:hint="eastAsia" w:ascii="宋体" w:hAnsi="宋体" w:eastAsia="宋体" w:cs="宋体"/>
          <w:color w:val="auto"/>
          <w:sz w:val="22"/>
          <w:szCs w:val="22"/>
          <w:highlight w:val="none"/>
          <w:u w:val="single"/>
          <w:lang w:val="en-US" w:eastAsia="zh-CN"/>
        </w:rPr>
        <w:t xml:space="preserve"> 89213.48</w:t>
      </w:r>
      <w:r>
        <w:rPr>
          <w:rFonts w:ascii="宋体" w:hAnsi="宋体" w:eastAsia="宋体" w:cs="宋体"/>
          <w:spacing w:val="3"/>
          <w:sz w:val="21"/>
          <w:szCs w:val="21"/>
          <w:highlight w:val="none"/>
          <w:u w:val="single" w:color="auto"/>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2"/>
          <w:sz w:val="21"/>
          <w:szCs w:val="21"/>
          <w:highlight w:val="none"/>
        </w:rPr>
        <w:t>元。</w:t>
      </w:r>
    </w:p>
    <w:p w14:paraId="17A054B1">
      <w:pPr>
        <w:spacing w:before="162"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5"/>
          <w:sz w:val="21"/>
          <w:szCs w:val="21"/>
          <w:highlight w:val="none"/>
        </w:rPr>
        <w:t>其他说明：专业工程暂估价(含税)合计金额：</w:t>
      </w:r>
      <w:r>
        <w:rPr>
          <w:rFonts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ascii="宋体" w:hAnsi="宋体" w:eastAsia="宋体" w:cs="宋体"/>
          <w:spacing w:val="5"/>
          <w:sz w:val="21"/>
          <w:szCs w:val="21"/>
          <w:highlight w:val="none"/>
          <w:u w:val="single" w:color="auto"/>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4"/>
          <w:sz w:val="21"/>
          <w:szCs w:val="21"/>
          <w:highlight w:val="none"/>
        </w:rPr>
        <w:t>元；</w:t>
      </w:r>
    </w:p>
    <w:p w14:paraId="1C0F9287">
      <w:pPr>
        <w:spacing w:before="164" w:line="227" w:lineRule="auto"/>
        <w:ind w:left="420" w:leftChars="200" w:firstLine="0" w:firstLineChars="0"/>
        <w:jc w:val="left"/>
        <w:rPr>
          <w:rFonts w:ascii="宋体" w:hAnsi="宋体" w:eastAsia="宋体" w:cs="宋体"/>
          <w:sz w:val="21"/>
          <w:szCs w:val="21"/>
          <w:highlight w:val="none"/>
        </w:rPr>
      </w:pPr>
      <w:r>
        <w:rPr>
          <w:rFonts w:ascii="宋体" w:hAnsi="宋体" w:eastAsia="宋体" w:cs="宋体"/>
          <w:sz w:val="21"/>
          <w:szCs w:val="21"/>
          <w:highlight w:val="none"/>
        </w:rPr>
        <w:t>材料暂估价(含税)合计金额：</w:t>
      </w:r>
      <w:r>
        <w:rPr>
          <w:rFonts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w:t>
      </w:r>
      <w:r>
        <w:rPr>
          <w:rFonts w:ascii="宋体" w:hAnsi="宋体" w:eastAsia="宋体" w:cs="宋体"/>
          <w:sz w:val="21"/>
          <w:szCs w:val="21"/>
          <w:highlight w:val="none"/>
          <w:u w:val="single" w:color="auto"/>
        </w:rPr>
        <w:t xml:space="preserve">            </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元；</w:t>
      </w:r>
    </w:p>
    <w:p w14:paraId="6939BA82">
      <w:pPr>
        <w:spacing w:before="163" w:line="228"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5"/>
          <w:sz w:val="21"/>
          <w:szCs w:val="21"/>
          <w:highlight w:val="none"/>
        </w:rPr>
        <w:t>暂列金额（不含计日工</w:t>
      </w:r>
      <w:r>
        <w:rPr>
          <w:rFonts w:ascii="宋体" w:hAnsi="宋体" w:eastAsia="宋体" w:cs="宋体"/>
          <w:spacing w:val="-37"/>
          <w:w w:val="64"/>
          <w:sz w:val="21"/>
          <w:szCs w:val="21"/>
          <w:highlight w:val="none"/>
        </w:rPr>
        <w:t>）（</w:t>
      </w:r>
      <w:r>
        <w:rPr>
          <w:rFonts w:ascii="宋体" w:hAnsi="宋体" w:eastAsia="宋体" w:cs="宋体"/>
          <w:spacing w:val="-5"/>
          <w:sz w:val="21"/>
          <w:szCs w:val="21"/>
          <w:highlight w:val="none"/>
        </w:rPr>
        <w:t>含税）合计金额：</w:t>
      </w:r>
      <w:r>
        <w:rPr>
          <w:rFonts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ascii="宋体" w:hAnsi="宋体" w:eastAsia="宋体" w:cs="宋体"/>
          <w:spacing w:val="-6"/>
          <w:sz w:val="21"/>
          <w:szCs w:val="21"/>
          <w:highlight w:val="none"/>
          <w:u w:val="single" w:color="auto"/>
        </w:rPr>
        <w:t xml:space="preserve">       </w:t>
      </w:r>
      <w:r>
        <w:rPr>
          <w:rFonts w:ascii="宋体" w:hAnsi="宋体" w:eastAsia="宋体" w:cs="宋体"/>
          <w:spacing w:val="-87"/>
          <w:sz w:val="21"/>
          <w:szCs w:val="21"/>
          <w:highlight w:val="none"/>
        </w:rPr>
        <w:t xml:space="preserve"> </w:t>
      </w:r>
      <w:r>
        <w:rPr>
          <w:rFonts w:ascii="宋体" w:hAnsi="宋体" w:eastAsia="宋体" w:cs="宋体"/>
          <w:spacing w:val="-6"/>
          <w:sz w:val="21"/>
          <w:szCs w:val="21"/>
          <w:highlight w:val="none"/>
        </w:rPr>
        <w:t>元；</w:t>
      </w:r>
    </w:p>
    <w:p w14:paraId="0FA22163">
      <w:pPr>
        <w:spacing w:before="161" w:line="228"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3"/>
          <w:sz w:val="21"/>
          <w:szCs w:val="21"/>
          <w:highlight w:val="none"/>
        </w:rPr>
        <w:t>安全生产标准化措施费（含税）合计金额：</w:t>
      </w:r>
      <w:r>
        <w:rPr>
          <w:rFonts w:ascii="宋体" w:hAnsi="宋体" w:eastAsia="宋体" w:cs="宋体"/>
          <w:spacing w:val="3"/>
          <w:sz w:val="21"/>
          <w:szCs w:val="21"/>
          <w:highlight w:val="none"/>
          <w:u w:val="single" w:color="auto"/>
        </w:rPr>
        <w:t xml:space="preserve">   </w:t>
      </w:r>
      <w:r>
        <w:rPr>
          <w:rFonts w:hint="eastAsia" w:ascii="宋体" w:hAnsi="宋体" w:eastAsia="宋体" w:cs="宋体"/>
          <w:color w:val="auto"/>
          <w:sz w:val="22"/>
          <w:szCs w:val="22"/>
          <w:highlight w:val="none"/>
          <w:u w:val="single"/>
          <w:lang w:val="en-US" w:eastAsia="zh-CN"/>
        </w:rPr>
        <w:t>51783.71</w:t>
      </w:r>
      <w:r>
        <w:rPr>
          <w:rFonts w:ascii="宋体" w:hAnsi="宋体" w:eastAsia="宋体" w:cs="宋体"/>
          <w:spacing w:val="3"/>
          <w:sz w:val="21"/>
          <w:szCs w:val="21"/>
          <w:highlight w:val="none"/>
          <w:u w:val="single" w:color="auto"/>
        </w:rPr>
        <w:t xml:space="preserve">   </w:t>
      </w:r>
      <w:r>
        <w:rPr>
          <w:rFonts w:ascii="宋体" w:hAnsi="宋体" w:eastAsia="宋体" w:cs="宋体"/>
          <w:spacing w:val="-85"/>
          <w:sz w:val="21"/>
          <w:szCs w:val="21"/>
          <w:highlight w:val="none"/>
        </w:rPr>
        <w:t xml:space="preserve"> </w:t>
      </w:r>
      <w:r>
        <w:rPr>
          <w:rFonts w:ascii="宋体" w:hAnsi="宋体" w:eastAsia="宋体" w:cs="宋体"/>
          <w:spacing w:val="3"/>
          <w:sz w:val="21"/>
          <w:szCs w:val="21"/>
          <w:highlight w:val="none"/>
        </w:rPr>
        <w:t>元；</w:t>
      </w:r>
    </w:p>
    <w:p w14:paraId="4218AFD5">
      <w:pPr>
        <w:spacing w:before="161" w:line="228" w:lineRule="auto"/>
        <w:ind w:left="420" w:leftChars="200" w:firstLine="0" w:firstLineChars="0"/>
        <w:jc w:val="left"/>
        <w:rPr>
          <w:rFonts w:ascii="宋体" w:hAnsi="宋体" w:eastAsia="宋体" w:cs="宋体"/>
          <w:sz w:val="21"/>
          <w:szCs w:val="21"/>
          <w:highlight w:val="none"/>
        </w:rPr>
      </w:pPr>
      <w:r>
        <w:rPr>
          <w:rFonts w:ascii="宋体" w:hAnsi="宋体" w:eastAsia="宋体" w:cs="宋体"/>
          <w:spacing w:val="-5"/>
          <w:sz w:val="21"/>
          <w:szCs w:val="21"/>
          <w:highlight w:val="none"/>
        </w:rPr>
        <w:t>赶工增加费（含税）合计金额（如有</w:t>
      </w:r>
      <w:r>
        <w:rPr>
          <w:rFonts w:ascii="宋体" w:hAnsi="宋体" w:eastAsia="宋体" w:cs="宋体"/>
          <w:spacing w:val="-42"/>
          <w:sz w:val="21"/>
          <w:szCs w:val="21"/>
          <w:highlight w:val="none"/>
        </w:rPr>
        <w:t>）：</w:t>
      </w:r>
      <w:r>
        <w:rPr>
          <w:rFonts w:ascii="宋体" w:hAnsi="宋体" w:eastAsia="宋体" w:cs="宋体"/>
          <w:spacing w:val="5"/>
          <w:sz w:val="21"/>
          <w:szCs w:val="21"/>
          <w:highlight w:val="none"/>
          <w:u w:val="single" w:color="auto"/>
        </w:rPr>
        <w:t xml:space="preserve">        </w:t>
      </w:r>
      <w:r>
        <w:rPr>
          <w:rFonts w:hint="eastAsia" w:ascii="宋体" w:hAnsi="宋体" w:eastAsia="宋体" w:cs="宋体"/>
          <w:spacing w:val="5"/>
          <w:sz w:val="21"/>
          <w:szCs w:val="21"/>
          <w:highlight w:val="none"/>
          <w:u w:val="single" w:color="auto"/>
          <w:lang w:val="en-US" w:eastAsia="zh-CN"/>
        </w:rPr>
        <w:t>/</w:t>
      </w:r>
      <w:r>
        <w:rPr>
          <w:rFonts w:ascii="宋体" w:hAnsi="宋体" w:eastAsia="宋体" w:cs="宋体"/>
          <w:spacing w:val="5"/>
          <w:sz w:val="21"/>
          <w:szCs w:val="21"/>
          <w:highlight w:val="none"/>
          <w:u w:val="single" w:color="auto"/>
        </w:rPr>
        <w:t xml:space="preserve">        </w:t>
      </w:r>
      <w:r>
        <w:rPr>
          <w:rFonts w:ascii="宋体" w:hAnsi="宋体" w:eastAsia="宋体" w:cs="宋体"/>
          <w:spacing w:val="-87"/>
          <w:sz w:val="21"/>
          <w:szCs w:val="21"/>
          <w:highlight w:val="none"/>
        </w:rPr>
        <w:t xml:space="preserve"> </w:t>
      </w:r>
      <w:r>
        <w:rPr>
          <w:rFonts w:ascii="宋体" w:hAnsi="宋体" w:eastAsia="宋体" w:cs="宋体"/>
          <w:spacing w:val="-5"/>
          <w:sz w:val="21"/>
          <w:szCs w:val="21"/>
          <w:highlight w:val="none"/>
        </w:rPr>
        <w:t>元；</w:t>
      </w:r>
    </w:p>
    <w:p w14:paraId="46245CBB">
      <w:pPr>
        <w:spacing w:before="180" w:line="220" w:lineRule="auto"/>
        <w:ind w:left="420" w:leftChars="20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高于本项目最高磋商限价的按无效响应处理。</w:t>
      </w:r>
    </w:p>
    <w:p w14:paraId="1D7F9239">
      <w:pPr>
        <w:spacing w:before="180" w:line="220" w:lineRule="auto"/>
        <w:ind w:left="420" w:leftChars="20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质量标准：合格。</w:t>
      </w:r>
    </w:p>
    <w:p w14:paraId="650A41CE">
      <w:pPr>
        <w:spacing w:before="180" w:line="220" w:lineRule="auto"/>
        <w:ind w:left="420" w:leftChars="200" w:firstLine="0" w:firstLineChars="0"/>
        <w:rPr>
          <w:rFonts w:ascii="宋体" w:hAnsi="宋体" w:cs="Arial"/>
          <w:szCs w:val="21"/>
          <w:highlight w:val="none"/>
        </w:rPr>
      </w:pPr>
      <w:r>
        <w:rPr>
          <w:rFonts w:hint="eastAsia" w:ascii="宋体" w:hAnsi="宋体" w:cs="Arial"/>
          <w:szCs w:val="21"/>
          <w:highlight w:val="none"/>
        </w:rPr>
        <w:t>施工现场安全生产标准化管理目标等级：</w:t>
      </w:r>
      <w:r>
        <w:rPr>
          <w:rFonts w:ascii="宋体" w:hAnsi="宋体" w:cs="Arial"/>
          <w:szCs w:val="21"/>
          <w:highlight w:val="none"/>
          <w:u w:val="none"/>
        </w:rPr>
        <w:t xml:space="preserve">达标  </w:t>
      </w:r>
    </w:p>
    <w:p w14:paraId="38796F5C">
      <w:pPr>
        <w:spacing w:before="180" w:line="360" w:lineRule="auto"/>
        <w:ind w:left="420" w:leftChars="200" w:firstLine="0" w:firstLineChars="0"/>
        <w:rPr>
          <w:rFonts w:hint="eastAsia" w:ascii="宋体" w:hAnsi="宋体" w:eastAsia="宋体" w:cs="宋体"/>
          <w:color w:val="auto"/>
          <w:sz w:val="21"/>
          <w:szCs w:val="21"/>
          <w:highlight w:val="none"/>
        </w:rPr>
      </w:pPr>
      <w:bookmarkStart w:id="1742" w:name="_GoBack"/>
      <w:bookmarkEnd w:id="1742"/>
      <w:r>
        <w:rPr>
          <w:rFonts w:hint="eastAsia" w:ascii="宋体" w:hAnsi="宋体" w:eastAsia="宋体" w:cs="宋体"/>
          <w:color w:val="auto"/>
          <w:sz w:val="21"/>
          <w:szCs w:val="21"/>
          <w:highlight w:val="none"/>
        </w:rPr>
        <w:t>二、商务要求</w:t>
      </w:r>
    </w:p>
    <w:p w14:paraId="71EC25F8">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（一）合同履行期限：</w:t>
      </w:r>
    </w:p>
    <w:p w14:paraId="25B3AB21">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60日历天（具体以甲方指定时间为准）</w:t>
      </w:r>
      <w:r>
        <w:rPr>
          <w:rFonts w:hint="eastAsia" w:ascii="宋体" w:hAnsi="宋体" w:eastAsia="宋体" w:cs="宋体"/>
          <w:color w:val="auto"/>
          <w:sz w:val="21"/>
          <w:szCs w:val="21"/>
          <w:highlight w:val="none"/>
        </w:rPr>
        <w:t>。</w:t>
      </w:r>
    </w:p>
    <w:p w14:paraId="477D37F5">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（二）付款条件：</w:t>
      </w:r>
    </w:p>
    <w:p w14:paraId="6B99D510">
      <w:pPr>
        <w:spacing w:line="360" w:lineRule="auto"/>
        <w:ind w:firstLine="420" w:firstLineChars="200"/>
        <w:rPr>
          <w:rFonts w:hint="eastAsia" w:ascii="宋体" w:hAnsi="宋体" w:eastAsia="宋体" w:cs="宋体"/>
          <w:color w:val="auto"/>
          <w:spacing w:val="-1"/>
          <w:sz w:val="21"/>
          <w:szCs w:val="21"/>
          <w:highlight w:val="none"/>
        </w:rPr>
      </w:pPr>
      <w:bookmarkStart w:id="7" w:name="_Toc241459724"/>
      <w:bookmarkStart w:id="8" w:name="_Toc342296483"/>
      <w:bookmarkStart w:id="9" w:name="_Toc75511255"/>
      <w:bookmarkStart w:id="10" w:name="_Toc15399"/>
      <w:r>
        <w:rPr>
          <w:rFonts w:hint="eastAsia" w:ascii="宋体" w:hAnsi="宋体" w:eastAsia="宋体" w:cs="宋体"/>
          <w:color w:val="auto"/>
          <w:sz w:val="21"/>
          <w:szCs w:val="21"/>
          <w:highlight w:val="none"/>
        </w:rPr>
        <w:t>1</w:t>
      </w:r>
      <w:bookmarkEnd w:id="7"/>
      <w:bookmarkEnd w:id="8"/>
      <w:bookmarkEnd w:id="9"/>
      <w:bookmarkEnd w:id="10"/>
      <w:r>
        <w:rPr>
          <w:rFonts w:hint="eastAsia" w:ascii="宋体" w:hAnsi="宋体" w:eastAsia="宋体" w:cs="宋体"/>
          <w:color w:val="auto"/>
          <w:spacing w:val="-1"/>
          <w:sz w:val="21"/>
          <w:szCs w:val="21"/>
          <w:highlight w:val="none"/>
        </w:rPr>
        <w:t>发包人向承包人支付工程款的付款周期、程序、应付金额确定方法、支付条件、支付比例或金额：</w:t>
      </w:r>
    </w:p>
    <w:p w14:paraId="0F4C30F9">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（1）预付款额度</w:t>
      </w:r>
    </w:p>
    <w:p w14:paraId="7DD3F992">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rPr>
        <w:t>预付款额度：</w:t>
      </w:r>
      <w:r>
        <w:rPr>
          <w:rFonts w:hint="eastAsia" w:ascii="宋体" w:hAnsi="宋体" w:eastAsia="宋体" w:cs="宋体"/>
          <w:color w:val="auto"/>
          <w:spacing w:val="-1"/>
          <w:sz w:val="21"/>
          <w:szCs w:val="21"/>
          <w:highlight w:val="none"/>
          <w:u w:val="single"/>
        </w:rPr>
        <w:t>签约合同价（扣除暂列金额）的20%</w:t>
      </w:r>
    </w:p>
    <w:p w14:paraId="2FC629C1">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（2）预付办法</w:t>
      </w:r>
    </w:p>
    <w:p w14:paraId="1A22F2C2">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rPr>
        <w:t>预付款预付办法：</w:t>
      </w:r>
      <w:r>
        <w:rPr>
          <w:rFonts w:hint="eastAsia" w:ascii="宋体" w:hAnsi="宋体" w:eastAsia="宋体" w:cs="宋体"/>
          <w:color w:val="auto"/>
          <w:spacing w:val="-1"/>
          <w:sz w:val="21"/>
          <w:szCs w:val="21"/>
          <w:highlight w:val="none"/>
          <w:u w:val="single"/>
        </w:rPr>
        <w:t xml:space="preserve"> 在收到承包人提交的正式发票后，发包人一次性向承包人支付预付款。  </w:t>
      </w:r>
    </w:p>
    <w:p w14:paraId="637CD2CA">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预付款的支付时间：</w:t>
      </w:r>
      <w:r>
        <w:rPr>
          <w:rFonts w:hint="eastAsia" w:ascii="宋体" w:hAnsi="宋体" w:eastAsia="宋体" w:cs="宋体"/>
          <w:color w:val="auto"/>
          <w:spacing w:val="-1"/>
          <w:sz w:val="21"/>
          <w:szCs w:val="21"/>
          <w:highlight w:val="none"/>
          <w:u w:val="single"/>
        </w:rPr>
        <w:t xml:space="preserve">  在合同签订后的30天内，不迟于约定开工日期前7天内。  </w:t>
      </w:r>
    </w:p>
    <w:p w14:paraId="7FC11A30">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（3）安全文明施工费用预付额度及方式：</w:t>
      </w:r>
    </w:p>
    <w:p w14:paraId="79D5224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安全文明施工费用的预付不受上述预付办法和支付时间约定的制约。安全文明施工费用按以下时间节点和金额进行预付：</w:t>
      </w:r>
    </w:p>
    <w:p w14:paraId="6FE5BC4F">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发包人应当在不迟于第11.1.1项约定的开工日期前的7天内，将签约合同价中载明的安全文明施工费用总额的50%一次性预付给承包人。</w:t>
      </w:r>
    </w:p>
    <w:p w14:paraId="0577B7C3">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发包人应当在±0.00以下主体结构施工完成或签约合同价中分部分项工程项目的完成价款比例达到30%（两者中以条件先满足的为准）7天内，预付至签约合同价中载明的安全文明施工费用总额的70%。</w:t>
      </w:r>
    </w:p>
    <w:p w14:paraId="39A5CC3F">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发包人应当在安全生产标准化考评、评定达到（含整改后达到）或超过合同约定的安全生产标准化管理目标之日起7天内，预付至签约合同价中载明的安全文明施工费用总额的90%。</w:t>
      </w:r>
    </w:p>
    <w:p w14:paraId="665FCC19">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发包人应当在工程竣工后，安全生产标准化考评、认定达到或超过合同约定安全生产标准化管理目标并颁发考评证书之日起的7天内，预付至签约合同价中载明的安全文明施工费用总额的100%。</w:t>
      </w:r>
    </w:p>
    <w:p w14:paraId="7A36C28A">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安全文明施工的预付不抵扣。</w:t>
      </w:r>
    </w:p>
    <w:p w14:paraId="2D77898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lang w:val="en-US" w:eastAsia="zh-CN"/>
        </w:rPr>
        <w:t>4）</w:t>
      </w:r>
      <w:r>
        <w:rPr>
          <w:rFonts w:hint="eastAsia" w:ascii="宋体" w:hAnsi="宋体" w:eastAsia="宋体" w:cs="宋体"/>
          <w:color w:val="auto"/>
          <w:spacing w:val="-1"/>
          <w:sz w:val="21"/>
          <w:szCs w:val="21"/>
          <w:highlight w:val="none"/>
        </w:rPr>
        <w:t>预付款的扣回与还清</w:t>
      </w:r>
    </w:p>
    <w:p w14:paraId="5DF9C67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 xml:space="preserve">预付款的扣回办法： 累计拨付工程款达到工程合同价款的60%（含20%预付款）后，开始抵扣预付款，从月进度款中分两次等额抵扣，直至全部扣清为止。   </w:t>
      </w:r>
    </w:p>
    <w:p w14:paraId="1A785BE8">
      <w:pPr>
        <w:spacing w:line="360" w:lineRule="auto"/>
        <w:ind w:firstLine="416" w:firstLineChars="200"/>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rPr>
        <w:t>乙方应按照《西集镇关于落实&lt;工程建设领域农民工工资专用账户管理暂行办法&gt;的通知》的通知，应开设农民工工资专用账户的项目，应人工费分账管理、总包代发、总承包单位开立农民工专用账户。</w:t>
      </w:r>
    </w:p>
    <w:p w14:paraId="1369F6C4">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lang w:val="en-US" w:eastAsia="zh-CN"/>
        </w:rPr>
        <w:t>5）</w:t>
      </w:r>
      <w:r>
        <w:rPr>
          <w:rFonts w:hint="eastAsia" w:ascii="宋体" w:hAnsi="宋体" w:eastAsia="宋体" w:cs="宋体"/>
          <w:color w:val="auto"/>
          <w:spacing w:val="-1"/>
          <w:sz w:val="21"/>
          <w:szCs w:val="21"/>
          <w:highlight w:val="none"/>
        </w:rPr>
        <w:t>工程进度付款</w:t>
      </w:r>
    </w:p>
    <w:p w14:paraId="7D0E2AFB">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进度付款申请单</w:t>
      </w:r>
    </w:p>
    <w:p w14:paraId="56D03160">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进度付款申请单的份数：</w:t>
      </w:r>
      <w:r>
        <w:rPr>
          <w:rFonts w:hint="eastAsia" w:ascii="宋体" w:hAnsi="宋体" w:eastAsia="宋体" w:cs="宋体"/>
          <w:color w:val="auto"/>
          <w:spacing w:val="-1"/>
          <w:sz w:val="21"/>
          <w:szCs w:val="21"/>
          <w:highlight w:val="none"/>
          <w:u w:val="single"/>
        </w:rPr>
        <w:t xml:space="preserve">  5份。        </w:t>
      </w:r>
      <w:r>
        <w:rPr>
          <w:rFonts w:hint="eastAsia" w:ascii="宋体" w:hAnsi="宋体" w:eastAsia="宋体" w:cs="宋体"/>
          <w:color w:val="auto"/>
          <w:spacing w:val="-1"/>
          <w:sz w:val="21"/>
          <w:szCs w:val="21"/>
          <w:highlight w:val="none"/>
        </w:rPr>
        <w:t xml:space="preserve">                                     </w:t>
      </w:r>
    </w:p>
    <w:p w14:paraId="117E58EE">
      <w:pPr>
        <w:spacing w:line="360" w:lineRule="auto"/>
        <w:ind w:firstLine="416" w:firstLineChars="200"/>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承包人报送监理人的进度付款申请单应包括下列内容：</w:t>
      </w:r>
    </w:p>
    <w:p w14:paraId="22A515B2">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rPr>
        <w:t>根据合同应增加和（或）扣减的其他内容金额：</w:t>
      </w:r>
      <w:r>
        <w:rPr>
          <w:rFonts w:hint="eastAsia" w:ascii="宋体" w:hAnsi="宋体" w:eastAsia="宋体" w:cs="宋体"/>
          <w:color w:val="auto"/>
          <w:spacing w:val="-1"/>
          <w:sz w:val="21"/>
          <w:szCs w:val="21"/>
          <w:highlight w:val="none"/>
          <w:u w:val="single"/>
        </w:rPr>
        <w:t>1、付款次数或编号；2、截止本次付款周期末已实施工程的价款；3、变更金额；4、索赔金额；5、本次应支付的预付款和（或）应扣减的返还预付款；6、本次扣减的质量保证金；7、按月进度支付，工程进度款的支付按发包承包双方已确认的工程价款的80%向承包人支付；8、当工程竣工验收合格后支付至合同价款的85%，当完成结算评审后，支付至工程竣工结算价款的97%，剩余3%为质量保证金，质保期满后付清剩余价款。如遇相关规定或调整，最终结算价款以财政评审中心、审计部门、认可的第三方服务机构审定结果为准。</w:t>
      </w:r>
    </w:p>
    <w:p w14:paraId="3E9FD43F">
      <w:pPr>
        <w:spacing w:line="360" w:lineRule="auto"/>
        <w:ind w:firstLine="416" w:firstLineChars="200"/>
        <w:rPr>
          <w:rFonts w:hint="eastAsia" w:ascii="宋体" w:hAnsi="宋体" w:eastAsia="宋体" w:cs="宋体"/>
          <w:color w:val="auto"/>
          <w:spacing w:val="-1"/>
          <w:sz w:val="21"/>
          <w:szCs w:val="21"/>
          <w:highlight w:val="none"/>
          <w:u w:val="single"/>
          <w:lang w:val="en-US" w:eastAsia="zh-CN"/>
        </w:rPr>
      </w:pPr>
      <w:r>
        <w:rPr>
          <w:rFonts w:hint="eastAsia" w:ascii="宋体" w:hAnsi="宋体" w:eastAsia="宋体" w:cs="宋体"/>
          <w:color w:val="auto"/>
          <w:spacing w:val="-1"/>
          <w:sz w:val="21"/>
          <w:szCs w:val="21"/>
          <w:highlight w:val="none"/>
          <w:u w:val="single"/>
        </w:rPr>
        <w:t>本合同约定的付款期限及付款方式、付款额度等以按照采购人内部控制制度核定为准，未及时审批及拨款的不视为采购人违约。</w:t>
      </w:r>
    </w:p>
    <w:p w14:paraId="3AC1B91B">
      <w:pPr>
        <w:spacing w:line="360" w:lineRule="auto"/>
        <w:ind w:firstLine="416" w:firstLineChars="200"/>
        <w:rPr>
          <w:rFonts w:hint="eastAsia" w:ascii="宋体" w:hAnsi="宋体" w:eastAsia="宋体" w:cs="宋体"/>
          <w:color w:val="auto"/>
          <w:spacing w:val="-1"/>
          <w:sz w:val="21"/>
          <w:szCs w:val="21"/>
          <w:highlight w:val="none"/>
          <w:u w:val="none"/>
        </w:rPr>
      </w:pPr>
      <w:r>
        <w:rPr>
          <w:rFonts w:hint="eastAsia" w:ascii="宋体" w:hAnsi="宋体" w:eastAsia="宋体" w:cs="宋体"/>
          <w:color w:val="auto"/>
          <w:spacing w:val="-1"/>
          <w:sz w:val="21"/>
          <w:szCs w:val="21"/>
          <w:highlight w:val="none"/>
          <w:u w:val="none"/>
          <w:lang w:eastAsia="zh-CN"/>
        </w:rPr>
        <w:t>（</w:t>
      </w:r>
      <w:r>
        <w:rPr>
          <w:rFonts w:hint="eastAsia" w:ascii="宋体" w:hAnsi="宋体" w:eastAsia="宋体" w:cs="宋体"/>
          <w:color w:val="auto"/>
          <w:spacing w:val="-1"/>
          <w:sz w:val="21"/>
          <w:szCs w:val="21"/>
          <w:highlight w:val="none"/>
          <w:u w:val="none"/>
          <w:lang w:val="en-US" w:eastAsia="zh-CN"/>
        </w:rPr>
        <w:t>5）</w:t>
      </w:r>
      <w:r>
        <w:rPr>
          <w:rFonts w:hint="eastAsia" w:ascii="宋体" w:hAnsi="宋体" w:eastAsia="宋体" w:cs="宋体"/>
          <w:color w:val="auto"/>
          <w:spacing w:val="-1"/>
          <w:sz w:val="21"/>
          <w:szCs w:val="21"/>
          <w:highlight w:val="none"/>
          <w:u w:val="none"/>
        </w:rPr>
        <w:t xml:space="preserve"> 进度付款证书和支付时间</w:t>
      </w:r>
    </w:p>
    <w:p w14:paraId="65C5613F">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逾期付款违约金的计算标准：</w:t>
      </w:r>
      <w:r>
        <w:rPr>
          <w:rFonts w:hint="eastAsia" w:ascii="宋体" w:hAnsi="宋体" w:eastAsia="宋体" w:cs="宋体"/>
          <w:color w:val="auto"/>
          <w:spacing w:val="-1"/>
          <w:sz w:val="21"/>
          <w:szCs w:val="21"/>
          <w:highlight w:val="none"/>
          <w:u w:val="single"/>
        </w:rPr>
        <w:t xml:space="preserve"> 按照中国人民银行发布的同期同类贷款利率计算。 </w:t>
      </w:r>
    </w:p>
    <w:p w14:paraId="3CB2BEC3">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逾期付款违约金的计算方法</w:t>
      </w:r>
      <w:r>
        <w:rPr>
          <w:rFonts w:hint="eastAsia" w:ascii="宋体" w:hAnsi="宋体" w:eastAsia="宋体" w:cs="宋体"/>
          <w:color w:val="auto"/>
          <w:spacing w:val="-1"/>
          <w:sz w:val="21"/>
          <w:szCs w:val="21"/>
          <w:highlight w:val="none"/>
          <w:u w:val="single"/>
        </w:rPr>
        <w:t xml:space="preserve">：按照中国人民银行发布的同期同类贷款利率计算。   </w:t>
      </w:r>
    </w:p>
    <w:p w14:paraId="1E6F41E7">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6</w:t>
      </w:r>
      <w:r>
        <w:rPr>
          <w:rFonts w:hint="eastAsia" w:ascii="宋体" w:hAnsi="宋体" w:eastAsia="宋体" w:cs="宋体"/>
          <w:color w:val="auto"/>
          <w:spacing w:val="-1"/>
          <w:sz w:val="21"/>
          <w:szCs w:val="21"/>
          <w:highlight w:val="none"/>
          <w:u w:val="none"/>
        </w:rPr>
        <w:t>）进度付款涉及政府性资金的支付方法：</w:t>
      </w:r>
      <w:r>
        <w:rPr>
          <w:rFonts w:hint="eastAsia" w:ascii="宋体" w:hAnsi="宋体" w:eastAsia="宋体" w:cs="宋体"/>
          <w:color w:val="auto"/>
          <w:spacing w:val="-1"/>
          <w:sz w:val="21"/>
          <w:szCs w:val="21"/>
          <w:highlight w:val="none"/>
          <w:u w:val="single"/>
        </w:rPr>
        <w:t xml:space="preserve"> 不适用。 </w:t>
      </w:r>
    </w:p>
    <w:p w14:paraId="0D42E994">
      <w:pPr>
        <w:spacing w:line="360" w:lineRule="auto"/>
        <w:ind w:firstLine="416" w:firstLineChars="200"/>
        <w:rPr>
          <w:rFonts w:hint="eastAsia" w:ascii="宋体" w:hAnsi="宋体" w:eastAsia="宋体" w:cs="宋体"/>
          <w:color w:val="auto"/>
          <w:spacing w:val="-1"/>
          <w:sz w:val="21"/>
          <w:szCs w:val="21"/>
          <w:highlight w:val="none"/>
          <w:u w:val="non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7</w:t>
      </w:r>
      <w:r>
        <w:rPr>
          <w:rFonts w:hint="eastAsia" w:ascii="宋体" w:hAnsi="宋体" w:eastAsia="宋体" w:cs="宋体"/>
          <w:color w:val="auto"/>
          <w:spacing w:val="-1"/>
          <w:sz w:val="21"/>
          <w:szCs w:val="21"/>
          <w:highlight w:val="none"/>
          <w:u w:val="none"/>
        </w:rPr>
        <w:t>） 质量保证金</w:t>
      </w:r>
    </w:p>
    <w:p w14:paraId="5A4B4A44">
      <w:pPr>
        <w:spacing w:line="360" w:lineRule="auto"/>
        <w:ind w:firstLine="416" w:firstLineChars="200"/>
        <w:rPr>
          <w:rFonts w:hint="eastAsia" w:ascii="宋体" w:hAnsi="宋体" w:eastAsia="宋体" w:cs="宋体"/>
          <w:color w:val="auto"/>
          <w:spacing w:val="-1"/>
          <w:sz w:val="21"/>
          <w:szCs w:val="21"/>
          <w:highlight w:val="none"/>
          <w:u w:val="non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8</w:t>
      </w:r>
      <w:r>
        <w:rPr>
          <w:rFonts w:hint="eastAsia" w:ascii="宋体" w:hAnsi="宋体" w:eastAsia="宋体" w:cs="宋体"/>
          <w:color w:val="auto"/>
          <w:spacing w:val="-1"/>
          <w:sz w:val="21"/>
          <w:szCs w:val="21"/>
          <w:highlight w:val="none"/>
          <w:u w:val="none"/>
        </w:rPr>
        <w:t>） 质量保证金处理</w:t>
      </w:r>
    </w:p>
    <w:p w14:paraId="4112CC06">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none"/>
        </w:rPr>
        <w:t>（</w:t>
      </w:r>
      <w:r>
        <w:rPr>
          <w:rFonts w:hint="eastAsia" w:ascii="宋体" w:hAnsi="宋体" w:eastAsia="宋体" w:cs="宋体"/>
          <w:color w:val="auto"/>
          <w:spacing w:val="-1"/>
          <w:sz w:val="21"/>
          <w:szCs w:val="21"/>
          <w:highlight w:val="none"/>
          <w:u w:val="none"/>
          <w:lang w:val="en-US" w:eastAsia="zh-CN"/>
        </w:rPr>
        <w:t>9</w:t>
      </w:r>
      <w:r>
        <w:rPr>
          <w:rFonts w:hint="eastAsia" w:ascii="宋体" w:hAnsi="宋体" w:eastAsia="宋体" w:cs="宋体"/>
          <w:color w:val="auto"/>
          <w:spacing w:val="-1"/>
          <w:sz w:val="21"/>
          <w:szCs w:val="21"/>
          <w:highlight w:val="none"/>
          <w:u w:val="none"/>
        </w:rPr>
        <w:t>）质量保证金形式</w:t>
      </w:r>
      <w:r>
        <w:rPr>
          <w:rFonts w:hint="eastAsia" w:ascii="宋体" w:hAnsi="宋体" w:eastAsia="宋体" w:cs="宋体"/>
          <w:color w:val="auto"/>
          <w:spacing w:val="-1"/>
          <w:sz w:val="21"/>
          <w:szCs w:val="21"/>
          <w:highlight w:val="none"/>
          <w:u w:val="single"/>
        </w:rPr>
        <w:t>：采用扣留质量保证金（采用银行保函担保或其他保函担保形式╱采用扣留质量保证金）。</w:t>
      </w:r>
    </w:p>
    <w:p w14:paraId="03386D6F">
      <w:pPr>
        <w:spacing w:line="360" w:lineRule="auto"/>
        <w:ind w:firstLine="416" w:firstLineChars="200"/>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single"/>
        </w:rPr>
        <w:t>质量保证金约定比例：   3  %</w:t>
      </w:r>
    </w:p>
    <w:p w14:paraId="070B4C48">
      <w:pPr>
        <w:widowControl/>
        <w:spacing w:line="360" w:lineRule="auto"/>
        <w:ind w:firstLine="420" w:firstLineChars="200"/>
        <w:rPr>
          <w:rFonts w:hint="eastAsia" w:ascii="宋体" w:hAnsi="宋体" w:eastAsia="宋体" w:cs="宋体"/>
          <w:color w:val="auto"/>
          <w:sz w:val="21"/>
          <w:szCs w:val="21"/>
          <w:highlight w:val="none"/>
          <w:u w:val="single"/>
        </w:rPr>
      </w:pPr>
    </w:p>
    <w:p w14:paraId="30CE8CEA">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12D843EC">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三、技术要求</w:t>
      </w:r>
    </w:p>
    <w:p w14:paraId="547745D5">
      <w:pPr>
        <w:widowControl/>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详见合同条款</w:t>
      </w:r>
    </w:p>
    <w:p w14:paraId="38EAB847">
      <w:pPr>
        <w:pStyle w:val="6"/>
        <w:spacing w:line="360" w:lineRule="auto"/>
        <w:rPr>
          <w:rFonts w:hint="eastAsia" w:ascii="宋体" w:hAnsi="宋体" w:eastAsia="宋体" w:cs="宋体"/>
          <w:color w:val="auto"/>
          <w:sz w:val="21"/>
          <w:szCs w:val="21"/>
          <w:highlight w:val="none"/>
        </w:rPr>
      </w:pPr>
    </w:p>
    <w:p w14:paraId="30A050C0">
      <w:pPr>
        <w:pStyle w:val="6"/>
        <w:spacing w:line="360" w:lineRule="auto"/>
        <w:rPr>
          <w:rFonts w:hint="eastAsia" w:ascii="宋体" w:hAnsi="宋体" w:eastAsia="宋体" w:cs="宋体"/>
          <w:color w:val="auto"/>
          <w:sz w:val="21"/>
          <w:szCs w:val="21"/>
          <w:highlight w:val="none"/>
        </w:rPr>
      </w:pPr>
    </w:p>
    <w:p w14:paraId="2061E09C">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val="en-US" w:eastAsia="en-US"/>
        </w:rPr>
        <w:t>工程量清单</w:t>
      </w:r>
      <w:r>
        <w:rPr>
          <w:rFonts w:hint="eastAsia" w:ascii="宋体" w:hAnsi="宋体" w:eastAsia="宋体" w:cs="宋体"/>
          <w:color w:val="auto"/>
          <w:sz w:val="21"/>
          <w:szCs w:val="21"/>
          <w:highlight w:val="none"/>
        </w:rPr>
        <w:t>（如有）</w:t>
      </w:r>
    </w:p>
    <w:p w14:paraId="51845B6D">
      <w:pPr>
        <w:spacing w:line="360" w:lineRule="auto"/>
        <w:rPr>
          <w:rFonts w:hint="eastAsia" w:ascii="宋体" w:hAnsi="宋体" w:eastAsia="宋体" w:cs="宋体"/>
          <w:i/>
          <w:iCs/>
          <w:color w:val="auto"/>
          <w:spacing w:val="-6"/>
          <w:sz w:val="25"/>
          <w:szCs w:val="25"/>
          <w:highlight w:val="none"/>
          <w:lang w:val="en-US" w:eastAsia="zh-CN"/>
        </w:rPr>
      </w:pPr>
    </w:p>
    <w:p w14:paraId="0FA8B172">
      <w:pPr>
        <w:spacing w:line="360" w:lineRule="auto"/>
        <w:rPr>
          <w:rFonts w:hint="eastAsia" w:ascii="宋体" w:hAnsi="宋体" w:eastAsia="宋体" w:cs="宋体"/>
          <w:color w:val="auto"/>
          <w:sz w:val="24"/>
          <w:szCs w:val="24"/>
          <w:highlight w:val="none"/>
          <w:lang w:eastAsia="zh-CN"/>
        </w:rPr>
        <w:sectPr>
          <w:headerReference r:id="rId16" w:type="default"/>
          <w:footerReference r:id="rId17" w:type="default"/>
          <w:pgSz w:w="11907" w:h="16840"/>
          <w:pgMar w:top="1167" w:right="1105" w:bottom="1011" w:left="1672" w:header="830" w:footer="851" w:gutter="0"/>
          <w:pgNumType w:fmt="decimal"/>
          <w:cols w:space="720" w:num="1"/>
        </w:sectPr>
      </w:pPr>
      <w:r>
        <w:rPr>
          <w:rFonts w:hint="eastAsia" w:ascii="宋体" w:hAnsi="宋体" w:eastAsia="宋体" w:cs="宋体"/>
          <w:color w:val="auto"/>
          <w:sz w:val="24"/>
          <w:szCs w:val="24"/>
          <w:highlight w:val="none"/>
          <w:lang w:eastAsia="zh-CN"/>
        </w:rPr>
        <w:drawing>
          <wp:inline distT="0" distB="0" distL="114300" distR="114300">
            <wp:extent cx="5791200" cy="8190230"/>
            <wp:effectExtent l="0" t="0" r="0" b="1270"/>
            <wp:docPr id="22" name="图片 22" descr="工程量清单编制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工程量清单编制说明_01"/>
                    <pic:cNvPicPr>
                      <a:picLocks noChangeAspect="1"/>
                    </pic:cNvPicPr>
                  </pic:nvPicPr>
                  <pic:blipFill>
                    <a:blip r:embed="rId59"/>
                    <a:stretch>
                      <a:fillRect/>
                    </a:stretch>
                  </pic:blipFill>
                  <pic:spPr>
                    <a:xfrm>
                      <a:off x="0" y="0"/>
                      <a:ext cx="5791200" cy="8190230"/>
                    </a:xfrm>
                    <a:prstGeom prst="rect">
                      <a:avLst/>
                    </a:prstGeom>
                  </pic:spPr>
                </pic:pic>
              </a:graphicData>
            </a:graphic>
          </wp:inline>
        </w:drawing>
      </w:r>
    </w:p>
    <w:p w14:paraId="4135DAC8">
      <w:pPr>
        <w:spacing w:before="306" w:line="219" w:lineRule="auto"/>
        <w:ind w:left="218" w:leftChars="104" w:firstLine="0" w:firstLineChars="0"/>
        <w:outlineLvl w:val="0"/>
        <w:rPr>
          <w:rFonts w:hint="eastAsia" w:ascii="宋体" w:hAnsi="宋体" w:eastAsia="宋体" w:cs="宋体"/>
          <w:b/>
          <w:bCs/>
          <w:color w:val="auto"/>
          <w:spacing w:val="-4"/>
          <w:sz w:val="36"/>
          <w:szCs w:val="36"/>
          <w:highlight w:val="none"/>
          <w:lang w:eastAsia="zh-CN"/>
        </w:rPr>
      </w:pP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65" name="图片 65" descr="2025年通州区西集镇通香旧路（K0+479-K1+326）养护工程-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025年通州区西集镇通香旧路（K0+479-K1+326）养护工程-清单_02"/>
                    <pic:cNvPicPr>
                      <a:picLocks noChangeAspect="1"/>
                    </pic:cNvPicPr>
                  </pic:nvPicPr>
                  <pic:blipFill>
                    <a:blip r:embed="rId60"/>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64" name="图片 64" descr="2025年通州区西集镇通香旧路（K0+479-K1+326）养护工程-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25年通州区西集镇通香旧路（K0+479-K1+326）养护工程-清单_03"/>
                    <pic:cNvPicPr>
                      <a:picLocks noChangeAspect="1"/>
                    </pic:cNvPicPr>
                  </pic:nvPicPr>
                  <pic:blipFill>
                    <a:blip r:embed="rId61"/>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63" name="图片 63" descr="2025年通州区西集镇通香旧路（K0+479-K1+326）养护工程-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5年通州区西集镇通香旧路（K0+479-K1+326）养护工程-清单_04"/>
                    <pic:cNvPicPr>
                      <a:picLocks noChangeAspect="1"/>
                    </pic:cNvPicPr>
                  </pic:nvPicPr>
                  <pic:blipFill>
                    <a:blip r:embed="rId62"/>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62" name="图片 62" descr="2025年通州区西集镇通香旧路（K0+479-K1+326）养护工程-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25年通州区西集镇通香旧路（K0+479-K1+326）养护工程-清单_05"/>
                    <pic:cNvPicPr>
                      <a:picLocks noChangeAspect="1"/>
                    </pic:cNvPicPr>
                  </pic:nvPicPr>
                  <pic:blipFill>
                    <a:blip r:embed="rId63"/>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61" name="图片 61" descr="2025年通州区西集镇通香旧路（K0+479-K1+326）养护工程-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025年通州区西集镇通香旧路（K0+479-K1+326）养护工程-清单_06"/>
                    <pic:cNvPicPr>
                      <a:picLocks noChangeAspect="1"/>
                    </pic:cNvPicPr>
                  </pic:nvPicPr>
                  <pic:blipFill>
                    <a:blip r:embed="rId64"/>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60" name="图片 60" descr="2025年通州区西集镇通香旧路（K0+479-K1+326）养护工程-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5年通州区西集镇通香旧路（K0+479-K1+326）养护工程-清单_07"/>
                    <pic:cNvPicPr>
                      <a:picLocks noChangeAspect="1"/>
                    </pic:cNvPicPr>
                  </pic:nvPicPr>
                  <pic:blipFill>
                    <a:blip r:embed="rId65"/>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59" name="图片 59" descr="2025年通州区西集镇通香旧路（K0+479-K1+326）养护工程-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25年通州区西集镇通香旧路（K0+479-K1+326）养护工程-清单_08"/>
                    <pic:cNvPicPr>
                      <a:picLocks noChangeAspect="1"/>
                    </pic:cNvPicPr>
                  </pic:nvPicPr>
                  <pic:blipFill>
                    <a:blip r:embed="rId66"/>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58" name="图片 58" descr="2025年通州区西集镇通香旧路（K0+479-K1+326）养护工程-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25年通州区西集镇通香旧路（K0+479-K1+326）养护工程-清单_09"/>
                    <pic:cNvPicPr>
                      <a:picLocks noChangeAspect="1"/>
                    </pic:cNvPicPr>
                  </pic:nvPicPr>
                  <pic:blipFill>
                    <a:blip r:embed="rId67"/>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57" name="图片 57" descr="2025年通州区西集镇通香旧路（K0+479-K1+326）养护工程-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025年通州区西集镇通香旧路（K0+479-K1+326）养护工程-清单_10"/>
                    <pic:cNvPicPr>
                      <a:picLocks noChangeAspect="1"/>
                    </pic:cNvPicPr>
                  </pic:nvPicPr>
                  <pic:blipFill>
                    <a:blip r:embed="rId68"/>
                    <a:stretch>
                      <a:fillRect/>
                    </a:stretch>
                  </pic:blipFill>
                  <pic:spPr>
                    <a:xfrm>
                      <a:off x="0" y="0"/>
                      <a:ext cx="5538470" cy="3916045"/>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6" name="图片 56" descr="2025年通州区西集镇通香旧路（K0+479-K1+326）养护工程-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25年通州区西集镇通香旧路（K0+479-K1+326）养护工程-清单_11"/>
                    <pic:cNvPicPr>
                      <a:picLocks noChangeAspect="1"/>
                    </pic:cNvPicPr>
                  </pic:nvPicPr>
                  <pic:blipFill>
                    <a:blip r:embed="rId69"/>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5" name="图片 55" descr="2025年通州区西集镇通香旧路（K0+479-K1+326）养护工程-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25年通州区西集镇通香旧路（K0+479-K1+326）养护工程-清单_12"/>
                    <pic:cNvPicPr>
                      <a:picLocks noChangeAspect="1"/>
                    </pic:cNvPicPr>
                  </pic:nvPicPr>
                  <pic:blipFill>
                    <a:blip r:embed="rId70"/>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4" name="图片 54" descr="2025年通州区西集镇通香旧路（K0+479-K1+326）养护工程-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25年通州区西集镇通香旧路（K0+479-K1+326）养护工程-清单_13"/>
                    <pic:cNvPicPr>
                      <a:picLocks noChangeAspect="1"/>
                    </pic:cNvPicPr>
                  </pic:nvPicPr>
                  <pic:blipFill>
                    <a:blip r:embed="rId71"/>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3" name="图片 53" descr="2025年通州区西集镇通香旧路（K0+479-K1+326）养护工程-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025年通州区西集镇通香旧路（K0+479-K1+326）养护工程-清单_14"/>
                    <pic:cNvPicPr>
                      <a:picLocks noChangeAspect="1"/>
                    </pic:cNvPicPr>
                  </pic:nvPicPr>
                  <pic:blipFill>
                    <a:blip r:embed="rId72"/>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2" name="图片 52" descr="2025年通州区西集镇通香旧路（K0+479-K1+326）养护工程-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5年通州区西集镇通香旧路（K0+479-K1+326）养护工程-清单_15"/>
                    <pic:cNvPicPr>
                      <a:picLocks noChangeAspect="1"/>
                    </pic:cNvPicPr>
                  </pic:nvPicPr>
                  <pic:blipFill>
                    <a:blip r:embed="rId73"/>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1" name="图片 51" descr="2025年通州区西集镇通香旧路（K0+479-K1+326）养护工程-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25年通州区西集镇通香旧路（K0+479-K1+326）养护工程-清单_16"/>
                    <pic:cNvPicPr>
                      <a:picLocks noChangeAspect="1"/>
                    </pic:cNvPicPr>
                  </pic:nvPicPr>
                  <pic:blipFill>
                    <a:blip r:embed="rId74"/>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50" name="图片 50" descr="2025年通州区西集镇通香旧路（K0+479-K1+326）养护工程-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5年通州区西集镇通香旧路（K0+479-K1+326）养护工程-清单_17"/>
                    <pic:cNvPicPr>
                      <a:picLocks noChangeAspect="1"/>
                    </pic:cNvPicPr>
                  </pic:nvPicPr>
                  <pic:blipFill>
                    <a:blip r:embed="rId75"/>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49" name="图片 49" descr="2025年通州区西集镇通香旧路（K0+479-K1+326）养护工程-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25年通州区西集镇通香旧路（K0+479-K1+326）养护工程-清单_18"/>
                    <pic:cNvPicPr>
                      <a:picLocks noChangeAspect="1"/>
                    </pic:cNvPicPr>
                  </pic:nvPicPr>
                  <pic:blipFill>
                    <a:blip r:embed="rId76"/>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48" name="图片 48" descr="2025年通州区西集镇通香旧路（K0+479-K1+326）养护工程-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5年通州区西集镇通香旧路（K0+479-K1+326）养护工程-清单_19"/>
                    <pic:cNvPicPr>
                      <a:picLocks noChangeAspect="1"/>
                    </pic:cNvPicPr>
                  </pic:nvPicPr>
                  <pic:blipFill>
                    <a:blip r:embed="rId77"/>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41645" cy="7837170"/>
            <wp:effectExtent l="0" t="0" r="1905" b="11430"/>
            <wp:docPr id="47" name="图片 47" descr="2025年通州区西集镇通香旧路（K0+479-K1+326）养护工程-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5年通州区西集镇通香旧路（K0+479-K1+326）养护工程-清单_20"/>
                    <pic:cNvPicPr>
                      <a:picLocks noChangeAspect="1"/>
                    </pic:cNvPicPr>
                  </pic:nvPicPr>
                  <pic:blipFill>
                    <a:blip r:embed="rId78"/>
                    <a:stretch>
                      <a:fillRect/>
                    </a:stretch>
                  </pic:blipFill>
                  <pic:spPr>
                    <a:xfrm>
                      <a:off x="0" y="0"/>
                      <a:ext cx="5541645" cy="7837170"/>
                    </a:xfrm>
                    <a:prstGeom prst="rect">
                      <a:avLst/>
                    </a:prstGeom>
                  </pic:spPr>
                </pic:pic>
              </a:graphicData>
            </a:graphic>
          </wp:inline>
        </w:drawing>
      </w:r>
      <w:r>
        <w:rPr>
          <w:rFonts w:hint="eastAsia" w:ascii="宋体" w:hAnsi="宋体" w:eastAsia="宋体" w:cs="宋体"/>
          <w:b/>
          <w:bCs/>
          <w:color w:val="auto"/>
          <w:spacing w:val="-4"/>
          <w:sz w:val="36"/>
          <w:szCs w:val="36"/>
          <w:highlight w:val="none"/>
          <w:lang w:eastAsia="zh-CN"/>
        </w:rPr>
        <w:drawing>
          <wp:inline distT="0" distB="0" distL="114300" distR="114300">
            <wp:extent cx="5538470" cy="3916045"/>
            <wp:effectExtent l="0" t="0" r="5080" b="8255"/>
            <wp:docPr id="33" name="图片 33" descr="2025年通州区西集镇通香旧路（K0+479-K1+326）养护工程-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年通州区西集镇通香旧路（K0+479-K1+326）养护工程-清单_21"/>
                    <pic:cNvPicPr>
                      <a:picLocks noChangeAspect="1"/>
                    </pic:cNvPicPr>
                  </pic:nvPicPr>
                  <pic:blipFill>
                    <a:blip r:embed="rId79"/>
                    <a:stretch>
                      <a:fillRect/>
                    </a:stretch>
                  </pic:blipFill>
                  <pic:spPr>
                    <a:xfrm>
                      <a:off x="0" y="0"/>
                      <a:ext cx="5538470" cy="3916045"/>
                    </a:xfrm>
                    <a:prstGeom prst="rect">
                      <a:avLst/>
                    </a:prstGeom>
                  </pic:spPr>
                </pic:pic>
              </a:graphicData>
            </a:graphic>
          </wp:inline>
        </w:drawing>
      </w:r>
    </w:p>
    <w:p w14:paraId="3A81405F">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61D2AA47">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04846047">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670546C0">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6BA2C741">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0A3E3988">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22FB1819">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0AC913DD">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3586529D">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30A76815">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10D622A8">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7B68B9A8">
      <w:pPr>
        <w:spacing w:before="306" w:line="219" w:lineRule="auto"/>
        <w:ind w:left="2050" w:leftChars="0" w:hanging="2050" w:hangingChars="580"/>
        <w:outlineLvl w:val="0"/>
        <w:rPr>
          <w:rFonts w:ascii="宋体" w:hAnsi="宋体" w:eastAsia="宋体" w:cs="宋体"/>
          <w:b/>
          <w:bCs/>
          <w:color w:val="auto"/>
          <w:spacing w:val="-4"/>
          <w:sz w:val="36"/>
          <w:szCs w:val="36"/>
          <w:highlight w:val="none"/>
        </w:rPr>
      </w:pPr>
    </w:p>
    <w:p w14:paraId="660F8DEF">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15D1F0E9">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15308637">
      <w:pPr>
        <w:spacing w:before="306" w:line="219" w:lineRule="auto"/>
        <w:ind w:left="466" w:leftChars="200" w:hanging="46" w:hangingChars="13"/>
        <w:outlineLvl w:val="0"/>
        <w:rPr>
          <w:rFonts w:ascii="宋体" w:hAnsi="宋体" w:eastAsia="宋体" w:cs="宋体"/>
          <w:b/>
          <w:bCs/>
          <w:color w:val="auto"/>
          <w:spacing w:val="-4"/>
          <w:sz w:val="36"/>
          <w:szCs w:val="36"/>
          <w:highlight w:val="none"/>
        </w:rPr>
      </w:pPr>
    </w:p>
    <w:p w14:paraId="4E58C4AD">
      <w:pPr>
        <w:spacing w:before="306" w:line="219" w:lineRule="auto"/>
        <w:ind w:left="779" w:leftChars="371" w:firstLine="1011" w:firstLineChars="286"/>
        <w:outlineLvl w:val="0"/>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第五章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合同草案条款</w:t>
      </w:r>
    </w:p>
    <w:p w14:paraId="5FD6D9A0">
      <w:pPr>
        <w:pStyle w:val="6"/>
        <w:spacing w:line="247" w:lineRule="auto"/>
        <w:rPr>
          <w:color w:val="auto"/>
          <w:highlight w:val="none"/>
        </w:rPr>
      </w:pPr>
    </w:p>
    <w:p w14:paraId="7666FE87">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r>
        <w:rPr>
          <w:rFonts w:hint="eastAsia" w:ascii="宋体" w:hAnsi="宋体" w:eastAsia="宋体" w:cs="宋体"/>
          <w:b/>
          <w:bCs/>
          <w:snapToGrid w:val="0"/>
          <w:color w:val="auto"/>
          <w:kern w:val="0"/>
          <w:sz w:val="24"/>
          <w:szCs w:val="24"/>
          <w:highlight w:val="none"/>
          <w:lang w:val="en-US" w:eastAsia="zh-CN" w:bidi="ar"/>
        </w:rPr>
        <w:t>（本合同模板仅供参考，最终合同文本以双方最终签订为准）</w:t>
      </w:r>
    </w:p>
    <w:p w14:paraId="3951C9C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48C039A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22646546">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27AB25F">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D0AF42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811673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B6FCBE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54CEB31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024BC4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CCD0481">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AB77BD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C31926F">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2D3ED88">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D986BD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BF18318">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C54B197">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98DC19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2CEAD3E">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26605B02">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423117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E2F421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A48D38A">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B9B1BF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B717DE9">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3614A21">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2FAC4AA">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1885A5B1">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58B55A2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28329CF">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4CAD884B">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A8DEFD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4FDC85C0">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5B4299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75B1DCA5">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0E595CEC">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38DCF90D">
      <w:pPr>
        <w:keepNext w:val="0"/>
        <w:keepLines w:val="0"/>
        <w:widowControl/>
        <w:suppressLineNumbers w:val="0"/>
        <w:jc w:val="center"/>
        <w:rPr>
          <w:rFonts w:hint="eastAsia" w:ascii="宋体" w:hAnsi="宋体" w:eastAsia="宋体" w:cs="宋体"/>
          <w:b/>
          <w:bCs/>
          <w:snapToGrid w:val="0"/>
          <w:color w:val="auto"/>
          <w:kern w:val="0"/>
          <w:sz w:val="24"/>
          <w:szCs w:val="24"/>
          <w:highlight w:val="none"/>
          <w:lang w:val="en-US" w:eastAsia="zh-CN" w:bidi="ar"/>
        </w:rPr>
      </w:pPr>
    </w:p>
    <w:p w14:paraId="689A8EE0">
      <w:pPr>
        <w:pStyle w:val="6"/>
        <w:spacing w:line="248" w:lineRule="auto"/>
        <w:rPr>
          <w:color w:val="auto"/>
          <w:highlight w:val="none"/>
        </w:rPr>
      </w:pPr>
    </w:p>
    <w:p w14:paraId="6A6BE3E1">
      <w:pPr>
        <w:pStyle w:val="6"/>
        <w:spacing w:line="248" w:lineRule="auto"/>
        <w:rPr>
          <w:color w:val="auto"/>
          <w:highlight w:val="none"/>
        </w:rPr>
      </w:pPr>
    </w:p>
    <w:p w14:paraId="50E44A06">
      <w:pPr>
        <w:autoSpaceDE w:val="0"/>
        <w:autoSpaceDN w:val="0"/>
        <w:spacing w:line="360" w:lineRule="auto"/>
        <w:jc w:val="center"/>
        <w:rPr>
          <w:rFonts w:ascii="宋体" w:hAnsi="宋体" w:cs="宋体"/>
          <w:b/>
          <w:color w:val="auto"/>
          <w:kern w:val="0"/>
          <w:sz w:val="44"/>
          <w:szCs w:val="44"/>
          <w:highlight w:val="none"/>
          <w:lang w:val="zh-CN" w:bidi="zh-CN"/>
        </w:rPr>
      </w:pPr>
      <w:r>
        <w:rPr>
          <w:rFonts w:hint="eastAsia" w:ascii="宋体" w:hAnsi="宋体" w:cs="宋体"/>
          <w:b/>
          <w:color w:val="auto"/>
          <w:kern w:val="0"/>
          <w:sz w:val="44"/>
          <w:szCs w:val="44"/>
          <w:highlight w:val="none"/>
          <w:lang w:val="zh-CN" w:bidi="zh-CN"/>
        </w:rPr>
        <w:t>建设工程施工合同</w:t>
      </w:r>
    </w:p>
    <w:p w14:paraId="7857380F">
      <w:pPr>
        <w:autoSpaceDE w:val="0"/>
        <w:autoSpaceDN w:val="0"/>
        <w:spacing w:line="360" w:lineRule="auto"/>
        <w:jc w:val="center"/>
        <w:rPr>
          <w:rFonts w:ascii="宋体" w:hAnsi="宋体" w:cs="宋体"/>
          <w:b/>
          <w:color w:val="auto"/>
          <w:kern w:val="0"/>
          <w:sz w:val="44"/>
          <w:szCs w:val="44"/>
          <w:highlight w:val="none"/>
          <w:lang w:val="zh-CN" w:bidi="zh-CN"/>
        </w:rPr>
      </w:pPr>
    </w:p>
    <w:p w14:paraId="1A22845A">
      <w:pPr>
        <w:autoSpaceDE w:val="0"/>
        <w:autoSpaceDN w:val="0"/>
        <w:spacing w:line="360" w:lineRule="auto"/>
        <w:jc w:val="center"/>
        <w:rPr>
          <w:rFonts w:ascii="宋体" w:hAnsi="宋体" w:cs="宋体"/>
          <w:b/>
          <w:color w:val="auto"/>
          <w:kern w:val="0"/>
          <w:sz w:val="32"/>
          <w:szCs w:val="32"/>
          <w:highlight w:val="none"/>
          <w:lang w:val="zh-CN" w:bidi="zh-CN"/>
        </w:rPr>
      </w:pPr>
    </w:p>
    <w:p w14:paraId="23775AF7">
      <w:pPr>
        <w:autoSpaceDE w:val="0"/>
        <w:autoSpaceDN w:val="0"/>
        <w:spacing w:line="360" w:lineRule="auto"/>
        <w:jc w:val="center"/>
        <w:rPr>
          <w:rFonts w:ascii="宋体" w:hAnsi="宋体" w:cs="宋体"/>
          <w:b/>
          <w:color w:val="auto"/>
          <w:kern w:val="0"/>
          <w:sz w:val="32"/>
          <w:szCs w:val="32"/>
          <w:highlight w:val="none"/>
          <w:lang w:val="zh-CN" w:bidi="zh-CN"/>
        </w:rPr>
      </w:pPr>
    </w:p>
    <w:p w14:paraId="3E20E98C">
      <w:pPr>
        <w:autoSpaceDE w:val="0"/>
        <w:autoSpaceDN w:val="0"/>
        <w:spacing w:line="360" w:lineRule="auto"/>
        <w:jc w:val="center"/>
        <w:rPr>
          <w:rFonts w:ascii="宋体" w:hAnsi="宋体" w:cs="宋体"/>
          <w:b/>
          <w:color w:val="auto"/>
          <w:kern w:val="0"/>
          <w:sz w:val="32"/>
          <w:szCs w:val="32"/>
          <w:highlight w:val="none"/>
          <w:lang w:val="zh-CN" w:bidi="zh-CN"/>
        </w:rPr>
      </w:pPr>
    </w:p>
    <w:p w14:paraId="27E7B8CC">
      <w:pPr>
        <w:autoSpaceDE w:val="0"/>
        <w:autoSpaceDN w:val="0"/>
        <w:spacing w:line="360" w:lineRule="auto"/>
        <w:jc w:val="left"/>
        <w:rPr>
          <w:rFonts w:ascii="宋体" w:hAnsi="宋体" w:cs="宋体"/>
          <w:b/>
          <w:color w:val="auto"/>
          <w:kern w:val="0"/>
          <w:sz w:val="32"/>
          <w:szCs w:val="32"/>
          <w:highlight w:val="none"/>
          <w:lang w:val="zh-CN" w:bidi="zh-CN"/>
        </w:rPr>
      </w:pPr>
    </w:p>
    <w:p w14:paraId="05AFCFC7">
      <w:pPr>
        <w:autoSpaceDE w:val="0"/>
        <w:autoSpaceDN w:val="0"/>
        <w:spacing w:line="360" w:lineRule="auto"/>
        <w:jc w:val="left"/>
        <w:rPr>
          <w:rFonts w:ascii="宋体" w:hAnsi="宋体" w:cs="宋体"/>
          <w:b/>
          <w:color w:val="auto"/>
          <w:kern w:val="0"/>
          <w:sz w:val="32"/>
          <w:szCs w:val="32"/>
          <w:highlight w:val="none"/>
          <w:lang w:val="zh-CN" w:bidi="zh-CN"/>
        </w:rPr>
      </w:pPr>
    </w:p>
    <w:p w14:paraId="03ABD522">
      <w:pPr>
        <w:autoSpaceDE w:val="0"/>
        <w:autoSpaceDN w:val="0"/>
        <w:spacing w:line="360" w:lineRule="auto"/>
        <w:jc w:val="left"/>
        <w:rPr>
          <w:rFonts w:ascii="宋体" w:hAnsi="宋体" w:cs="宋体"/>
          <w:b/>
          <w:color w:val="auto"/>
          <w:kern w:val="0"/>
          <w:sz w:val="32"/>
          <w:szCs w:val="32"/>
          <w:highlight w:val="none"/>
          <w:lang w:val="zh-CN" w:bidi="zh-CN"/>
        </w:rPr>
      </w:pPr>
    </w:p>
    <w:p w14:paraId="75466725">
      <w:pPr>
        <w:autoSpaceDE w:val="0"/>
        <w:autoSpaceDN w:val="0"/>
        <w:spacing w:line="360" w:lineRule="auto"/>
        <w:jc w:val="left"/>
        <w:rPr>
          <w:rFonts w:ascii="宋体" w:hAnsi="宋体" w:cs="宋体"/>
          <w:b/>
          <w:color w:val="auto"/>
          <w:kern w:val="0"/>
          <w:sz w:val="32"/>
          <w:szCs w:val="32"/>
          <w:highlight w:val="none"/>
          <w:lang w:val="zh-CN" w:bidi="zh-CN"/>
        </w:rPr>
      </w:pPr>
    </w:p>
    <w:p w14:paraId="1C7984EE">
      <w:pPr>
        <w:autoSpaceDE w:val="0"/>
        <w:autoSpaceDN w:val="0"/>
        <w:spacing w:line="360" w:lineRule="auto"/>
        <w:jc w:val="left"/>
        <w:rPr>
          <w:rFonts w:ascii="宋体" w:hAnsi="宋体" w:cs="宋体"/>
          <w:b/>
          <w:color w:val="auto"/>
          <w:kern w:val="0"/>
          <w:sz w:val="32"/>
          <w:szCs w:val="32"/>
          <w:highlight w:val="none"/>
          <w:lang w:val="zh-CN" w:bidi="zh-CN"/>
        </w:rPr>
      </w:pPr>
    </w:p>
    <w:p w14:paraId="0D88A11D">
      <w:pPr>
        <w:autoSpaceDE w:val="0"/>
        <w:autoSpaceDN w:val="0"/>
        <w:jc w:val="left"/>
        <w:rPr>
          <w:rFonts w:ascii="宋体" w:hAnsi="宋体" w:cs="宋体"/>
          <w:color w:val="auto"/>
          <w:kern w:val="0"/>
          <w:sz w:val="24"/>
          <w:highlight w:val="none"/>
          <w:lang w:val="zh-CN" w:bidi="zh-CN"/>
        </w:rPr>
      </w:pPr>
      <w:r>
        <w:rPr>
          <w:rFonts w:hint="eastAsia" w:ascii="宋体" w:hAnsi="宋体" w:cs="宋体"/>
          <w:color w:val="auto"/>
          <w:kern w:val="0"/>
          <w:sz w:val="24"/>
          <w:highlight w:val="none"/>
          <w:lang w:val="zh-CN" w:bidi="zh-CN"/>
        </w:rPr>
        <w:br w:type="page"/>
      </w:r>
    </w:p>
    <w:p w14:paraId="78CAF7A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通用合同条款</w:t>
      </w:r>
    </w:p>
    <w:p w14:paraId="51052896">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5729FA2B">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 w:name="_Toc98936674"/>
      <w:bookmarkStart w:id="12" w:name="_Toc75511034"/>
      <w:bookmarkStart w:id="13" w:name="_Toc3782"/>
      <w:bookmarkStart w:id="14" w:name="_Toc338944704"/>
      <w:bookmarkStart w:id="15" w:name="_Toc342296262"/>
      <w:r>
        <w:rPr>
          <w:rFonts w:hint="eastAsia" w:asciiTheme="minorEastAsia" w:hAnsiTheme="minorEastAsia" w:eastAsiaTheme="minorEastAsia" w:cstheme="minorEastAsia"/>
          <w:color w:val="auto"/>
          <w:sz w:val="21"/>
          <w:szCs w:val="21"/>
          <w:highlight w:val="none"/>
        </w:rPr>
        <w:t>1. 一般约定</w:t>
      </w:r>
      <w:bookmarkEnd w:id="11"/>
      <w:bookmarkEnd w:id="12"/>
      <w:bookmarkEnd w:id="13"/>
      <w:bookmarkEnd w:id="14"/>
      <w:bookmarkEnd w:id="15"/>
    </w:p>
    <w:p w14:paraId="3EA97A0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 w:name="_Toc342296263"/>
      <w:bookmarkStart w:id="17" w:name="_Toc98936675"/>
      <w:bookmarkStart w:id="18" w:name="_Toc14155"/>
      <w:bookmarkStart w:id="19" w:name="_Toc338944705"/>
      <w:bookmarkStart w:id="20" w:name="_Toc75511035"/>
      <w:r>
        <w:rPr>
          <w:rFonts w:hint="eastAsia" w:asciiTheme="minorEastAsia" w:hAnsiTheme="minorEastAsia" w:eastAsiaTheme="minorEastAsia" w:cstheme="minorEastAsia"/>
          <w:color w:val="auto"/>
          <w:sz w:val="21"/>
          <w:szCs w:val="21"/>
          <w:highlight w:val="none"/>
        </w:rPr>
        <w:t>1.1 词语定义</w:t>
      </w:r>
      <w:bookmarkEnd w:id="16"/>
      <w:bookmarkEnd w:id="17"/>
      <w:bookmarkEnd w:id="18"/>
      <w:bookmarkEnd w:id="19"/>
      <w:bookmarkEnd w:id="20"/>
    </w:p>
    <w:p w14:paraId="05C9AA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通用合同条款、专用合同条款中的下列词语应具有本款所赋予的含义。</w:t>
      </w:r>
    </w:p>
    <w:p w14:paraId="4EE2BD6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 合同</w:t>
      </w:r>
    </w:p>
    <w:p w14:paraId="5A7FE10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合同文件（或称合同）：指合同协议书、中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附录、专用合同条款、通用合同条款、技术标准和要求、图纸、已标价工程量清单，以及其他合同文件。</w:t>
      </w:r>
    </w:p>
    <w:p w14:paraId="33014F8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1.1.1.2 合同协议书：指第1.5款所指的合同协议书。</w:t>
      </w:r>
    </w:p>
    <w:p w14:paraId="438F4ED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1.1.1.3 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通知书：指发包人通知承包人中标的函件。</w:t>
      </w:r>
    </w:p>
    <w:p w14:paraId="5A556F7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1.1.1.4 </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：指构成合同文件组成部分的由承包人填写并签署的</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w:t>
      </w:r>
    </w:p>
    <w:p w14:paraId="604FF69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1.1.1.5 </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附录：指附在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后构成合同文件的</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67CB817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1.1.1.6 技术标准和要求：指构成合同文件组成部分的名为技术标准和要求的文件，包括合同双方当事人约定对其所作的修改或补充。</w:t>
      </w:r>
    </w:p>
    <w:p w14:paraId="265C0C9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1.1.1.7图纸：指包含在合同中的工程图纸，以及由发包人按合同约定提供的任何补充和修改的图纸，包括配套的说明。</w:t>
      </w:r>
    </w:p>
    <w:p w14:paraId="6F220DF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1.1.1.8 已标价工程量清单：指构成合同文件组成部分的由承包人按照规定的格式和要求填写并标明价格的工程量清单。</w:t>
      </w:r>
    </w:p>
    <w:p w14:paraId="7528D58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1.1.1.9 其他合同文件：指经合同双方当事人确认构成合同文件的其他文件。</w:t>
      </w:r>
    </w:p>
    <w:p w14:paraId="603576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 合同当事人和人员</w:t>
      </w:r>
    </w:p>
    <w:p w14:paraId="32B5C6A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 合同当事人:指发包人和（或）承包人。</w:t>
      </w:r>
    </w:p>
    <w:p w14:paraId="4D56BB0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 发包人：指专用合同条款中指明并与承包人在合同协议书中签字的当事人。</w:t>
      </w:r>
    </w:p>
    <w:p w14:paraId="367F052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1.1.2.3 承包人：指与发包人签订合同协议书的当事人。</w:t>
      </w:r>
    </w:p>
    <w:p w14:paraId="3CCFF2D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1.1.2.4 承包人项目经理：指承包人派驻施工场地的全权负责人。</w:t>
      </w:r>
    </w:p>
    <w:p w14:paraId="7067D90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1.1.2.5 分包人：指从承包人处分包合同中某一部分工程，并与其签订分包合同的分包人。</w:t>
      </w:r>
    </w:p>
    <w:p w14:paraId="2993236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1.1.2.6 监理人：指在专用合同条款中指明的，受发包人委托对合同履行实施管理的法人或其他组织。</w:t>
      </w:r>
    </w:p>
    <w:p w14:paraId="5AE7637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1.1.2.7 总监理工程师（总监）：指由监理人委派常驻施工场地对合同履行实施管理的全权负责人。</w:t>
      </w:r>
    </w:p>
    <w:p w14:paraId="0DA158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 工程和设备</w:t>
      </w:r>
    </w:p>
    <w:p w14:paraId="33B54E9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 工程：指永久工程和（或）临时工程。</w:t>
      </w:r>
    </w:p>
    <w:p w14:paraId="5A6E578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1.1.3.2 永久工程：指按合同约定建造并移交给发包人的工程，包括工程设备。</w:t>
      </w:r>
    </w:p>
    <w:p w14:paraId="283F7ED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1.1.3.3 临时工程：指为完成合同约定的永久工程所修建的各类临时性工程，不包括施工设备。</w:t>
      </w:r>
    </w:p>
    <w:p w14:paraId="6AE35F4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1.1.3.4 单位工程：指专用合同条款中指明特定范围的永久工程。</w:t>
      </w:r>
    </w:p>
    <w:p w14:paraId="611475F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1.1.3.5 工程设备：指构成或计划构成永久工程一部分的机电设备、金属结构设备、仪器装置及其他类似的设备和装置。</w:t>
      </w:r>
    </w:p>
    <w:p w14:paraId="28B23564">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1.1.3.6 施工设备：指为完成合同约定的各项工作所需的设备、器具和其他物品，不包括临时工程和材料。</w:t>
      </w:r>
    </w:p>
    <w:p w14:paraId="6891625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1.1.3.7 临时设施：指为完成合同约定的各项工作所服务的临时性生产和生活设施。</w:t>
      </w:r>
    </w:p>
    <w:p w14:paraId="167DDF4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1.1.3.8 承包人设备：指承包人自带的施工设备。</w:t>
      </w:r>
    </w:p>
    <w:p w14:paraId="3F5DDA5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1.1.3.9 施工场地（或称工地、现场）：指用于合同工程施工的场所，以及在合同中指定作为施工场地组成部分的其他场所，包括永久占地和临时占地。</w:t>
      </w:r>
    </w:p>
    <w:p w14:paraId="745B0C1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1.1.3.10 永久占地：指专用合同条款中指明为实施合同工程需永久占用的土地。</w:t>
      </w:r>
    </w:p>
    <w:p w14:paraId="7693C81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1.1.3.11 临时占地：指专用合同条款中指明为实施合同工程需临时占用的土地。</w:t>
      </w:r>
    </w:p>
    <w:p w14:paraId="17623A4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 日期</w:t>
      </w:r>
    </w:p>
    <w:p w14:paraId="0FE4CB1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1.1.4.1 开工通知：指监理人按第11.1款通知承包人开工的函件。</w:t>
      </w:r>
    </w:p>
    <w:p w14:paraId="1864091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1.1.4.2 开工日期：指监理人按第11.1款发出的开工通知中写明的开工日期。</w:t>
      </w:r>
    </w:p>
    <w:p w14:paraId="0AD0C44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1.1.4.3工期：指承包人在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中承诺的完成合同工程所需的期限，包括按第11.3款、第11.4款和第11.6款约定所作的变更。</w:t>
      </w:r>
    </w:p>
    <w:p w14:paraId="1021898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1.1.4.4 竣工日期：指第1.1.4.3目约定工期届满时的日期。实际竣工日期以工程接收证书中写明的日期为准。</w:t>
      </w:r>
    </w:p>
    <w:p w14:paraId="7F27F0A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1.1.4.5 缺陷责任期：指履行第19.2款约定的缺陷责任的期限，具体期限由专用合同条款约定，包括根据第19.3款约定所作的延长。</w:t>
      </w:r>
    </w:p>
    <w:p w14:paraId="047E08A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1.1.4.6 基准日期：指</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截止时间前28天的日期。</w:t>
      </w:r>
    </w:p>
    <w:p w14:paraId="1F3DB55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1.1.4.7 天：除特别指明外，指日历天。合同中按天计算时间的，开始当天不计入，从次日开始计算。期限最后一天的截止时间为当天24:00。</w:t>
      </w:r>
    </w:p>
    <w:p w14:paraId="2785E27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 合同价格和费用</w:t>
      </w:r>
    </w:p>
    <w:p w14:paraId="0FBA20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1.1.5.1 签约合同价：指签定合同时合同协议书中写明的，包括了暂列金额、暂估价的合同总金额。</w:t>
      </w:r>
    </w:p>
    <w:p w14:paraId="06D3CE6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1.1.5.2 合同价格：指承包人按合同约定完成了包括缺陷责任期内的全部承包工作后，发包人应付给承包人的金额，包括在履行合同过程中按合同约定进行的变更和调整。</w:t>
      </w:r>
    </w:p>
    <w:p w14:paraId="238FF2D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1.1.5.3 费用：指为履行合同所发生的或将要发生的所有合理开支，包括管理费和应分摊的其他费用，但不包括利润。</w:t>
      </w:r>
    </w:p>
    <w:p w14:paraId="06B44E5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4C8D5B7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1.1.5.5暂估价：指发包人在工程量清单中给定的用于支付必然发生但暂时不能确定价格的材料、设备以及专业工程的金额。</w:t>
      </w:r>
    </w:p>
    <w:p w14:paraId="78001B8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1.1.5.6 计日工：指对零星工作采取的一种计价方式，按合同中的计日工子目及其单价计价付款。</w:t>
      </w:r>
    </w:p>
    <w:p w14:paraId="5D81A30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1.1.5.7 质量保证金（或称保留金）：指按第17.4.1项约定用于保证在缺陷责任期内履行缺陷修复义务的金额。</w:t>
      </w:r>
    </w:p>
    <w:p w14:paraId="177CE32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 其他</w:t>
      </w:r>
    </w:p>
    <w:p w14:paraId="0CC4147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1.1.6.1 书面形式：指合同文件、信函、电报、传真等可以有形地表现所载内容的形式。</w:t>
      </w:r>
    </w:p>
    <w:p w14:paraId="7FB3272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1" w:name="_Toc179632631"/>
      <w:bookmarkStart w:id="22" w:name="_Toc98936676"/>
      <w:bookmarkStart w:id="23" w:name="_Toc152042391"/>
      <w:bookmarkStart w:id="24" w:name="_Toc22545"/>
      <w:bookmarkStart w:id="25" w:name="_Toc152045613"/>
      <w:bookmarkStart w:id="26" w:name="_Toc342296264"/>
      <w:bookmarkStart w:id="27" w:name="_Toc144974581"/>
      <w:bookmarkStart w:id="28" w:name="_Toc75511036"/>
      <w:bookmarkStart w:id="29" w:name="_Toc338944706"/>
      <w:r>
        <w:rPr>
          <w:rFonts w:hint="eastAsia" w:asciiTheme="minorEastAsia" w:hAnsiTheme="minorEastAsia" w:eastAsiaTheme="minorEastAsia" w:cstheme="minorEastAsia"/>
          <w:color w:val="auto"/>
          <w:sz w:val="21"/>
          <w:szCs w:val="21"/>
          <w:highlight w:val="none"/>
        </w:rPr>
        <w:t>1.2 语言文字</w:t>
      </w:r>
      <w:bookmarkEnd w:id="21"/>
      <w:bookmarkEnd w:id="22"/>
      <w:bookmarkEnd w:id="23"/>
      <w:bookmarkEnd w:id="24"/>
      <w:bookmarkEnd w:id="25"/>
      <w:bookmarkEnd w:id="26"/>
      <w:bookmarkEnd w:id="27"/>
      <w:bookmarkEnd w:id="28"/>
      <w:bookmarkEnd w:id="29"/>
    </w:p>
    <w:p w14:paraId="370812B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除专用术语外，合同使用的语言文字为中文。必要时专用术语应附有中文注释。</w:t>
      </w:r>
    </w:p>
    <w:p w14:paraId="73D92BF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 w:name="_Toc75511037"/>
      <w:bookmarkStart w:id="31" w:name="_Toc152045614"/>
      <w:bookmarkStart w:id="32" w:name="_Toc179632632"/>
      <w:bookmarkStart w:id="33" w:name="_Toc27114"/>
      <w:bookmarkStart w:id="34" w:name="_Toc98936677"/>
      <w:bookmarkStart w:id="35" w:name="_Toc144974582"/>
      <w:bookmarkStart w:id="36" w:name="_Toc338944707"/>
      <w:bookmarkStart w:id="37" w:name="_Toc342296265"/>
      <w:bookmarkStart w:id="38" w:name="_Toc152042392"/>
      <w:r>
        <w:rPr>
          <w:rFonts w:hint="eastAsia" w:asciiTheme="minorEastAsia" w:hAnsiTheme="minorEastAsia" w:eastAsiaTheme="minorEastAsia" w:cstheme="minorEastAsia"/>
          <w:color w:val="auto"/>
          <w:sz w:val="21"/>
          <w:szCs w:val="21"/>
          <w:highlight w:val="none"/>
        </w:rPr>
        <w:t>1.3 法律</w:t>
      </w:r>
      <w:bookmarkEnd w:id="30"/>
      <w:bookmarkEnd w:id="31"/>
      <w:bookmarkEnd w:id="32"/>
      <w:bookmarkEnd w:id="33"/>
      <w:bookmarkEnd w:id="34"/>
      <w:bookmarkEnd w:id="35"/>
      <w:bookmarkEnd w:id="36"/>
      <w:bookmarkEnd w:id="37"/>
      <w:bookmarkEnd w:id="38"/>
    </w:p>
    <w:p w14:paraId="208FAE7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适用于合同的法律包括中华人民共和国法律、行政法规、部门规章，以及工程所在地的地方法规、自治条例、单行条例和地方政府规章。</w:t>
      </w:r>
    </w:p>
    <w:p w14:paraId="7809D7E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9" w:name="_Toc338944708"/>
      <w:bookmarkStart w:id="40" w:name="_Toc20047"/>
      <w:bookmarkStart w:id="41" w:name="_Toc75511038"/>
      <w:bookmarkStart w:id="42" w:name="_Toc98936678"/>
      <w:bookmarkStart w:id="43" w:name="_Toc342296266"/>
      <w:r>
        <w:rPr>
          <w:rFonts w:hint="eastAsia" w:asciiTheme="minorEastAsia" w:hAnsiTheme="minorEastAsia" w:eastAsiaTheme="minorEastAsia" w:cstheme="minorEastAsia"/>
          <w:color w:val="auto"/>
          <w:sz w:val="21"/>
          <w:szCs w:val="21"/>
          <w:highlight w:val="none"/>
        </w:rPr>
        <w:t>1.4 合同文件的优先顺序</w:t>
      </w:r>
      <w:bookmarkEnd w:id="39"/>
      <w:bookmarkEnd w:id="40"/>
      <w:bookmarkEnd w:id="41"/>
      <w:bookmarkEnd w:id="42"/>
      <w:bookmarkEnd w:id="43"/>
    </w:p>
    <w:p w14:paraId="33CF4FC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组成合同的各项文件应互相解释，互为说明。除专用合同条款另有约定外，解释合同文件的优先顺序如下：</w:t>
      </w:r>
    </w:p>
    <w:p w14:paraId="6AE5FD47">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（1）合同协议书；</w:t>
      </w:r>
    </w:p>
    <w:p w14:paraId="4ADD74A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（2）中选通知书；</w:t>
      </w:r>
    </w:p>
    <w:p w14:paraId="25FC5B1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48F7FFFB">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7A34C16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4E40494A">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（6）技术标准和要求；</w:t>
      </w:r>
    </w:p>
    <w:p w14:paraId="0691BBE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（7）图纸；</w:t>
      </w:r>
    </w:p>
    <w:p w14:paraId="203F9D2D">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（8）已标价工程量清单；</w:t>
      </w:r>
    </w:p>
    <w:p w14:paraId="3A0B76E7">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（9）其他合同文件。</w:t>
      </w:r>
    </w:p>
    <w:p w14:paraId="578B113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4" w:name="_Toc338944709"/>
      <w:bookmarkStart w:id="45" w:name="_Toc12291"/>
      <w:bookmarkStart w:id="46" w:name="_Toc98936679"/>
      <w:bookmarkStart w:id="47" w:name="_Toc342296267"/>
      <w:bookmarkStart w:id="48" w:name="_Toc75511039"/>
      <w:r>
        <w:rPr>
          <w:rFonts w:hint="eastAsia" w:asciiTheme="minorEastAsia" w:hAnsiTheme="minorEastAsia" w:eastAsiaTheme="minorEastAsia" w:cstheme="minorEastAsia"/>
          <w:color w:val="auto"/>
          <w:sz w:val="21"/>
          <w:szCs w:val="21"/>
          <w:highlight w:val="none"/>
        </w:rPr>
        <w:t>1.5 合同协议书</w:t>
      </w:r>
      <w:bookmarkEnd w:id="44"/>
      <w:bookmarkEnd w:id="45"/>
      <w:bookmarkEnd w:id="46"/>
      <w:bookmarkEnd w:id="47"/>
      <w:bookmarkEnd w:id="48"/>
    </w:p>
    <w:p w14:paraId="01F3797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承包人按中选通知书规定的时间与发包人签订合同协议书。除法律另有规定或合同另有约定外，发包人和承包人的法定代表人或其委托代理人在合同协议书上签字并盖单位章后，合同生效。</w:t>
      </w:r>
    </w:p>
    <w:p w14:paraId="6B07519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9" w:name="_Toc98936680"/>
      <w:bookmarkStart w:id="50" w:name="_Toc2097"/>
      <w:bookmarkStart w:id="51" w:name="_Toc338944710"/>
      <w:bookmarkStart w:id="52" w:name="_Toc342296268"/>
      <w:bookmarkStart w:id="53" w:name="_Toc75511040"/>
      <w:r>
        <w:rPr>
          <w:rFonts w:hint="eastAsia" w:asciiTheme="minorEastAsia" w:hAnsiTheme="minorEastAsia" w:eastAsiaTheme="minorEastAsia" w:cstheme="minorEastAsia"/>
          <w:color w:val="auto"/>
          <w:sz w:val="21"/>
          <w:szCs w:val="21"/>
          <w:highlight w:val="none"/>
        </w:rPr>
        <w:t>1.6 图纸和承包人文件</w:t>
      </w:r>
      <w:bookmarkEnd w:id="49"/>
      <w:bookmarkEnd w:id="50"/>
      <w:bookmarkEnd w:id="51"/>
      <w:bookmarkEnd w:id="52"/>
      <w:bookmarkEnd w:id="53"/>
    </w:p>
    <w:p w14:paraId="263182A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1.6.1图纸的提供</w:t>
      </w:r>
    </w:p>
    <w:p w14:paraId="3F172B3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除专用合同条款另有约定外，图纸应在合理的期限内按照合同约定的数量提供给承包人。由于发包人未按时提供图纸造成工期延误的，按第11.3款的约定办理。</w:t>
      </w:r>
    </w:p>
    <w:p w14:paraId="29171A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 承包人提供的文件</w:t>
      </w:r>
    </w:p>
    <w:p w14:paraId="0DB51115">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按专用合同条款约定由承包人提供的文件，包括部分工程的大样图、加工图等，承包人应按约定的数量和期限报送监理人。监理人应在专用合同条款约定的期限内批复。</w:t>
      </w:r>
    </w:p>
    <w:p w14:paraId="5C0A04F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1.6.3 图纸的修改</w:t>
      </w:r>
    </w:p>
    <w:p w14:paraId="525694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14:paraId="694827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1.6.4 图纸的错误</w:t>
      </w:r>
    </w:p>
    <w:p w14:paraId="3F17981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承包人发现发包人提供的图纸存在明显错误或疏忽，应及时通知监理人。</w:t>
      </w:r>
    </w:p>
    <w:p w14:paraId="0423E4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1.6.5 图纸和承包人文件的保管</w:t>
      </w:r>
    </w:p>
    <w:p w14:paraId="5B025A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监理人和承包人均应在施工场地各保存一套完整的包含第1.6.1项、第1.6.2项、第1.6.3项约定内容的图纸和承包人文件。</w:t>
      </w:r>
    </w:p>
    <w:p w14:paraId="39E8FF3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4" w:name="_Toc18935"/>
      <w:bookmarkStart w:id="55" w:name="_Toc338944711"/>
      <w:bookmarkStart w:id="56" w:name="_Toc342296269"/>
      <w:bookmarkStart w:id="57" w:name="_Toc98936681"/>
      <w:bookmarkStart w:id="58" w:name="_Toc75511041"/>
      <w:r>
        <w:rPr>
          <w:rFonts w:hint="eastAsia" w:asciiTheme="minorEastAsia" w:hAnsiTheme="minorEastAsia" w:eastAsiaTheme="minorEastAsia" w:cstheme="minorEastAsia"/>
          <w:color w:val="auto"/>
          <w:sz w:val="21"/>
          <w:szCs w:val="21"/>
          <w:highlight w:val="none"/>
        </w:rPr>
        <w:t>1.7 联络</w:t>
      </w:r>
      <w:bookmarkEnd w:id="54"/>
      <w:bookmarkEnd w:id="55"/>
      <w:bookmarkEnd w:id="56"/>
      <w:bookmarkEnd w:id="57"/>
      <w:bookmarkEnd w:id="58"/>
    </w:p>
    <w:p w14:paraId="26C843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 与合同有关的通知、批准、证明、证书、指示、要求、请求、同意、意见、确定和决定等，均应采用书面形式。</w:t>
      </w:r>
    </w:p>
    <w:p w14:paraId="509E484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 第1.7.1项中的通知、批准、证明、证书、指示、要求、请求、同意、意见、确定和决定等来往函件，均应在合同约定的期限内送达指定地点和接收人，并办理签收手续。</w:t>
      </w:r>
    </w:p>
    <w:p w14:paraId="30E6C85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 w:name="_Toc338944712"/>
      <w:bookmarkStart w:id="60" w:name="_Toc342296270"/>
      <w:bookmarkStart w:id="61" w:name="_Toc144974587"/>
      <w:bookmarkStart w:id="62" w:name="_Toc98936682"/>
      <w:bookmarkStart w:id="63" w:name="_Toc152042397"/>
      <w:bookmarkStart w:id="64" w:name="_Toc179632637"/>
      <w:bookmarkStart w:id="65" w:name="_Toc7973"/>
      <w:bookmarkStart w:id="66" w:name="_Toc152045619"/>
      <w:bookmarkStart w:id="67" w:name="_Toc75511042"/>
      <w:r>
        <w:rPr>
          <w:rFonts w:hint="eastAsia" w:asciiTheme="minorEastAsia" w:hAnsiTheme="minorEastAsia" w:eastAsiaTheme="minorEastAsia" w:cstheme="minorEastAsia"/>
          <w:color w:val="auto"/>
          <w:sz w:val="21"/>
          <w:szCs w:val="21"/>
          <w:highlight w:val="none"/>
        </w:rPr>
        <w:t>1.8 转让</w:t>
      </w:r>
      <w:bookmarkEnd w:id="59"/>
      <w:bookmarkEnd w:id="60"/>
      <w:bookmarkEnd w:id="61"/>
      <w:bookmarkEnd w:id="62"/>
      <w:bookmarkEnd w:id="63"/>
      <w:bookmarkEnd w:id="64"/>
      <w:bookmarkEnd w:id="65"/>
      <w:bookmarkEnd w:id="66"/>
      <w:bookmarkEnd w:id="67"/>
    </w:p>
    <w:p w14:paraId="41C9D64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除合同另有约定外，未经对方当事人同意，一方当事人不得将合同权利全部或部分转让给第三人，也不得全部或部分转移合同义务。</w:t>
      </w:r>
    </w:p>
    <w:p w14:paraId="0FDDCAF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 w:name="_Toc9160"/>
      <w:bookmarkStart w:id="69" w:name="_Toc152045620"/>
      <w:bookmarkStart w:id="70" w:name="_Toc338944713"/>
      <w:bookmarkStart w:id="71" w:name="_Toc98936683"/>
      <w:bookmarkStart w:id="72" w:name="_Toc342296271"/>
      <w:bookmarkStart w:id="73" w:name="_Toc144974588"/>
      <w:bookmarkStart w:id="74" w:name="_Toc152042398"/>
      <w:bookmarkStart w:id="75" w:name="_Toc179632638"/>
      <w:bookmarkStart w:id="76" w:name="_Toc75511043"/>
      <w:r>
        <w:rPr>
          <w:rFonts w:hint="eastAsia" w:asciiTheme="minorEastAsia" w:hAnsiTheme="minorEastAsia" w:eastAsiaTheme="minorEastAsia" w:cstheme="minorEastAsia"/>
          <w:color w:val="auto"/>
          <w:sz w:val="21"/>
          <w:szCs w:val="21"/>
          <w:highlight w:val="none"/>
        </w:rPr>
        <w:t>1.9 严禁贿赂</w:t>
      </w:r>
      <w:bookmarkEnd w:id="68"/>
      <w:bookmarkEnd w:id="69"/>
      <w:bookmarkEnd w:id="70"/>
      <w:bookmarkEnd w:id="71"/>
      <w:bookmarkEnd w:id="72"/>
      <w:bookmarkEnd w:id="73"/>
      <w:bookmarkEnd w:id="74"/>
      <w:bookmarkEnd w:id="75"/>
      <w:bookmarkEnd w:id="76"/>
    </w:p>
    <w:p w14:paraId="4128D7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合同双方当事人不得以贿赂或变相贿赂的方式，谋取不当利益或损害对方权益。因贿赂造成对方损失的，行为人应赔偿损失，并承担相应的法律责任。</w:t>
      </w:r>
    </w:p>
    <w:p w14:paraId="3064EF7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7" w:name="_Toc152042399"/>
      <w:bookmarkStart w:id="78" w:name="_Toc75511044"/>
      <w:bookmarkStart w:id="79" w:name="_Toc179632639"/>
      <w:bookmarkStart w:id="80" w:name="_Toc20041"/>
      <w:bookmarkStart w:id="81" w:name="_Toc338944714"/>
      <w:bookmarkStart w:id="82" w:name="_Toc144974589"/>
      <w:bookmarkStart w:id="83" w:name="_Toc152045621"/>
      <w:bookmarkStart w:id="84" w:name="_Toc342296272"/>
      <w:bookmarkStart w:id="85" w:name="_Toc98936684"/>
      <w:r>
        <w:rPr>
          <w:rFonts w:hint="eastAsia" w:asciiTheme="minorEastAsia" w:hAnsiTheme="minorEastAsia" w:eastAsiaTheme="minorEastAsia" w:cstheme="minorEastAsia"/>
          <w:color w:val="auto"/>
          <w:sz w:val="21"/>
          <w:szCs w:val="21"/>
          <w:highlight w:val="none"/>
        </w:rPr>
        <w:t>1.10 化石、文物</w:t>
      </w:r>
      <w:bookmarkEnd w:id="77"/>
      <w:bookmarkEnd w:id="78"/>
      <w:bookmarkEnd w:id="79"/>
      <w:bookmarkEnd w:id="80"/>
      <w:bookmarkEnd w:id="81"/>
      <w:bookmarkEnd w:id="82"/>
      <w:bookmarkEnd w:id="83"/>
      <w:bookmarkEnd w:id="84"/>
      <w:bookmarkEnd w:id="85"/>
    </w:p>
    <w:p w14:paraId="2F4C2DE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144B9A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1.10.2 承包人发现文物后不及时报告或隐瞒不报，致使文物丢失或损坏的，应赔偿损失，并承担相应的法律责任。</w:t>
      </w:r>
    </w:p>
    <w:p w14:paraId="2D67D43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6" w:name="_Toc152042400"/>
      <w:bookmarkStart w:id="87" w:name="_Toc152045622"/>
      <w:bookmarkStart w:id="88" w:name="_Toc98936685"/>
      <w:bookmarkStart w:id="89" w:name="_Toc342296273"/>
      <w:bookmarkStart w:id="90" w:name="_Toc5814"/>
      <w:bookmarkStart w:id="91" w:name="_Toc179632640"/>
      <w:bookmarkStart w:id="92" w:name="_Toc338944715"/>
      <w:bookmarkStart w:id="93" w:name="_Toc75511045"/>
      <w:bookmarkStart w:id="94" w:name="_Toc144974590"/>
      <w:r>
        <w:rPr>
          <w:rFonts w:hint="eastAsia" w:asciiTheme="minorEastAsia" w:hAnsiTheme="minorEastAsia" w:eastAsiaTheme="minorEastAsia" w:cstheme="minorEastAsia"/>
          <w:color w:val="auto"/>
          <w:sz w:val="21"/>
          <w:szCs w:val="21"/>
          <w:highlight w:val="none"/>
        </w:rPr>
        <w:t>1.11 专利技术</w:t>
      </w:r>
      <w:bookmarkEnd w:id="86"/>
      <w:bookmarkEnd w:id="87"/>
      <w:bookmarkEnd w:id="88"/>
      <w:bookmarkEnd w:id="89"/>
      <w:bookmarkEnd w:id="90"/>
      <w:bookmarkEnd w:id="91"/>
      <w:bookmarkEnd w:id="92"/>
      <w:bookmarkEnd w:id="93"/>
      <w:bookmarkEnd w:id="94"/>
    </w:p>
    <w:p w14:paraId="77E5B8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1AD85FC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1.11.2 承包人在</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文件中采用专利技术的，专利技术的使用费包含在</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报价内。</w:t>
      </w:r>
    </w:p>
    <w:p w14:paraId="6ED4D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1.11.3 承包人的技术秘密和声明需要保密的资料和信息，发包人和监理人不得为合同以外的目的泄露给他人。</w:t>
      </w:r>
    </w:p>
    <w:p w14:paraId="79121B7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5" w:name="_Toc75511046"/>
      <w:bookmarkStart w:id="96" w:name="_Toc144974591"/>
      <w:bookmarkStart w:id="97" w:name="_Toc98936686"/>
      <w:bookmarkStart w:id="98" w:name="_Toc342296274"/>
      <w:bookmarkStart w:id="99" w:name="_Toc21006"/>
      <w:bookmarkStart w:id="100" w:name="_Toc338944716"/>
      <w:bookmarkStart w:id="101" w:name="_Toc179632641"/>
      <w:bookmarkStart w:id="102" w:name="_Toc152045623"/>
      <w:bookmarkStart w:id="103" w:name="_Toc152042401"/>
      <w:r>
        <w:rPr>
          <w:rFonts w:hint="eastAsia" w:asciiTheme="minorEastAsia" w:hAnsiTheme="minorEastAsia" w:eastAsiaTheme="minorEastAsia" w:cstheme="minorEastAsia"/>
          <w:color w:val="auto"/>
          <w:sz w:val="21"/>
          <w:szCs w:val="21"/>
          <w:highlight w:val="none"/>
        </w:rPr>
        <w:t>1.12 图纸和文件的保密</w:t>
      </w:r>
      <w:bookmarkEnd w:id="95"/>
      <w:bookmarkEnd w:id="96"/>
      <w:bookmarkEnd w:id="97"/>
      <w:bookmarkEnd w:id="98"/>
      <w:bookmarkEnd w:id="99"/>
      <w:bookmarkEnd w:id="100"/>
      <w:bookmarkEnd w:id="101"/>
      <w:bookmarkEnd w:id="102"/>
      <w:bookmarkEnd w:id="103"/>
    </w:p>
    <w:p w14:paraId="4B88B0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 发包人提供的图纸和文件，未经发包人同意，承包人不得为合同以外的目的泄露给他人或公开发表与引用。</w:t>
      </w:r>
    </w:p>
    <w:p w14:paraId="6368EC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 承包人提供的文件，未经承包人同意，发包人和监理人不得为合同以外的目的泄露给他人或公开发表与引用。</w:t>
      </w:r>
    </w:p>
    <w:p w14:paraId="330A10C5">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4" w:name="_Toc98936687"/>
      <w:bookmarkStart w:id="105" w:name="_Toc75511047"/>
      <w:bookmarkStart w:id="106" w:name="_Toc338944717"/>
      <w:bookmarkStart w:id="107" w:name="_Toc342296275"/>
      <w:bookmarkStart w:id="108" w:name="_Toc23769"/>
      <w:r>
        <w:rPr>
          <w:rFonts w:hint="eastAsia" w:asciiTheme="minorEastAsia" w:hAnsiTheme="minorEastAsia" w:eastAsiaTheme="minorEastAsia" w:cstheme="minorEastAsia"/>
          <w:color w:val="auto"/>
          <w:sz w:val="21"/>
          <w:szCs w:val="21"/>
          <w:highlight w:val="none"/>
        </w:rPr>
        <w:t>2. 发包人义务</w:t>
      </w:r>
      <w:bookmarkEnd w:id="104"/>
      <w:bookmarkEnd w:id="105"/>
      <w:bookmarkEnd w:id="106"/>
      <w:bookmarkEnd w:id="107"/>
      <w:bookmarkEnd w:id="108"/>
    </w:p>
    <w:p w14:paraId="79564FA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9" w:name="_Toc152042403"/>
      <w:bookmarkStart w:id="110" w:name="_Toc144974593"/>
      <w:bookmarkStart w:id="111" w:name="_Toc152045625"/>
      <w:bookmarkStart w:id="112" w:name="_Toc342296276"/>
      <w:bookmarkStart w:id="113" w:name="_Toc98936688"/>
      <w:bookmarkStart w:id="114" w:name="_Toc75511048"/>
      <w:bookmarkStart w:id="115" w:name="_Toc179632643"/>
      <w:bookmarkStart w:id="116" w:name="_Toc22000"/>
      <w:bookmarkStart w:id="117" w:name="_Toc338944718"/>
      <w:r>
        <w:rPr>
          <w:rFonts w:hint="eastAsia" w:asciiTheme="minorEastAsia" w:hAnsiTheme="minorEastAsia" w:eastAsiaTheme="minorEastAsia" w:cstheme="minorEastAsia"/>
          <w:color w:val="auto"/>
          <w:sz w:val="21"/>
          <w:szCs w:val="21"/>
          <w:highlight w:val="none"/>
        </w:rPr>
        <w:t>2.1 遵守法律</w:t>
      </w:r>
      <w:bookmarkEnd w:id="109"/>
      <w:bookmarkEnd w:id="110"/>
      <w:bookmarkEnd w:id="111"/>
      <w:bookmarkEnd w:id="112"/>
      <w:bookmarkEnd w:id="113"/>
      <w:bookmarkEnd w:id="114"/>
      <w:bookmarkEnd w:id="115"/>
      <w:bookmarkEnd w:id="116"/>
      <w:bookmarkEnd w:id="117"/>
    </w:p>
    <w:p w14:paraId="2C71E3D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发包人在履行合同过程中应遵守法律，并保证承包人免于承担因发包人违反法律而引起的任何责任。</w:t>
      </w:r>
    </w:p>
    <w:p w14:paraId="72FB9EC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8" w:name="_Toc338944719"/>
      <w:bookmarkStart w:id="119" w:name="_Toc98936689"/>
      <w:bookmarkStart w:id="120" w:name="_Toc342296277"/>
      <w:bookmarkStart w:id="121" w:name="_Toc28280"/>
      <w:bookmarkStart w:id="122" w:name="_Toc75511049"/>
      <w:bookmarkStart w:id="123" w:name="_Toc152042404"/>
      <w:bookmarkStart w:id="124" w:name="_Toc144974594"/>
      <w:bookmarkStart w:id="125" w:name="_Toc179632644"/>
      <w:bookmarkStart w:id="126" w:name="_Toc152045626"/>
      <w:r>
        <w:rPr>
          <w:rFonts w:hint="eastAsia" w:asciiTheme="minorEastAsia" w:hAnsiTheme="minorEastAsia" w:eastAsiaTheme="minorEastAsia" w:cstheme="minorEastAsia"/>
          <w:color w:val="auto"/>
          <w:sz w:val="21"/>
          <w:szCs w:val="21"/>
          <w:highlight w:val="none"/>
        </w:rPr>
        <w:t>2.2 发出开工通知</w:t>
      </w:r>
      <w:bookmarkEnd w:id="118"/>
      <w:bookmarkEnd w:id="119"/>
      <w:bookmarkEnd w:id="120"/>
      <w:bookmarkEnd w:id="121"/>
      <w:bookmarkEnd w:id="122"/>
      <w:bookmarkEnd w:id="123"/>
      <w:bookmarkEnd w:id="124"/>
      <w:bookmarkEnd w:id="125"/>
      <w:bookmarkEnd w:id="126"/>
    </w:p>
    <w:p w14:paraId="7DCC01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发包人应委托监理人按第11.1款的约定向承包人发出开工通知。</w:t>
      </w:r>
    </w:p>
    <w:p w14:paraId="6501822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7" w:name="_Toc98936690"/>
      <w:bookmarkStart w:id="128" w:name="_Toc75511050"/>
      <w:bookmarkStart w:id="129" w:name="_Toc26856"/>
      <w:bookmarkStart w:id="130" w:name="_Toc342296278"/>
      <w:bookmarkStart w:id="131" w:name="_Toc338944720"/>
      <w:r>
        <w:rPr>
          <w:rFonts w:hint="eastAsia" w:asciiTheme="minorEastAsia" w:hAnsiTheme="minorEastAsia" w:eastAsiaTheme="minorEastAsia" w:cstheme="minorEastAsia"/>
          <w:color w:val="auto"/>
          <w:sz w:val="21"/>
          <w:szCs w:val="21"/>
          <w:highlight w:val="none"/>
        </w:rPr>
        <w:t>2.3 提供施工场地</w:t>
      </w:r>
      <w:bookmarkEnd w:id="127"/>
      <w:bookmarkEnd w:id="128"/>
      <w:bookmarkEnd w:id="129"/>
      <w:bookmarkEnd w:id="130"/>
      <w:bookmarkEnd w:id="131"/>
    </w:p>
    <w:p w14:paraId="78143BC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发包人应按专用合同条款约定向承包人提供施工场地，以及施工场地内地下管线和地下设施等有关资料，并保证资料的真实、准确、完整。</w:t>
      </w:r>
    </w:p>
    <w:p w14:paraId="680520F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2" w:name="_Toc342296279"/>
      <w:bookmarkStart w:id="133" w:name="_Toc152045628"/>
      <w:bookmarkStart w:id="134" w:name="_Toc152042406"/>
      <w:bookmarkStart w:id="135" w:name="_Toc32558"/>
      <w:bookmarkStart w:id="136" w:name="_Toc98936691"/>
      <w:bookmarkStart w:id="137" w:name="_Toc338944721"/>
      <w:bookmarkStart w:id="138" w:name="_Toc144974596"/>
      <w:bookmarkStart w:id="139" w:name="_Toc75511051"/>
      <w:bookmarkStart w:id="140" w:name="_Toc179632646"/>
      <w:r>
        <w:rPr>
          <w:rFonts w:hint="eastAsia" w:asciiTheme="minorEastAsia" w:hAnsiTheme="minorEastAsia" w:eastAsiaTheme="minorEastAsia" w:cstheme="minorEastAsia"/>
          <w:color w:val="auto"/>
          <w:sz w:val="21"/>
          <w:szCs w:val="21"/>
          <w:highlight w:val="none"/>
        </w:rPr>
        <w:t>2.4 协助承包人办理证件和批件</w:t>
      </w:r>
      <w:bookmarkEnd w:id="132"/>
      <w:bookmarkEnd w:id="133"/>
      <w:bookmarkEnd w:id="134"/>
      <w:bookmarkEnd w:id="135"/>
      <w:bookmarkEnd w:id="136"/>
      <w:bookmarkEnd w:id="137"/>
      <w:bookmarkEnd w:id="138"/>
      <w:bookmarkEnd w:id="139"/>
      <w:bookmarkEnd w:id="140"/>
    </w:p>
    <w:p w14:paraId="48C6D7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发包人应协助承包人办理法律规定的有关施工证件和批件。</w:t>
      </w:r>
    </w:p>
    <w:p w14:paraId="133ABC0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1" w:name="_Toc98936692"/>
      <w:bookmarkStart w:id="142" w:name="_Toc75511052"/>
      <w:bookmarkStart w:id="143" w:name="_Toc338944722"/>
      <w:bookmarkStart w:id="144" w:name="_Toc30347"/>
      <w:bookmarkStart w:id="145" w:name="_Toc342296280"/>
      <w:r>
        <w:rPr>
          <w:rFonts w:hint="eastAsia" w:asciiTheme="minorEastAsia" w:hAnsiTheme="minorEastAsia" w:eastAsiaTheme="minorEastAsia" w:cstheme="minorEastAsia"/>
          <w:color w:val="auto"/>
          <w:sz w:val="21"/>
          <w:szCs w:val="21"/>
          <w:highlight w:val="none"/>
        </w:rPr>
        <w:t>2.5 组织设计交底</w:t>
      </w:r>
      <w:bookmarkEnd w:id="141"/>
      <w:bookmarkEnd w:id="142"/>
      <w:bookmarkEnd w:id="143"/>
      <w:bookmarkEnd w:id="144"/>
      <w:bookmarkEnd w:id="145"/>
    </w:p>
    <w:p w14:paraId="4A4E70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发包人应根据合同进度计划，组织设计单位向承包人进行设计交底。</w:t>
      </w:r>
    </w:p>
    <w:p w14:paraId="69248CB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6" w:name="_Toc75511053"/>
      <w:bookmarkStart w:id="147" w:name="_Toc16666"/>
      <w:bookmarkStart w:id="148" w:name="_Toc338944723"/>
      <w:bookmarkStart w:id="149" w:name="_Toc342296281"/>
      <w:bookmarkStart w:id="150" w:name="_Toc98936693"/>
      <w:r>
        <w:rPr>
          <w:rFonts w:hint="eastAsia" w:asciiTheme="minorEastAsia" w:hAnsiTheme="minorEastAsia" w:eastAsiaTheme="minorEastAsia" w:cstheme="minorEastAsia"/>
          <w:color w:val="auto"/>
          <w:sz w:val="21"/>
          <w:szCs w:val="21"/>
          <w:highlight w:val="none"/>
        </w:rPr>
        <w:t>2.6 支付合同价款</w:t>
      </w:r>
      <w:bookmarkEnd w:id="146"/>
      <w:bookmarkEnd w:id="147"/>
      <w:bookmarkEnd w:id="148"/>
      <w:bookmarkEnd w:id="149"/>
      <w:bookmarkEnd w:id="150"/>
    </w:p>
    <w:p w14:paraId="0403AD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发包人应按合同约定向承包人及时支付合同价款。</w:t>
      </w:r>
    </w:p>
    <w:p w14:paraId="7AE5817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1" w:name="_Toc152045631"/>
      <w:bookmarkStart w:id="152" w:name="_Toc29162"/>
      <w:bookmarkStart w:id="153" w:name="_Toc179632649"/>
      <w:bookmarkStart w:id="154" w:name="_Toc338944724"/>
      <w:bookmarkStart w:id="155" w:name="_Toc342296282"/>
      <w:bookmarkStart w:id="156" w:name="_Toc144974599"/>
      <w:bookmarkStart w:id="157" w:name="_Toc75511054"/>
      <w:bookmarkStart w:id="158" w:name="_Toc98936694"/>
      <w:bookmarkStart w:id="159" w:name="_Toc152042409"/>
      <w:r>
        <w:rPr>
          <w:rFonts w:hint="eastAsia" w:asciiTheme="minorEastAsia" w:hAnsiTheme="minorEastAsia" w:eastAsiaTheme="minorEastAsia" w:cstheme="minorEastAsia"/>
          <w:color w:val="auto"/>
          <w:sz w:val="21"/>
          <w:szCs w:val="21"/>
          <w:highlight w:val="none"/>
        </w:rPr>
        <w:t>2.7 组织竣工验收</w:t>
      </w:r>
      <w:bookmarkEnd w:id="151"/>
      <w:bookmarkEnd w:id="152"/>
      <w:bookmarkEnd w:id="153"/>
      <w:bookmarkEnd w:id="154"/>
      <w:bookmarkEnd w:id="155"/>
      <w:bookmarkEnd w:id="156"/>
      <w:bookmarkEnd w:id="157"/>
      <w:bookmarkEnd w:id="158"/>
      <w:bookmarkEnd w:id="159"/>
    </w:p>
    <w:p w14:paraId="5673E2F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发包人应按合同约定及时组织竣工验收。</w:t>
      </w:r>
    </w:p>
    <w:p w14:paraId="30A6A5A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0" w:name="_Toc75511055"/>
      <w:bookmarkStart w:id="161" w:name="_Toc342296283"/>
      <w:bookmarkStart w:id="162" w:name="_Toc338944725"/>
      <w:bookmarkStart w:id="163" w:name="_Toc98936695"/>
      <w:bookmarkStart w:id="164" w:name="_Toc1710"/>
      <w:r>
        <w:rPr>
          <w:rFonts w:hint="eastAsia" w:asciiTheme="minorEastAsia" w:hAnsiTheme="minorEastAsia" w:eastAsiaTheme="minorEastAsia" w:cstheme="minorEastAsia"/>
          <w:color w:val="auto"/>
          <w:sz w:val="21"/>
          <w:szCs w:val="21"/>
          <w:highlight w:val="none"/>
        </w:rPr>
        <w:t>2.8 其他义务</w:t>
      </w:r>
      <w:bookmarkEnd w:id="160"/>
      <w:bookmarkEnd w:id="161"/>
      <w:bookmarkEnd w:id="162"/>
      <w:bookmarkEnd w:id="163"/>
      <w:bookmarkEnd w:id="164"/>
    </w:p>
    <w:p w14:paraId="29F908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发包人应履行合同约定的其他义务。</w:t>
      </w:r>
    </w:p>
    <w:p w14:paraId="31BA4A60">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5" w:name="_Toc98936696"/>
      <w:bookmarkStart w:id="166" w:name="_Toc342296284"/>
      <w:bookmarkStart w:id="167" w:name="_Toc2229"/>
      <w:bookmarkStart w:id="168" w:name="_Toc75511056"/>
      <w:bookmarkStart w:id="169" w:name="_Toc338944726"/>
      <w:r>
        <w:rPr>
          <w:rFonts w:hint="eastAsia" w:asciiTheme="minorEastAsia" w:hAnsiTheme="minorEastAsia" w:eastAsiaTheme="minorEastAsia" w:cstheme="minorEastAsia"/>
          <w:color w:val="auto"/>
          <w:sz w:val="21"/>
          <w:szCs w:val="21"/>
          <w:highlight w:val="none"/>
        </w:rPr>
        <w:t>3. 监理人</w:t>
      </w:r>
      <w:bookmarkEnd w:id="165"/>
      <w:bookmarkEnd w:id="166"/>
      <w:bookmarkEnd w:id="167"/>
      <w:bookmarkEnd w:id="168"/>
      <w:bookmarkEnd w:id="169"/>
    </w:p>
    <w:p w14:paraId="54B6AE3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0" w:name="_Toc98936697"/>
      <w:bookmarkStart w:id="171" w:name="_Toc24538"/>
      <w:bookmarkStart w:id="172" w:name="_Toc342296285"/>
      <w:bookmarkStart w:id="173" w:name="_Toc338944727"/>
      <w:bookmarkStart w:id="174" w:name="_Toc75511057"/>
      <w:r>
        <w:rPr>
          <w:rFonts w:hint="eastAsia" w:asciiTheme="minorEastAsia" w:hAnsiTheme="minorEastAsia" w:eastAsiaTheme="minorEastAsia" w:cstheme="minorEastAsia"/>
          <w:color w:val="auto"/>
          <w:sz w:val="21"/>
          <w:szCs w:val="21"/>
          <w:highlight w:val="none"/>
        </w:rPr>
        <w:t>3.1 监理人的职责和权力</w:t>
      </w:r>
      <w:bookmarkEnd w:id="170"/>
      <w:bookmarkEnd w:id="171"/>
      <w:bookmarkEnd w:id="172"/>
      <w:bookmarkEnd w:id="173"/>
      <w:bookmarkEnd w:id="174"/>
    </w:p>
    <w:p w14:paraId="2605D2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 监理人受发包人委托，享有合同约定的权力。监理人在行使某项权力前需要经发包人事先批准而通用合同条款没有指明的，应在专用合同条款中指明。</w:t>
      </w:r>
    </w:p>
    <w:p w14:paraId="3956FBB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3.1.2 监理人发出的任何指示应视为已得到发包人的批准，但监理人无权免除或变更合同约定的发包人和承包人的权利、义务和责任。</w:t>
      </w:r>
    </w:p>
    <w:p w14:paraId="79FAA5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50BE36C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5" w:name="_Toc342296286"/>
      <w:bookmarkStart w:id="176" w:name="_Toc10285"/>
      <w:bookmarkStart w:id="177" w:name="_Toc144974603"/>
      <w:bookmarkStart w:id="178" w:name="_Toc98936698"/>
      <w:bookmarkStart w:id="179" w:name="_Toc75511058"/>
      <w:bookmarkStart w:id="180" w:name="_Toc338944728"/>
      <w:bookmarkStart w:id="181" w:name="_Toc179632653"/>
      <w:bookmarkStart w:id="182" w:name="_Toc152045635"/>
      <w:bookmarkStart w:id="183" w:name="_Toc152042413"/>
      <w:r>
        <w:rPr>
          <w:rFonts w:hint="eastAsia" w:asciiTheme="minorEastAsia" w:hAnsiTheme="minorEastAsia" w:eastAsiaTheme="minorEastAsia" w:cstheme="minorEastAsia"/>
          <w:color w:val="auto"/>
          <w:sz w:val="21"/>
          <w:szCs w:val="21"/>
          <w:highlight w:val="none"/>
        </w:rPr>
        <w:t>3.2 总监理工程师</w:t>
      </w:r>
      <w:bookmarkEnd w:id="175"/>
      <w:bookmarkEnd w:id="176"/>
      <w:bookmarkEnd w:id="177"/>
      <w:bookmarkEnd w:id="178"/>
      <w:bookmarkEnd w:id="179"/>
      <w:bookmarkEnd w:id="180"/>
      <w:bookmarkEnd w:id="181"/>
      <w:bookmarkEnd w:id="182"/>
      <w:bookmarkEnd w:id="183"/>
    </w:p>
    <w:p w14:paraId="6A849F2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61395E8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84" w:name="_Toc342296287"/>
      <w:bookmarkStart w:id="185" w:name="_Toc75511059"/>
      <w:bookmarkStart w:id="186" w:name="_Toc338944729"/>
      <w:bookmarkStart w:id="187" w:name="_Toc30114"/>
      <w:bookmarkStart w:id="188" w:name="_Toc98936699"/>
      <w:r>
        <w:rPr>
          <w:rFonts w:hint="eastAsia" w:asciiTheme="minorEastAsia" w:hAnsiTheme="minorEastAsia" w:eastAsiaTheme="minorEastAsia" w:cstheme="minorEastAsia"/>
          <w:color w:val="auto"/>
          <w:sz w:val="21"/>
          <w:szCs w:val="21"/>
          <w:highlight w:val="none"/>
        </w:rPr>
        <w:t>3.3 监理人员</w:t>
      </w:r>
      <w:bookmarkEnd w:id="184"/>
      <w:bookmarkEnd w:id="185"/>
      <w:bookmarkEnd w:id="186"/>
      <w:bookmarkEnd w:id="187"/>
      <w:bookmarkEnd w:id="188"/>
    </w:p>
    <w:p w14:paraId="404A92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3CD4FCC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253131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3.3.3 承包人对总监理工程师授权的监理人员发出的指示有疑问的，可向总监理工程师提出书面异议，总监理工程师应在48小时内对该指示予以确认、更改或撤销。</w:t>
      </w:r>
    </w:p>
    <w:p w14:paraId="0A5B39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 除专用合同条款另有约定外，总监理工程师不应将第3.5款约定应由总监理工程师作出确定的权力授权或委托给其他监理人员。</w:t>
      </w:r>
    </w:p>
    <w:p w14:paraId="15F9A8C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89" w:name="_Toc338944730"/>
      <w:bookmarkStart w:id="190" w:name="_Toc10981"/>
      <w:bookmarkStart w:id="191" w:name="_Toc342296288"/>
      <w:bookmarkStart w:id="192" w:name="_Toc75511060"/>
      <w:bookmarkStart w:id="193" w:name="_Toc98936700"/>
      <w:r>
        <w:rPr>
          <w:rFonts w:hint="eastAsia" w:asciiTheme="minorEastAsia" w:hAnsiTheme="minorEastAsia" w:eastAsiaTheme="minorEastAsia" w:cstheme="minorEastAsia"/>
          <w:color w:val="auto"/>
          <w:sz w:val="21"/>
          <w:szCs w:val="21"/>
          <w:highlight w:val="none"/>
        </w:rPr>
        <w:t>3.4 监理人的指示</w:t>
      </w:r>
      <w:bookmarkEnd w:id="189"/>
      <w:bookmarkEnd w:id="190"/>
      <w:bookmarkEnd w:id="191"/>
      <w:bookmarkEnd w:id="192"/>
      <w:bookmarkEnd w:id="193"/>
    </w:p>
    <w:p w14:paraId="6D009C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3.4.1 监理人应按第3.1款的约定向承包人发出指示，监理人的指示应盖有监理人授权的施工场地机构章，并由总监理工程师或总监理工程师按第3.3.1项约定授权的监理人员签字。</w:t>
      </w:r>
    </w:p>
    <w:p w14:paraId="6EDE1E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3.4.2 承包人收到监理人按第3.4.1项作出的指示后应遵照执行。指示构成变更的，应按第15条处理。</w:t>
      </w:r>
    </w:p>
    <w:p w14:paraId="33A5B55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42951AD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 除合同另有约定外，承包人只从总监理工程师或按第3.3.1项被授权的监理人员处取得指示。</w:t>
      </w:r>
    </w:p>
    <w:p w14:paraId="059D6DA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3.4.5 由于监理人未能按合同约定发出指示、指示延误或指示错误而导致承包人费用增加和（或）工期延误的，由发包人承担赔偿责任。 </w:t>
      </w:r>
    </w:p>
    <w:p w14:paraId="3088D72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94" w:name="_Toc152045638"/>
      <w:bookmarkStart w:id="195" w:name="_Toc152042416"/>
      <w:bookmarkStart w:id="196" w:name="_Toc144974606"/>
      <w:bookmarkStart w:id="197" w:name="_Toc179632656"/>
      <w:bookmarkStart w:id="198" w:name="_Toc338944731"/>
      <w:bookmarkStart w:id="199" w:name="_Toc98936701"/>
      <w:bookmarkStart w:id="200" w:name="_Toc16232"/>
      <w:bookmarkStart w:id="201" w:name="_Toc342296289"/>
      <w:bookmarkStart w:id="202" w:name="_Toc75511061"/>
      <w:r>
        <w:rPr>
          <w:rFonts w:hint="eastAsia" w:asciiTheme="minorEastAsia" w:hAnsiTheme="minorEastAsia" w:eastAsiaTheme="minorEastAsia" w:cstheme="minorEastAsia"/>
          <w:color w:val="auto"/>
          <w:sz w:val="21"/>
          <w:szCs w:val="21"/>
          <w:highlight w:val="none"/>
        </w:rPr>
        <w:t>3.5 商定或确定</w:t>
      </w:r>
      <w:bookmarkEnd w:id="194"/>
      <w:bookmarkEnd w:id="195"/>
      <w:bookmarkEnd w:id="196"/>
      <w:bookmarkEnd w:id="197"/>
      <w:bookmarkEnd w:id="198"/>
      <w:bookmarkEnd w:id="199"/>
      <w:bookmarkEnd w:id="200"/>
      <w:bookmarkEnd w:id="201"/>
      <w:bookmarkEnd w:id="202"/>
    </w:p>
    <w:p w14:paraId="51A7ED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3.5.1合同约定总监理工程师应按照本款对任何事项进行商定或确定时，总监理工程师应与合同当事人协商，尽量达成一致。不能达成一致的，总监理工程师应认真研究后审慎确定。</w:t>
      </w:r>
    </w:p>
    <w:p w14:paraId="5D48761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7CFF1DB4">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203" w:name="_Toc338944732"/>
      <w:bookmarkStart w:id="204" w:name="_Toc342296290"/>
      <w:bookmarkStart w:id="205" w:name="_Toc98936702"/>
      <w:bookmarkStart w:id="206" w:name="_Toc32107"/>
      <w:bookmarkStart w:id="207" w:name="_Toc75511062"/>
      <w:r>
        <w:rPr>
          <w:rFonts w:hint="eastAsia" w:asciiTheme="minorEastAsia" w:hAnsiTheme="minorEastAsia" w:eastAsiaTheme="minorEastAsia" w:cstheme="minorEastAsia"/>
          <w:color w:val="auto"/>
          <w:sz w:val="21"/>
          <w:szCs w:val="21"/>
          <w:highlight w:val="none"/>
        </w:rPr>
        <w:t>4. 承包人</w:t>
      </w:r>
      <w:bookmarkEnd w:id="203"/>
      <w:bookmarkEnd w:id="204"/>
      <w:bookmarkEnd w:id="205"/>
      <w:bookmarkEnd w:id="206"/>
      <w:bookmarkEnd w:id="207"/>
    </w:p>
    <w:p w14:paraId="4E5926C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08" w:name="_Toc342296291"/>
      <w:bookmarkStart w:id="209" w:name="_Toc338944733"/>
      <w:bookmarkStart w:id="210" w:name="_Toc98936703"/>
      <w:bookmarkStart w:id="211" w:name="_Toc75511063"/>
      <w:bookmarkStart w:id="212" w:name="_Toc18282"/>
      <w:r>
        <w:rPr>
          <w:rFonts w:hint="eastAsia" w:asciiTheme="minorEastAsia" w:hAnsiTheme="minorEastAsia" w:eastAsiaTheme="minorEastAsia" w:cstheme="minorEastAsia"/>
          <w:color w:val="auto"/>
          <w:sz w:val="21"/>
          <w:szCs w:val="21"/>
          <w:highlight w:val="none"/>
        </w:rPr>
        <w:t>4.1 承包人的一般义务</w:t>
      </w:r>
      <w:bookmarkEnd w:id="208"/>
      <w:bookmarkEnd w:id="209"/>
      <w:bookmarkEnd w:id="210"/>
      <w:bookmarkEnd w:id="211"/>
      <w:bookmarkEnd w:id="212"/>
    </w:p>
    <w:p w14:paraId="185616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 遵守法律</w:t>
      </w:r>
    </w:p>
    <w:p w14:paraId="0102A1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承包人在履行合同过程中应遵守法律，并保证发包人免于承担因承包人违反法律而引起的任何责任。</w:t>
      </w:r>
    </w:p>
    <w:p w14:paraId="76E037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4.1.2 依法纳税</w:t>
      </w:r>
    </w:p>
    <w:p w14:paraId="1A6607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承包人应按有关法律规定纳税，应缴纳的税金包括在合同价格内。</w:t>
      </w:r>
    </w:p>
    <w:p w14:paraId="6955CB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4.1.3 完成各项承包工作</w:t>
      </w:r>
    </w:p>
    <w:p w14:paraId="1D2FD4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0799A9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4.1.4 对施工作业和施工方法的完备性负责</w:t>
      </w:r>
    </w:p>
    <w:p w14:paraId="14D8A1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承包人应按合同约定的工作内容和施工进度要求，编制施工组织设计和施工措施计划，并对所有施工作业和施工方法的完备性和安全可靠性负责。</w:t>
      </w:r>
    </w:p>
    <w:p w14:paraId="19260A0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4.1.5 保证工程施工和人员的安全</w:t>
      </w:r>
    </w:p>
    <w:p w14:paraId="0CBD1F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承包人应按第9.2款约定采取施工安全措施，确保工程及其人员、材料、设备和设施的安全，防止因工程施工造成的人身伤害和财产损失。</w:t>
      </w:r>
    </w:p>
    <w:p w14:paraId="0AEC2E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4.1.6 负责施工场地及其周边环境与生态的保护工作</w:t>
      </w:r>
    </w:p>
    <w:p w14:paraId="0B1F46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承包人应按照第9.4款约定负责施工场地及其周边环境与生态的保护工作。</w:t>
      </w:r>
    </w:p>
    <w:p w14:paraId="6348D0A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4.1.7 避免施工对公众与他人的利益造成损害</w:t>
      </w:r>
    </w:p>
    <w:p w14:paraId="4087869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C5889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4.1.8 为他人提供方便</w:t>
      </w:r>
    </w:p>
    <w:p w14:paraId="140679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76203B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4.1.9 工程的维护和照管</w:t>
      </w:r>
    </w:p>
    <w:p w14:paraId="6E9335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工程接收证书颁发前，承包人应负责照管和维护工程。工程接收证书颁发时尚有部分未竣工工程的，承包人还应负责该未竣工工程的照管和维护工作，直至竣工后移交给发包人为止。</w:t>
      </w:r>
    </w:p>
    <w:p w14:paraId="7EE763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4.1.10 其他义务</w:t>
      </w:r>
    </w:p>
    <w:p w14:paraId="64FF73E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承包人应履行合同约定的其他义务。</w:t>
      </w:r>
    </w:p>
    <w:p w14:paraId="3C27CE1E">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13" w:name="_Toc342296292"/>
      <w:bookmarkStart w:id="214" w:name="_Toc144974609"/>
      <w:bookmarkStart w:id="215" w:name="_Toc179632659"/>
      <w:bookmarkStart w:id="216" w:name="_Toc338944734"/>
      <w:bookmarkStart w:id="217" w:name="_Toc14666"/>
      <w:bookmarkStart w:id="218" w:name="_Toc152045641"/>
      <w:bookmarkStart w:id="219" w:name="_Toc152042419"/>
      <w:bookmarkStart w:id="220" w:name="_Toc75511064"/>
      <w:bookmarkStart w:id="221" w:name="_Toc98936704"/>
      <w:r>
        <w:rPr>
          <w:rFonts w:hint="eastAsia" w:asciiTheme="minorEastAsia" w:hAnsiTheme="minorEastAsia" w:eastAsiaTheme="minorEastAsia" w:cstheme="minorEastAsia"/>
          <w:color w:val="auto"/>
          <w:sz w:val="21"/>
          <w:szCs w:val="21"/>
          <w:highlight w:val="none"/>
        </w:rPr>
        <w:t>4.2 履约担保</w:t>
      </w:r>
      <w:bookmarkEnd w:id="213"/>
      <w:bookmarkEnd w:id="214"/>
      <w:bookmarkEnd w:id="215"/>
      <w:bookmarkEnd w:id="216"/>
      <w:bookmarkEnd w:id="217"/>
      <w:bookmarkEnd w:id="218"/>
      <w:bookmarkEnd w:id="219"/>
      <w:bookmarkEnd w:id="220"/>
      <w:bookmarkEnd w:id="221"/>
    </w:p>
    <w:p w14:paraId="43A738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承包人应保证其履约担保在发包人颁发工程接收证书前一直有效。发包人应在工程接收证书颁发后28天内把履约担保退还给承包人。</w:t>
      </w:r>
    </w:p>
    <w:p w14:paraId="1160C5A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22" w:name="_Toc75511065"/>
      <w:bookmarkStart w:id="223" w:name="_Toc342296293"/>
      <w:bookmarkStart w:id="224" w:name="_Toc98936705"/>
      <w:bookmarkStart w:id="225" w:name="_Toc338944735"/>
      <w:bookmarkStart w:id="226" w:name="_Toc8257"/>
      <w:r>
        <w:rPr>
          <w:rFonts w:hint="eastAsia" w:asciiTheme="minorEastAsia" w:hAnsiTheme="minorEastAsia" w:eastAsiaTheme="minorEastAsia" w:cstheme="minorEastAsia"/>
          <w:color w:val="auto"/>
          <w:sz w:val="21"/>
          <w:szCs w:val="21"/>
          <w:highlight w:val="none"/>
        </w:rPr>
        <w:t>4.3 分包</w:t>
      </w:r>
      <w:bookmarkEnd w:id="222"/>
      <w:bookmarkEnd w:id="223"/>
      <w:bookmarkEnd w:id="224"/>
      <w:bookmarkEnd w:id="225"/>
      <w:bookmarkEnd w:id="226"/>
    </w:p>
    <w:p w14:paraId="38A03E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4.3.1 承包人不得将其承包的全部工程转包给第三人，或将其承包的全部工程肢解后以分包的名义转包给第三人。</w:t>
      </w:r>
    </w:p>
    <w:p w14:paraId="071462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 承包人不得将工程主体、关键性工作分包给第三人。除专用合同条款另有约定外，未经发包人同意，承包人不得将工程的其他部分或工作分包给第三人。</w:t>
      </w:r>
    </w:p>
    <w:p w14:paraId="4D566F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4.3.3 分包人的资格能力应与其分包工程的标准和规模相适应。</w:t>
      </w:r>
    </w:p>
    <w:p w14:paraId="499242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4.3.4 按</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附录约定分包工程的，承包人应向发包人和监理人提交分包合同副本。</w:t>
      </w:r>
    </w:p>
    <w:p w14:paraId="530CF4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4.3.5 承包人应与分包人就分包工程向发包人承担连带责任。</w:t>
      </w:r>
    </w:p>
    <w:p w14:paraId="670B4EB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27" w:name="_Toc144974611"/>
      <w:bookmarkStart w:id="228" w:name="_Toc179632661"/>
      <w:bookmarkStart w:id="229" w:name="_Toc98936706"/>
      <w:bookmarkStart w:id="230" w:name="_Toc152042421"/>
      <w:bookmarkStart w:id="231" w:name="_Toc342296294"/>
      <w:bookmarkStart w:id="232" w:name="_Toc338944736"/>
      <w:bookmarkStart w:id="233" w:name="_Toc152045643"/>
      <w:bookmarkStart w:id="234" w:name="_Toc75511066"/>
      <w:bookmarkStart w:id="235" w:name="_Toc28934"/>
      <w:r>
        <w:rPr>
          <w:rFonts w:hint="eastAsia" w:asciiTheme="minorEastAsia" w:hAnsiTheme="minorEastAsia" w:eastAsiaTheme="minorEastAsia" w:cstheme="minorEastAsia"/>
          <w:color w:val="auto"/>
          <w:sz w:val="21"/>
          <w:szCs w:val="21"/>
          <w:highlight w:val="none"/>
        </w:rPr>
        <w:t>4.4 联合体</w:t>
      </w:r>
      <w:bookmarkEnd w:id="227"/>
      <w:bookmarkEnd w:id="228"/>
      <w:bookmarkEnd w:id="229"/>
      <w:bookmarkEnd w:id="230"/>
      <w:bookmarkEnd w:id="231"/>
      <w:bookmarkEnd w:id="232"/>
      <w:bookmarkEnd w:id="233"/>
      <w:bookmarkEnd w:id="234"/>
      <w:bookmarkEnd w:id="235"/>
    </w:p>
    <w:p w14:paraId="3838A83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4.4.1 联合体各方应共同与发包人签订合同协议书。联合体各方应为履行合同承担连带责任。</w:t>
      </w:r>
    </w:p>
    <w:p w14:paraId="168552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4.4.2 联合体协议经发包人确认后作为合同附件。在履行合同过程中，未经发包人同意，不得修改联合体协议。</w:t>
      </w:r>
    </w:p>
    <w:p w14:paraId="0B451FC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4.4.3 联合体牵头人负责与发包人和监理人联系，并接受指示，负责组织联合体各成员全面履行合同。</w:t>
      </w:r>
    </w:p>
    <w:p w14:paraId="42DBAB1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36" w:name="_Toc75511067"/>
      <w:bookmarkStart w:id="237" w:name="_Toc31598"/>
      <w:bookmarkStart w:id="238" w:name="_Toc342296295"/>
      <w:bookmarkStart w:id="239" w:name="_Toc338944737"/>
      <w:bookmarkStart w:id="240" w:name="_Toc98936707"/>
      <w:r>
        <w:rPr>
          <w:rFonts w:hint="eastAsia" w:asciiTheme="minorEastAsia" w:hAnsiTheme="minorEastAsia" w:eastAsiaTheme="minorEastAsia" w:cstheme="minorEastAsia"/>
          <w:color w:val="auto"/>
          <w:sz w:val="21"/>
          <w:szCs w:val="21"/>
          <w:highlight w:val="none"/>
        </w:rPr>
        <w:t>4.5 承包人项目经理</w:t>
      </w:r>
      <w:bookmarkEnd w:id="236"/>
      <w:bookmarkEnd w:id="237"/>
      <w:bookmarkEnd w:id="238"/>
      <w:bookmarkEnd w:id="239"/>
      <w:bookmarkEnd w:id="240"/>
    </w:p>
    <w:p w14:paraId="7D7A29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034A28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514126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4.5.3承包人为履行合同发出的一切函件均应盖有承包人授权的施工场地管理机构章，并由承包人项目经理或其授权代表签字。</w:t>
      </w:r>
    </w:p>
    <w:p w14:paraId="241B6C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4.5.4 承包人项目经理可以授权其下属人员履行其某项职责，但事先应将这些人员的姓名和授权范围通知监理人。</w:t>
      </w:r>
    </w:p>
    <w:p w14:paraId="1ADC169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41" w:name="_Toc152042423"/>
      <w:bookmarkStart w:id="242" w:name="_Toc342296296"/>
      <w:bookmarkStart w:id="243" w:name="_Toc75511068"/>
      <w:bookmarkStart w:id="244" w:name="_Toc144974613"/>
      <w:bookmarkStart w:id="245" w:name="_Toc338944738"/>
      <w:bookmarkStart w:id="246" w:name="_Toc152045645"/>
      <w:bookmarkStart w:id="247" w:name="_Toc179632663"/>
      <w:bookmarkStart w:id="248" w:name="_Toc98936708"/>
      <w:bookmarkStart w:id="249" w:name="_Toc31994"/>
      <w:r>
        <w:rPr>
          <w:rFonts w:hint="eastAsia" w:asciiTheme="minorEastAsia" w:hAnsiTheme="minorEastAsia" w:eastAsiaTheme="minorEastAsia" w:cstheme="minorEastAsia"/>
          <w:color w:val="auto"/>
          <w:sz w:val="21"/>
          <w:szCs w:val="21"/>
          <w:highlight w:val="none"/>
        </w:rPr>
        <w:t>4.6 承包人人员的管理</w:t>
      </w:r>
      <w:bookmarkEnd w:id="241"/>
      <w:bookmarkEnd w:id="242"/>
      <w:bookmarkEnd w:id="243"/>
      <w:bookmarkEnd w:id="244"/>
      <w:bookmarkEnd w:id="245"/>
      <w:bookmarkEnd w:id="246"/>
      <w:bookmarkEnd w:id="247"/>
      <w:bookmarkEnd w:id="248"/>
      <w:bookmarkEnd w:id="249"/>
    </w:p>
    <w:p w14:paraId="71F0E0F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0711FC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4.6.2 为完成合同约定的各项工作，承包人应向施工场地派遣或雇佣足够数量的下列人员：</w:t>
      </w:r>
    </w:p>
    <w:p w14:paraId="564D0EE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（1）具有相应资格的专业技工和合格的普工；</w:t>
      </w:r>
    </w:p>
    <w:p w14:paraId="1419A08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（2）具有相应施工经验的技术人员；</w:t>
      </w:r>
    </w:p>
    <w:p w14:paraId="087E5FA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（3）具有相应岗位资格的各级管理人员。</w:t>
      </w:r>
    </w:p>
    <w:p w14:paraId="51EBB6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4.6.3 承包人安排在施工场地的主要管理人员和技术骨干应相对稳定。承包人更换主要管理人员和技术骨干时，应取得监理人的同意。</w:t>
      </w:r>
    </w:p>
    <w:p w14:paraId="79118C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4.6.4 特殊岗位的工作人员均应持有相应的资格证明，监理人有权随时检查。监理人认为有必要时，可进行现场考核。</w:t>
      </w:r>
    </w:p>
    <w:p w14:paraId="0317533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50" w:name="_Toc98936709"/>
      <w:bookmarkStart w:id="251" w:name="_Toc75511069"/>
      <w:bookmarkStart w:id="252" w:name="_Toc342296297"/>
      <w:bookmarkStart w:id="253" w:name="_Toc179632664"/>
      <w:bookmarkStart w:id="254" w:name="_Toc4408"/>
      <w:bookmarkStart w:id="255" w:name="_Toc338944739"/>
      <w:bookmarkStart w:id="256" w:name="_Toc152042424"/>
      <w:bookmarkStart w:id="257" w:name="_Toc144974614"/>
      <w:bookmarkStart w:id="258" w:name="_Toc152045646"/>
      <w:r>
        <w:rPr>
          <w:rFonts w:hint="eastAsia" w:asciiTheme="minorEastAsia" w:hAnsiTheme="minorEastAsia" w:eastAsiaTheme="minorEastAsia" w:cstheme="minorEastAsia"/>
          <w:color w:val="auto"/>
          <w:sz w:val="21"/>
          <w:szCs w:val="21"/>
          <w:highlight w:val="none"/>
        </w:rPr>
        <w:t>4.7 撤换承包人项目经理和其他人员</w:t>
      </w:r>
      <w:bookmarkEnd w:id="250"/>
      <w:bookmarkEnd w:id="251"/>
      <w:bookmarkEnd w:id="252"/>
      <w:bookmarkEnd w:id="253"/>
      <w:bookmarkEnd w:id="254"/>
      <w:bookmarkEnd w:id="255"/>
      <w:bookmarkEnd w:id="256"/>
      <w:bookmarkEnd w:id="257"/>
      <w:bookmarkEnd w:id="258"/>
    </w:p>
    <w:p w14:paraId="51EC2DC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承包人应对其项目经理和其他人员进行有效管理。监理人要求撤换不能胜任本职工作、行为不端或玩忽职守的承包人项目经理和其他人员的，承包人应予以撤换。</w:t>
      </w:r>
    </w:p>
    <w:p w14:paraId="4487D63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59" w:name="_Toc338944740"/>
      <w:bookmarkStart w:id="260" w:name="_Toc75511070"/>
      <w:bookmarkStart w:id="261" w:name="_Toc342296298"/>
      <w:bookmarkStart w:id="262" w:name="_Toc22604"/>
      <w:bookmarkStart w:id="263" w:name="_Toc144974615"/>
      <w:bookmarkStart w:id="264" w:name="_Toc152045647"/>
      <w:bookmarkStart w:id="265" w:name="_Toc98936710"/>
      <w:bookmarkStart w:id="266" w:name="_Toc152042425"/>
      <w:bookmarkStart w:id="267" w:name="_Toc179632665"/>
      <w:r>
        <w:rPr>
          <w:rFonts w:hint="eastAsia" w:asciiTheme="minorEastAsia" w:hAnsiTheme="minorEastAsia" w:eastAsiaTheme="minorEastAsia" w:cstheme="minorEastAsia"/>
          <w:color w:val="auto"/>
          <w:sz w:val="21"/>
          <w:szCs w:val="21"/>
          <w:highlight w:val="none"/>
        </w:rPr>
        <w:t>4.8 保障承包人人员的合法权益</w:t>
      </w:r>
      <w:bookmarkEnd w:id="259"/>
      <w:bookmarkEnd w:id="260"/>
      <w:bookmarkEnd w:id="261"/>
      <w:bookmarkEnd w:id="262"/>
      <w:bookmarkEnd w:id="263"/>
      <w:bookmarkEnd w:id="264"/>
      <w:bookmarkEnd w:id="265"/>
      <w:bookmarkEnd w:id="266"/>
      <w:bookmarkEnd w:id="267"/>
    </w:p>
    <w:p w14:paraId="4893996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4.8.1 承包人应与其雇佣的人员签订劳动合同，并按时发放工资。</w:t>
      </w:r>
    </w:p>
    <w:p w14:paraId="1654BBC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6A97E86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4.8.3 承包人应为其雇佣人员提供必要的食宿条件，以及符合环境保护和卫生要求的生活环境，在远离城镇的施工场地，还应配备必要的伤病防治和急救的医务人员与医疗设施。</w:t>
      </w:r>
    </w:p>
    <w:p w14:paraId="6F54E6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466AB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4.8.5 承包人应按有关法律规定和合同约定，为其雇佣人员办理保险。</w:t>
      </w:r>
    </w:p>
    <w:p w14:paraId="7189AF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4.8.6 承包人应负责处理其雇佣人员因工伤亡事故的善后事宜。</w:t>
      </w:r>
    </w:p>
    <w:p w14:paraId="1B07F3A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68" w:name="_Toc19544"/>
      <w:bookmarkStart w:id="269" w:name="_Toc98936711"/>
      <w:bookmarkStart w:id="270" w:name="_Toc144974616"/>
      <w:bookmarkStart w:id="271" w:name="_Toc342296299"/>
      <w:bookmarkStart w:id="272" w:name="_Toc75511071"/>
      <w:bookmarkStart w:id="273" w:name="_Toc152045648"/>
      <w:bookmarkStart w:id="274" w:name="_Toc152042426"/>
      <w:bookmarkStart w:id="275" w:name="_Toc338944741"/>
      <w:bookmarkStart w:id="276" w:name="_Toc179632666"/>
      <w:r>
        <w:rPr>
          <w:rFonts w:hint="eastAsia" w:asciiTheme="minorEastAsia" w:hAnsiTheme="minorEastAsia" w:eastAsiaTheme="minorEastAsia" w:cstheme="minorEastAsia"/>
          <w:color w:val="auto"/>
          <w:sz w:val="21"/>
          <w:szCs w:val="21"/>
          <w:highlight w:val="none"/>
        </w:rPr>
        <w:t>4.9 工程价款应专款专用</w:t>
      </w:r>
      <w:bookmarkEnd w:id="268"/>
      <w:bookmarkEnd w:id="269"/>
      <w:bookmarkEnd w:id="270"/>
      <w:bookmarkEnd w:id="271"/>
      <w:bookmarkEnd w:id="272"/>
      <w:bookmarkEnd w:id="273"/>
      <w:bookmarkEnd w:id="274"/>
      <w:bookmarkEnd w:id="275"/>
      <w:bookmarkEnd w:id="276"/>
    </w:p>
    <w:p w14:paraId="3A5CDA7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发包人按合同约定支付给承包人的各项价款应专用于合同工程。</w:t>
      </w:r>
    </w:p>
    <w:p w14:paraId="434595D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77" w:name="_Toc22092"/>
      <w:bookmarkStart w:id="278" w:name="_Toc179632667"/>
      <w:bookmarkStart w:id="279" w:name="_Toc152045649"/>
      <w:bookmarkStart w:id="280" w:name="_Toc342296300"/>
      <w:bookmarkStart w:id="281" w:name="_Toc144974617"/>
      <w:bookmarkStart w:id="282" w:name="_Toc338944742"/>
      <w:bookmarkStart w:id="283" w:name="_Toc98936712"/>
      <w:bookmarkStart w:id="284" w:name="_Toc152042427"/>
      <w:bookmarkStart w:id="285" w:name="_Toc75511072"/>
      <w:r>
        <w:rPr>
          <w:rFonts w:hint="eastAsia" w:asciiTheme="minorEastAsia" w:hAnsiTheme="minorEastAsia" w:eastAsiaTheme="minorEastAsia" w:cstheme="minorEastAsia"/>
          <w:color w:val="auto"/>
          <w:sz w:val="21"/>
          <w:szCs w:val="21"/>
          <w:highlight w:val="none"/>
        </w:rPr>
        <w:t>4.10 承包人现场查勘</w:t>
      </w:r>
      <w:bookmarkEnd w:id="277"/>
      <w:bookmarkEnd w:id="278"/>
      <w:bookmarkEnd w:id="279"/>
      <w:bookmarkEnd w:id="280"/>
      <w:bookmarkEnd w:id="281"/>
      <w:bookmarkEnd w:id="282"/>
      <w:bookmarkEnd w:id="283"/>
      <w:bookmarkEnd w:id="284"/>
      <w:bookmarkEnd w:id="285"/>
      <w:r>
        <w:rPr>
          <w:rFonts w:hint="eastAsia" w:asciiTheme="minorEastAsia" w:hAnsiTheme="minorEastAsia" w:eastAsiaTheme="minorEastAsia" w:cstheme="minorEastAsia"/>
          <w:color w:val="auto"/>
          <w:sz w:val="21"/>
          <w:szCs w:val="21"/>
          <w:highlight w:val="none"/>
        </w:rPr>
        <w:t xml:space="preserve">                                                                                                           </w:t>
      </w:r>
    </w:p>
    <w:p w14:paraId="6717F5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4.10.1 发包人应将其持有的现场地质勘探资料、水文气象资料提供给承包人，并对其准确性负责。但承包人应对其阅读上述有关资料后所作出的解释和推断负责。</w:t>
      </w:r>
    </w:p>
    <w:p w14:paraId="614C26E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E0065C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86" w:name="_Toc342296301"/>
      <w:bookmarkStart w:id="287" w:name="_Toc338944743"/>
      <w:bookmarkStart w:id="288" w:name="_Toc98936713"/>
      <w:bookmarkStart w:id="289" w:name="_Toc85"/>
      <w:bookmarkStart w:id="290" w:name="_Toc75511073"/>
      <w:r>
        <w:rPr>
          <w:rFonts w:hint="eastAsia" w:asciiTheme="minorEastAsia" w:hAnsiTheme="minorEastAsia" w:eastAsiaTheme="minorEastAsia" w:cstheme="minorEastAsia"/>
          <w:color w:val="auto"/>
          <w:sz w:val="21"/>
          <w:szCs w:val="21"/>
          <w:highlight w:val="none"/>
        </w:rPr>
        <w:t>4.11 不利物质条件</w:t>
      </w:r>
      <w:bookmarkEnd w:id="286"/>
      <w:bookmarkEnd w:id="287"/>
      <w:bookmarkEnd w:id="288"/>
      <w:bookmarkEnd w:id="289"/>
      <w:bookmarkEnd w:id="290"/>
    </w:p>
    <w:p w14:paraId="7D7980E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4.11.1 不利物质条件，除专用合同条款另有约定外，是指承包人在施工场地遇到的不可预见的自然物质条件、非自然的物质障碍和污染物，包括地下和水文条件，但不包括气候条件。</w:t>
      </w:r>
    </w:p>
    <w:p w14:paraId="12FD53D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52747A0B">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291" w:name="_Toc98936714"/>
      <w:bookmarkStart w:id="292" w:name="_Toc342296302"/>
      <w:bookmarkStart w:id="293" w:name="_Toc338944744"/>
      <w:bookmarkStart w:id="294" w:name="_Toc75511074"/>
      <w:bookmarkStart w:id="295" w:name="_Toc31737"/>
      <w:r>
        <w:rPr>
          <w:rFonts w:hint="eastAsia" w:asciiTheme="minorEastAsia" w:hAnsiTheme="minorEastAsia" w:eastAsiaTheme="minorEastAsia" w:cstheme="minorEastAsia"/>
          <w:color w:val="auto"/>
          <w:sz w:val="21"/>
          <w:szCs w:val="21"/>
          <w:highlight w:val="none"/>
        </w:rPr>
        <w:t>5. 材料和工程设备</w:t>
      </w:r>
      <w:bookmarkEnd w:id="291"/>
      <w:bookmarkEnd w:id="292"/>
      <w:bookmarkEnd w:id="293"/>
      <w:bookmarkEnd w:id="294"/>
      <w:bookmarkEnd w:id="295"/>
    </w:p>
    <w:p w14:paraId="582ADEF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296" w:name="_Toc75511075"/>
      <w:bookmarkStart w:id="297" w:name="_Toc26497"/>
      <w:bookmarkStart w:id="298" w:name="_Toc98936715"/>
      <w:bookmarkStart w:id="299" w:name="_Toc342296303"/>
      <w:bookmarkStart w:id="300" w:name="_Toc338944745"/>
      <w:r>
        <w:rPr>
          <w:rFonts w:hint="eastAsia" w:asciiTheme="minorEastAsia" w:hAnsiTheme="minorEastAsia" w:eastAsiaTheme="minorEastAsia" w:cstheme="minorEastAsia"/>
          <w:color w:val="auto"/>
          <w:sz w:val="21"/>
          <w:szCs w:val="21"/>
          <w:highlight w:val="none"/>
        </w:rPr>
        <w:t>5.1 承包人提供的材料和工程设备</w:t>
      </w:r>
      <w:bookmarkEnd w:id="296"/>
      <w:bookmarkEnd w:id="297"/>
      <w:bookmarkEnd w:id="298"/>
      <w:bookmarkEnd w:id="299"/>
      <w:bookmarkEnd w:id="300"/>
    </w:p>
    <w:p w14:paraId="608304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 除专用合同条款另有约定外，承包人提供的材料和工程设备均由承包人负责采购、运输和保管。承包人应对其采购的材料和工程设备负责。</w:t>
      </w:r>
    </w:p>
    <w:p w14:paraId="25D6CC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76FF3F7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1A4E293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1" w:name="_Toc338944746"/>
      <w:bookmarkStart w:id="302" w:name="_Toc98936716"/>
      <w:bookmarkStart w:id="303" w:name="_Toc342296304"/>
      <w:bookmarkStart w:id="304" w:name="_Toc75511076"/>
      <w:bookmarkStart w:id="305" w:name="_Toc26242"/>
      <w:r>
        <w:rPr>
          <w:rFonts w:hint="eastAsia" w:asciiTheme="minorEastAsia" w:hAnsiTheme="minorEastAsia" w:eastAsiaTheme="minorEastAsia" w:cstheme="minorEastAsia"/>
          <w:color w:val="auto"/>
          <w:sz w:val="21"/>
          <w:szCs w:val="21"/>
          <w:highlight w:val="none"/>
        </w:rPr>
        <w:t>5.2 发包人提供的材料和工程设备</w:t>
      </w:r>
      <w:bookmarkEnd w:id="301"/>
      <w:bookmarkEnd w:id="302"/>
      <w:bookmarkEnd w:id="303"/>
      <w:bookmarkEnd w:id="304"/>
      <w:bookmarkEnd w:id="305"/>
    </w:p>
    <w:p w14:paraId="133F1D7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 发包人提供的材料和工程设备，应在专用合同条款中写明材料和工程设备的名称、规格、数量、价格、交货方式、交货地点和计划交货日期等。</w:t>
      </w:r>
    </w:p>
    <w:p w14:paraId="0E7F5DD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5.2.2 承包人应根据合同进度计划的安排，向监理人报送要求发包人交货的日期计划。发包人应按照监理人与合同双方当事人商定的交货日期，向承包人提交材料和工程设备。</w:t>
      </w:r>
    </w:p>
    <w:p w14:paraId="4AAEAB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7B26C4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5.2.4 发包人要求向承包人提前交货的，承包人不得拒绝，但发包人应承担承包人由此增加的费用。 </w:t>
      </w:r>
    </w:p>
    <w:p w14:paraId="2B1DC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5.2.5 承包人要求更改交货日期或地点的，应事先报请监理人批准。由于承包人要求更改交货时间或地点所增加的费用和（或）工期延误由承包人承担。 </w:t>
      </w:r>
    </w:p>
    <w:p w14:paraId="527B1F8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7263C93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06" w:name="_Toc152045654"/>
      <w:bookmarkStart w:id="307" w:name="_Toc144974622"/>
      <w:bookmarkStart w:id="308" w:name="_Toc342296305"/>
      <w:bookmarkStart w:id="309" w:name="_Toc179632672"/>
      <w:bookmarkStart w:id="310" w:name="_Toc98936717"/>
      <w:bookmarkStart w:id="311" w:name="_Toc19939"/>
      <w:bookmarkStart w:id="312" w:name="_Toc152042432"/>
      <w:bookmarkStart w:id="313" w:name="_Toc338944747"/>
      <w:bookmarkStart w:id="314" w:name="_Toc75511077"/>
      <w:r>
        <w:rPr>
          <w:rFonts w:hint="eastAsia" w:asciiTheme="minorEastAsia" w:hAnsiTheme="minorEastAsia" w:eastAsiaTheme="minorEastAsia" w:cstheme="minorEastAsia"/>
          <w:color w:val="auto"/>
          <w:sz w:val="21"/>
          <w:szCs w:val="21"/>
          <w:highlight w:val="none"/>
        </w:rPr>
        <w:t>5.3 材料和工程设备专用于合同工程</w:t>
      </w:r>
      <w:bookmarkEnd w:id="306"/>
      <w:bookmarkEnd w:id="307"/>
      <w:bookmarkEnd w:id="308"/>
      <w:bookmarkEnd w:id="309"/>
      <w:bookmarkEnd w:id="310"/>
      <w:bookmarkEnd w:id="311"/>
      <w:bookmarkEnd w:id="312"/>
      <w:bookmarkEnd w:id="313"/>
      <w:bookmarkEnd w:id="314"/>
    </w:p>
    <w:p w14:paraId="70E86E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5.3.1运入施工场地的材料、工程设备，包括备品备件、安装专用工器具与随机资料，必须专用于合同工程，未经监理人同意，承包人不得运出施工场地或挪作他用。</w:t>
      </w:r>
    </w:p>
    <w:p w14:paraId="537D804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101062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15" w:name="_Toc12029"/>
      <w:bookmarkStart w:id="316" w:name="_Toc152042433"/>
      <w:bookmarkStart w:id="317" w:name="_Toc98936718"/>
      <w:bookmarkStart w:id="318" w:name="_Toc75511078"/>
      <w:bookmarkStart w:id="319" w:name="_Toc179632673"/>
      <w:bookmarkStart w:id="320" w:name="_Toc338944748"/>
      <w:bookmarkStart w:id="321" w:name="_Toc144974623"/>
      <w:bookmarkStart w:id="322" w:name="_Toc152045655"/>
      <w:bookmarkStart w:id="323" w:name="_Toc342296306"/>
      <w:r>
        <w:rPr>
          <w:rFonts w:hint="eastAsia" w:asciiTheme="minorEastAsia" w:hAnsiTheme="minorEastAsia" w:eastAsiaTheme="minorEastAsia" w:cstheme="minorEastAsia"/>
          <w:color w:val="auto"/>
          <w:sz w:val="21"/>
          <w:szCs w:val="21"/>
          <w:highlight w:val="none"/>
        </w:rPr>
        <w:t>5.4 禁止使用不合格的材料和工程设备</w:t>
      </w:r>
      <w:bookmarkEnd w:id="315"/>
      <w:bookmarkEnd w:id="316"/>
      <w:bookmarkEnd w:id="317"/>
      <w:bookmarkEnd w:id="318"/>
      <w:bookmarkEnd w:id="319"/>
      <w:bookmarkEnd w:id="320"/>
      <w:bookmarkEnd w:id="321"/>
      <w:bookmarkEnd w:id="322"/>
      <w:bookmarkEnd w:id="323"/>
    </w:p>
    <w:p w14:paraId="0528BD4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5.4.1 监理人有权拒绝承包人提供的不合格材料或工程设备，并要求承包人立即进行更换。监理人应在更换后再次进行检查和检验，由此增加的费用和（或）工期延误由承包人承担。</w:t>
      </w:r>
    </w:p>
    <w:p w14:paraId="014168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5.4.2 监理人发现承包人使用了不合格的材料和工程设备，应即时发出指示要求承包人立即改正，并禁止在工程中继续使用不合格的材料和工程设备。</w:t>
      </w:r>
    </w:p>
    <w:p w14:paraId="5223478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5.4.3 发包人提供的材料或工程设备不符合合同要求的，承包人有权拒绝，并可要求发包人更换，由此增加的费用和（或）工期延误由发包人承担。</w:t>
      </w:r>
    </w:p>
    <w:p w14:paraId="15A156CF">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24" w:name="_Toc14504"/>
      <w:bookmarkStart w:id="325" w:name="_Toc342296307"/>
      <w:bookmarkStart w:id="326" w:name="_Toc338944749"/>
      <w:bookmarkStart w:id="327" w:name="_Toc75511079"/>
      <w:bookmarkStart w:id="328" w:name="_Toc98936719"/>
      <w:r>
        <w:rPr>
          <w:rFonts w:hint="eastAsia" w:asciiTheme="minorEastAsia" w:hAnsiTheme="minorEastAsia" w:eastAsiaTheme="minorEastAsia" w:cstheme="minorEastAsia"/>
          <w:color w:val="auto"/>
          <w:sz w:val="21"/>
          <w:szCs w:val="21"/>
          <w:highlight w:val="none"/>
        </w:rPr>
        <w:t>6. 施工设备和临时设施</w:t>
      </w:r>
      <w:bookmarkEnd w:id="324"/>
      <w:bookmarkEnd w:id="325"/>
      <w:bookmarkEnd w:id="326"/>
      <w:bookmarkEnd w:id="327"/>
      <w:bookmarkEnd w:id="328"/>
    </w:p>
    <w:p w14:paraId="4DD39BD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29" w:name="_Toc75511080"/>
      <w:bookmarkStart w:id="330" w:name="_Toc342296308"/>
      <w:bookmarkStart w:id="331" w:name="_Toc338944750"/>
      <w:bookmarkStart w:id="332" w:name="_Toc98936720"/>
      <w:bookmarkStart w:id="333" w:name="_Toc31916"/>
      <w:r>
        <w:rPr>
          <w:rFonts w:hint="eastAsia" w:asciiTheme="minorEastAsia" w:hAnsiTheme="minorEastAsia" w:eastAsiaTheme="minorEastAsia" w:cstheme="minorEastAsia"/>
          <w:color w:val="auto"/>
          <w:sz w:val="21"/>
          <w:szCs w:val="21"/>
          <w:highlight w:val="none"/>
        </w:rPr>
        <w:t>6.1 承包人提供的施工设备和临时设施</w:t>
      </w:r>
      <w:bookmarkEnd w:id="329"/>
      <w:bookmarkEnd w:id="330"/>
      <w:bookmarkEnd w:id="331"/>
      <w:bookmarkEnd w:id="332"/>
      <w:bookmarkEnd w:id="333"/>
    </w:p>
    <w:p w14:paraId="6C4702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566833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6.1.2除专用合同条款另有约定外，承包人应自行承担修建临时设施的费用，需要临时占地的，应由发包人办理申请手续并承担相应费用。</w:t>
      </w:r>
    </w:p>
    <w:p w14:paraId="3F28FD6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34" w:name="_Toc342296309"/>
      <w:bookmarkStart w:id="335" w:name="_Toc5573"/>
      <w:bookmarkStart w:id="336" w:name="_Toc98936721"/>
      <w:bookmarkStart w:id="337" w:name="_Toc338944751"/>
      <w:bookmarkStart w:id="338" w:name="_Toc75511081"/>
      <w:r>
        <w:rPr>
          <w:rFonts w:hint="eastAsia" w:asciiTheme="minorEastAsia" w:hAnsiTheme="minorEastAsia" w:eastAsiaTheme="minorEastAsia" w:cstheme="minorEastAsia"/>
          <w:color w:val="auto"/>
          <w:sz w:val="21"/>
          <w:szCs w:val="21"/>
          <w:highlight w:val="none"/>
        </w:rPr>
        <w:t>6.2 发包人提供的施工设备和临时设施</w:t>
      </w:r>
      <w:bookmarkEnd w:id="334"/>
      <w:bookmarkEnd w:id="335"/>
      <w:bookmarkEnd w:id="336"/>
      <w:bookmarkEnd w:id="337"/>
      <w:bookmarkEnd w:id="338"/>
    </w:p>
    <w:p w14:paraId="3417500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发包人提供的施工设备或临时设施在专用合同条款中约定。</w:t>
      </w:r>
    </w:p>
    <w:p w14:paraId="1CF104CE">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39" w:name="_Toc144974627"/>
      <w:bookmarkStart w:id="340" w:name="_Toc152042437"/>
      <w:bookmarkStart w:id="341" w:name="_Toc17024"/>
      <w:bookmarkStart w:id="342" w:name="_Toc75511082"/>
      <w:bookmarkStart w:id="343" w:name="_Toc98936722"/>
      <w:bookmarkStart w:id="344" w:name="_Toc152045659"/>
      <w:bookmarkStart w:id="345" w:name="_Toc179632677"/>
      <w:bookmarkStart w:id="346" w:name="_Toc338944752"/>
      <w:bookmarkStart w:id="347" w:name="_Toc342296310"/>
      <w:r>
        <w:rPr>
          <w:rFonts w:hint="eastAsia" w:asciiTheme="minorEastAsia" w:hAnsiTheme="minorEastAsia" w:eastAsiaTheme="minorEastAsia" w:cstheme="minorEastAsia"/>
          <w:color w:val="auto"/>
          <w:sz w:val="21"/>
          <w:szCs w:val="21"/>
          <w:highlight w:val="none"/>
        </w:rPr>
        <w:t>6.3 要求承包人增加或更换施工设备</w:t>
      </w:r>
      <w:bookmarkEnd w:id="339"/>
      <w:bookmarkEnd w:id="340"/>
      <w:bookmarkEnd w:id="341"/>
      <w:bookmarkEnd w:id="342"/>
      <w:bookmarkEnd w:id="343"/>
      <w:bookmarkEnd w:id="344"/>
      <w:bookmarkEnd w:id="345"/>
      <w:bookmarkEnd w:id="346"/>
      <w:bookmarkEnd w:id="347"/>
    </w:p>
    <w:p w14:paraId="6B2139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4E16D66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48" w:name="_Toc98936723"/>
      <w:bookmarkStart w:id="349" w:name="_Toc342296311"/>
      <w:bookmarkStart w:id="350" w:name="_Toc75511083"/>
      <w:bookmarkStart w:id="351" w:name="_Toc7658"/>
      <w:bookmarkStart w:id="352" w:name="_Toc338944753"/>
      <w:r>
        <w:rPr>
          <w:rFonts w:hint="eastAsia" w:asciiTheme="minorEastAsia" w:hAnsiTheme="minorEastAsia" w:eastAsiaTheme="minorEastAsia" w:cstheme="minorEastAsia"/>
          <w:color w:val="auto"/>
          <w:sz w:val="21"/>
          <w:szCs w:val="21"/>
          <w:highlight w:val="none"/>
        </w:rPr>
        <w:t>6.4 施工设备和临时设施专用于合同工程</w:t>
      </w:r>
      <w:bookmarkEnd w:id="348"/>
      <w:bookmarkEnd w:id="349"/>
      <w:bookmarkEnd w:id="350"/>
      <w:bookmarkEnd w:id="351"/>
      <w:bookmarkEnd w:id="352"/>
    </w:p>
    <w:p w14:paraId="6FC5D3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2445E1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6.4.2 经监理人同意，承包人可根据合同进度计划撤走闲置的施工设备。</w:t>
      </w:r>
    </w:p>
    <w:p w14:paraId="6EE05110">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53" w:name="_Toc338944754"/>
      <w:bookmarkStart w:id="354" w:name="_Toc342296312"/>
      <w:bookmarkStart w:id="355" w:name="_Toc75511084"/>
      <w:bookmarkStart w:id="356" w:name="_Toc18889"/>
      <w:bookmarkStart w:id="357" w:name="_Toc98936724"/>
      <w:r>
        <w:rPr>
          <w:rFonts w:hint="eastAsia" w:asciiTheme="minorEastAsia" w:hAnsiTheme="minorEastAsia" w:eastAsiaTheme="minorEastAsia" w:cstheme="minorEastAsia"/>
          <w:color w:val="auto"/>
          <w:sz w:val="21"/>
          <w:szCs w:val="21"/>
          <w:highlight w:val="none"/>
        </w:rPr>
        <w:t>7. 交通运输</w:t>
      </w:r>
      <w:bookmarkEnd w:id="353"/>
      <w:bookmarkEnd w:id="354"/>
      <w:bookmarkEnd w:id="355"/>
      <w:bookmarkEnd w:id="356"/>
      <w:bookmarkEnd w:id="357"/>
    </w:p>
    <w:p w14:paraId="5AB3689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58" w:name="_Toc75511085"/>
      <w:bookmarkStart w:id="359" w:name="_Toc8969"/>
      <w:bookmarkStart w:id="360" w:name="_Toc338944755"/>
      <w:bookmarkStart w:id="361" w:name="_Toc342296313"/>
      <w:bookmarkStart w:id="362" w:name="_Toc98936725"/>
      <w:r>
        <w:rPr>
          <w:rFonts w:hint="eastAsia" w:asciiTheme="minorEastAsia" w:hAnsiTheme="minorEastAsia" w:eastAsiaTheme="minorEastAsia" w:cstheme="minorEastAsia"/>
          <w:color w:val="auto"/>
          <w:sz w:val="21"/>
          <w:szCs w:val="21"/>
          <w:highlight w:val="none"/>
        </w:rPr>
        <w:t>7.1 道路通行权和场外设施</w:t>
      </w:r>
      <w:bookmarkEnd w:id="358"/>
      <w:bookmarkEnd w:id="359"/>
      <w:bookmarkEnd w:id="360"/>
      <w:bookmarkEnd w:id="361"/>
      <w:bookmarkEnd w:id="362"/>
    </w:p>
    <w:p w14:paraId="2F9A803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3BFDD6F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63" w:name="_Toc98936726"/>
      <w:bookmarkStart w:id="364" w:name="_Toc31524"/>
      <w:bookmarkStart w:id="365" w:name="_Toc75511086"/>
      <w:bookmarkStart w:id="366" w:name="_Toc342296314"/>
      <w:bookmarkStart w:id="367" w:name="_Toc338944756"/>
      <w:r>
        <w:rPr>
          <w:rFonts w:hint="eastAsia" w:asciiTheme="minorEastAsia" w:hAnsiTheme="minorEastAsia" w:eastAsiaTheme="minorEastAsia" w:cstheme="minorEastAsia"/>
          <w:color w:val="auto"/>
          <w:sz w:val="21"/>
          <w:szCs w:val="21"/>
          <w:highlight w:val="none"/>
        </w:rPr>
        <w:t>7.2 场内施工道路</w:t>
      </w:r>
      <w:bookmarkEnd w:id="363"/>
      <w:bookmarkEnd w:id="364"/>
      <w:bookmarkEnd w:id="365"/>
      <w:bookmarkEnd w:id="366"/>
      <w:bookmarkEnd w:id="367"/>
    </w:p>
    <w:p w14:paraId="7C20C8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7.2.1 除专用合同条款另有约定外，承包人应负责修建、维修、养护和管理施工所需的临时道路和交通设施，包括维修、养护和管理发包人提供的道路和交通设施，并承担相应费用。</w:t>
      </w:r>
    </w:p>
    <w:p w14:paraId="004791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7.2.2 除专用合同条款另有约定外，承包人修建的临时道路和交通设施应免费提供发包人和监理人使用。</w:t>
      </w:r>
    </w:p>
    <w:p w14:paraId="3A68BE6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68" w:name="_Toc75511087"/>
      <w:bookmarkStart w:id="369" w:name="_Toc338944757"/>
      <w:bookmarkStart w:id="370" w:name="_Toc144974632"/>
      <w:bookmarkStart w:id="371" w:name="_Toc342296315"/>
      <w:bookmarkStart w:id="372" w:name="_Toc152045664"/>
      <w:bookmarkStart w:id="373" w:name="_Toc179632682"/>
      <w:bookmarkStart w:id="374" w:name="_Toc98936727"/>
      <w:bookmarkStart w:id="375" w:name="_Toc152042442"/>
      <w:bookmarkStart w:id="376" w:name="_Toc6126"/>
      <w:r>
        <w:rPr>
          <w:rFonts w:hint="eastAsia" w:asciiTheme="minorEastAsia" w:hAnsiTheme="minorEastAsia" w:eastAsiaTheme="minorEastAsia" w:cstheme="minorEastAsia"/>
          <w:color w:val="auto"/>
          <w:sz w:val="21"/>
          <w:szCs w:val="21"/>
          <w:highlight w:val="none"/>
        </w:rPr>
        <w:t>7.3 场外交通</w:t>
      </w:r>
      <w:bookmarkEnd w:id="368"/>
      <w:bookmarkEnd w:id="369"/>
      <w:bookmarkEnd w:id="370"/>
      <w:bookmarkEnd w:id="371"/>
      <w:bookmarkEnd w:id="372"/>
      <w:bookmarkEnd w:id="373"/>
      <w:bookmarkEnd w:id="374"/>
      <w:bookmarkEnd w:id="375"/>
      <w:bookmarkEnd w:id="376"/>
    </w:p>
    <w:p w14:paraId="6E4B05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7.3.1 承包人车辆外出行驶所需的场外公共道路的通行费、养路费和税款等由承包人承担。</w:t>
      </w:r>
    </w:p>
    <w:p w14:paraId="70FCCC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7.3.2 承包人应遵守有关交通法规，严格按照道路和桥梁的限制荷重安全行驶，并服从交通管理部门的检查和监督。</w:t>
      </w:r>
    </w:p>
    <w:p w14:paraId="50F7115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77" w:name="_Toc342296316"/>
      <w:bookmarkStart w:id="378" w:name="_Toc75511088"/>
      <w:bookmarkStart w:id="379" w:name="_Toc338944758"/>
      <w:bookmarkStart w:id="380" w:name="_Toc98936728"/>
      <w:bookmarkStart w:id="381" w:name="_Toc8238"/>
      <w:r>
        <w:rPr>
          <w:rFonts w:hint="eastAsia" w:asciiTheme="minorEastAsia" w:hAnsiTheme="minorEastAsia" w:eastAsiaTheme="minorEastAsia" w:cstheme="minorEastAsia"/>
          <w:color w:val="auto"/>
          <w:sz w:val="21"/>
          <w:szCs w:val="21"/>
          <w:highlight w:val="none"/>
        </w:rPr>
        <w:t>7.4 超大件和超重件的运输</w:t>
      </w:r>
      <w:bookmarkEnd w:id="377"/>
      <w:bookmarkEnd w:id="378"/>
      <w:bookmarkEnd w:id="379"/>
      <w:bookmarkEnd w:id="380"/>
      <w:bookmarkEnd w:id="381"/>
    </w:p>
    <w:p w14:paraId="120669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6F5629B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82" w:name="_Toc16832"/>
      <w:bookmarkStart w:id="383" w:name="_Toc338944759"/>
      <w:bookmarkStart w:id="384" w:name="_Toc342296317"/>
      <w:bookmarkStart w:id="385" w:name="_Toc75511089"/>
      <w:bookmarkStart w:id="386" w:name="_Toc98936729"/>
      <w:r>
        <w:rPr>
          <w:rFonts w:hint="eastAsia" w:asciiTheme="minorEastAsia" w:hAnsiTheme="minorEastAsia" w:eastAsiaTheme="minorEastAsia" w:cstheme="minorEastAsia"/>
          <w:color w:val="auto"/>
          <w:sz w:val="21"/>
          <w:szCs w:val="21"/>
          <w:highlight w:val="none"/>
        </w:rPr>
        <w:t>7.5 道路和桥梁的损坏责任</w:t>
      </w:r>
      <w:bookmarkEnd w:id="382"/>
      <w:bookmarkEnd w:id="383"/>
      <w:bookmarkEnd w:id="384"/>
      <w:bookmarkEnd w:id="385"/>
      <w:bookmarkEnd w:id="386"/>
    </w:p>
    <w:p w14:paraId="0AF8E7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因承包人运输造成施工场地内外公共道路和桥梁损坏的，由承包人承担修复损坏的全部费用和可能引起的赔偿。</w:t>
      </w:r>
    </w:p>
    <w:p w14:paraId="5FFB0FAE">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387" w:name="_Toc98936730"/>
      <w:bookmarkStart w:id="388" w:name="_Toc144974635"/>
      <w:bookmarkStart w:id="389" w:name="_Toc152045667"/>
      <w:bookmarkStart w:id="390" w:name="_Toc75511090"/>
      <w:bookmarkStart w:id="391" w:name="_Toc179632685"/>
      <w:bookmarkStart w:id="392" w:name="_Toc338944760"/>
      <w:bookmarkStart w:id="393" w:name="_Toc152042445"/>
      <w:bookmarkStart w:id="394" w:name="_Toc27530"/>
      <w:bookmarkStart w:id="395" w:name="_Toc342296318"/>
      <w:r>
        <w:rPr>
          <w:rFonts w:hint="eastAsia" w:asciiTheme="minorEastAsia" w:hAnsiTheme="minorEastAsia" w:eastAsiaTheme="minorEastAsia" w:cstheme="minorEastAsia"/>
          <w:color w:val="auto"/>
          <w:sz w:val="21"/>
          <w:szCs w:val="21"/>
          <w:highlight w:val="none"/>
        </w:rPr>
        <w:t>7.6 水路和航空运输</w:t>
      </w:r>
      <w:bookmarkEnd w:id="387"/>
      <w:bookmarkEnd w:id="388"/>
      <w:bookmarkEnd w:id="389"/>
      <w:bookmarkEnd w:id="390"/>
      <w:bookmarkEnd w:id="391"/>
      <w:bookmarkEnd w:id="392"/>
      <w:bookmarkEnd w:id="393"/>
      <w:bookmarkEnd w:id="394"/>
      <w:bookmarkEnd w:id="395"/>
    </w:p>
    <w:p w14:paraId="5BD063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本条上述各款的内容适用于水路运输和航空运输，其中“道路”一词的涵义包括河道、航线、船闸、机场、码头、堤防以及水路或航空运输中其他相似结构物；“车辆”一词的涵义包括船舶和飞机等。 </w:t>
      </w:r>
    </w:p>
    <w:p w14:paraId="1E0C01E8">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396" w:name="_Toc342296319"/>
      <w:bookmarkStart w:id="397" w:name="_Toc19041"/>
      <w:bookmarkStart w:id="398" w:name="_Toc75511091"/>
      <w:bookmarkStart w:id="399" w:name="_Toc98936731"/>
      <w:bookmarkStart w:id="400" w:name="_Toc338944761"/>
      <w:r>
        <w:rPr>
          <w:rFonts w:hint="eastAsia" w:asciiTheme="minorEastAsia" w:hAnsiTheme="minorEastAsia" w:eastAsiaTheme="minorEastAsia" w:cstheme="minorEastAsia"/>
          <w:color w:val="auto"/>
          <w:sz w:val="21"/>
          <w:szCs w:val="21"/>
          <w:highlight w:val="none"/>
        </w:rPr>
        <w:t>8. 测量放线</w:t>
      </w:r>
      <w:bookmarkEnd w:id="396"/>
      <w:bookmarkEnd w:id="397"/>
      <w:bookmarkEnd w:id="398"/>
      <w:bookmarkEnd w:id="399"/>
      <w:bookmarkEnd w:id="400"/>
    </w:p>
    <w:p w14:paraId="53D7D81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01" w:name="_Toc16940"/>
      <w:bookmarkStart w:id="402" w:name="_Toc98936732"/>
      <w:bookmarkStart w:id="403" w:name="_Toc338944762"/>
      <w:bookmarkStart w:id="404" w:name="_Toc342296320"/>
      <w:bookmarkStart w:id="405" w:name="_Toc75511092"/>
      <w:r>
        <w:rPr>
          <w:rFonts w:hint="eastAsia" w:asciiTheme="minorEastAsia" w:hAnsiTheme="minorEastAsia" w:eastAsiaTheme="minorEastAsia" w:cstheme="minorEastAsia"/>
          <w:color w:val="auto"/>
          <w:sz w:val="21"/>
          <w:szCs w:val="21"/>
          <w:highlight w:val="none"/>
        </w:rPr>
        <w:t>8.1 施工控制网</w:t>
      </w:r>
      <w:bookmarkEnd w:id="401"/>
      <w:bookmarkEnd w:id="402"/>
      <w:bookmarkEnd w:id="403"/>
      <w:bookmarkEnd w:id="404"/>
      <w:bookmarkEnd w:id="405"/>
    </w:p>
    <w:p w14:paraId="7D527D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7A264A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8.1.2承包人应负责管理施工控制网点。施工控制网点丢失或损坏的，承包人应及时修复。承包人应承担施工控制网点的管理与修复费用，并在工程竣工后将施工控制网点移交发包人。</w:t>
      </w:r>
    </w:p>
    <w:p w14:paraId="5F6C111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06" w:name="_Toc75511093"/>
      <w:bookmarkStart w:id="407" w:name="_Toc152042448"/>
      <w:bookmarkStart w:id="408" w:name="_Toc144974638"/>
      <w:bookmarkStart w:id="409" w:name="_Toc98936733"/>
      <w:bookmarkStart w:id="410" w:name="_Toc179632688"/>
      <w:bookmarkStart w:id="411" w:name="_Toc338944763"/>
      <w:bookmarkStart w:id="412" w:name="_Toc342296321"/>
      <w:bookmarkStart w:id="413" w:name="_Toc25356"/>
      <w:bookmarkStart w:id="414" w:name="_Toc152045670"/>
      <w:r>
        <w:rPr>
          <w:rFonts w:hint="eastAsia" w:asciiTheme="minorEastAsia" w:hAnsiTheme="minorEastAsia" w:eastAsiaTheme="minorEastAsia" w:cstheme="minorEastAsia"/>
          <w:color w:val="auto"/>
          <w:sz w:val="21"/>
          <w:szCs w:val="21"/>
          <w:highlight w:val="none"/>
        </w:rPr>
        <w:t>8.2 施工测量</w:t>
      </w:r>
      <w:bookmarkEnd w:id="406"/>
      <w:bookmarkEnd w:id="407"/>
      <w:bookmarkEnd w:id="408"/>
      <w:bookmarkEnd w:id="409"/>
      <w:bookmarkEnd w:id="410"/>
      <w:bookmarkEnd w:id="411"/>
      <w:bookmarkEnd w:id="412"/>
      <w:bookmarkEnd w:id="413"/>
      <w:bookmarkEnd w:id="414"/>
    </w:p>
    <w:p w14:paraId="7DBB58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8.2.1承包人应负责施工过程中的全部施工测量放线工作，并配置合格的人员、仪器、设备和其他物品。</w:t>
      </w:r>
    </w:p>
    <w:p w14:paraId="78CAE2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8.2.2监理人可以指示承包人进行抽样复测，当复测中发现错误或出现超过合同约定的误差时，承包人应按监理人指示进行修正或补测，并承担相应的复测费用。</w:t>
      </w:r>
    </w:p>
    <w:p w14:paraId="43AC568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15" w:name="_Toc75511094"/>
      <w:bookmarkStart w:id="416" w:name="_Toc22551"/>
      <w:bookmarkStart w:id="417" w:name="_Toc179632689"/>
      <w:bookmarkStart w:id="418" w:name="_Toc342296322"/>
      <w:bookmarkStart w:id="419" w:name="_Toc98936734"/>
      <w:bookmarkStart w:id="420" w:name="_Toc338944764"/>
      <w:bookmarkStart w:id="421" w:name="_Toc152045671"/>
      <w:bookmarkStart w:id="422" w:name="_Toc144974639"/>
      <w:bookmarkStart w:id="423" w:name="_Toc152042449"/>
      <w:r>
        <w:rPr>
          <w:rFonts w:hint="eastAsia" w:asciiTheme="minorEastAsia" w:hAnsiTheme="minorEastAsia" w:eastAsiaTheme="minorEastAsia" w:cstheme="minorEastAsia"/>
          <w:color w:val="auto"/>
          <w:sz w:val="21"/>
          <w:szCs w:val="21"/>
          <w:highlight w:val="none"/>
        </w:rPr>
        <w:t>8.3 基准资料错误的责任</w:t>
      </w:r>
      <w:bookmarkEnd w:id="415"/>
      <w:bookmarkEnd w:id="416"/>
      <w:bookmarkEnd w:id="417"/>
      <w:bookmarkEnd w:id="418"/>
      <w:bookmarkEnd w:id="419"/>
      <w:bookmarkEnd w:id="420"/>
      <w:bookmarkEnd w:id="421"/>
      <w:bookmarkEnd w:id="422"/>
      <w:bookmarkEnd w:id="423"/>
    </w:p>
    <w:p w14:paraId="65CB26F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36BB9C3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24" w:name="_Toc98936735"/>
      <w:bookmarkStart w:id="425" w:name="_Toc179632690"/>
      <w:bookmarkStart w:id="426" w:name="_Toc24738"/>
      <w:bookmarkStart w:id="427" w:name="_Toc75511095"/>
      <w:bookmarkStart w:id="428" w:name="_Toc144974640"/>
      <w:bookmarkStart w:id="429" w:name="_Toc152042450"/>
      <w:bookmarkStart w:id="430" w:name="_Toc342296323"/>
      <w:bookmarkStart w:id="431" w:name="_Toc152045672"/>
      <w:bookmarkStart w:id="432" w:name="_Toc338944765"/>
      <w:r>
        <w:rPr>
          <w:rFonts w:hint="eastAsia" w:asciiTheme="minorEastAsia" w:hAnsiTheme="minorEastAsia" w:eastAsiaTheme="minorEastAsia" w:cstheme="minorEastAsia"/>
          <w:color w:val="auto"/>
          <w:sz w:val="21"/>
          <w:szCs w:val="21"/>
          <w:highlight w:val="none"/>
        </w:rPr>
        <w:t>8.4 监理人使用施工控制网</w:t>
      </w:r>
      <w:bookmarkEnd w:id="424"/>
      <w:bookmarkEnd w:id="425"/>
      <w:bookmarkEnd w:id="426"/>
      <w:bookmarkEnd w:id="427"/>
      <w:bookmarkEnd w:id="428"/>
      <w:bookmarkEnd w:id="429"/>
      <w:bookmarkEnd w:id="430"/>
      <w:bookmarkEnd w:id="431"/>
      <w:bookmarkEnd w:id="432"/>
    </w:p>
    <w:p w14:paraId="4A566F9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监理人需要使用施工控制网的，承包人应提供必要的协助，发包人不再为此支付费用。</w:t>
      </w:r>
    </w:p>
    <w:p w14:paraId="7B2271B4">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33" w:name="_Toc1005"/>
      <w:bookmarkStart w:id="434" w:name="_Toc338944766"/>
      <w:bookmarkStart w:id="435" w:name="_Toc98936736"/>
      <w:bookmarkStart w:id="436" w:name="_Toc342296324"/>
      <w:bookmarkStart w:id="437" w:name="_Toc75511096"/>
      <w:r>
        <w:rPr>
          <w:rFonts w:hint="eastAsia" w:asciiTheme="minorEastAsia" w:hAnsiTheme="minorEastAsia" w:eastAsiaTheme="minorEastAsia" w:cstheme="minorEastAsia"/>
          <w:color w:val="auto"/>
          <w:sz w:val="21"/>
          <w:szCs w:val="21"/>
          <w:highlight w:val="none"/>
        </w:rPr>
        <w:t>9. 施工安全、治安保卫和环境保护</w:t>
      </w:r>
      <w:bookmarkEnd w:id="433"/>
      <w:bookmarkEnd w:id="434"/>
      <w:bookmarkEnd w:id="435"/>
      <w:bookmarkEnd w:id="436"/>
      <w:bookmarkEnd w:id="437"/>
    </w:p>
    <w:p w14:paraId="10B5FFA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38" w:name="_Toc75511097"/>
      <w:bookmarkStart w:id="439" w:name="_Toc342296325"/>
      <w:bookmarkStart w:id="440" w:name="_Toc18298"/>
      <w:bookmarkStart w:id="441" w:name="_Toc179632692"/>
      <w:bookmarkStart w:id="442" w:name="_Toc98936737"/>
      <w:bookmarkStart w:id="443" w:name="_Toc152042452"/>
      <w:bookmarkStart w:id="444" w:name="_Toc152045674"/>
      <w:bookmarkStart w:id="445" w:name="_Toc144974642"/>
      <w:bookmarkStart w:id="446" w:name="_Toc338944767"/>
      <w:r>
        <w:rPr>
          <w:rFonts w:hint="eastAsia" w:asciiTheme="minorEastAsia" w:hAnsiTheme="minorEastAsia" w:eastAsiaTheme="minorEastAsia" w:cstheme="minorEastAsia"/>
          <w:color w:val="auto"/>
          <w:sz w:val="21"/>
          <w:szCs w:val="21"/>
          <w:highlight w:val="none"/>
        </w:rPr>
        <w:t>9.1 发包人的施工安全责任</w:t>
      </w:r>
      <w:bookmarkEnd w:id="438"/>
      <w:bookmarkEnd w:id="439"/>
      <w:bookmarkEnd w:id="440"/>
      <w:bookmarkEnd w:id="441"/>
      <w:bookmarkEnd w:id="442"/>
      <w:bookmarkEnd w:id="443"/>
      <w:bookmarkEnd w:id="444"/>
      <w:bookmarkEnd w:id="445"/>
      <w:bookmarkEnd w:id="446"/>
    </w:p>
    <w:p w14:paraId="23AAC6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9.1.1 发包人应按合同约定履行安全职责，授权监理人按合同约定的安全工作内容监督、检查承包人安全工作的实施，组织承包人和有关单位进行安全检查。</w:t>
      </w:r>
    </w:p>
    <w:p w14:paraId="729ED9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9.1.2 发包人应对其现场机构雇佣的全部人员的工伤事故承担责任，但由于承包人原因造成发包人人员工伤的，应由承包人承担责任。</w:t>
      </w:r>
    </w:p>
    <w:p w14:paraId="0981B6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9.1.3 发包人应负责赔偿以下各种情况造成的第三者人身伤亡和财产损失：</w:t>
      </w:r>
    </w:p>
    <w:p w14:paraId="7012F3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工程或工程的任何部分对土地的占用所造成的第三者财产损失；</w:t>
      </w:r>
    </w:p>
    <w:p w14:paraId="69C34C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由于发包人原因在施工场地及其毗邻地带造成的第三者人身伤亡和财产损失。</w:t>
      </w:r>
    </w:p>
    <w:p w14:paraId="03D55E0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47" w:name="_Toc98936738"/>
      <w:bookmarkStart w:id="448" w:name="_Toc2040"/>
      <w:bookmarkStart w:id="449" w:name="_Toc338944768"/>
      <w:bookmarkStart w:id="450" w:name="_Toc342296326"/>
      <w:bookmarkStart w:id="451" w:name="_Toc75511098"/>
      <w:r>
        <w:rPr>
          <w:rFonts w:hint="eastAsia" w:asciiTheme="minorEastAsia" w:hAnsiTheme="minorEastAsia" w:eastAsiaTheme="minorEastAsia" w:cstheme="minorEastAsia"/>
          <w:color w:val="auto"/>
          <w:sz w:val="21"/>
          <w:szCs w:val="21"/>
          <w:highlight w:val="none"/>
        </w:rPr>
        <w:t>9.2 承包人的施工安全责任</w:t>
      </w:r>
      <w:bookmarkEnd w:id="447"/>
      <w:bookmarkEnd w:id="448"/>
      <w:bookmarkEnd w:id="449"/>
      <w:bookmarkEnd w:id="450"/>
      <w:bookmarkEnd w:id="451"/>
    </w:p>
    <w:p w14:paraId="36803F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9.2.1 承包人应按合同约定履行安全职责,执行监理人有关安全工作的指示,并在专用合同条款约定的期限内，按合同约定的安全工作内容，编制施工安全措施计划报送监理人审批。</w:t>
      </w:r>
    </w:p>
    <w:p w14:paraId="6643F4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9.2.2 承包人应加强施工作业安全管理，特别应加强易燃、易爆材料、火工器材、有毒与腐蚀性材料和其他危险品的管理，以及对爆破作业和地下工程施工等危险作业的管理。</w:t>
      </w:r>
    </w:p>
    <w:p w14:paraId="75A9C79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9.2.3 承包人应严格按照国家安全标准制定施工安全操作规程，配备必要的安全生产和劳动保护设施，加强对承包人人员的安全教育，并发放安全工作手册和劳动保护用具。</w:t>
      </w:r>
    </w:p>
    <w:p w14:paraId="3EE64F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23E842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373803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9.2.6 承包人应对其履行合同所雇佣的全部人员，包括分包人人员的工伤事故承担责任，但由于发包人原因造成承包人人员工伤事故的，应由发包人承担责任。</w:t>
      </w:r>
    </w:p>
    <w:p w14:paraId="572582A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9.2.7 由于承包人原因在施工场地内及其毗邻地带造成的第三者人员伤亡和财产损失，由承包人负责赔偿。</w:t>
      </w:r>
    </w:p>
    <w:p w14:paraId="3CF2CF0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52" w:name="_Toc10942"/>
      <w:bookmarkStart w:id="453" w:name="_Toc75511099"/>
      <w:bookmarkStart w:id="454" w:name="_Toc342296327"/>
      <w:bookmarkStart w:id="455" w:name="_Toc338944769"/>
      <w:bookmarkStart w:id="456" w:name="_Toc98936739"/>
      <w:r>
        <w:rPr>
          <w:rFonts w:hint="eastAsia" w:asciiTheme="minorEastAsia" w:hAnsiTheme="minorEastAsia" w:eastAsiaTheme="minorEastAsia" w:cstheme="minorEastAsia"/>
          <w:color w:val="auto"/>
          <w:sz w:val="21"/>
          <w:szCs w:val="21"/>
          <w:highlight w:val="none"/>
        </w:rPr>
        <w:t>9.3 治安保卫</w:t>
      </w:r>
      <w:bookmarkEnd w:id="452"/>
      <w:bookmarkEnd w:id="453"/>
      <w:bookmarkEnd w:id="454"/>
      <w:bookmarkEnd w:id="455"/>
      <w:bookmarkEnd w:id="456"/>
    </w:p>
    <w:p w14:paraId="382C30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9.3.1 除合同另有约定外，发包人应与当地公安部门协商，在现场建立治安管理机构或联防组织，统一管理施工场地的治安保卫事项，履行合同工程的治安保卫职责。</w:t>
      </w:r>
    </w:p>
    <w:p w14:paraId="53D939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9.3.2 发包人和承包人除应协助现场治安管理机构或联防组织维护施工场地的社会治安外，还应做好包括生活区在内的各自管辖区的治安保卫工作。</w:t>
      </w:r>
    </w:p>
    <w:p w14:paraId="66DCB4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69659D2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57" w:name="_Toc75511100"/>
      <w:bookmarkStart w:id="458" w:name="_Toc17567"/>
      <w:bookmarkStart w:id="459" w:name="_Toc338944770"/>
      <w:bookmarkStart w:id="460" w:name="_Toc98936740"/>
      <w:bookmarkStart w:id="461" w:name="_Toc342296328"/>
      <w:r>
        <w:rPr>
          <w:rFonts w:hint="eastAsia" w:asciiTheme="minorEastAsia" w:hAnsiTheme="minorEastAsia" w:eastAsiaTheme="minorEastAsia" w:cstheme="minorEastAsia"/>
          <w:color w:val="auto"/>
          <w:sz w:val="21"/>
          <w:szCs w:val="21"/>
          <w:highlight w:val="none"/>
        </w:rPr>
        <w:t>9.4 环境保护</w:t>
      </w:r>
      <w:bookmarkEnd w:id="457"/>
      <w:bookmarkEnd w:id="458"/>
      <w:bookmarkEnd w:id="459"/>
      <w:bookmarkEnd w:id="460"/>
      <w:bookmarkEnd w:id="461"/>
    </w:p>
    <w:p w14:paraId="7AA4271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9.4.1 承包人在施工过程中，应遵守有关环境保护的法律，履行合同约定的环境保护义务，并对违反法律和合同约定义务所造成的环境破坏、人身伤害和财产损失负责。</w:t>
      </w:r>
    </w:p>
    <w:p w14:paraId="7524E15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9.4.2 承包人应按合同约定的环保工作内容，编制施工环保措施计划，报送监理人审批。</w:t>
      </w:r>
    </w:p>
    <w:p w14:paraId="4DFF1D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3DD630C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9.4.4 承包人应按合同约定采取有效措施，对施工开挖的边坡及时进行支护,维护排水设施，并进行水土保护，避免因施工造成的地质灾害。</w:t>
      </w:r>
    </w:p>
    <w:p w14:paraId="3093BFC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9.4.5 承包人应按国家饮用水管理标准定期对饮用水源进行监测，防止施工活动污染饮用水源。</w:t>
      </w:r>
    </w:p>
    <w:p w14:paraId="35E893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9.4.6 承包人应按合同约定，加强对噪声、粉尘、废气、废水和废油的控制，努力降低噪声，控制粉尘和废气浓度，做好废水和废油的治理和排放。</w:t>
      </w:r>
    </w:p>
    <w:p w14:paraId="2827007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62" w:name="_Toc98936741"/>
      <w:bookmarkStart w:id="463" w:name="_Toc152045678"/>
      <w:bookmarkStart w:id="464" w:name="_Toc342296329"/>
      <w:bookmarkStart w:id="465" w:name="_Toc338944771"/>
      <w:bookmarkStart w:id="466" w:name="_Toc144974646"/>
      <w:bookmarkStart w:id="467" w:name="_Toc9106"/>
      <w:bookmarkStart w:id="468" w:name="_Toc152042456"/>
      <w:bookmarkStart w:id="469" w:name="_Toc75511101"/>
      <w:bookmarkStart w:id="470" w:name="_Toc179632696"/>
      <w:r>
        <w:rPr>
          <w:rFonts w:hint="eastAsia" w:asciiTheme="minorEastAsia" w:hAnsiTheme="minorEastAsia" w:eastAsiaTheme="minorEastAsia" w:cstheme="minorEastAsia"/>
          <w:color w:val="auto"/>
          <w:sz w:val="21"/>
          <w:szCs w:val="21"/>
          <w:highlight w:val="none"/>
        </w:rPr>
        <w:t>9.5 事故处理</w:t>
      </w:r>
      <w:bookmarkEnd w:id="462"/>
      <w:bookmarkEnd w:id="463"/>
      <w:bookmarkEnd w:id="464"/>
      <w:bookmarkEnd w:id="465"/>
      <w:bookmarkEnd w:id="466"/>
      <w:bookmarkEnd w:id="467"/>
      <w:bookmarkEnd w:id="468"/>
      <w:bookmarkEnd w:id="469"/>
      <w:bookmarkEnd w:id="470"/>
    </w:p>
    <w:p w14:paraId="29E4BB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B26B375">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71" w:name="_Toc338944772"/>
      <w:bookmarkStart w:id="472" w:name="_Toc342296330"/>
      <w:bookmarkStart w:id="473" w:name="_Toc75511102"/>
      <w:bookmarkStart w:id="474" w:name="_Toc10083"/>
      <w:bookmarkStart w:id="475" w:name="_Toc98936742"/>
      <w:r>
        <w:rPr>
          <w:rFonts w:hint="eastAsia" w:asciiTheme="minorEastAsia" w:hAnsiTheme="minorEastAsia" w:eastAsiaTheme="minorEastAsia" w:cstheme="minorEastAsia"/>
          <w:color w:val="auto"/>
          <w:sz w:val="21"/>
          <w:szCs w:val="21"/>
          <w:highlight w:val="none"/>
        </w:rPr>
        <w:t>10. 进度计划</w:t>
      </w:r>
      <w:bookmarkEnd w:id="471"/>
      <w:bookmarkEnd w:id="472"/>
      <w:bookmarkEnd w:id="473"/>
      <w:bookmarkEnd w:id="474"/>
      <w:bookmarkEnd w:id="475"/>
    </w:p>
    <w:p w14:paraId="262F381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76" w:name="_Toc98936743"/>
      <w:bookmarkStart w:id="477" w:name="_Toc1694"/>
      <w:bookmarkStart w:id="478" w:name="_Toc75511103"/>
      <w:bookmarkStart w:id="479" w:name="_Toc342296331"/>
      <w:bookmarkStart w:id="480" w:name="_Toc338944773"/>
      <w:r>
        <w:rPr>
          <w:rFonts w:hint="eastAsia" w:asciiTheme="minorEastAsia" w:hAnsiTheme="minorEastAsia" w:eastAsiaTheme="minorEastAsia" w:cstheme="minorEastAsia"/>
          <w:color w:val="auto"/>
          <w:sz w:val="21"/>
          <w:szCs w:val="21"/>
          <w:highlight w:val="none"/>
        </w:rPr>
        <w:t>10.1 合同进度计划</w:t>
      </w:r>
      <w:bookmarkEnd w:id="476"/>
      <w:bookmarkEnd w:id="477"/>
      <w:bookmarkEnd w:id="478"/>
      <w:bookmarkEnd w:id="479"/>
      <w:bookmarkEnd w:id="480"/>
    </w:p>
    <w:p w14:paraId="225867D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0CB3B26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81" w:name="_Toc75511104"/>
      <w:bookmarkStart w:id="482" w:name="_Toc98936744"/>
      <w:bookmarkStart w:id="483" w:name="_Toc338944774"/>
      <w:bookmarkStart w:id="484" w:name="_Toc724"/>
      <w:bookmarkStart w:id="485" w:name="_Toc342296332"/>
      <w:r>
        <w:rPr>
          <w:rFonts w:hint="eastAsia" w:asciiTheme="minorEastAsia" w:hAnsiTheme="minorEastAsia" w:eastAsiaTheme="minorEastAsia" w:cstheme="minorEastAsia"/>
          <w:color w:val="auto"/>
          <w:sz w:val="21"/>
          <w:szCs w:val="21"/>
          <w:highlight w:val="none"/>
        </w:rPr>
        <w:t>10.2 合同进度计划的修订</w:t>
      </w:r>
      <w:bookmarkEnd w:id="481"/>
      <w:bookmarkEnd w:id="482"/>
      <w:bookmarkEnd w:id="483"/>
      <w:bookmarkEnd w:id="484"/>
      <w:bookmarkEnd w:id="485"/>
    </w:p>
    <w:p w14:paraId="14EB175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113A0DA2">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486" w:name="_Toc342296333"/>
      <w:bookmarkStart w:id="487" w:name="_Toc75511105"/>
      <w:bookmarkStart w:id="488" w:name="_Toc98936745"/>
      <w:bookmarkStart w:id="489" w:name="_Toc29357"/>
      <w:bookmarkStart w:id="490" w:name="_Toc338944775"/>
      <w:r>
        <w:rPr>
          <w:rFonts w:hint="eastAsia" w:asciiTheme="minorEastAsia" w:hAnsiTheme="minorEastAsia" w:eastAsiaTheme="minorEastAsia" w:cstheme="minorEastAsia"/>
          <w:color w:val="auto"/>
          <w:sz w:val="21"/>
          <w:szCs w:val="21"/>
          <w:highlight w:val="none"/>
        </w:rPr>
        <w:t>11. 开工和竣工</w:t>
      </w:r>
      <w:bookmarkEnd w:id="486"/>
      <w:bookmarkEnd w:id="487"/>
      <w:bookmarkEnd w:id="488"/>
      <w:bookmarkEnd w:id="489"/>
      <w:bookmarkEnd w:id="490"/>
    </w:p>
    <w:p w14:paraId="1A6989E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491" w:name="_Toc152042461"/>
      <w:bookmarkStart w:id="492" w:name="_Toc342296334"/>
      <w:bookmarkStart w:id="493" w:name="_Toc179632701"/>
      <w:bookmarkStart w:id="494" w:name="_Toc7968"/>
      <w:bookmarkStart w:id="495" w:name="_Toc338944776"/>
      <w:bookmarkStart w:id="496" w:name="_Toc75511106"/>
      <w:bookmarkStart w:id="497" w:name="_Toc144974651"/>
      <w:bookmarkStart w:id="498" w:name="_Toc152045683"/>
      <w:bookmarkStart w:id="499" w:name="_Toc98936746"/>
      <w:r>
        <w:rPr>
          <w:rFonts w:hint="eastAsia" w:asciiTheme="minorEastAsia" w:hAnsiTheme="minorEastAsia" w:eastAsiaTheme="minorEastAsia" w:cstheme="minorEastAsia"/>
          <w:color w:val="auto"/>
          <w:sz w:val="21"/>
          <w:szCs w:val="21"/>
          <w:highlight w:val="none"/>
        </w:rPr>
        <w:t>11.1 开工</w:t>
      </w:r>
      <w:bookmarkEnd w:id="491"/>
      <w:bookmarkEnd w:id="492"/>
      <w:bookmarkEnd w:id="493"/>
      <w:bookmarkEnd w:id="494"/>
      <w:bookmarkEnd w:id="495"/>
      <w:bookmarkEnd w:id="496"/>
      <w:bookmarkEnd w:id="497"/>
      <w:bookmarkEnd w:id="498"/>
      <w:bookmarkEnd w:id="499"/>
    </w:p>
    <w:p w14:paraId="496BC52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59D73C8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701E011E">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00" w:name="_Toc152042462"/>
      <w:bookmarkStart w:id="501" w:name="_Toc75511107"/>
      <w:bookmarkStart w:id="502" w:name="_Toc338944777"/>
      <w:bookmarkStart w:id="503" w:name="_Toc27007"/>
      <w:bookmarkStart w:id="504" w:name="_Toc98936747"/>
      <w:bookmarkStart w:id="505" w:name="_Toc152045684"/>
      <w:bookmarkStart w:id="506" w:name="_Toc342296335"/>
      <w:bookmarkStart w:id="507" w:name="_Toc179632702"/>
      <w:bookmarkStart w:id="508" w:name="_Toc144974652"/>
      <w:r>
        <w:rPr>
          <w:rFonts w:hint="eastAsia" w:asciiTheme="minorEastAsia" w:hAnsiTheme="minorEastAsia" w:eastAsiaTheme="minorEastAsia" w:cstheme="minorEastAsia"/>
          <w:color w:val="auto"/>
          <w:sz w:val="21"/>
          <w:szCs w:val="21"/>
          <w:highlight w:val="none"/>
        </w:rPr>
        <w:t>11.2 竣工</w:t>
      </w:r>
      <w:bookmarkEnd w:id="500"/>
      <w:bookmarkEnd w:id="501"/>
      <w:bookmarkEnd w:id="502"/>
      <w:bookmarkEnd w:id="503"/>
      <w:bookmarkEnd w:id="504"/>
      <w:bookmarkEnd w:id="505"/>
      <w:bookmarkEnd w:id="506"/>
      <w:bookmarkEnd w:id="507"/>
      <w:bookmarkEnd w:id="508"/>
    </w:p>
    <w:p w14:paraId="32BC7A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承包人应在第1.1.4.3目约定的期限内完成合同工程。实际竣工日期在接收证书中写明。</w:t>
      </w:r>
    </w:p>
    <w:p w14:paraId="08FD7B7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09" w:name="_Toc98936748"/>
      <w:bookmarkStart w:id="510" w:name="_Toc4137"/>
      <w:bookmarkStart w:id="511" w:name="_Toc342296336"/>
      <w:bookmarkStart w:id="512" w:name="_Toc338944778"/>
      <w:bookmarkStart w:id="513" w:name="_Toc75511108"/>
      <w:r>
        <w:rPr>
          <w:rFonts w:hint="eastAsia" w:asciiTheme="minorEastAsia" w:hAnsiTheme="minorEastAsia" w:eastAsiaTheme="minorEastAsia" w:cstheme="minorEastAsia"/>
          <w:color w:val="auto"/>
          <w:sz w:val="21"/>
          <w:szCs w:val="21"/>
          <w:highlight w:val="none"/>
        </w:rPr>
        <w:t>11.3 发包人的工期延误</w:t>
      </w:r>
      <w:bookmarkEnd w:id="509"/>
      <w:bookmarkEnd w:id="510"/>
      <w:bookmarkEnd w:id="511"/>
      <w:bookmarkEnd w:id="512"/>
      <w:bookmarkEnd w:id="513"/>
    </w:p>
    <w:p w14:paraId="28EAFB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在履行合同过程中，由于发包人的下列原因造成工期延误的，承包人有权要求发包人延长工期和（或）增加费用，并支付合理利润。需要修订合同进度计划的，按照第10.2款的约定办理。</w:t>
      </w:r>
    </w:p>
    <w:p w14:paraId="7AFF29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（1）增加合同工作内容；</w:t>
      </w:r>
    </w:p>
    <w:p w14:paraId="7F83FA24">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（2）改变合同中任何一项工作的质量要求或其他特性；</w:t>
      </w:r>
    </w:p>
    <w:p w14:paraId="655369DB">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（3）发包人迟延提供材料、工程设备或变更交货地点的；</w:t>
      </w:r>
    </w:p>
    <w:p w14:paraId="44350DC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（4）因发包人原因导致的暂停施工；</w:t>
      </w:r>
    </w:p>
    <w:p w14:paraId="78D23BA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（5）提供图纸延误；</w:t>
      </w:r>
    </w:p>
    <w:p w14:paraId="38F810F4">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（6）未按合同约定及时支付预付款、进度款；</w:t>
      </w:r>
    </w:p>
    <w:p w14:paraId="1283397C">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（7）发包人造成工期延误的其他原因。</w:t>
      </w:r>
    </w:p>
    <w:p w14:paraId="0744D95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14" w:name="_Toc342296337"/>
      <w:bookmarkStart w:id="515" w:name="_Toc75511109"/>
      <w:bookmarkStart w:id="516" w:name="_Toc98936749"/>
      <w:bookmarkStart w:id="517" w:name="_Toc338944779"/>
      <w:bookmarkStart w:id="518" w:name="_Toc27655"/>
      <w:r>
        <w:rPr>
          <w:rFonts w:hint="eastAsia" w:asciiTheme="minorEastAsia" w:hAnsiTheme="minorEastAsia" w:eastAsiaTheme="minorEastAsia" w:cstheme="minorEastAsia"/>
          <w:color w:val="auto"/>
          <w:sz w:val="21"/>
          <w:szCs w:val="21"/>
          <w:highlight w:val="none"/>
        </w:rPr>
        <w:t>11.4 异常恶劣的气候条件</w:t>
      </w:r>
      <w:bookmarkEnd w:id="514"/>
      <w:bookmarkEnd w:id="515"/>
      <w:bookmarkEnd w:id="516"/>
      <w:bookmarkEnd w:id="517"/>
      <w:bookmarkEnd w:id="518"/>
    </w:p>
    <w:p w14:paraId="4DFEFE2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由于出现专用合同条款规定的异常恶劣气候的条件导致工期延误的，承包人有权要求发包人延长工期。</w:t>
      </w:r>
    </w:p>
    <w:p w14:paraId="19EA62A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19" w:name="_Toc75511110"/>
      <w:bookmarkStart w:id="520" w:name="_Toc338944780"/>
      <w:bookmarkStart w:id="521" w:name="_Toc1353"/>
      <w:bookmarkStart w:id="522" w:name="_Toc342296338"/>
      <w:bookmarkStart w:id="523" w:name="_Toc98936750"/>
      <w:r>
        <w:rPr>
          <w:rFonts w:hint="eastAsia" w:asciiTheme="minorEastAsia" w:hAnsiTheme="minorEastAsia" w:eastAsiaTheme="minorEastAsia" w:cstheme="minorEastAsia"/>
          <w:color w:val="auto"/>
          <w:sz w:val="21"/>
          <w:szCs w:val="21"/>
          <w:highlight w:val="none"/>
        </w:rPr>
        <w:t>11.5 承包人的工期延误</w:t>
      </w:r>
      <w:bookmarkEnd w:id="519"/>
      <w:bookmarkEnd w:id="520"/>
      <w:bookmarkEnd w:id="521"/>
      <w:bookmarkEnd w:id="522"/>
      <w:bookmarkEnd w:id="523"/>
    </w:p>
    <w:p w14:paraId="46976A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16ECD55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24" w:name="_Toc342296339"/>
      <w:bookmarkStart w:id="525" w:name="_Toc338944781"/>
      <w:bookmarkStart w:id="526" w:name="_Toc98936751"/>
      <w:bookmarkStart w:id="527" w:name="_Toc7587"/>
      <w:bookmarkStart w:id="528" w:name="_Toc75511111"/>
      <w:r>
        <w:rPr>
          <w:rFonts w:hint="eastAsia" w:asciiTheme="minorEastAsia" w:hAnsiTheme="minorEastAsia" w:eastAsiaTheme="minorEastAsia" w:cstheme="minorEastAsia"/>
          <w:color w:val="auto"/>
          <w:sz w:val="21"/>
          <w:szCs w:val="21"/>
          <w:highlight w:val="none"/>
        </w:rPr>
        <w:t>11.6 工期提前</w:t>
      </w:r>
      <w:bookmarkEnd w:id="524"/>
      <w:bookmarkEnd w:id="525"/>
      <w:bookmarkEnd w:id="526"/>
      <w:bookmarkEnd w:id="527"/>
      <w:bookmarkEnd w:id="528"/>
    </w:p>
    <w:p w14:paraId="1095BBC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115083E5">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529" w:name="_Toc98936752"/>
      <w:bookmarkStart w:id="530" w:name="_Toc10278"/>
      <w:bookmarkStart w:id="531" w:name="_Toc338944782"/>
      <w:bookmarkStart w:id="532" w:name="_Toc75511112"/>
      <w:bookmarkStart w:id="533" w:name="_Toc342296340"/>
      <w:r>
        <w:rPr>
          <w:rFonts w:hint="eastAsia" w:asciiTheme="minorEastAsia" w:hAnsiTheme="minorEastAsia" w:eastAsiaTheme="minorEastAsia" w:cstheme="minorEastAsia"/>
          <w:color w:val="auto"/>
          <w:sz w:val="21"/>
          <w:szCs w:val="21"/>
          <w:highlight w:val="none"/>
        </w:rPr>
        <w:t>12. 暂停施工</w:t>
      </w:r>
      <w:bookmarkEnd w:id="529"/>
      <w:bookmarkEnd w:id="530"/>
      <w:bookmarkEnd w:id="531"/>
      <w:bookmarkEnd w:id="532"/>
      <w:bookmarkEnd w:id="533"/>
    </w:p>
    <w:p w14:paraId="56406C9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34" w:name="_Toc98936753"/>
      <w:bookmarkStart w:id="535" w:name="_Toc19989"/>
      <w:bookmarkStart w:id="536" w:name="_Toc342296341"/>
      <w:bookmarkStart w:id="537" w:name="_Toc75511113"/>
      <w:bookmarkStart w:id="538" w:name="_Toc338944783"/>
      <w:r>
        <w:rPr>
          <w:rFonts w:hint="eastAsia" w:asciiTheme="minorEastAsia" w:hAnsiTheme="minorEastAsia" w:eastAsiaTheme="minorEastAsia" w:cstheme="minorEastAsia"/>
          <w:color w:val="auto"/>
          <w:sz w:val="21"/>
          <w:szCs w:val="21"/>
          <w:highlight w:val="none"/>
        </w:rPr>
        <w:t>12.1 承包人暂停施工的责任</w:t>
      </w:r>
      <w:bookmarkEnd w:id="534"/>
      <w:bookmarkEnd w:id="535"/>
      <w:bookmarkEnd w:id="536"/>
      <w:bookmarkEnd w:id="537"/>
      <w:bookmarkEnd w:id="538"/>
    </w:p>
    <w:p w14:paraId="1DEEF9E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因下列暂停施工增加的费用和（或）工期延误由承包人承担：</w:t>
      </w:r>
    </w:p>
    <w:p w14:paraId="3A2A57BD">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（1）承包人违约引起的暂停施工；</w:t>
      </w:r>
    </w:p>
    <w:p w14:paraId="21EC0A0C">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（2）由于承包人原因为工程合理施工和安全保障所必需的暂停施工；</w:t>
      </w:r>
    </w:p>
    <w:p w14:paraId="7F66516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（3）承包人擅自暂停施工；</w:t>
      </w:r>
    </w:p>
    <w:p w14:paraId="6E3B42E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（4）承包人其他原因引起的暂停施工；</w:t>
      </w:r>
    </w:p>
    <w:p w14:paraId="321B162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（5）专用合同条款约定由承包人承担的其他暂停施工。</w:t>
      </w:r>
    </w:p>
    <w:p w14:paraId="7C9B2C5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39" w:name="_Toc179632709"/>
      <w:bookmarkStart w:id="540" w:name="_Toc342296342"/>
      <w:bookmarkStart w:id="541" w:name="_Toc75511114"/>
      <w:bookmarkStart w:id="542" w:name="_Toc152042469"/>
      <w:bookmarkStart w:id="543" w:name="_Toc2894"/>
      <w:bookmarkStart w:id="544" w:name="_Toc152045691"/>
      <w:bookmarkStart w:id="545" w:name="_Toc144974660"/>
      <w:bookmarkStart w:id="546" w:name="_Toc98936754"/>
      <w:bookmarkStart w:id="547" w:name="_Toc338944784"/>
      <w:r>
        <w:rPr>
          <w:rFonts w:hint="eastAsia" w:asciiTheme="minorEastAsia" w:hAnsiTheme="minorEastAsia" w:eastAsiaTheme="minorEastAsia" w:cstheme="minorEastAsia"/>
          <w:color w:val="auto"/>
          <w:sz w:val="21"/>
          <w:szCs w:val="21"/>
          <w:highlight w:val="none"/>
        </w:rPr>
        <w:t>12.2 发包人暂停施工的责任</w:t>
      </w:r>
      <w:bookmarkEnd w:id="539"/>
      <w:bookmarkEnd w:id="540"/>
      <w:bookmarkEnd w:id="541"/>
      <w:bookmarkEnd w:id="542"/>
      <w:bookmarkEnd w:id="543"/>
      <w:bookmarkEnd w:id="544"/>
      <w:bookmarkEnd w:id="545"/>
      <w:bookmarkEnd w:id="546"/>
      <w:bookmarkEnd w:id="547"/>
    </w:p>
    <w:p w14:paraId="59BCE98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由于发包人原因引起的暂停施工造成工期延误的，承包人有权要求发包人延长工期和（或）增加费用，并支付合理利润。</w:t>
      </w:r>
    </w:p>
    <w:p w14:paraId="482F951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48" w:name="_Toc179632710"/>
      <w:bookmarkStart w:id="549" w:name="_Toc98936755"/>
      <w:bookmarkStart w:id="550" w:name="_Toc342296343"/>
      <w:bookmarkStart w:id="551" w:name="_Toc152042470"/>
      <w:bookmarkStart w:id="552" w:name="_Toc152045692"/>
      <w:bookmarkStart w:id="553" w:name="_Toc75511115"/>
      <w:bookmarkStart w:id="554" w:name="_Toc338944785"/>
      <w:bookmarkStart w:id="555" w:name="_Toc144974661"/>
      <w:bookmarkStart w:id="556" w:name="_Toc2118"/>
      <w:r>
        <w:rPr>
          <w:rFonts w:hint="eastAsia" w:asciiTheme="minorEastAsia" w:hAnsiTheme="minorEastAsia" w:eastAsiaTheme="minorEastAsia" w:cstheme="minorEastAsia"/>
          <w:color w:val="auto"/>
          <w:sz w:val="21"/>
          <w:szCs w:val="21"/>
          <w:highlight w:val="none"/>
        </w:rPr>
        <w:t>12.3 监理人暂停施工指示</w:t>
      </w:r>
      <w:bookmarkEnd w:id="548"/>
      <w:bookmarkEnd w:id="549"/>
      <w:bookmarkEnd w:id="550"/>
      <w:bookmarkEnd w:id="551"/>
      <w:bookmarkEnd w:id="552"/>
      <w:bookmarkEnd w:id="553"/>
      <w:bookmarkEnd w:id="554"/>
      <w:bookmarkEnd w:id="555"/>
      <w:bookmarkEnd w:id="556"/>
    </w:p>
    <w:p w14:paraId="2D133F2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A172D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949D51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57" w:name="_Toc338944786"/>
      <w:bookmarkStart w:id="558" w:name="_Toc98936756"/>
      <w:bookmarkStart w:id="559" w:name="_Toc144974662"/>
      <w:bookmarkStart w:id="560" w:name="_Toc152045693"/>
      <w:bookmarkStart w:id="561" w:name="_Toc342296344"/>
      <w:bookmarkStart w:id="562" w:name="_Toc75511116"/>
      <w:bookmarkStart w:id="563" w:name="_Toc152042471"/>
      <w:bookmarkStart w:id="564" w:name="_Toc179632711"/>
      <w:bookmarkStart w:id="565" w:name="_Toc28262"/>
      <w:r>
        <w:rPr>
          <w:rFonts w:hint="eastAsia" w:asciiTheme="minorEastAsia" w:hAnsiTheme="minorEastAsia" w:eastAsiaTheme="minorEastAsia" w:cstheme="minorEastAsia"/>
          <w:color w:val="auto"/>
          <w:sz w:val="21"/>
          <w:szCs w:val="21"/>
          <w:highlight w:val="none"/>
        </w:rPr>
        <w:t>12.4 暂停施工后的复工</w:t>
      </w:r>
      <w:bookmarkEnd w:id="557"/>
      <w:bookmarkEnd w:id="558"/>
      <w:bookmarkEnd w:id="559"/>
      <w:bookmarkEnd w:id="560"/>
      <w:bookmarkEnd w:id="561"/>
      <w:bookmarkEnd w:id="562"/>
      <w:bookmarkEnd w:id="563"/>
      <w:bookmarkEnd w:id="564"/>
      <w:bookmarkEnd w:id="565"/>
    </w:p>
    <w:p w14:paraId="22B0B5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46F216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6BE8B81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66" w:name="_Toc144974663"/>
      <w:bookmarkStart w:id="567" w:name="_Toc152042472"/>
      <w:bookmarkStart w:id="568" w:name="_Toc179632712"/>
      <w:bookmarkStart w:id="569" w:name="_Toc342296345"/>
      <w:bookmarkStart w:id="570" w:name="_Toc75511117"/>
      <w:bookmarkStart w:id="571" w:name="_Toc338944787"/>
      <w:bookmarkStart w:id="572" w:name="_Toc98936757"/>
      <w:bookmarkStart w:id="573" w:name="_Toc152045694"/>
      <w:bookmarkStart w:id="574" w:name="_Toc29721"/>
      <w:r>
        <w:rPr>
          <w:rFonts w:hint="eastAsia" w:asciiTheme="minorEastAsia" w:hAnsiTheme="minorEastAsia" w:eastAsiaTheme="minorEastAsia" w:cstheme="minorEastAsia"/>
          <w:color w:val="auto"/>
          <w:sz w:val="21"/>
          <w:szCs w:val="21"/>
          <w:highlight w:val="none"/>
        </w:rPr>
        <w:t>12.5 暂停施工持续56天以上</w:t>
      </w:r>
      <w:bookmarkEnd w:id="566"/>
      <w:bookmarkEnd w:id="567"/>
      <w:bookmarkEnd w:id="568"/>
      <w:bookmarkEnd w:id="569"/>
      <w:bookmarkEnd w:id="570"/>
      <w:bookmarkEnd w:id="571"/>
      <w:bookmarkEnd w:id="572"/>
      <w:bookmarkEnd w:id="573"/>
      <w:bookmarkEnd w:id="574"/>
    </w:p>
    <w:p w14:paraId="74B32868">
      <w:pPr>
        <w:pageBreakBefore w:val="0"/>
        <w:widowControl w:val="0"/>
        <w:kinsoku/>
        <w:wordWrap/>
        <w:overflowPunct/>
        <w:bidi w:val="0"/>
        <w:snapToGrid/>
        <w:spacing w:line="400" w:lineRule="exact"/>
        <w:ind w:firstLine="411" w:firstLineChars="196"/>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2A60EF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12.5.2 由于承包人责任引起的暂停施工，如承包人在收到监理人暂停施工指示后56天内不认真采取有效的复工措施，造成工期延误，可视为承包人违约，应按第22.1款的规定办理。</w:t>
      </w:r>
    </w:p>
    <w:p w14:paraId="4634C2AA">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575" w:name="_Toc98936758"/>
      <w:bookmarkStart w:id="576" w:name="_Toc342296346"/>
      <w:bookmarkStart w:id="577" w:name="_Toc338944788"/>
      <w:bookmarkStart w:id="578" w:name="_Toc3387"/>
      <w:bookmarkStart w:id="579" w:name="_Toc75511118"/>
      <w:r>
        <w:rPr>
          <w:rFonts w:hint="eastAsia" w:asciiTheme="minorEastAsia" w:hAnsiTheme="minorEastAsia" w:eastAsiaTheme="minorEastAsia" w:cstheme="minorEastAsia"/>
          <w:color w:val="auto"/>
          <w:sz w:val="21"/>
          <w:szCs w:val="21"/>
          <w:highlight w:val="none"/>
        </w:rPr>
        <w:t>13. 工程质量</w:t>
      </w:r>
      <w:bookmarkEnd w:id="575"/>
      <w:bookmarkEnd w:id="576"/>
      <w:bookmarkEnd w:id="577"/>
      <w:bookmarkEnd w:id="578"/>
      <w:bookmarkEnd w:id="579"/>
    </w:p>
    <w:p w14:paraId="0ED120A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80" w:name="_Toc342296347"/>
      <w:bookmarkStart w:id="581" w:name="_Toc3028"/>
      <w:bookmarkStart w:id="582" w:name="_Toc179632714"/>
      <w:bookmarkStart w:id="583" w:name="_Toc152042474"/>
      <w:bookmarkStart w:id="584" w:name="_Toc75511119"/>
      <w:bookmarkStart w:id="585" w:name="_Toc152045696"/>
      <w:bookmarkStart w:id="586" w:name="_Toc144974665"/>
      <w:bookmarkStart w:id="587" w:name="_Toc338944789"/>
      <w:bookmarkStart w:id="588" w:name="_Toc98936759"/>
      <w:r>
        <w:rPr>
          <w:rFonts w:hint="eastAsia" w:asciiTheme="minorEastAsia" w:hAnsiTheme="minorEastAsia" w:eastAsiaTheme="minorEastAsia" w:cstheme="minorEastAsia"/>
          <w:color w:val="auto"/>
          <w:sz w:val="21"/>
          <w:szCs w:val="21"/>
          <w:highlight w:val="none"/>
        </w:rPr>
        <w:t>13.1 工程质量要求</w:t>
      </w:r>
      <w:bookmarkEnd w:id="580"/>
      <w:bookmarkEnd w:id="581"/>
      <w:bookmarkEnd w:id="582"/>
      <w:bookmarkEnd w:id="583"/>
      <w:bookmarkEnd w:id="584"/>
      <w:bookmarkEnd w:id="585"/>
      <w:bookmarkEnd w:id="586"/>
      <w:bookmarkEnd w:id="587"/>
      <w:bookmarkEnd w:id="588"/>
    </w:p>
    <w:p w14:paraId="3F5F9A5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13.1.1 工程质量验收按合同约定验收标准执行。</w:t>
      </w:r>
    </w:p>
    <w:p w14:paraId="091282D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13.1.2 因承包人原因造成工程质量达不到合同约定验收标准的，监理人有权要求承包人返工直至符合合同要求为止，由此造成的费用增加和（或）工期延误由承包人承担。</w:t>
      </w:r>
    </w:p>
    <w:p w14:paraId="0B906C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13.1.3 因发包人原因造成工程质量达不到合同约定验收标准的，发包人应承担由于承包人返工造成的费用增加和（或）工期延误，并支付承包人合理利润。</w:t>
      </w:r>
    </w:p>
    <w:p w14:paraId="3CA204E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89" w:name="_Toc338944790"/>
      <w:bookmarkStart w:id="590" w:name="_Toc342296348"/>
      <w:bookmarkStart w:id="591" w:name="_Toc6136"/>
      <w:bookmarkStart w:id="592" w:name="_Toc98936760"/>
      <w:bookmarkStart w:id="593" w:name="_Toc75511120"/>
      <w:r>
        <w:rPr>
          <w:rFonts w:hint="eastAsia" w:asciiTheme="minorEastAsia" w:hAnsiTheme="minorEastAsia" w:eastAsiaTheme="minorEastAsia" w:cstheme="minorEastAsia"/>
          <w:color w:val="auto"/>
          <w:sz w:val="21"/>
          <w:szCs w:val="21"/>
          <w:highlight w:val="none"/>
        </w:rPr>
        <w:t>13.2 承包人的质量管理</w:t>
      </w:r>
      <w:bookmarkEnd w:id="589"/>
      <w:bookmarkEnd w:id="590"/>
      <w:bookmarkEnd w:id="591"/>
      <w:bookmarkEnd w:id="592"/>
      <w:bookmarkEnd w:id="593"/>
    </w:p>
    <w:p w14:paraId="73AF58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59B9F88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13.2.2 承包人应加强对施工人员的质量教育和技术培训，定期考核施工人员的劳动技能，严格执行规范和操作规程。</w:t>
      </w:r>
    </w:p>
    <w:p w14:paraId="72B983C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4" w:name="_Toc75511121"/>
      <w:bookmarkStart w:id="595" w:name="_Toc338944791"/>
      <w:bookmarkStart w:id="596" w:name="_Toc98936761"/>
      <w:bookmarkStart w:id="597" w:name="_Toc27123"/>
      <w:bookmarkStart w:id="598" w:name="_Toc342296349"/>
      <w:r>
        <w:rPr>
          <w:rFonts w:hint="eastAsia" w:asciiTheme="minorEastAsia" w:hAnsiTheme="minorEastAsia" w:eastAsiaTheme="minorEastAsia" w:cstheme="minorEastAsia"/>
          <w:color w:val="auto"/>
          <w:sz w:val="21"/>
          <w:szCs w:val="21"/>
          <w:highlight w:val="none"/>
        </w:rPr>
        <w:t>13.3 承包人的质量检查</w:t>
      </w:r>
      <w:bookmarkEnd w:id="594"/>
      <w:bookmarkEnd w:id="595"/>
      <w:bookmarkEnd w:id="596"/>
      <w:bookmarkEnd w:id="597"/>
      <w:bookmarkEnd w:id="598"/>
    </w:p>
    <w:p w14:paraId="52E81A4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承包人应按合同约定对材料、工程设备以及工程的所有部位及其施工工艺进行全过程的质量检查和检验，并作详细记录，编制工程质量报表，报送监理人审查。</w:t>
      </w:r>
    </w:p>
    <w:p w14:paraId="125E3D3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599" w:name="_Toc75511122"/>
      <w:bookmarkStart w:id="600" w:name="_Toc342296350"/>
      <w:bookmarkStart w:id="601" w:name="_Toc98936762"/>
      <w:bookmarkStart w:id="602" w:name="_Toc338944792"/>
      <w:bookmarkStart w:id="603" w:name="_Toc9790"/>
      <w:r>
        <w:rPr>
          <w:rFonts w:hint="eastAsia" w:asciiTheme="minorEastAsia" w:hAnsiTheme="minorEastAsia" w:eastAsiaTheme="minorEastAsia" w:cstheme="minorEastAsia"/>
          <w:color w:val="auto"/>
          <w:sz w:val="21"/>
          <w:szCs w:val="21"/>
          <w:highlight w:val="none"/>
        </w:rPr>
        <w:t>13.4 监理人的质量检查</w:t>
      </w:r>
      <w:bookmarkEnd w:id="599"/>
      <w:bookmarkEnd w:id="600"/>
      <w:bookmarkEnd w:id="601"/>
      <w:bookmarkEnd w:id="602"/>
      <w:bookmarkEnd w:id="603"/>
    </w:p>
    <w:p w14:paraId="2C25153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8928D7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04" w:name="_Toc98936763"/>
      <w:bookmarkStart w:id="605" w:name="_Toc23129"/>
      <w:bookmarkStart w:id="606" w:name="_Toc75511123"/>
      <w:bookmarkStart w:id="607" w:name="_Toc338944793"/>
      <w:bookmarkStart w:id="608" w:name="_Toc342296351"/>
      <w:r>
        <w:rPr>
          <w:rFonts w:hint="eastAsia" w:asciiTheme="minorEastAsia" w:hAnsiTheme="minorEastAsia" w:eastAsiaTheme="minorEastAsia" w:cstheme="minorEastAsia"/>
          <w:color w:val="auto"/>
          <w:sz w:val="21"/>
          <w:szCs w:val="21"/>
          <w:highlight w:val="none"/>
        </w:rPr>
        <w:t>13.5 工程隐蔽部位覆盖前的检查</w:t>
      </w:r>
      <w:bookmarkEnd w:id="604"/>
      <w:bookmarkEnd w:id="605"/>
      <w:bookmarkEnd w:id="606"/>
      <w:bookmarkEnd w:id="607"/>
      <w:bookmarkEnd w:id="608"/>
    </w:p>
    <w:p w14:paraId="2B8C03E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13.5.1 通知监理人检查</w:t>
      </w:r>
    </w:p>
    <w:p w14:paraId="6A4C1B2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47BD81B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13.5.2 监理人未到场检查</w:t>
      </w:r>
    </w:p>
    <w:p w14:paraId="7AF7CC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5FBAD1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13.5.3 监理人重新检查</w:t>
      </w:r>
    </w:p>
    <w:p w14:paraId="5FFDDA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3973AEE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13.5.4 承包人私自覆盖</w:t>
      </w:r>
    </w:p>
    <w:p w14:paraId="5C7F8CB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承包人未通知监理人到场检查，私自将工程隐蔽部位覆盖的，监理人有权指示承包人钻孔探测或揭开检查，由此增加的费用和（或）工期延误由承包人承担。</w:t>
      </w:r>
    </w:p>
    <w:p w14:paraId="633A6FD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09" w:name="_Toc144974670"/>
      <w:bookmarkStart w:id="610" w:name="_Toc152042479"/>
      <w:bookmarkStart w:id="611" w:name="_Toc98936764"/>
      <w:bookmarkStart w:id="612" w:name="_Toc75511124"/>
      <w:bookmarkStart w:id="613" w:name="_Toc179632719"/>
      <w:bookmarkStart w:id="614" w:name="_Toc338944794"/>
      <w:bookmarkStart w:id="615" w:name="_Toc152045701"/>
      <w:bookmarkStart w:id="616" w:name="_Toc342296352"/>
      <w:bookmarkStart w:id="617" w:name="_Toc17412"/>
      <w:r>
        <w:rPr>
          <w:rFonts w:hint="eastAsia" w:asciiTheme="minorEastAsia" w:hAnsiTheme="minorEastAsia" w:eastAsiaTheme="minorEastAsia" w:cstheme="minorEastAsia"/>
          <w:color w:val="auto"/>
          <w:sz w:val="21"/>
          <w:szCs w:val="21"/>
          <w:highlight w:val="none"/>
        </w:rPr>
        <w:t>13.6 清除不合格工程</w:t>
      </w:r>
      <w:bookmarkEnd w:id="609"/>
      <w:bookmarkEnd w:id="610"/>
      <w:bookmarkEnd w:id="611"/>
      <w:bookmarkEnd w:id="612"/>
      <w:bookmarkEnd w:id="613"/>
      <w:bookmarkEnd w:id="614"/>
      <w:bookmarkEnd w:id="615"/>
      <w:bookmarkEnd w:id="616"/>
      <w:bookmarkEnd w:id="617"/>
    </w:p>
    <w:p w14:paraId="38CD954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6C16605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13.6.2 由于发包人提供的材料或工程设备不合格造成的工程不合格，需要承包人采取措施补救的，发包人应承担由此增加的费用和（或）工期延误，并支付承包人合理利润。</w:t>
      </w:r>
    </w:p>
    <w:p w14:paraId="69A84018">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618" w:name="_Toc98936765"/>
      <w:bookmarkStart w:id="619" w:name="_Toc75511125"/>
      <w:bookmarkStart w:id="620" w:name="_Toc152045702"/>
      <w:bookmarkStart w:id="621" w:name="_Toc179632720"/>
      <w:bookmarkStart w:id="622" w:name="_Toc342296353"/>
      <w:bookmarkStart w:id="623" w:name="_Toc29242"/>
      <w:bookmarkStart w:id="624" w:name="_Toc144974671"/>
      <w:bookmarkStart w:id="625" w:name="_Toc338944795"/>
      <w:bookmarkStart w:id="626" w:name="_Toc152042480"/>
      <w:r>
        <w:rPr>
          <w:rFonts w:hint="eastAsia" w:asciiTheme="minorEastAsia" w:hAnsiTheme="minorEastAsia" w:eastAsiaTheme="minorEastAsia" w:cstheme="minorEastAsia"/>
          <w:color w:val="auto"/>
          <w:sz w:val="21"/>
          <w:szCs w:val="21"/>
          <w:highlight w:val="none"/>
        </w:rPr>
        <w:t>14. 试验和检验</w:t>
      </w:r>
      <w:bookmarkEnd w:id="618"/>
      <w:bookmarkEnd w:id="619"/>
      <w:bookmarkEnd w:id="620"/>
      <w:bookmarkEnd w:id="621"/>
      <w:bookmarkEnd w:id="622"/>
      <w:bookmarkEnd w:id="623"/>
      <w:bookmarkEnd w:id="624"/>
      <w:bookmarkEnd w:id="625"/>
      <w:bookmarkEnd w:id="626"/>
    </w:p>
    <w:p w14:paraId="6002BCA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27" w:name="_Toc338944796"/>
      <w:bookmarkStart w:id="628" w:name="_Toc152042481"/>
      <w:bookmarkStart w:id="629" w:name="_Toc144974672"/>
      <w:bookmarkStart w:id="630" w:name="_Toc179632721"/>
      <w:bookmarkStart w:id="631" w:name="_Toc75511126"/>
      <w:bookmarkStart w:id="632" w:name="_Toc28260"/>
      <w:bookmarkStart w:id="633" w:name="_Toc152045703"/>
      <w:bookmarkStart w:id="634" w:name="_Toc342296354"/>
      <w:bookmarkStart w:id="635" w:name="_Toc98936766"/>
      <w:r>
        <w:rPr>
          <w:rFonts w:hint="eastAsia" w:asciiTheme="minorEastAsia" w:hAnsiTheme="minorEastAsia" w:eastAsiaTheme="minorEastAsia" w:cstheme="minorEastAsia"/>
          <w:color w:val="auto"/>
          <w:sz w:val="21"/>
          <w:szCs w:val="21"/>
          <w:highlight w:val="none"/>
        </w:rPr>
        <w:t>14.1 材料、工程设备和工程的试验和检验</w:t>
      </w:r>
      <w:bookmarkEnd w:id="627"/>
      <w:bookmarkEnd w:id="628"/>
      <w:bookmarkEnd w:id="629"/>
      <w:bookmarkEnd w:id="630"/>
      <w:bookmarkEnd w:id="631"/>
      <w:bookmarkEnd w:id="632"/>
      <w:bookmarkEnd w:id="633"/>
      <w:bookmarkEnd w:id="634"/>
      <w:bookmarkEnd w:id="635"/>
    </w:p>
    <w:p w14:paraId="28B6A95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F7271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14.1.2 监理人未按合同约定派员参加试验和检验的，除监理人另有指示外，承包人可自行试验和检验，并应立即将试验和检验结果报送监理人，监理人应签字确认。</w:t>
      </w:r>
    </w:p>
    <w:p w14:paraId="4945F2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3DE26B6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36" w:name="_Toc342296355"/>
      <w:bookmarkStart w:id="637" w:name="_Toc152042482"/>
      <w:bookmarkStart w:id="638" w:name="_Toc19513"/>
      <w:bookmarkStart w:id="639" w:name="_Toc144974673"/>
      <w:bookmarkStart w:id="640" w:name="_Toc338944797"/>
      <w:bookmarkStart w:id="641" w:name="_Toc75511127"/>
      <w:bookmarkStart w:id="642" w:name="_Toc98936767"/>
      <w:bookmarkStart w:id="643" w:name="_Toc152045704"/>
      <w:bookmarkStart w:id="644" w:name="_Toc179632722"/>
      <w:r>
        <w:rPr>
          <w:rFonts w:hint="eastAsia" w:asciiTheme="minorEastAsia" w:hAnsiTheme="minorEastAsia" w:eastAsiaTheme="minorEastAsia" w:cstheme="minorEastAsia"/>
          <w:color w:val="auto"/>
          <w:sz w:val="21"/>
          <w:szCs w:val="21"/>
          <w:highlight w:val="none"/>
        </w:rPr>
        <w:t>14.2 现场材料试验</w:t>
      </w:r>
      <w:bookmarkEnd w:id="636"/>
      <w:bookmarkEnd w:id="637"/>
      <w:bookmarkEnd w:id="638"/>
      <w:bookmarkEnd w:id="639"/>
      <w:bookmarkEnd w:id="640"/>
      <w:bookmarkEnd w:id="641"/>
      <w:bookmarkEnd w:id="642"/>
      <w:bookmarkEnd w:id="643"/>
      <w:bookmarkEnd w:id="644"/>
    </w:p>
    <w:p w14:paraId="35D0F3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14.2.1 承包人根据合同约定或监理人指示进行的现场材料试验，应由承包人提供试验场所、试验人员、试验设备器材以及其他必要的试验条件。</w:t>
      </w:r>
    </w:p>
    <w:p w14:paraId="4D76AD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14.2.2 监理人在必要时可以使用承包人的试验场所、试验设备器材以及其他试验条件，进行以工程质量检查为目的的复核性材料试验，承包人应予以协助。</w:t>
      </w:r>
    </w:p>
    <w:p w14:paraId="2FC5B03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45" w:name="_Toc152042483"/>
      <w:bookmarkStart w:id="646" w:name="_Toc179632723"/>
      <w:bookmarkStart w:id="647" w:name="_Toc338944798"/>
      <w:bookmarkStart w:id="648" w:name="_Toc342296356"/>
      <w:bookmarkStart w:id="649" w:name="_Toc98936768"/>
      <w:bookmarkStart w:id="650" w:name="_Toc75511128"/>
      <w:bookmarkStart w:id="651" w:name="_Toc18354"/>
      <w:bookmarkStart w:id="652" w:name="_Toc144974674"/>
      <w:bookmarkStart w:id="653" w:name="_Toc152045705"/>
      <w:r>
        <w:rPr>
          <w:rFonts w:hint="eastAsia" w:asciiTheme="minorEastAsia" w:hAnsiTheme="minorEastAsia" w:eastAsiaTheme="minorEastAsia" w:cstheme="minorEastAsia"/>
          <w:color w:val="auto"/>
          <w:sz w:val="21"/>
          <w:szCs w:val="21"/>
          <w:highlight w:val="none"/>
        </w:rPr>
        <w:t>14.3 现场工艺试验</w:t>
      </w:r>
      <w:bookmarkEnd w:id="645"/>
      <w:bookmarkEnd w:id="646"/>
      <w:bookmarkEnd w:id="647"/>
      <w:bookmarkEnd w:id="648"/>
      <w:bookmarkEnd w:id="649"/>
      <w:bookmarkEnd w:id="650"/>
      <w:bookmarkEnd w:id="651"/>
      <w:bookmarkEnd w:id="652"/>
      <w:bookmarkEnd w:id="653"/>
    </w:p>
    <w:p w14:paraId="35CE26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790BDF18">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654" w:name="_Toc338944799"/>
      <w:bookmarkStart w:id="655" w:name="_Toc12939"/>
      <w:bookmarkStart w:id="656" w:name="_Toc75511129"/>
      <w:bookmarkStart w:id="657" w:name="_Toc342296357"/>
      <w:bookmarkStart w:id="658" w:name="_Toc98936769"/>
      <w:r>
        <w:rPr>
          <w:rFonts w:hint="eastAsia" w:asciiTheme="minorEastAsia" w:hAnsiTheme="minorEastAsia" w:eastAsiaTheme="minorEastAsia" w:cstheme="minorEastAsia"/>
          <w:color w:val="auto"/>
          <w:sz w:val="21"/>
          <w:szCs w:val="21"/>
          <w:highlight w:val="none"/>
        </w:rPr>
        <w:t>15. 变更</w:t>
      </w:r>
      <w:bookmarkEnd w:id="654"/>
      <w:bookmarkEnd w:id="655"/>
      <w:bookmarkEnd w:id="656"/>
      <w:bookmarkEnd w:id="657"/>
      <w:bookmarkEnd w:id="658"/>
    </w:p>
    <w:p w14:paraId="493C652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59" w:name="_Toc75511130"/>
      <w:bookmarkStart w:id="660" w:name="_Toc342296358"/>
      <w:bookmarkStart w:id="661" w:name="_Toc98936770"/>
      <w:bookmarkStart w:id="662" w:name="_Toc338944800"/>
      <w:bookmarkStart w:id="663" w:name="_Toc17827"/>
      <w:r>
        <w:rPr>
          <w:rFonts w:hint="eastAsia" w:asciiTheme="minorEastAsia" w:hAnsiTheme="minorEastAsia" w:eastAsiaTheme="minorEastAsia" w:cstheme="minorEastAsia"/>
          <w:color w:val="auto"/>
          <w:sz w:val="21"/>
          <w:szCs w:val="21"/>
          <w:highlight w:val="none"/>
        </w:rPr>
        <w:t>15.1 变更的范围和内容</w:t>
      </w:r>
      <w:bookmarkEnd w:id="659"/>
      <w:bookmarkEnd w:id="660"/>
      <w:bookmarkEnd w:id="661"/>
      <w:bookmarkEnd w:id="662"/>
      <w:bookmarkEnd w:id="663"/>
    </w:p>
    <w:p w14:paraId="6216306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除专用合同条款另有约定外，在履行合同中发生以下情形之一，应按照本条规定进行变更。</w:t>
      </w:r>
    </w:p>
    <w:p w14:paraId="71F3DA68">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（1）取消合同中任何一项工作，但被取消的工作不能转由发包人或其他人实施；</w:t>
      </w:r>
    </w:p>
    <w:p w14:paraId="53B3BED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（2）改变合同中任何一项工作的质量或其他特性；</w:t>
      </w:r>
    </w:p>
    <w:p w14:paraId="681DBA8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（3）改变合同工程的基线、标高、位置或尺寸；</w:t>
      </w:r>
    </w:p>
    <w:p w14:paraId="4B34C9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（4）改变合同中任何一项工作的施工时间或改变已批准的施工工艺或顺序；</w:t>
      </w:r>
    </w:p>
    <w:p w14:paraId="73AAF02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（5）为完成工程需要追加的额外工作。</w:t>
      </w:r>
    </w:p>
    <w:p w14:paraId="2A5BB95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64" w:name="_Toc3873"/>
      <w:bookmarkStart w:id="665" w:name="_Toc152045708"/>
      <w:bookmarkStart w:id="666" w:name="_Toc152042486"/>
      <w:bookmarkStart w:id="667" w:name="_Toc338944801"/>
      <w:bookmarkStart w:id="668" w:name="_Toc75511131"/>
      <w:bookmarkStart w:id="669" w:name="_Toc98936771"/>
      <w:bookmarkStart w:id="670" w:name="_Toc144974677"/>
      <w:bookmarkStart w:id="671" w:name="_Toc342296359"/>
      <w:bookmarkStart w:id="672" w:name="_Toc179632726"/>
      <w:r>
        <w:rPr>
          <w:rFonts w:hint="eastAsia" w:asciiTheme="minorEastAsia" w:hAnsiTheme="minorEastAsia" w:eastAsiaTheme="minorEastAsia" w:cstheme="minorEastAsia"/>
          <w:color w:val="auto"/>
          <w:sz w:val="21"/>
          <w:szCs w:val="21"/>
          <w:highlight w:val="none"/>
        </w:rPr>
        <w:t>15.2 变更权</w:t>
      </w:r>
      <w:bookmarkEnd w:id="664"/>
      <w:bookmarkEnd w:id="665"/>
      <w:bookmarkEnd w:id="666"/>
      <w:bookmarkEnd w:id="667"/>
      <w:bookmarkEnd w:id="668"/>
      <w:bookmarkEnd w:id="669"/>
      <w:bookmarkEnd w:id="670"/>
      <w:bookmarkEnd w:id="671"/>
      <w:bookmarkEnd w:id="672"/>
    </w:p>
    <w:p w14:paraId="7FF26D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在履行合同过程中，经发包人同意，监理人可按第15.3款约定的变更程序向承包人作出变更指示，承包人应遵照执行。没有监理人的变更指示，承包人不得擅自变更。</w:t>
      </w:r>
    </w:p>
    <w:p w14:paraId="13CFCA4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73" w:name="_Toc342296360"/>
      <w:bookmarkStart w:id="674" w:name="_Toc75511132"/>
      <w:bookmarkStart w:id="675" w:name="_Toc338944802"/>
      <w:bookmarkStart w:id="676" w:name="_Toc28999"/>
      <w:bookmarkStart w:id="677" w:name="_Toc98936772"/>
      <w:r>
        <w:rPr>
          <w:rFonts w:hint="eastAsia" w:asciiTheme="minorEastAsia" w:hAnsiTheme="minorEastAsia" w:eastAsiaTheme="minorEastAsia" w:cstheme="minorEastAsia"/>
          <w:color w:val="auto"/>
          <w:sz w:val="21"/>
          <w:szCs w:val="21"/>
          <w:highlight w:val="none"/>
        </w:rPr>
        <w:t>15.3 变更程序</w:t>
      </w:r>
      <w:bookmarkEnd w:id="673"/>
      <w:bookmarkEnd w:id="674"/>
      <w:bookmarkEnd w:id="675"/>
      <w:bookmarkEnd w:id="676"/>
      <w:bookmarkEnd w:id="677"/>
    </w:p>
    <w:p w14:paraId="4C0E6B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15.3.1 变更的提出</w:t>
      </w:r>
    </w:p>
    <w:p w14:paraId="5C4956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51CDDA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（2）在合同履行过程中，发生第15.1款约定情形的，监理人应按照第15.3.3项约定向承包人发出变更指示。</w:t>
      </w:r>
    </w:p>
    <w:p w14:paraId="336F14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792821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6C480C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15.3.2 变更估价</w:t>
      </w:r>
    </w:p>
    <w:p w14:paraId="587B97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13BE2E9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（2）变更工作影响工期的，承包人应提出调整工期的具体细节。监理人认为有必要时，可要求承包人提交要求提前或延长工期的施工进度计划及相应施工措施等详细资料。</w:t>
      </w:r>
    </w:p>
    <w:p w14:paraId="140D486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（3）除专用合同条款对期限另有约定外，监理人收到承包人变更报价书后的14天内，根据第15.4款约定的估价原则，按照第3.5款商定或确定变更价格。</w:t>
      </w:r>
    </w:p>
    <w:p w14:paraId="01C5484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15.3.3 变更指示</w:t>
      </w:r>
    </w:p>
    <w:p w14:paraId="6DD60A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（1）变更指示只能由监理人发出。</w:t>
      </w:r>
    </w:p>
    <w:p w14:paraId="45EE1B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（2）变更指示应说明变更的目的、范围、变更内容以及变更的工程量及其进度和技术要求，并附有关图纸和文件。承包人收到变更指示后，应按变更指示进行变更工作。</w:t>
      </w:r>
    </w:p>
    <w:p w14:paraId="31328F6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78" w:name="_Toc31265"/>
      <w:bookmarkStart w:id="679" w:name="_Toc98936773"/>
      <w:bookmarkStart w:id="680" w:name="_Toc342296361"/>
      <w:bookmarkStart w:id="681" w:name="_Toc338944803"/>
      <w:bookmarkStart w:id="682" w:name="_Toc75511133"/>
      <w:r>
        <w:rPr>
          <w:rFonts w:hint="eastAsia" w:asciiTheme="minorEastAsia" w:hAnsiTheme="minorEastAsia" w:eastAsiaTheme="minorEastAsia" w:cstheme="minorEastAsia"/>
          <w:color w:val="auto"/>
          <w:sz w:val="21"/>
          <w:szCs w:val="21"/>
          <w:highlight w:val="none"/>
        </w:rPr>
        <w:t>15.4 变更的估价原则</w:t>
      </w:r>
      <w:bookmarkEnd w:id="678"/>
      <w:bookmarkEnd w:id="679"/>
      <w:bookmarkEnd w:id="680"/>
      <w:bookmarkEnd w:id="681"/>
      <w:bookmarkEnd w:id="682"/>
    </w:p>
    <w:p w14:paraId="30A166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除专用合同条款另有约定外，因变更引起的价格调整按照本款约定处理。</w:t>
      </w:r>
    </w:p>
    <w:p w14:paraId="50ACA2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15.4.1 已标价工程量清单中有适用于变更工作的子目的，采用该子目的单价。</w:t>
      </w:r>
    </w:p>
    <w:p w14:paraId="4F1E50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15.4.2 已标价工程量清单中无适用于变更工作的子目，但有类似子目的，可在合理范围内参照类似子目的单价，由监理人按第3.5款商定或确定变更工作的单价。</w:t>
      </w:r>
    </w:p>
    <w:p w14:paraId="29F2A1A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15.4.3 已标价工程量清单中无适用或类似子目的单价，可按照成本加利润的原则，由监理人按第3.5款商定或确定变更工作的单价。</w:t>
      </w:r>
    </w:p>
    <w:p w14:paraId="164F906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3" w:name="_Toc20509"/>
      <w:bookmarkStart w:id="684" w:name="_Toc98936774"/>
      <w:bookmarkStart w:id="685" w:name="_Toc338944804"/>
      <w:bookmarkStart w:id="686" w:name="_Toc342296362"/>
      <w:bookmarkStart w:id="687" w:name="_Toc75511134"/>
      <w:r>
        <w:rPr>
          <w:rFonts w:hint="eastAsia" w:asciiTheme="minorEastAsia" w:hAnsiTheme="minorEastAsia" w:eastAsiaTheme="minorEastAsia" w:cstheme="minorEastAsia"/>
          <w:color w:val="auto"/>
          <w:sz w:val="21"/>
          <w:szCs w:val="21"/>
          <w:highlight w:val="none"/>
        </w:rPr>
        <w:t>15.5 承包人的合理化建议</w:t>
      </w:r>
      <w:bookmarkEnd w:id="683"/>
      <w:bookmarkEnd w:id="684"/>
      <w:bookmarkEnd w:id="685"/>
      <w:bookmarkEnd w:id="686"/>
      <w:bookmarkEnd w:id="687"/>
    </w:p>
    <w:p w14:paraId="380576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45B4566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15.5.2 承包人提出的合理化建议降低了合同价格、缩短了工期或者提高了工程经济效益的，发包人可按国家有关规定在专用合同条款中约定给予奖励。</w:t>
      </w:r>
    </w:p>
    <w:p w14:paraId="40971FB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88" w:name="_Toc338944805"/>
      <w:bookmarkStart w:id="689" w:name="_Toc342296363"/>
      <w:bookmarkStart w:id="690" w:name="_Toc98936775"/>
      <w:bookmarkStart w:id="691" w:name="_Toc16701"/>
      <w:bookmarkStart w:id="692" w:name="_Toc75511135"/>
      <w:bookmarkStart w:id="693" w:name="_Toc179632730"/>
      <w:bookmarkStart w:id="694" w:name="_Toc144974681"/>
      <w:bookmarkStart w:id="695" w:name="_Toc152045712"/>
      <w:bookmarkStart w:id="696" w:name="_Toc152042490"/>
      <w:r>
        <w:rPr>
          <w:rFonts w:hint="eastAsia" w:asciiTheme="minorEastAsia" w:hAnsiTheme="minorEastAsia" w:eastAsiaTheme="minorEastAsia" w:cstheme="minorEastAsia"/>
          <w:color w:val="auto"/>
          <w:sz w:val="21"/>
          <w:szCs w:val="21"/>
          <w:highlight w:val="none"/>
        </w:rPr>
        <w:t>15.6 暂列金额</w:t>
      </w:r>
      <w:bookmarkEnd w:id="688"/>
      <w:bookmarkEnd w:id="689"/>
      <w:bookmarkEnd w:id="690"/>
      <w:bookmarkEnd w:id="691"/>
      <w:bookmarkEnd w:id="692"/>
      <w:bookmarkEnd w:id="693"/>
      <w:bookmarkEnd w:id="694"/>
      <w:bookmarkEnd w:id="695"/>
      <w:bookmarkEnd w:id="696"/>
    </w:p>
    <w:p w14:paraId="27FF79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暂列金额只能按照监理人的指示使用，并对合同价格进行相应调整。</w:t>
      </w:r>
    </w:p>
    <w:p w14:paraId="3281F31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697" w:name="_Toc338944806"/>
      <w:bookmarkStart w:id="698" w:name="_Toc1682"/>
      <w:bookmarkStart w:id="699" w:name="_Toc75511136"/>
      <w:bookmarkStart w:id="700" w:name="_Toc98936776"/>
      <w:bookmarkStart w:id="701" w:name="_Toc152042491"/>
      <w:bookmarkStart w:id="702" w:name="_Toc179632731"/>
      <w:bookmarkStart w:id="703" w:name="_Toc342296364"/>
      <w:bookmarkStart w:id="704" w:name="_Toc152045713"/>
      <w:bookmarkStart w:id="705" w:name="_Toc144974682"/>
      <w:r>
        <w:rPr>
          <w:rFonts w:hint="eastAsia" w:asciiTheme="minorEastAsia" w:hAnsiTheme="minorEastAsia" w:eastAsiaTheme="minorEastAsia" w:cstheme="minorEastAsia"/>
          <w:color w:val="auto"/>
          <w:sz w:val="21"/>
          <w:szCs w:val="21"/>
          <w:highlight w:val="none"/>
        </w:rPr>
        <w:t>15.7 计日工</w:t>
      </w:r>
      <w:bookmarkEnd w:id="697"/>
      <w:bookmarkEnd w:id="698"/>
      <w:bookmarkEnd w:id="699"/>
      <w:bookmarkEnd w:id="700"/>
      <w:bookmarkEnd w:id="701"/>
      <w:bookmarkEnd w:id="702"/>
      <w:bookmarkEnd w:id="703"/>
      <w:bookmarkEnd w:id="704"/>
      <w:bookmarkEnd w:id="705"/>
    </w:p>
    <w:p w14:paraId="7428B0D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15.7.1 发包人认为有必要时，由监理人通知承包人以计日工方式实施变更的零星工作。其价款按列入已标价工程量清单中的计日工计价子目及其单价进行计算。</w:t>
      </w:r>
    </w:p>
    <w:p w14:paraId="636CE44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15.7.2 采用计日工计价的任何一项变更工作，应从暂列金额中支付，承包人应在该项变更的实施过程中，每天提交以下报表和有关凭证报送监理人审批：</w:t>
      </w:r>
    </w:p>
    <w:p w14:paraId="79C9D0F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（1）工作名称、内容和数量；</w:t>
      </w:r>
    </w:p>
    <w:p w14:paraId="0844BE0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（2）投入该工作所有人员的姓名、工种、级别和耗用工时；</w:t>
      </w:r>
    </w:p>
    <w:p w14:paraId="01F8EA8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（3）投入该工作的材料类别和数量；</w:t>
      </w:r>
    </w:p>
    <w:p w14:paraId="6EE393C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（4）投入该工作的施工设备型号、台数和耗用台时；</w:t>
      </w:r>
    </w:p>
    <w:p w14:paraId="076503D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（5）监理人要求提交的其他资料和凭证。</w:t>
      </w:r>
    </w:p>
    <w:p w14:paraId="4C0B000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15.7.3 计日工由承包人汇总后，按第17.3.2项的约定列入进度付款申请单，由监理人复核并经发包人同意后列入进度付款。</w:t>
      </w:r>
    </w:p>
    <w:p w14:paraId="3649B16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06" w:name="_Toc75511137"/>
      <w:bookmarkStart w:id="707" w:name="_Toc342296365"/>
      <w:bookmarkStart w:id="708" w:name="_Toc22182"/>
      <w:bookmarkStart w:id="709" w:name="_Toc338944807"/>
      <w:bookmarkStart w:id="710" w:name="_Toc98936777"/>
      <w:r>
        <w:rPr>
          <w:rFonts w:hint="eastAsia" w:asciiTheme="minorEastAsia" w:hAnsiTheme="minorEastAsia" w:eastAsiaTheme="minorEastAsia" w:cstheme="minorEastAsia"/>
          <w:color w:val="auto"/>
          <w:sz w:val="21"/>
          <w:szCs w:val="21"/>
          <w:highlight w:val="none"/>
        </w:rPr>
        <w:t>15.8 暂估价</w:t>
      </w:r>
      <w:bookmarkEnd w:id="706"/>
      <w:bookmarkEnd w:id="707"/>
      <w:bookmarkEnd w:id="708"/>
      <w:bookmarkEnd w:id="709"/>
      <w:bookmarkEnd w:id="710"/>
    </w:p>
    <w:p w14:paraId="1C5B6DAF">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15.8.1 发包人在工程量清单中给定暂估价的材料、工程设备和专业工程属于依法必须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的范围并达到规定的规模标准的，由发包人和承包人以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的方式选择供应商或分包人。发包人和承包人的权利义务关系在专用合同条款中约定。中标金额与工程量清单中所列的暂估价的金额差以及相应的税金等其他费用列入合同价格。</w:t>
      </w:r>
    </w:p>
    <w:p w14:paraId="671AF7F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15.8.2 发包人在工程量清单中给定暂估价的材料和工程设备不属于依法必须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的范围或未达到规定的规模标准的，应由承包人按第5.1款的约定提供。经监理人确认的材料、工程设备的价格与工程量清单中所列的暂估价的金额差以及相应的税金等其他费用列入合同价格。</w:t>
      </w:r>
    </w:p>
    <w:p w14:paraId="38066B8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15.8.3 发包人在工程量清单中给定暂估价的专业工程不属于依法必须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的范围或未达到规定的规模标准的，由监理人按照第15.4款进行估价，但专用合同条款另有约定的除外。经估价的专业工程与工程量清单中所列的暂估价的金额差以及相应的税金等其他费用列入合同价格。</w:t>
      </w:r>
    </w:p>
    <w:p w14:paraId="3D4DDCEC">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11" w:name="_Toc1955"/>
      <w:bookmarkStart w:id="712" w:name="_Toc98936778"/>
      <w:bookmarkStart w:id="713" w:name="_Toc75511138"/>
      <w:bookmarkStart w:id="714" w:name="_Toc342296366"/>
      <w:bookmarkStart w:id="715" w:name="_Toc338944808"/>
      <w:r>
        <w:rPr>
          <w:rFonts w:hint="eastAsia" w:asciiTheme="minorEastAsia" w:hAnsiTheme="minorEastAsia" w:eastAsiaTheme="minorEastAsia" w:cstheme="minorEastAsia"/>
          <w:color w:val="auto"/>
          <w:sz w:val="21"/>
          <w:szCs w:val="21"/>
          <w:highlight w:val="none"/>
        </w:rPr>
        <w:t>16. 价格调整</w:t>
      </w:r>
      <w:bookmarkEnd w:id="711"/>
      <w:bookmarkEnd w:id="712"/>
      <w:bookmarkEnd w:id="713"/>
      <w:bookmarkEnd w:id="714"/>
      <w:bookmarkEnd w:id="715"/>
    </w:p>
    <w:p w14:paraId="3FE73CD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16" w:name="_Toc342296367"/>
      <w:bookmarkStart w:id="717" w:name="_Toc19628"/>
      <w:bookmarkStart w:id="718" w:name="_Toc98936779"/>
      <w:bookmarkStart w:id="719" w:name="_Toc338944809"/>
      <w:bookmarkStart w:id="720" w:name="_Toc75511139"/>
      <w:r>
        <w:rPr>
          <w:rFonts w:hint="eastAsia" w:asciiTheme="minorEastAsia" w:hAnsiTheme="minorEastAsia" w:eastAsiaTheme="minorEastAsia" w:cstheme="minorEastAsia"/>
          <w:color w:val="auto"/>
          <w:sz w:val="21"/>
          <w:szCs w:val="21"/>
          <w:highlight w:val="none"/>
        </w:rPr>
        <w:t>16.1 物价波动引起的价格调整</w:t>
      </w:r>
      <w:bookmarkEnd w:id="716"/>
      <w:bookmarkEnd w:id="717"/>
      <w:bookmarkEnd w:id="718"/>
      <w:bookmarkEnd w:id="719"/>
      <w:bookmarkEnd w:id="720"/>
    </w:p>
    <w:p w14:paraId="0CF3D5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除专用合同条款另有约定外，因物价波动引起的价格调整按照本款约定处理。</w:t>
      </w:r>
    </w:p>
    <w:p w14:paraId="6719786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 采用价格指数调整价格差额</w:t>
      </w:r>
    </w:p>
    <w:p w14:paraId="6D25F8F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16.1.1.1 价格调整公式</w:t>
      </w:r>
    </w:p>
    <w:p w14:paraId="2F0C39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因人工、材料和设备等价格波动影响合同价格时，根据</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附录中的价格指数和权重表约定的数据，按以下公式计算差额并调整合同价格。</w:t>
      </w:r>
    </w:p>
    <w:p w14:paraId="3EDE595E">
      <w:pPr>
        <w:pageBreakBefore w:val="0"/>
        <w:widowControl w:val="0"/>
        <w:kinsoku/>
        <w:wordWrap/>
        <w:overflowPunct/>
        <w:autoSpaceDE w:val="0"/>
        <w:autoSpaceDN w:val="0"/>
        <w:bidi w:val="0"/>
        <w:adjustRightInd w:val="0"/>
        <w:snapToGrid/>
        <w:spacing w:line="1200" w:lineRule="exact"/>
        <w:ind w:right="248" w:firstLine="839" w:firstLineChars="398"/>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kern w:val="0"/>
          <w:sz w:val="21"/>
          <w:szCs w:val="21"/>
          <w:highlight w:val="none"/>
          <w:lang w:val="zh-CN"/>
        </w:rPr>
        <w:t xml:space="preserve">        </w:t>
      </w:r>
      <w:r>
        <w:rPr>
          <w:rFonts w:hint="eastAsia" w:asciiTheme="minorEastAsia" w:hAnsiTheme="minorEastAsia" w:eastAsiaTheme="minorEastAsia" w:cstheme="minorEastAsia"/>
          <w:color w:val="auto"/>
          <w:position w:val="-34"/>
          <w:sz w:val="21"/>
          <w:szCs w:val="21"/>
          <w:highlight w:val="none"/>
        </w:rPr>
        <w:object>
          <v:shape id="_x0000_i1025" o:spt="75" type="#_x0000_t75" style="height:39.75pt;width:306pt;" o:ole="t" filled="f" stroked="f" coordsize="21600,21600">
            <v:path/>
            <v:fill on="f" focussize="0,0"/>
            <v:stroke on="f"/>
            <v:imagedata r:id="rId81" o:title="3996283141464953166204"/>
            <o:lock v:ext="edit" grouping="f" rotation="f" text="f" aspectratio="t"/>
            <w10:wrap type="none"/>
            <w10:anchorlock/>
          </v:shape>
          <o:OLEObject Type="Embed" ProgID="Package" ShapeID="_x0000_i1025" DrawAspect="Icon" ObjectID="_1468075725" r:id="rId80">
            <o:LockedField>false</o:LockedField>
          </o:OLEObject>
        </w:object>
      </w:r>
    </w:p>
    <w:p w14:paraId="5380D092">
      <w:pPr>
        <w:pageBreakBefore w:val="0"/>
        <w:widowControl w:val="0"/>
        <w:tabs>
          <w:tab w:val="left" w:pos="1260"/>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3A49419D">
      <w:pPr>
        <w:pageBreakBefore w:val="0"/>
        <w:widowControl w:val="0"/>
        <w:tabs>
          <w:tab w:val="left" w:pos="1260"/>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式中： △P -- 需调整的价格差额；</w:t>
      </w:r>
    </w:p>
    <w:p w14:paraId="61642680">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P</w:t>
      </w:r>
      <w:r>
        <w:rPr>
          <w:rFonts w:hint="eastAsia" w:asciiTheme="minorEastAsia" w:hAnsiTheme="minorEastAsia" w:eastAsiaTheme="minorEastAsia" w:cstheme="minorEastAsia"/>
          <w:color w:val="auto"/>
          <w:sz w:val="21"/>
          <w:szCs w:val="21"/>
          <w:highlight w:val="none"/>
          <w:vertAlign w:val="subscript"/>
        </w:rPr>
        <w:t>0</w:t>
      </w:r>
      <w:r>
        <w:rPr>
          <w:rFonts w:hint="eastAsia" w:asciiTheme="minorEastAsia" w:hAnsiTheme="minorEastAsia" w:eastAsiaTheme="minorEastAsia" w:cstheme="minorEastAsia"/>
          <w:color w:val="auto"/>
          <w:sz w:val="21"/>
          <w:szCs w:val="21"/>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6DB45BE">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bookmarkStart w:id="721" w:name="_Toc152042495"/>
      <w:bookmarkStart w:id="722" w:name="_Toc144974686"/>
      <w:r>
        <w:rPr>
          <w:rFonts w:hint="eastAsia" w:asciiTheme="minorEastAsia" w:hAnsiTheme="minorEastAsia" w:eastAsiaTheme="minorEastAsia" w:cstheme="minorEastAsia"/>
          <w:color w:val="auto"/>
          <w:sz w:val="21"/>
          <w:szCs w:val="21"/>
          <w:highlight w:val="none"/>
        </w:rPr>
        <w:t>A -- 定值权重(即不调部分的权重)；</w:t>
      </w:r>
      <w:bookmarkEnd w:id="721"/>
      <w:bookmarkEnd w:id="722"/>
    </w:p>
    <w:p w14:paraId="1B96B42B">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B</w:t>
      </w:r>
      <w:r>
        <w:rPr>
          <w:rFonts w:hint="eastAsia" w:asciiTheme="minorEastAsia" w:hAnsiTheme="minorEastAsia" w:eastAsiaTheme="minorEastAsia" w:cstheme="minorEastAsia"/>
          <w:color w:val="auto"/>
          <w:sz w:val="21"/>
          <w:szCs w:val="21"/>
          <w:highlight w:val="none"/>
          <w:vertAlign w:val="subscript"/>
        </w:rPr>
        <w:t>1</w:t>
      </w:r>
      <w:r>
        <w:rPr>
          <w:rFonts w:hint="eastAsia" w:asciiTheme="minorEastAsia" w:hAnsiTheme="minorEastAsia" w:eastAsiaTheme="minorEastAsia" w:cstheme="minorEastAsia"/>
          <w:color w:val="auto"/>
          <w:sz w:val="21"/>
          <w:szCs w:val="21"/>
          <w:highlight w:val="none"/>
        </w:rPr>
        <w:t>; B</w:t>
      </w:r>
      <w:r>
        <w:rPr>
          <w:rFonts w:hint="eastAsia" w:asciiTheme="minorEastAsia" w:hAnsiTheme="minorEastAsia" w:eastAsiaTheme="minorEastAsia" w:cstheme="minorEastAsia"/>
          <w:color w:val="auto"/>
          <w:sz w:val="21"/>
          <w:szCs w:val="21"/>
          <w:highlight w:val="none"/>
          <w:vertAlign w:val="subscript"/>
        </w:rPr>
        <w:t>2</w:t>
      </w:r>
      <w:r>
        <w:rPr>
          <w:rFonts w:hint="eastAsia" w:asciiTheme="minorEastAsia" w:hAnsiTheme="minorEastAsia" w:eastAsiaTheme="minorEastAsia" w:cstheme="minorEastAsia"/>
          <w:color w:val="auto"/>
          <w:sz w:val="21"/>
          <w:szCs w:val="21"/>
          <w:highlight w:val="none"/>
        </w:rPr>
        <w:t xml:space="preserve"> ;B</w:t>
      </w:r>
      <w:r>
        <w:rPr>
          <w:rFonts w:hint="eastAsia" w:asciiTheme="minorEastAsia" w:hAnsiTheme="minorEastAsia" w:eastAsiaTheme="minorEastAsia" w:cstheme="minorEastAsia"/>
          <w:color w:val="auto"/>
          <w:sz w:val="21"/>
          <w:szCs w:val="21"/>
          <w:highlight w:val="none"/>
          <w:vertAlign w:val="subscript"/>
        </w:rPr>
        <w:t>3</w:t>
      </w:r>
      <w:r>
        <w:rPr>
          <w:rFonts w:hint="eastAsia" w:asciiTheme="minorEastAsia" w:hAnsiTheme="minorEastAsia" w:eastAsiaTheme="minorEastAsia" w:cstheme="minorEastAsia"/>
          <w:color w:val="auto"/>
          <w:sz w:val="21"/>
          <w:szCs w:val="21"/>
          <w:highlight w:val="none"/>
        </w:rPr>
        <w:t>·····B</w:t>
      </w:r>
      <w:r>
        <w:rPr>
          <w:rFonts w:hint="eastAsia" w:asciiTheme="minorEastAsia" w:hAnsiTheme="minorEastAsia" w:eastAsiaTheme="minorEastAsia" w:cstheme="minorEastAsia"/>
          <w:color w:val="auto"/>
          <w:sz w:val="21"/>
          <w:szCs w:val="21"/>
          <w:highlight w:val="none"/>
          <w:vertAlign w:val="subscript"/>
        </w:rPr>
        <w:t>n</w:t>
      </w:r>
      <w:r>
        <w:rPr>
          <w:rFonts w:hint="eastAsia" w:asciiTheme="minorEastAsia" w:hAnsiTheme="minorEastAsia" w:eastAsiaTheme="minorEastAsia" w:cstheme="minorEastAsia"/>
          <w:color w:val="auto"/>
          <w:sz w:val="21"/>
          <w:szCs w:val="21"/>
          <w:highlight w:val="none"/>
        </w:rPr>
        <w:t xml:space="preserve"> -- 各可调因子的变值权重(即可调部分的权重)为各可调因子在</w:t>
      </w:r>
      <w:r>
        <w:rPr>
          <w:rFonts w:hint="eastAsia" w:asciiTheme="minorEastAsia" w:hAnsiTheme="minorEastAsia" w:eastAsiaTheme="minorEastAsia" w:cstheme="minorEastAsia"/>
          <w:color w:val="auto"/>
          <w:sz w:val="21"/>
          <w:szCs w:val="21"/>
          <w:highlight w:val="none"/>
          <w:lang w:val="en-US" w:eastAsia="zh-CN"/>
        </w:rPr>
        <w:t>报价函投标</w:t>
      </w:r>
      <w:r>
        <w:rPr>
          <w:rFonts w:hint="eastAsia" w:asciiTheme="minorEastAsia" w:hAnsiTheme="minorEastAsia" w:eastAsiaTheme="minorEastAsia" w:cstheme="minorEastAsia"/>
          <w:color w:val="auto"/>
          <w:sz w:val="21"/>
          <w:szCs w:val="21"/>
          <w:highlight w:val="none"/>
        </w:rPr>
        <w:t>总报价中所占的比例；</w:t>
      </w:r>
    </w:p>
    <w:p w14:paraId="4AB8B6AD">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t1</w:t>
      </w:r>
      <w:r>
        <w:rPr>
          <w:rFonts w:hint="eastAsia" w:asciiTheme="minorEastAsia" w:hAnsiTheme="minorEastAsia" w:eastAsiaTheme="minorEastAsia" w:cstheme="minorEastAsia"/>
          <w:color w:val="auto"/>
          <w:sz w:val="21"/>
          <w:szCs w:val="21"/>
          <w:highlight w:val="none"/>
        </w:rPr>
        <w:t xml:space="preserve"> ;F</w:t>
      </w:r>
      <w:r>
        <w:rPr>
          <w:rFonts w:hint="eastAsia" w:asciiTheme="minorEastAsia" w:hAnsiTheme="minorEastAsia" w:eastAsiaTheme="minorEastAsia" w:cstheme="minorEastAsia"/>
          <w:color w:val="auto"/>
          <w:sz w:val="21"/>
          <w:szCs w:val="21"/>
          <w:highlight w:val="none"/>
          <w:vertAlign w:val="subscript"/>
        </w:rPr>
        <w:t>t2</w:t>
      </w:r>
      <w:r>
        <w:rPr>
          <w:rFonts w:hint="eastAsia" w:asciiTheme="minorEastAsia" w:hAnsiTheme="minorEastAsia" w:eastAsiaTheme="minorEastAsia" w:cstheme="minorEastAsia"/>
          <w:color w:val="auto"/>
          <w:sz w:val="21"/>
          <w:szCs w:val="21"/>
          <w:highlight w:val="none"/>
        </w:rPr>
        <w:t xml:space="preserve"> ;F</w:t>
      </w:r>
      <w:r>
        <w:rPr>
          <w:rFonts w:hint="eastAsia" w:asciiTheme="minorEastAsia" w:hAnsiTheme="minorEastAsia" w:eastAsiaTheme="minorEastAsia" w:cstheme="minorEastAsia"/>
          <w:color w:val="auto"/>
          <w:sz w:val="21"/>
          <w:szCs w:val="21"/>
          <w:highlight w:val="none"/>
          <w:vertAlign w:val="subscript"/>
        </w:rPr>
        <w:t>t3</w:t>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tn</w:t>
      </w:r>
      <w:r>
        <w:rPr>
          <w:rFonts w:hint="eastAsia" w:asciiTheme="minorEastAsia" w:hAnsiTheme="minorEastAsia" w:eastAsiaTheme="minorEastAsia" w:cstheme="minorEastAsia"/>
          <w:color w:val="auto"/>
          <w:sz w:val="21"/>
          <w:szCs w:val="21"/>
          <w:highlight w:val="none"/>
        </w:rPr>
        <w:t xml:space="preserve"> -- 各可调因子的现行价格指数，指第17.3.3项、第17.5.2项和第17.6.2项约定的付款证书相关周期最后一天的前42天的各可调因子的价格指数；</w:t>
      </w:r>
    </w:p>
    <w:p w14:paraId="5CFD0B8B">
      <w:pPr>
        <w:pageBreakBefore w:val="0"/>
        <w:widowControl w:val="0"/>
        <w:tabs>
          <w:tab w:val="left" w:pos="1260"/>
        </w:tabs>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o1</w:t>
      </w:r>
      <w:r>
        <w:rPr>
          <w:rFonts w:hint="eastAsia" w:asciiTheme="minorEastAsia" w:hAnsiTheme="minorEastAsia" w:eastAsiaTheme="minorEastAsia" w:cstheme="minorEastAsia"/>
          <w:color w:val="auto"/>
          <w:sz w:val="21"/>
          <w:szCs w:val="21"/>
          <w:highlight w:val="none"/>
        </w:rPr>
        <w:t>; F</w:t>
      </w:r>
      <w:r>
        <w:rPr>
          <w:rFonts w:hint="eastAsia" w:asciiTheme="minorEastAsia" w:hAnsiTheme="minorEastAsia" w:eastAsiaTheme="minorEastAsia" w:cstheme="minorEastAsia"/>
          <w:color w:val="auto"/>
          <w:sz w:val="21"/>
          <w:szCs w:val="21"/>
          <w:highlight w:val="none"/>
          <w:vertAlign w:val="subscript"/>
        </w:rPr>
        <w:t>o2</w:t>
      </w:r>
      <w:r>
        <w:rPr>
          <w:rFonts w:hint="eastAsia" w:asciiTheme="minorEastAsia" w:hAnsiTheme="minorEastAsia" w:eastAsiaTheme="minorEastAsia" w:cstheme="minorEastAsia"/>
          <w:color w:val="auto"/>
          <w:sz w:val="21"/>
          <w:szCs w:val="21"/>
          <w:highlight w:val="none"/>
        </w:rPr>
        <w:t>; F</w:t>
      </w:r>
      <w:r>
        <w:rPr>
          <w:rFonts w:hint="eastAsia" w:asciiTheme="minorEastAsia" w:hAnsiTheme="minorEastAsia" w:eastAsiaTheme="minorEastAsia" w:cstheme="minorEastAsia"/>
          <w:color w:val="auto"/>
          <w:sz w:val="21"/>
          <w:szCs w:val="21"/>
          <w:highlight w:val="none"/>
          <w:vertAlign w:val="subscript"/>
        </w:rPr>
        <w:t>o3</w:t>
      </w:r>
      <w:r>
        <w:rPr>
          <w:rFonts w:hint="eastAsia" w:asciiTheme="minorEastAsia" w:hAnsiTheme="minorEastAsia" w:eastAsiaTheme="minorEastAsia" w:cstheme="minorEastAsia"/>
          <w:color w:val="auto"/>
          <w:sz w:val="21"/>
          <w:szCs w:val="21"/>
          <w:highlight w:val="none"/>
        </w:rPr>
        <w:t>·····F</w:t>
      </w:r>
      <w:r>
        <w:rPr>
          <w:rFonts w:hint="eastAsia" w:asciiTheme="minorEastAsia" w:hAnsiTheme="minorEastAsia" w:eastAsiaTheme="minorEastAsia" w:cstheme="minorEastAsia"/>
          <w:color w:val="auto"/>
          <w:sz w:val="21"/>
          <w:szCs w:val="21"/>
          <w:highlight w:val="none"/>
          <w:vertAlign w:val="subscript"/>
        </w:rPr>
        <w:t>on</w:t>
      </w:r>
      <w:r>
        <w:rPr>
          <w:rFonts w:hint="eastAsia" w:asciiTheme="minorEastAsia" w:hAnsiTheme="minorEastAsia" w:eastAsiaTheme="minorEastAsia" w:cstheme="minorEastAsia"/>
          <w:color w:val="auto"/>
          <w:sz w:val="21"/>
          <w:szCs w:val="21"/>
          <w:highlight w:val="none"/>
        </w:rPr>
        <w:t xml:space="preserve"> -- 各可调因子的基本价格指数，指基准日期的各可调因子的价格指数。</w:t>
      </w:r>
    </w:p>
    <w:p w14:paraId="69E6CB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以上价格调整公式中的各可调因子、定值和变值权重，以及基本价格指数及其来源在</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附录价格指数和权重表中约定。价格指数应首先采用有关部门提供的价格指数，缺乏上述价格指数时，可采用有关部门提供的价格代替。</w:t>
      </w:r>
    </w:p>
    <w:p w14:paraId="39AB1E2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16.1.1.2 暂时确定调整差额</w:t>
      </w:r>
    </w:p>
    <w:p w14:paraId="03852E9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在计算调整差额时得不到现行价格指数的，可暂用上一次价格指数计算，并在以后的付款中再按实际价格指数进行调整。</w:t>
      </w:r>
    </w:p>
    <w:p w14:paraId="498FAE6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16.1.1.3 权重的调整</w:t>
      </w:r>
    </w:p>
    <w:p w14:paraId="2A64CD4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按第15.1款约定的变更导致原定合同中的权重不合理时，由监理人与承包人和发包人协商后进行调整。</w:t>
      </w:r>
    </w:p>
    <w:p w14:paraId="06B62C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16.1.1.4 承包人工期延误后的价格调整</w:t>
      </w:r>
    </w:p>
    <w:p w14:paraId="1F330F4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54D3ECD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16.1.2 采用造价信息调整价格差额</w:t>
      </w:r>
    </w:p>
    <w:p w14:paraId="44EBDC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37C267E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23" w:name="_Toc98936780"/>
      <w:bookmarkStart w:id="724" w:name="_Toc179632735"/>
      <w:bookmarkStart w:id="725" w:name="_Toc338944810"/>
      <w:bookmarkStart w:id="726" w:name="_Toc144974688"/>
      <w:bookmarkStart w:id="727" w:name="_Toc75511140"/>
      <w:bookmarkStart w:id="728" w:name="_Toc342296368"/>
      <w:bookmarkStart w:id="729" w:name="_Toc152042496"/>
      <w:bookmarkStart w:id="730" w:name="_Toc152045717"/>
      <w:bookmarkStart w:id="731" w:name="_Toc646"/>
      <w:r>
        <w:rPr>
          <w:rFonts w:hint="eastAsia" w:asciiTheme="minorEastAsia" w:hAnsiTheme="minorEastAsia" w:eastAsiaTheme="minorEastAsia" w:cstheme="minorEastAsia"/>
          <w:color w:val="auto"/>
          <w:sz w:val="21"/>
          <w:szCs w:val="21"/>
          <w:highlight w:val="none"/>
        </w:rPr>
        <w:t>16.2 法律变化引起的价格调整</w:t>
      </w:r>
      <w:bookmarkEnd w:id="723"/>
      <w:bookmarkEnd w:id="724"/>
      <w:bookmarkEnd w:id="725"/>
      <w:bookmarkEnd w:id="726"/>
      <w:bookmarkEnd w:id="727"/>
      <w:bookmarkEnd w:id="728"/>
      <w:bookmarkEnd w:id="729"/>
      <w:bookmarkEnd w:id="730"/>
      <w:bookmarkEnd w:id="731"/>
    </w:p>
    <w:p w14:paraId="71083E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1352D027">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32" w:name="_Toc98936781"/>
      <w:bookmarkStart w:id="733" w:name="_Toc27465"/>
      <w:bookmarkStart w:id="734" w:name="_Toc338944811"/>
      <w:bookmarkStart w:id="735" w:name="_Toc342296369"/>
      <w:bookmarkStart w:id="736" w:name="_Toc75511141"/>
      <w:r>
        <w:rPr>
          <w:rFonts w:hint="eastAsia" w:asciiTheme="minorEastAsia" w:hAnsiTheme="minorEastAsia" w:eastAsiaTheme="minorEastAsia" w:cstheme="minorEastAsia"/>
          <w:color w:val="auto"/>
          <w:sz w:val="21"/>
          <w:szCs w:val="21"/>
          <w:highlight w:val="none"/>
        </w:rPr>
        <w:t>17. 计量与支付</w:t>
      </w:r>
      <w:bookmarkEnd w:id="732"/>
      <w:bookmarkEnd w:id="733"/>
      <w:bookmarkEnd w:id="734"/>
      <w:bookmarkEnd w:id="735"/>
      <w:bookmarkEnd w:id="736"/>
    </w:p>
    <w:p w14:paraId="160EB88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37" w:name="_Toc1656"/>
      <w:bookmarkStart w:id="738" w:name="_Toc338944812"/>
      <w:bookmarkStart w:id="739" w:name="_Toc342296370"/>
      <w:bookmarkStart w:id="740" w:name="_Toc98936782"/>
      <w:bookmarkStart w:id="741" w:name="_Toc75511142"/>
      <w:r>
        <w:rPr>
          <w:rFonts w:hint="eastAsia" w:asciiTheme="minorEastAsia" w:hAnsiTheme="minorEastAsia" w:eastAsiaTheme="minorEastAsia" w:cstheme="minorEastAsia"/>
          <w:color w:val="auto"/>
          <w:sz w:val="21"/>
          <w:szCs w:val="21"/>
          <w:highlight w:val="none"/>
        </w:rPr>
        <w:t>17.1 计量</w:t>
      </w:r>
      <w:bookmarkEnd w:id="737"/>
      <w:bookmarkEnd w:id="738"/>
      <w:bookmarkEnd w:id="739"/>
      <w:bookmarkEnd w:id="740"/>
      <w:bookmarkEnd w:id="741"/>
    </w:p>
    <w:p w14:paraId="1084E9C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17.1.1 计量单位</w:t>
      </w:r>
    </w:p>
    <w:p w14:paraId="1E11BC2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计量采用国家法定的计量单位。</w:t>
      </w:r>
    </w:p>
    <w:p w14:paraId="78EA53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17.1.2 计量方法</w:t>
      </w:r>
    </w:p>
    <w:p w14:paraId="3F8969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工程量清单中的工程量计算规则应按有关国家标准、行业标准的规定，并在合同中约定执行。</w:t>
      </w:r>
    </w:p>
    <w:p w14:paraId="02D2DD7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17.1.3 计量周期</w:t>
      </w:r>
    </w:p>
    <w:p w14:paraId="5093AC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除专用合同条款另有约定外，单价子目已完成工程量按月计量，总价子目的计量周期按批准的支付分解报告确定。</w:t>
      </w:r>
    </w:p>
    <w:p w14:paraId="18CD1F3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17.1.4 单价子目的计量</w:t>
      </w:r>
    </w:p>
    <w:p w14:paraId="7B586A0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（1）已标价工程量清单中的单价子目工程量为估算工程量。结算工程量是承包人实际完成的，并按合同约定的计量方法进行计量的工程量。</w:t>
      </w:r>
    </w:p>
    <w:p w14:paraId="505D5F7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（2）承包人对已完成的工程进行计量，向监理人提交进度付款申请单、已完成工程量报表和有关计量资料。</w:t>
      </w:r>
    </w:p>
    <w:p w14:paraId="46E055C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31941B9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（4）监理人认为有必要时，可通知承包人共同进行联合测量、计量，承包人应遵照执行。</w:t>
      </w:r>
    </w:p>
    <w:p w14:paraId="6AE0EE1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51AFC1D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14:paraId="57E86C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17.1.5 总价子目的计量</w:t>
      </w:r>
    </w:p>
    <w:p w14:paraId="43F42718">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除专用合同条款另有约定外，总价子目的分解和计量按照下述约定进行。</w:t>
      </w:r>
    </w:p>
    <w:p w14:paraId="78B65039">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（1）总价子目的计量和支付应以总价为基础，不因第16.1款中的因素而进行调整。承包人实际完成的工程量，是进行工程目标管理和控制进度支付的依据。</w:t>
      </w:r>
    </w:p>
    <w:p w14:paraId="096831F0">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068D9C28">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（3）监理人对承包人提交的上述资料进行复核，以确定分阶段实际完成的工程量和工程形象目标。对其有异议的，可要求承包人按第8.2款约定进行共同复核和抽样复测。</w:t>
      </w:r>
    </w:p>
    <w:p w14:paraId="6AF28D7C">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（4）除按照第15条约定的变更外，总价子目的工程量是承包人用于结算的最终工程量。 </w:t>
      </w:r>
    </w:p>
    <w:p w14:paraId="34E58F2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42" w:name="_Toc5937"/>
      <w:bookmarkStart w:id="743" w:name="_Toc75511143"/>
      <w:bookmarkStart w:id="744" w:name="_Toc98936783"/>
      <w:bookmarkStart w:id="745" w:name="_Toc338944813"/>
      <w:bookmarkStart w:id="746" w:name="_Toc342296371"/>
      <w:r>
        <w:rPr>
          <w:rFonts w:hint="eastAsia" w:asciiTheme="minorEastAsia" w:hAnsiTheme="minorEastAsia" w:eastAsiaTheme="minorEastAsia" w:cstheme="minorEastAsia"/>
          <w:color w:val="auto"/>
          <w:sz w:val="21"/>
          <w:szCs w:val="21"/>
          <w:highlight w:val="none"/>
        </w:rPr>
        <w:t>17.2 预付款</w:t>
      </w:r>
      <w:bookmarkEnd w:id="742"/>
      <w:bookmarkEnd w:id="743"/>
      <w:bookmarkEnd w:id="744"/>
      <w:bookmarkEnd w:id="745"/>
      <w:bookmarkEnd w:id="746"/>
    </w:p>
    <w:p w14:paraId="00175D0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17.2.1 预付款</w:t>
      </w:r>
    </w:p>
    <w:p w14:paraId="162DBC4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5887FA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17.2.2 预付款保函</w:t>
      </w:r>
    </w:p>
    <w:p w14:paraId="65255F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25399DF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17.2.3 预付款的扣回与还清</w:t>
      </w:r>
    </w:p>
    <w:p w14:paraId="4FC2601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6243BD3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47" w:name="_Toc22056"/>
      <w:bookmarkStart w:id="748" w:name="_Toc342296372"/>
      <w:bookmarkStart w:id="749" w:name="_Toc338944814"/>
      <w:bookmarkStart w:id="750" w:name="_Toc98936784"/>
      <w:bookmarkStart w:id="751" w:name="_Toc75511144"/>
      <w:r>
        <w:rPr>
          <w:rFonts w:hint="eastAsia" w:asciiTheme="minorEastAsia" w:hAnsiTheme="minorEastAsia" w:eastAsiaTheme="minorEastAsia" w:cstheme="minorEastAsia"/>
          <w:color w:val="auto"/>
          <w:sz w:val="21"/>
          <w:szCs w:val="21"/>
          <w:highlight w:val="none"/>
        </w:rPr>
        <w:t>17.3 工程进度付款</w:t>
      </w:r>
      <w:bookmarkEnd w:id="747"/>
      <w:bookmarkEnd w:id="748"/>
      <w:bookmarkEnd w:id="749"/>
      <w:bookmarkEnd w:id="750"/>
      <w:bookmarkEnd w:id="751"/>
    </w:p>
    <w:p w14:paraId="07FE9B9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17.3.1 付款周期</w:t>
      </w:r>
    </w:p>
    <w:p w14:paraId="4CF0F91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付款周期同计量周期。</w:t>
      </w:r>
    </w:p>
    <w:p w14:paraId="36E181B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17.3.2 进度付款申请单</w:t>
      </w:r>
    </w:p>
    <w:p w14:paraId="758A915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dstrike/>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41F6316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（1）截至本次付款周期末已实施工程的价款；</w:t>
      </w:r>
    </w:p>
    <w:p w14:paraId="1EECEB9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（2）根据第15条应增加和扣减的变更金额；</w:t>
      </w:r>
    </w:p>
    <w:p w14:paraId="13E88B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（3）根据第23条应增加和扣减的索赔金额；</w:t>
      </w:r>
    </w:p>
    <w:p w14:paraId="6ABFE2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（4）根据第17.2款约定应支付的预付款和扣减的返还预付款；</w:t>
      </w:r>
    </w:p>
    <w:p w14:paraId="3F42CC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（5）根据第17.4.1项约定应扣减的质量保证金；</w:t>
      </w:r>
    </w:p>
    <w:p w14:paraId="53597C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（6）根据合同应增加和扣减的其他金额。</w:t>
      </w:r>
    </w:p>
    <w:p w14:paraId="174D95D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17.3.3 进度付款证书和支付时间</w:t>
      </w:r>
    </w:p>
    <w:p w14:paraId="0E4E368C">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58D3E2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（2）发包人应在监理人收到进度付款申请单后的28天内，将进度应付款支付给承包人。发包人不按期支付的，按专用合同条款的约定支付逾期付款违约金。</w:t>
      </w:r>
    </w:p>
    <w:p w14:paraId="3720AF5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（3）监理人出具进度付款证书，不应视为监理人已同意、批准或接受了承包人完成的该部分工作。</w:t>
      </w:r>
    </w:p>
    <w:p w14:paraId="4BA1058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（4）进度付款涉及政府投资资金的，按照国库集中支付等国家相关规定和专用合同条款的约定办理。</w:t>
      </w:r>
    </w:p>
    <w:p w14:paraId="568C7D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17.3.4 工程进度付款的修正</w:t>
      </w:r>
    </w:p>
    <w:p w14:paraId="455C0B8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59BFF29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52" w:name="_Toc338944815"/>
      <w:bookmarkStart w:id="753" w:name="_Toc75511145"/>
      <w:bookmarkStart w:id="754" w:name="_Toc98936785"/>
      <w:bookmarkStart w:id="755" w:name="_Toc342296373"/>
      <w:bookmarkStart w:id="756" w:name="_Toc15889"/>
      <w:r>
        <w:rPr>
          <w:rFonts w:hint="eastAsia" w:asciiTheme="minorEastAsia" w:hAnsiTheme="minorEastAsia" w:eastAsiaTheme="minorEastAsia" w:cstheme="minorEastAsia"/>
          <w:color w:val="auto"/>
          <w:sz w:val="21"/>
          <w:szCs w:val="21"/>
          <w:highlight w:val="none"/>
        </w:rPr>
        <w:t>17.4 质量保证金</w:t>
      </w:r>
      <w:bookmarkEnd w:id="752"/>
      <w:bookmarkEnd w:id="753"/>
      <w:bookmarkEnd w:id="754"/>
      <w:bookmarkEnd w:id="755"/>
      <w:bookmarkEnd w:id="756"/>
    </w:p>
    <w:p w14:paraId="1F8066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3643B96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26BAC4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49F8D9A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57" w:name="_Toc342296374"/>
      <w:bookmarkStart w:id="758" w:name="_Toc75511146"/>
      <w:bookmarkStart w:id="759" w:name="_Toc28504"/>
      <w:bookmarkStart w:id="760" w:name="_Toc98936786"/>
      <w:bookmarkStart w:id="761" w:name="_Toc338944816"/>
      <w:r>
        <w:rPr>
          <w:rFonts w:hint="eastAsia" w:asciiTheme="minorEastAsia" w:hAnsiTheme="minorEastAsia" w:eastAsiaTheme="minorEastAsia" w:cstheme="minorEastAsia"/>
          <w:color w:val="auto"/>
          <w:sz w:val="21"/>
          <w:szCs w:val="21"/>
          <w:highlight w:val="none"/>
        </w:rPr>
        <w:t>17.5 竣工结算</w:t>
      </w:r>
      <w:bookmarkEnd w:id="757"/>
      <w:bookmarkEnd w:id="758"/>
      <w:bookmarkEnd w:id="759"/>
      <w:bookmarkEnd w:id="760"/>
      <w:bookmarkEnd w:id="761"/>
    </w:p>
    <w:p w14:paraId="5019661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17.5.1 竣工付款申请单</w:t>
      </w:r>
    </w:p>
    <w:p w14:paraId="25A9A35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069BD77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（2）监理人对竣工付款申请单有异议的，有权要求承包人进行修正和提供补充资料。经监理人和承包人协商后，由承包人向监理人提交修正后的竣工付款申请单。</w:t>
      </w:r>
    </w:p>
    <w:p w14:paraId="357340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17.5.2 竣工付款证书及支付时间</w:t>
      </w:r>
    </w:p>
    <w:p w14:paraId="0263C51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AD14B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（2）发包人应在监理人出具竣工付款证书后的14天内，将应支付款支付给承包人。发包人不按期支付的，按第17.3.3（2）目的约定，将逾期付款违约金支付给承包人。</w:t>
      </w:r>
    </w:p>
    <w:p w14:paraId="5239171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（3）承包人对发包人签认的竣工付款证书有异议的，发包人可出具竣工付款申请单中承包人已同意部分的临时付款证书。存在争议的部分，按第24条的约定办理。</w:t>
      </w:r>
    </w:p>
    <w:p w14:paraId="63B77417">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（4）竣工付款涉及政府投资资金的，按第17.3.3（４）目的约定办理。</w:t>
      </w:r>
    </w:p>
    <w:p w14:paraId="7D7B17D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62" w:name="_Toc342296375"/>
      <w:bookmarkStart w:id="763" w:name="_Toc75511147"/>
      <w:bookmarkStart w:id="764" w:name="_Toc338944817"/>
      <w:bookmarkStart w:id="765" w:name="_Toc23083"/>
      <w:bookmarkStart w:id="766" w:name="_Toc98936787"/>
      <w:r>
        <w:rPr>
          <w:rFonts w:hint="eastAsia" w:asciiTheme="minorEastAsia" w:hAnsiTheme="minorEastAsia" w:eastAsiaTheme="minorEastAsia" w:cstheme="minorEastAsia"/>
          <w:color w:val="auto"/>
          <w:sz w:val="21"/>
          <w:szCs w:val="21"/>
          <w:highlight w:val="none"/>
        </w:rPr>
        <w:t>17.6 最终结清</w:t>
      </w:r>
      <w:bookmarkEnd w:id="762"/>
      <w:bookmarkEnd w:id="763"/>
      <w:bookmarkEnd w:id="764"/>
      <w:bookmarkEnd w:id="765"/>
      <w:bookmarkEnd w:id="766"/>
    </w:p>
    <w:p w14:paraId="146BA2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17.6.1 最终结清申请单</w:t>
      </w:r>
    </w:p>
    <w:p w14:paraId="7B7B5AC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（1）缺陷责任期终止证书签发后，承包人可按专用合同条款约定的份数和期限向监理人提交最终结清申请单，并提供相关证明材料。</w:t>
      </w:r>
    </w:p>
    <w:p w14:paraId="5C18540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（2）发包人对最终结清申请单内容有异议的，有权要求承包人进行修正和提供补充资料，由承包人向监理人提交修正后的最终结清申请单。</w:t>
      </w:r>
    </w:p>
    <w:p w14:paraId="226401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17.6.2 最终结清证书和支付时间</w:t>
      </w:r>
    </w:p>
    <w:p w14:paraId="170161D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3C17F7A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（2）发包人应在监理人出具最终结清证书后的14天内，将应支付款支付给承包人。发包人不按期支付的，按第17.3.3（2）目的约定，将逾期付款违约金支付给承包人。</w:t>
      </w:r>
    </w:p>
    <w:p w14:paraId="7E058E5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（3）承包人对发包人签认的最终结清证书有异议的，按第24条的约定办理。</w:t>
      </w:r>
    </w:p>
    <w:p w14:paraId="3263297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（4）最终结清付款涉及政府投资资金的，按第17.3.3（４）目的约定办理。</w:t>
      </w:r>
    </w:p>
    <w:p w14:paraId="59F8CB08">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767" w:name="_Toc338944818"/>
      <w:bookmarkStart w:id="768" w:name="_Toc75511148"/>
      <w:bookmarkStart w:id="769" w:name="_Toc12460"/>
      <w:bookmarkStart w:id="770" w:name="_Toc98936788"/>
      <w:bookmarkStart w:id="771" w:name="_Toc342296376"/>
      <w:r>
        <w:rPr>
          <w:rFonts w:hint="eastAsia" w:asciiTheme="minorEastAsia" w:hAnsiTheme="minorEastAsia" w:eastAsiaTheme="minorEastAsia" w:cstheme="minorEastAsia"/>
          <w:color w:val="auto"/>
          <w:sz w:val="21"/>
          <w:szCs w:val="21"/>
          <w:highlight w:val="none"/>
        </w:rPr>
        <w:t>18. 竣工验收</w:t>
      </w:r>
      <w:bookmarkEnd w:id="767"/>
      <w:bookmarkEnd w:id="768"/>
      <w:bookmarkEnd w:id="769"/>
      <w:bookmarkEnd w:id="770"/>
      <w:bookmarkEnd w:id="771"/>
    </w:p>
    <w:p w14:paraId="2CFA145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72" w:name="_Toc28529"/>
      <w:bookmarkStart w:id="773" w:name="_Toc342296377"/>
      <w:bookmarkStart w:id="774" w:name="_Toc75511149"/>
      <w:bookmarkStart w:id="775" w:name="_Toc144974697"/>
      <w:bookmarkStart w:id="776" w:name="_Toc152042505"/>
      <w:bookmarkStart w:id="777" w:name="_Toc152045726"/>
      <w:bookmarkStart w:id="778" w:name="_Toc98936789"/>
      <w:bookmarkStart w:id="779" w:name="_Toc179632744"/>
      <w:bookmarkStart w:id="780" w:name="_Toc338944819"/>
      <w:r>
        <w:rPr>
          <w:rFonts w:hint="eastAsia" w:asciiTheme="minorEastAsia" w:hAnsiTheme="minorEastAsia" w:eastAsiaTheme="minorEastAsia" w:cstheme="minorEastAsia"/>
          <w:color w:val="auto"/>
          <w:sz w:val="21"/>
          <w:szCs w:val="21"/>
          <w:highlight w:val="none"/>
        </w:rPr>
        <w:t>18.1 竣工验收的含义</w:t>
      </w:r>
      <w:bookmarkEnd w:id="772"/>
      <w:bookmarkEnd w:id="773"/>
      <w:bookmarkEnd w:id="774"/>
      <w:bookmarkEnd w:id="775"/>
      <w:bookmarkEnd w:id="776"/>
      <w:bookmarkEnd w:id="777"/>
      <w:bookmarkEnd w:id="778"/>
      <w:bookmarkEnd w:id="779"/>
      <w:bookmarkEnd w:id="780"/>
    </w:p>
    <w:p w14:paraId="10B5643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18.1.1 竣工验收指承包人完成了全部合同工作后，发包人按合同要求进行的验收。</w:t>
      </w:r>
    </w:p>
    <w:p w14:paraId="32EE24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18.1.2 国家验收是政府有关部门根据法律、规范、规程和政策要求，针对发包人全面组织实施的整个工程正式交付投运前的验收。</w:t>
      </w:r>
    </w:p>
    <w:p w14:paraId="4F98829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0D28F1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81" w:name="_Toc342296378"/>
      <w:bookmarkStart w:id="782" w:name="_Toc75511150"/>
      <w:bookmarkStart w:id="783" w:name="_Toc338944820"/>
      <w:bookmarkStart w:id="784" w:name="_Toc5817"/>
      <w:bookmarkStart w:id="785" w:name="_Toc98936790"/>
      <w:r>
        <w:rPr>
          <w:rFonts w:hint="eastAsia" w:asciiTheme="minorEastAsia" w:hAnsiTheme="minorEastAsia" w:eastAsiaTheme="minorEastAsia" w:cstheme="minorEastAsia"/>
          <w:color w:val="auto"/>
          <w:sz w:val="21"/>
          <w:szCs w:val="21"/>
          <w:highlight w:val="none"/>
        </w:rPr>
        <w:t>18.2 竣工验收申请报告</w:t>
      </w:r>
      <w:bookmarkEnd w:id="781"/>
      <w:bookmarkEnd w:id="782"/>
      <w:bookmarkEnd w:id="783"/>
      <w:bookmarkEnd w:id="784"/>
      <w:bookmarkEnd w:id="785"/>
    </w:p>
    <w:p w14:paraId="21B549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当工程具备以下条件时，承包人即可向监理人报送竣工验收申请报告：</w:t>
      </w:r>
    </w:p>
    <w:p w14:paraId="3D625B48">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0F98DC0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（2）已按合同约定的内容和份数备齐了符合要求的竣工资料； </w:t>
      </w:r>
    </w:p>
    <w:p w14:paraId="54E9535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（3）已按监理人的要求编制了在缺陷责任期内完成的尾工（甩项）工程和缺陷修补工作清单以及相应施工计划；</w:t>
      </w:r>
    </w:p>
    <w:p w14:paraId="7AF6A85E">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（4）监理人要求在竣工验收前应完成的其他工作；</w:t>
      </w:r>
    </w:p>
    <w:p w14:paraId="72A982A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（5）监理人要求提交的竣工验收资料清单。</w:t>
      </w:r>
    </w:p>
    <w:p w14:paraId="6D332D1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86" w:name="_Toc338944821"/>
      <w:bookmarkStart w:id="787" w:name="_Toc342296379"/>
      <w:bookmarkStart w:id="788" w:name="_Toc98936791"/>
      <w:bookmarkStart w:id="789" w:name="_Toc14023"/>
      <w:bookmarkStart w:id="790" w:name="_Toc75511151"/>
      <w:r>
        <w:rPr>
          <w:rFonts w:hint="eastAsia" w:asciiTheme="minorEastAsia" w:hAnsiTheme="minorEastAsia" w:eastAsiaTheme="minorEastAsia" w:cstheme="minorEastAsia"/>
          <w:color w:val="auto"/>
          <w:sz w:val="21"/>
          <w:szCs w:val="21"/>
          <w:highlight w:val="none"/>
        </w:rPr>
        <w:t>18.3 验收</w:t>
      </w:r>
      <w:bookmarkEnd w:id="786"/>
      <w:bookmarkEnd w:id="787"/>
      <w:bookmarkEnd w:id="788"/>
      <w:bookmarkEnd w:id="789"/>
      <w:bookmarkEnd w:id="790"/>
    </w:p>
    <w:p w14:paraId="726E5B9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监理人收到承包人按第18.2款约定提交的竣工验收申请报告后，应审查申请报告的各项内容，并按以下不同情况进行处理。</w:t>
      </w:r>
    </w:p>
    <w:p w14:paraId="0473E2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093123E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18.3.2 监理人审查后认为已具备竣工验收条件的，应在收到竣工验收申请报告后的28天内提请发包人进行工程验收。</w:t>
      </w:r>
    </w:p>
    <w:p w14:paraId="30974E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3F5F40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7FCC871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18.3.5 除专用合同条款另有约定外，经验收合格工程的实际竣工日期，以提交竣工验收申请报告的日期为准，并在工程接收证书中写明。</w:t>
      </w:r>
    </w:p>
    <w:p w14:paraId="4653F33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18.3.6 发包人在收到承包人竣工验收申请报告56天后未进行验收的，视为验收合格，实际竣工日期以提交竣工验收申请报告的日期为准，但发包人由于不可抗力不能进行验收的除外。</w:t>
      </w:r>
    </w:p>
    <w:p w14:paraId="3E386F6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791" w:name="_Toc98936792"/>
      <w:bookmarkStart w:id="792" w:name="_Toc144974700"/>
      <w:bookmarkStart w:id="793" w:name="_Toc152042508"/>
      <w:bookmarkStart w:id="794" w:name="_Toc152045729"/>
      <w:bookmarkStart w:id="795" w:name="_Toc4826"/>
      <w:bookmarkStart w:id="796" w:name="_Toc342296380"/>
      <w:bookmarkStart w:id="797" w:name="_Toc75511152"/>
      <w:bookmarkStart w:id="798" w:name="_Toc179632747"/>
      <w:bookmarkStart w:id="799" w:name="_Toc338944822"/>
      <w:r>
        <w:rPr>
          <w:rFonts w:hint="eastAsia" w:asciiTheme="minorEastAsia" w:hAnsiTheme="minorEastAsia" w:eastAsiaTheme="minorEastAsia" w:cstheme="minorEastAsia"/>
          <w:color w:val="auto"/>
          <w:sz w:val="21"/>
          <w:szCs w:val="21"/>
          <w:highlight w:val="none"/>
        </w:rPr>
        <w:t>18.4 单位工程验收</w:t>
      </w:r>
      <w:bookmarkEnd w:id="791"/>
      <w:bookmarkEnd w:id="792"/>
      <w:bookmarkEnd w:id="793"/>
      <w:bookmarkEnd w:id="794"/>
      <w:bookmarkEnd w:id="795"/>
      <w:bookmarkEnd w:id="796"/>
      <w:bookmarkEnd w:id="797"/>
      <w:bookmarkEnd w:id="798"/>
      <w:bookmarkEnd w:id="799"/>
    </w:p>
    <w:p w14:paraId="22F7FA4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36489B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18.4.2 发包人在全部工程竣工前，使用已接收的单位工程导致承包人费用增加的，发包人应承担由此增加的费用和（或）工期延误，并支付承包人合理利润。</w:t>
      </w:r>
    </w:p>
    <w:p w14:paraId="29C7483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00" w:name="_Toc98936793"/>
      <w:bookmarkStart w:id="801" w:name="_Toc338944823"/>
      <w:bookmarkStart w:id="802" w:name="_Toc4124"/>
      <w:bookmarkStart w:id="803" w:name="_Toc342296381"/>
      <w:bookmarkStart w:id="804" w:name="_Toc75511153"/>
      <w:r>
        <w:rPr>
          <w:rFonts w:hint="eastAsia" w:asciiTheme="minorEastAsia" w:hAnsiTheme="minorEastAsia" w:eastAsiaTheme="minorEastAsia" w:cstheme="minorEastAsia"/>
          <w:color w:val="auto"/>
          <w:sz w:val="21"/>
          <w:szCs w:val="21"/>
          <w:highlight w:val="none"/>
        </w:rPr>
        <w:t>18.5 施工期运行</w:t>
      </w:r>
      <w:bookmarkEnd w:id="800"/>
      <w:bookmarkEnd w:id="801"/>
      <w:bookmarkEnd w:id="802"/>
      <w:bookmarkEnd w:id="803"/>
      <w:bookmarkEnd w:id="804"/>
    </w:p>
    <w:p w14:paraId="49A4B5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248C65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18.5.2 在施工期运行中发现工程或工程设备损坏或存在缺陷的，由承包人按第19.2款约定进行修复。</w:t>
      </w:r>
    </w:p>
    <w:p w14:paraId="4B719B4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05" w:name="_Toc98936794"/>
      <w:bookmarkStart w:id="806" w:name="_Toc342296382"/>
      <w:bookmarkStart w:id="807" w:name="_Toc75511154"/>
      <w:bookmarkStart w:id="808" w:name="_Toc338944824"/>
      <w:bookmarkStart w:id="809" w:name="_Toc20817"/>
      <w:r>
        <w:rPr>
          <w:rFonts w:hint="eastAsia" w:asciiTheme="minorEastAsia" w:hAnsiTheme="minorEastAsia" w:eastAsiaTheme="minorEastAsia" w:cstheme="minorEastAsia"/>
          <w:color w:val="auto"/>
          <w:sz w:val="21"/>
          <w:szCs w:val="21"/>
          <w:highlight w:val="none"/>
        </w:rPr>
        <w:t>18.6 试运行</w:t>
      </w:r>
      <w:bookmarkEnd w:id="805"/>
      <w:bookmarkEnd w:id="806"/>
      <w:bookmarkEnd w:id="807"/>
      <w:bookmarkEnd w:id="808"/>
      <w:bookmarkEnd w:id="809"/>
    </w:p>
    <w:p w14:paraId="58371DD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18.6.1 除专用合同条款另有约定外，承包人应按专用合同条款约定进行工程及工程设备试运行，负责提供试运行所需的人员、器材和必要的条件，并承担全部试运行费用。</w:t>
      </w:r>
    </w:p>
    <w:p w14:paraId="7626BB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0269FF0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10" w:name="_Toc338944825"/>
      <w:bookmarkStart w:id="811" w:name="_Toc342296383"/>
      <w:bookmarkStart w:id="812" w:name="_Toc75511155"/>
      <w:bookmarkStart w:id="813" w:name="_Toc23156"/>
      <w:bookmarkStart w:id="814" w:name="_Toc98936795"/>
      <w:r>
        <w:rPr>
          <w:rFonts w:hint="eastAsia" w:asciiTheme="minorEastAsia" w:hAnsiTheme="minorEastAsia" w:eastAsiaTheme="minorEastAsia" w:cstheme="minorEastAsia"/>
          <w:color w:val="auto"/>
          <w:sz w:val="21"/>
          <w:szCs w:val="21"/>
          <w:highlight w:val="none"/>
        </w:rPr>
        <w:t>18.7 竣工清场</w:t>
      </w:r>
      <w:bookmarkEnd w:id="810"/>
      <w:bookmarkEnd w:id="811"/>
      <w:bookmarkEnd w:id="812"/>
      <w:bookmarkEnd w:id="813"/>
      <w:bookmarkEnd w:id="814"/>
    </w:p>
    <w:p w14:paraId="3879C0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18.7.1 除合同另有约定外，工程接收证书颁发后，承包人应按以下要求对施工场地进行清理，直至监理人检验合格为止。竣工清场费用由承包人承担。</w:t>
      </w:r>
    </w:p>
    <w:p w14:paraId="6C0813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（1）施工场地内残留的垃圾已全部清除出场；</w:t>
      </w:r>
    </w:p>
    <w:p w14:paraId="1B542B3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（2）临时工程已拆除，场地已按合同要求进行清理、平整或复原；</w:t>
      </w:r>
    </w:p>
    <w:p w14:paraId="06098D7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（3）按合同约定应撤离的承包人设备和剩余的材料，包括废弃的施工设备和材料，已按计划撤离施工场地；</w:t>
      </w:r>
    </w:p>
    <w:p w14:paraId="6E547BC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（4）工程建筑物周边及其附近道路、河道的施工堆积物，已按监理人指示全部清理；</w:t>
      </w:r>
    </w:p>
    <w:p w14:paraId="16F75D5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（5）监理人指示的其他场地清理工作</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已全部完成。</w:t>
      </w:r>
    </w:p>
    <w:p w14:paraId="401D18F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18.7.2 承包人未按监理人的要求恢复临时占地，或者场地清理未达到合同约定的，发包人有权委托其他人恢复或清理，所发生的金额从拟支付给承包人的款项中扣除。</w:t>
      </w:r>
    </w:p>
    <w:p w14:paraId="01B9EB7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15" w:name="_Toc342296384"/>
      <w:bookmarkStart w:id="816" w:name="_Toc12727"/>
      <w:bookmarkStart w:id="817" w:name="_Toc98936796"/>
      <w:bookmarkStart w:id="818" w:name="_Toc75511156"/>
      <w:bookmarkStart w:id="819" w:name="_Toc338944826"/>
      <w:r>
        <w:rPr>
          <w:rFonts w:hint="eastAsia" w:asciiTheme="minorEastAsia" w:hAnsiTheme="minorEastAsia" w:eastAsiaTheme="minorEastAsia" w:cstheme="minorEastAsia"/>
          <w:color w:val="auto"/>
          <w:sz w:val="21"/>
          <w:szCs w:val="21"/>
          <w:highlight w:val="none"/>
        </w:rPr>
        <w:t>18.8 施工队伍的撤离</w:t>
      </w:r>
      <w:bookmarkEnd w:id="815"/>
      <w:bookmarkEnd w:id="816"/>
      <w:bookmarkEnd w:id="817"/>
      <w:bookmarkEnd w:id="818"/>
      <w:bookmarkEnd w:id="819"/>
    </w:p>
    <w:p w14:paraId="4BE6A1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5A1D124F">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820" w:name="_Toc75511157"/>
      <w:bookmarkStart w:id="821" w:name="_Toc2330"/>
      <w:bookmarkStart w:id="822" w:name="_Toc98936797"/>
      <w:bookmarkStart w:id="823" w:name="_Toc338944827"/>
      <w:bookmarkStart w:id="824" w:name="_Toc342296385"/>
      <w:r>
        <w:rPr>
          <w:rFonts w:hint="eastAsia" w:asciiTheme="minorEastAsia" w:hAnsiTheme="minorEastAsia" w:eastAsiaTheme="minorEastAsia" w:cstheme="minorEastAsia"/>
          <w:color w:val="auto"/>
          <w:sz w:val="21"/>
          <w:szCs w:val="21"/>
          <w:highlight w:val="none"/>
        </w:rPr>
        <w:t>19. 缺陷责任与保修责任</w:t>
      </w:r>
      <w:bookmarkEnd w:id="820"/>
      <w:bookmarkEnd w:id="821"/>
      <w:bookmarkEnd w:id="822"/>
      <w:bookmarkEnd w:id="823"/>
      <w:bookmarkEnd w:id="824"/>
    </w:p>
    <w:p w14:paraId="7226A5D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25" w:name="_Toc342296386"/>
      <w:bookmarkStart w:id="826" w:name="_Toc152042514"/>
      <w:bookmarkStart w:id="827" w:name="_Toc98936798"/>
      <w:bookmarkStart w:id="828" w:name="_Toc152045735"/>
      <w:bookmarkStart w:id="829" w:name="_Toc75511158"/>
      <w:bookmarkStart w:id="830" w:name="_Toc338944828"/>
      <w:bookmarkStart w:id="831" w:name="_Toc144974706"/>
      <w:bookmarkStart w:id="832" w:name="_Toc179632753"/>
      <w:bookmarkStart w:id="833" w:name="_Toc3032"/>
      <w:r>
        <w:rPr>
          <w:rFonts w:hint="eastAsia" w:asciiTheme="minorEastAsia" w:hAnsiTheme="minorEastAsia" w:eastAsiaTheme="minorEastAsia" w:cstheme="minorEastAsia"/>
          <w:color w:val="auto"/>
          <w:sz w:val="21"/>
          <w:szCs w:val="21"/>
          <w:highlight w:val="none"/>
        </w:rPr>
        <w:t>19.1 缺陷责任期的起算时间</w:t>
      </w:r>
      <w:bookmarkEnd w:id="825"/>
      <w:bookmarkEnd w:id="826"/>
      <w:bookmarkEnd w:id="827"/>
      <w:bookmarkEnd w:id="828"/>
      <w:bookmarkEnd w:id="829"/>
      <w:bookmarkEnd w:id="830"/>
      <w:bookmarkEnd w:id="831"/>
      <w:bookmarkEnd w:id="832"/>
      <w:bookmarkEnd w:id="833"/>
    </w:p>
    <w:p w14:paraId="6E91E8F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缺陷责任期自实际竣工日期起计算。在全部工程竣工验收前，已经发包人提前验收的单位工程，其缺陷责任期的起算日期相应提前。</w:t>
      </w:r>
    </w:p>
    <w:p w14:paraId="1AEB44C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34" w:name="_Toc98936799"/>
      <w:bookmarkStart w:id="835" w:name="_Toc144974707"/>
      <w:bookmarkStart w:id="836" w:name="_Toc152042515"/>
      <w:bookmarkStart w:id="837" w:name="_Toc342296387"/>
      <w:bookmarkStart w:id="838" w:name="_Toc18327"/>
      <w:bookmarkStart w:id="839" w:name="_Toc338944829"/>
      <w:bookmarkStart w:id="840" w:name="_Toc152045736"/>
      <w:bookmarkStart w:id="841" w:name="_Toc179632754"/>
      <w:bookmarkStart w:id="842" w:name="_Toc75511159"/>
      <w:r>
        <w:rPr>
          <w:rFonts w:hint="eastAsia" w:asciiTheme="minorEastAsia" w:hAnsiTheme="minorEastAsia" w:eastAsiaTheme="minorEastAsia" w:cstheme="minorEastAsia"/>
          <w:color w:val="auto"/>
          <w:sz w:val="21"/>
          <w:szCs w:val="21"/>
          <w:highlight w:val="none"/>
        </w:rPr>
        <w:t>19.2 缺陷责任</w:t>
      </w:r>
      <w:bookmarkEnd w:id="834"/>
      <w:bookmarkEnd w:id="835"/>
      <w:bookmarkEnd w:id="836"/>
      <w:bookmarkEnd w:id="837"/>
      <w:bookmarkEnd w:id="838"/>
      <w:bookmarkEnd w:id="839"/>
      <w:bookmarkEnd w:id="840"/>
      <w:bookmarkEnd w:id="841"/>
      <w:bookmarkEnd w:id="842"/>
    </w:p>
    <w:p w14:paraId="420F53A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19.2.1 承包人应在缺陷责任期内对已交付使用的工程承担缺陷责任。</w:t>
      </w:r>
    </w:p>
    <w:p w14:paraId="6E196D4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78BDC83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FED76E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19.2.4 承包人不能在合理时间内修复缺陷的，发包人可自行修复或委托其他人修复，所需费用和利润的承担，按第19.2.3项约定办理。</w:t>
      </w:r>
    </w:p>
    <w:p w14:paraId="4E96FF1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43" w:name="_Toc342296388"/>
      <w:bookmarkStart w:id="844" w:name="_Toc338944830"/>
      <w:bookmarkStart w:id="845" w:name="_Toc179632755"/>
      <w:bookmarkStart w:id="846" w:name="_Toc98936800"/>
      <w:bookmarkStart w:id="847" w:name="_Toc144974708"/>
      <w:bookmarkStart w:id="848" w:name="_Toc75511160"/>
      <w:bookmarkStart w:id="849" w:name="_Toc27746"/>
      <w:bookmarkStart w:id="850" w:name="_Toc152045737"/>
      <w:bookmarkStart w:id="851" w:name="_Toc152042516"/>
      <w:r>
        <w:rPr>
          <w:rFonts w:hint="eastAsia" w:asciiTheme="minorEastAsia" w:hAnsiTheme="minorEastAsia" w:eastAsiaTheme="minorEastAsia" w:cstheme="minorEastAsia"/>
          <w:color w:val="auto"/>
          <w:sz w:val="21"/>
          <w:szCs w:val="21"/>
          <w:highlight w:val="none"/>
        </w:rPr>
        <w:t>19.3 缺陷责任期的延长</w:t>
      </w:r>
      <w:bookmarkEnd w:id="843"/>
      <w:bookmarkEnd w:id="844"/>
      <w:bookmarkEnd w:id="845"/>
      <w:bookmarkEnd w:id="846"/>
      <w:bookmarkEnd w:id="847"/>
      <w:bookmarkEnd w:id="848"/>
      <w:bookmarkEnd w:id="849"/>
      <w:bookmarkEnd w:id="850"/>
      <w:bookmarkEnd w:id="851"/>
    </w:p>
    <w:p w14:paraId="186E2C3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73C9808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52" w:name="_Toc144974709"/>
      <w:bookmarkStart w:id="853" w:name="_Toc98936801"/>
      <w:bookmarkStart w:id="854" w:name="_Toc342296389"/>
      <w:bookmarkStart w:id="855" w:name="_Toc338944831"/>
      <w:bookmarkStart w:id="856" w:name="_Toc179632756"/>
      <w:bookmarkStart w:id="857" w:name="_Toc152045738"/>
      <w:bookmarkStart w:id="858" w:name="_Toc75511161"/>
      <w:bookmarkStart w:id="859" w:name="_Toc18972"/>
      <w:bookmarkStart w:id="860" w:name="_Toc152042517"/>
      <w:r>
        <w:rPr>
          <w:rFonts w:hint="eastAsia" w:asciiTheme="minorEastAsia" w:hAnsiTheme="minorEastAsia" w:eastAsiaTheme="minorEastAsia" w:cstheme="minorEastAsia"/>
          <w:color w:val="auto"/>
          <w:sz w:val="21"/>
          <w:szCs w:val="21"/>
          <w:highlight w:val="none"/>
        </w:rPr>
        <w:t>19.4 进一步试验和试运行</w:t>
      </w:r>
      <w:bookmarkEnd w:id="852"/>
      <w:bookmarkEnd w:id="853"/>
      <w:bookmarkEnd w:id="854"/>
      <w:bookmarkEnd w:id="855"/>
      <w:bookmarkEnd w:id="856"/>
      <w:bookmarkEnd w:id="857"/>
      <w:bookmarkEnd w:id="858"/>
      <w:bookmarkEnd w:id="859"/>
      <w:bookmarkEnd w:id="860"/>
    </w:p>
    <w:p w14:paraId="104E776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任何一项缺陷或损坏修复后，经检查证明其影响了工程或工程设备的使用性能，承包人应重新进行合同约定的试验和试运行，试验和试运行的全部费用应由责任方承担。</w:t>
      </w:r>
    </w:p>
    <w:p w14:paraId="6B9E26F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61" w:name="_Toc179632757"/>
      <w:bookmarkStart w:id="862" w:name="_Toc98936802"/>
      <w:bookmarkStart w:id="863" w:name="_Toc4111"/>
      <w:bookmarkStart w:id="864" w:name="_Toc152042518"/>
      <w:bookmarkStart w:id="865" w:name="_Toc338944832"/>
      <w:bookmarkStart w:id="866" w:name="_Toc342296390"/>
      <w:bookmarkStart w:id="867" w:name="_Toc152045739"/>
      <w:bookmarkStart w:id="868" w:name="_Toc75511162"/>
      <w:bookmarkStart w:id="869" w:name="_Toc144974710"/>
      <w:r>
        <w:rPr>
          <w:rFonts w:hint="eastAsia" w:asciiTheme="minorEastAsia" w:hAnsiTheme="minorEastAsia" w:eastAsiaTheme="minorEastAsia" w:cstheme="minorEastAsia"/>
          <w:color w:val="auto"/>
          <w:sz w:val="21"/>
          <w:szCs w:val="21"/>
          <w:highlight w:val="none"/>
        </w:rPr>
        <w:t>19.5 承包人的进入权</w:t>
      </w:r>
      <w:bookmarkEnd w:id="861"/>
      <w:bookmarkEnd w:id="862"/>
      <w:bookmarkEnd w:id="863"/>
      <w:bookmarkEnd w:id="864"/>
      <w:bookmarkEnd w:id="865"/>
      <w:bookmarkEnd w:id="866"/>
      <w:bookmarkEnd w:id="867"/>
      <w:bookmarkEnd w:id="868"/>
      <w:bookmarkEnd w:id="869"/>
    </w:p>
    <w:p w14:paraId="1EF989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缺陷责任期内承包人为缺陷修复工作需要，有权进入工程现场，但应遵守发包人的保安和保密规定。</w:t>
      </w:r>
    </w:p>
    <w:p w14:paraId="6BE8B70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70" w:name="_Toc342296391"/>
      <w:bookmarkStart w:id="871" w:name="_Toc338944833"/>
      <w:bookmarkStart w:id="872" w:name="_Toc152045740"/>
      <w:bookmarkStart w:id="873" w:name="_Toc5760"/>
      <w:bookmarkStart w:id="874" w:name="_Toc75511163"/>
      <w:bookmarkStart w:id="875" w:name="_Toc98936803"/>
      <w:bookmarkStart w:id="876" w:name="_Toc144974711"/>
      <w:bookmarkStart w:id="877" w:name="_Toc152042519"/>
      <w:bookmarkStart w:id="878" w:name="_Toc179632758"/>
      <w:r>
        <w:rPr>
          <w:rFonts w:hint="eastAsia" w:asciiTheme="minorEastAsia" w:hAnsiTheme="minorEastAsia" w:eastAsiaTheme="minorEastAsia" w:cstheme="minorEastAsia"/>
          <w:color w:val="auto"/>
          <w:sz w:val="21"/>
          <w:szCs w:val="21"/>
          <w:highlight w:val="none"/>
        </w:rPr>
        <w:t>19.6 缺陷责任期终止证书</w:t>
      </w:r>
      <w:bookmarkEnd w:id="870"/>
      <w:bookmarkEnd w:id="871"/>
      <w:bookmarkEnd w:id="872"/>
      <w:bookmarkEnd w:id="873"/>
      <w:bookmarkEnd w:id="874"/>
      <w:bookmarkEnd w:id="875"/>
      <w:bookmarkEnd w:id="876"/>
      <w:bookmarkEnd w:id="877"/>
      <w:bookmarkEnd w:id="878"/>
    </w:p>
    <w:p w14:paraId="181F539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在第1.1.4.5目约定的缺陷责任期，包括根据第19.3款延长的期限终止后14天内，由监理人向承包人出具经发包人签认的缺陷责任期终止证书，并退还剩余的质量保证金。</w:t>
      </w:r>
    </w:p>
    <w:p w14:paraId="340CDE2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79" w:name="_Toc98936804"/>
      <w:bookmarkStart w:id="880" w:name="_Toc342296392"/>
      <w:bookmarkStart w:id="881" w:name="_Toc338944834"/>
      <w:bookmarkStart w:id="882" w:name="_Toc22844"/>
      <w:bookmarkStart w:id="883" w:name="_Toc75511164"/>
      <w:r>
        <w:rPr>
          <w:rFonts w:hint="eastAsia" w:asciiTheme="minorEastAsia" w:hAnsiTheme="minorEastAsia" w:eastAsiaTheme="minorEastAsia" w:cstheme="minorEastAsia"/>
          <w:color w:val="auto"/>
          <w:sz w:val="21"/>
          <w:szCs w:val="21"/>
          <w:highlight w:val="none"/>
        </w:rPr>
        <w:t>19.7 保修责任</w:t>
      </w:r>
      <w:bookmarkEnd w:id="879"/>
      <w:bookmarkEnd w:id="880"/>
      <w:bookmarkEnd w:id="881"/>
      <w:bookmarkEnd w:id="882"/>
      <w:bookmarkEnd w:id="883"/>
    </w:p>
    <w:p w14:paraId="6103E2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15DD859B">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884" w:name="_Toc98936805"/>
      <w:bookmarkStart w:id="885" w:name="_Toc342296393"/>
      <w:bookmarkStart w:id="886" w:name="_Toc338944835"/>
      <w:bookmarkStart w:id="887" w:name="_Toc75511165"/>
      <w:bookmarkStart w:id="888" w:name="_Toc12813"/>
      <w:r>
        <w:rPr>
          <w:rFonts w:hint="eastAsia" w:asciiTheme="minorEastAsia" w:hAnsiTheme="minorEastAsia" w:eastAsiaTheme="minorEastAsia" w:cstheme="minorEastAsia"/>
          <w:color w:val="auto"/>
          <w:sz w:val="21"/>
          <w:szCs w:val="21"/>
          <w:highlight w:val="none"/>
        </w:rPr>
        <w:t>20. 保险</w:t>
      </w:r>
      <w:bookmarkEnd w:id="884"/>
      <w:bookmarkEnd w:id="885"/>
      <w:bookmarkEnd w:id="886"/>
      <w:bookmarkEnd w:id="887"/>
      <w:bookmarkEnd w:id="888"/>
    </w:p>
    <w:p w14:paraId="4C12DC9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89" w:name="_Toc75511166"/>
      <w:bookmarkStart w:id="890" w:name="_Toc342296394"/>
      <w:bookmarkStart w:id="891" w:name="_Toc6913"/>
      <w:bookmarkStart w:id="892" w:name="_Toc338944836"/>
      <w:bookmarkStart w:id="893" w:name="_Toc98936806"/>
      <w:r>
        <w:rPr>
          <w:rFonts w:hint="eastAsia" w:asciiTheme="minorEastAsia" w:hAnsiTheme="minorEastAsia" w:eastAsiaTheme="minorEastAsia" w:cstheme="minorEastAsia"/>
          <w:color w:val="auto"/>
          <w:sz w:val="21"/>
          <w:szCs w:val="21"/>
          <w:highlight w:val="none"/>
        </w:rPr>
        <w:t>20.1 工程保险</w:t>
      </w:r>
      <w:bookmarkEnd w:id="889"/>
      <w:bookmarkEnd w:id="890"/>
      <w:bookmarkEnd w:id="891"/>
      <w:bookmarkEnd w:id="892"/>
      <w:bookmarkEnd w:id="893"/>
    </w:p>
    <w:p w14:paraId="3006FB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1FC56A6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94" w:name="_Toc98936807"/>
      <w:bookmarkStart w:id="895" w:name="_Toc342296395"/>
      <w:bookmarkStart w:id="896" w:name="_Toc17053"/>
      <w:bookmarkStart w:id="897" w:name="_Toc75511167"/>
      <w:bookmarkStart w:id="898" w:name="_Toc338944837"/>
      <w:r>
        <w:rPr>
          <w:rFonts w:hint="eastAsia" w:asciiTheme="minorEastAsia" w:hAnsiTheme="minorEastAsia" w:eastAsiaTheme="minorEastAsia" w:cstheme="minorEastAsia"/>
          <w:color w:val="auto"/>
          <w:sz w:val="21"/>
          <w:szCs w:val="21"/>
          <w:highlight w:val="none"/>
        </w:rPr>
        <w:t>20.2 人员工伤事故的保险</w:t>
      </w:r>
      <w:bookmarkEnd w:id="894"/>
      <w:bookmarkEnd w:id="895"/>
      <w:bookmarkEnd w:id="896"/>
      <w:bookmarkEnd w:id="897"/>
      <w:bookmarkEnd w:id="898"/>
    </w:p>
    <w:p w14:paraId="28DA8E3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20.2.1 承包人员工伤事故的保险</w:t>
      </w:r>
    </w:p>
    <w:p w14:paraId="6DD6A74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承包人应依照有关法律规定参加工伤保险，为其履行合同所雇佣的全部人员，缴纳工伤保险费，并要求其分包人也进行此项保险。</w:t>
      </w:r>
    </w:p>
    <w:p w14:paraId="42259A3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20.2.2 发包人员工伤事故的保险</w:t>
      </w:r>
    </w:p>
    <w:p w14:paraId="780FAD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发包人应依照有关法律规定参加工伤保险，为其现场机构雇佣的全部人员，缴纳工伤保险费，并要求其监理人也进行此项保险。</w:t>
      </w:r>
    </w:p>
    <w:p w14:paraId="3B3F2F5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899" w:name="_Toc152045745"/>
      <w:bookmarkStart w:id="900" w:name="_Toc75511168"/>
      <w:bookmarkStart w:id="901" w:name="_Toc144974716"/>
      <w:bookmarkStart w:id="902" w:name="_Toc179632763"/>
      <w:bookmarkStart w:id="903" w:name="_Toc152042524"/>
      <w:bookmarkStart w:id="904" w:name="_Toc11851"/>
      <w:bookmarkStart w:id="905" w:name="_Toc338944838"/>
      <w:bookmarkStart w:id="906" w:name="_Toc98936808"/>
      <w:bookmarkStart w:id="907" w:name="_Toc342296396"/>
      <w:r>
        <w:rPr>
          <w:rFonts w:hint="eastAsia" w:asciiTheme="minorEastAsia" w:hAnsiTheme="minorEastAsia" w:eastAsiaTheme="minorEastAsia" w:cstheme="minorEastAsia"/>
          <w:color w:val="auto"/>
          <w:sz w:val="21"/>
          <w:szCs w:val="21"/>
          <w:highlight w:val="none"/>
        </w:rPr>
        <w:t>20.3 人身意外伤害险</w:t>
      </w:r>
      <w:bookmarkEnd w:id="899"/>
      <w:bookmarkEnd w:id="900"/>
      <w:bookmarkEnd w:id="901"/>
      <w:bookmarkEnd w:id="902"/>
      <w:bookmarkEnd w:id="903"/>
      <w:bookmarkEnd w:id="904"/>
      <w:bookmarkEnd w:id="905"/>
      <w:bookmarkEnd w:id="906"/>
      <w:bookmarkEnd w:id="907"/>
    </w:p>
    <w:p w14:paraId="7AE8E82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20.3.1 发包人应在整个施工期间为其现场机构雇用的全部人员，投保人身意外伤害险，缴纳保险费，并要求其监理人也进行此项保险。</w:t>
      </w:r>
    </w:p>
    <w:p w14:paraId="64AFEA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20.3.2 承包人应在整个施工期间为其现场机构雇用的全部人员，投保人身意外伤害险，缴纳保险费，并要求其分包人也进行此项保险。</w:t>
      </w:r>
    </w:p>
    <w:p w14:paraId="25C6119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08" w:name="_Toc98936809"/>
      <w:bookmarkStart w:id="909" w:name="_Toc26089"/>
      <w:bookmarkStart w:id="910" w:name="_Toc75511169"/>
      <w:bookmarkStart w:id="911" w:name="_Toc342296397"/>
      <w:bookmarkStart w:id="912" w:name="_Toc338944839"/>
      <w:r>
        <w:rPr>
          <w:rFonts w:hint="eastAsia" w:asciiTheme="minorEastAsia" w:hAnsiTheme="minorEastAsia" w:eastAsiaTheme="minorEastAsia" w:cstheme="minorEastAsia"/>
          <w:color w:val="auto"/>
          <w:sz w:val="21"/>
          <w:szCs w:val="21"/>
          <w:highlight w:val="none"/>
        </w:rPr>
        <w:t>20.4 第三者责任险</w:t>
      </w:r>
      <w:bookmarkEnd w:id="908"/>
      <w:bookmarkEnd w:id="909"/>
      <w:bookmarkEnd w:id="910"/>
      <w:bookmarkEnd w:id="911"/>
      <w:bookmarkEnd w:id="912"/>
    </w:p>
    <w:p w14:paraId="463643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4B4F5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20.4.2 在缺陷责任期终止证书颁发前，承包人应以承包人和发包人的共同名义，投保第20.4.1项约定的第三者责任险，其保险费率、保险金额等有关内容在专用合同条款中约定。</w:t>
      </w:r>
    </w:p>
    <w:p w14:paraId="22B8F37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13" w:name="_Toc342296398"/>
      <w:bookmarkStart w:id="914" w:name="_Toc10377"/>
      <w:bookmarkStart w:id="915" w:name="_Toc338944840"/>
      <w:bookmarkStart w:id="916" w:name="_Toc75511170"/>
      <w:bookmarkStart w:id="917" w:name="_Toc98936810"/>
      <w:r>
        <w:rPr>
          <w:rFonts w:hint="eastAsia" w:asciiTheme="minorEastAsia" w:hAnsiTheme="minorEastAsia" w:eastAsiaTheme="minorEastAsia" w:cstheme="minorEastAsia"/>
          <w:color w:val="auto"/>
          <w:sz w:val="21"/>
          <w:szCs w:val="21"/>
          <w:highlight w:val="none"/>
        </w:rPr>
        <w:t>20.5 其他保险</w:t>
      </w:r>
      <w:bookmarkEnd w:id="913"/>
      <w:bookmarkEnd w:id="914"/>
      <w:bookmarkEnd w:id="915"/>
      <w:bookmarkEnd w:id="916"/>
      <w:bookmarkEnd w:id="917"/>
    </w:p>
    <w:p w14:paraId="6C4468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除专用合同条款另有约定外，承包人应为其施工设备、进场的材料和工程设备等办理保险。</w:t>
      </w:r>
    </w:p>
    <w:p w14:paraId="5694373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18" w:name="_Toc75511171"/>
      <w:bookmarkStart w:id="919" w:name="_Toc22510"/>
      <w:bookmarkStart w:id="920" w:name="_Toc338944841"/>
      <w:bookmarkStart w:id="921" w:name="_Toc98936811"/>
      <w:bookmarkStart w:id="922" w:name="_Toc342296399"/>
      <w:r>
        <w:rPr>
          <w:rFonts w:hint="eastAsia" w:asciiTheme="minorEastAsia" w:hAnsiTheme="minorEastAsia" w:eastAsiaTheme="minorEastAsia" w:cstheme="minorEastAsia"/>
          <w:color w:val="auto"/>
          <w:sz w:val="21"/>
          <w:szCs w:val="21"/>
          <w:highlight w:val="none"/>
        </w:rPr>
        <w:t>20.6 对各项保险的一般要求</w:t>
      </w:r>
      <w:bookmarkEnd w:id="918"/>
      <w:bookmarkEnd w:id="919"/>
      <w:bookmarkEnd w:id="920"/>
      <w:bookmarkEnd w:id="921"/>
      <w:bookmarkEnd w:id="922"/>
    </w:p>
    <w:p w14:paraId="597FBD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20.6.1 保险凭证</w:t>
      </w:r>
    </w:p>
    <w:p w14:paraId="768E343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承包人应在专用合同条款约定的期限内向发包人提交各项保险生效的证据和保险单副本，保险单必须与专用合同条款约定的条件保持一致。</w:t>
      </w:r>
    </w:p>
    <w:p w14:paraId="5235BF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20.6.2 保险合同条款的变动</w:t>
      </w:r>
    </w:p>
    <w:p w14:paraId="323E56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承包人需要变动保险合同条款时，应事先征得发包人同意，并通知监理人。保险人作出变动的，承包人应在收到保险人通知后立即通知发包人和监理人。</w:t>
      </w:r>
    </w:p>
    <w:p w14:paraId="2D70B1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20.6.3 持续保险</w:t>
      </w:r>
    </w:p>
    <w:p w14:paraId="22E3B5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承包人应与保险人保持联系，使保险人能够随时了解工程实施中的变动，并确保按保险合同条款要求持续保险。</w:t>
      </w:r>
    </w:p>
    <w:p w14:paraId="0497B9C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20.6.4 保险金不足的补偿</w:t>
      </w:r>
    </w:p>
    <w:p w14:paraId="40F8F9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保险金不足以补偿损失的，应由承包人和（或）发包人按合同约定负责补偿。</w:t>
      </w:r>
    </w:p>
    <w:p w14:paraId="2BE3FB9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20.6.5 未按约定投保的补救</w:t>
      </w:r>
    </w:p>
    <w:p w14:paraId="5EEA19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（1）由于负有投保义务的一方当事人未按合同约定办理保险，或未能使保险持续有效的，另一方当事人可代为办理，所需费用由对方当事人承担。</w:t>
      </w:r>
    </w:p>
    <w:p w14:paraId="4194D4A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（2）由于负有投保义务的一方当事人未按合同约定办理某项保险，导致受益人未能得到保险人的赔偿，原应从该项保险得到的保险金应由负有投保义务的一方当事人支付。</w:t>
      </w:r>
    </w:p>
    <w:p w14:paraId="1DA400F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20.6.6 报告义务</w:t>
      </w:r>
    </w:p>
    <w:p w14:paraId="794C50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当保险事故发生时，投保人应按照保险单规定的条件和期限及时向保险人报告。</w:t>
      </w:r>
    </w:p>
    <w:p w14:paraId="21111E74">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23" w:name="_Toc2273"/>
      <w:bookmarkStart w:id="924" w:name="_Toc338944842"/>
      <w:bookmarkStart w:id="925" w:name="_Toc75511172"/>
      <w:bookmarkStart w:id="926" w:name="_Toc98936812"/>
      <w:bookmarkStart w:id="927" w:name="_Toc342296400"/>
      <w:r>
        <w:rPr>
          <w:rFonts w:hint="eastAsia" w:asciiTheme="minorEastAsia" w:hAnsiTheme="minorEastAsia" w:eastAsiaTheme="minorEastAsia" w:cstheme="minorEastAsia"/>
          <w:color w:val="auto"/>
          <w:sz w:val="21"/>
          <w:szCs w:val="21"/>
          <w:highlight w:val="none"/>
        </w:rPr>
        <w:t>21. 不可抗力</w:t>
      </w:r>
      <w:bookmarkEnd w:id="923"/>
      <w:bookmarkEnd w:id="924"/>
      <w:bookmarkEnd w:id="925"/>
      <w:bookmarkEnd w:id="926"/>
      <w:bookmarkEnd w:id="927"/>
    </w:p>
    <w:p w14:paraId="31A1FC4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28" w:name="_Toc2514"/>
      <w:bookmarkStart w:id="929" w:name="_Toc342296401"/>
      <w:bookmarkStart w:id="930" w:name="_Toc338944843"/>
      <w:bookmarkStart w:id="931" w:name="_Toc75511173"/>
      <w:bookmarkStart w:id="932" w:name="_Toc98936813"/>
      <w:r>
        <w:rPr>
          <w:rFonts w:hint="eastAsia" w:asciiTheme="minorEastAsia" w:hAnsiTheme="minorEastAsia" w:eastAsiaTheme="minorEastAsia" w:cstheme="minorEastAsia"/>
          <w:color w:val="auto"/>
          <w:sz w:val="21"/>
          <w:szCs w:val="21"/>
          <w:highlight w:val="none"/>
        </w:rPr>
        <w:t>21.1 不可抗力的确认</w:t>
      </w:r>
      <w:bookmarkEnd w:id="928"/>
      <w:bookmarkEnd w:id="929"/>
      <w:bookmarkEnd w:id="930"/>
      <w:bookmarkEnd w:id="931"/>
      <w:bookmarkEnd w:id="932"/>
    </w:p>
    <w:p w14:paraId="312938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3A576E2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6C67398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33" w:name="_Toc152042530"/>
      <w:bookmarkStart w:id="934" w:name="_Toc6164"/>
      <w:bookmarkStart w:id="935" w:name="_Toc179632769"/>
      <w:bookmarkStart w:id="936" w:name="_Toc75511174"/>
      <w:bookmarkStart w:id="937" w:name="_Toc152045751"/>
      <w:bookmarkStart w:id="938" w:name="_Toc144974722"/>
      <w:bookmarkStart w:id="939" w:name="_Toc342296402"/>
      <w:bookmarkStart w:id="940" w:name="_Toc338944844"/>
      <w:bookmarkStart w:id="941" w:name="_Toc98936814"/>
      <w:r>
        <w:rPr>
          <w:rFonts w:hint="eastAsia" w:asciiTheme="minorEastAsia" w:hAnsiTheme="minorEastAsia" w:eastAsiaTheme="minorEastAsia" w:cstheme="minorEastAsia"/>
          <w:color w:val="auto"/>
          <w:sz w:val="21"/>
          <w:szCs w:val="21"/>
          <w:highlight w:val="none"/>
        </w:rPr>
        <w:t>21.2 不可抗力的通知</w:t>
      </w:r>
      <w:bookmarkEnd w:id="933"/>
      <w:bookmarkEnd w:id="934"/>
      <w:bookmarkEnd w:id="935"/>
      <w:bookmarkEnd w:id="936"/>
      <w:bookmarkEnd w:id="937"/>
      <w:bookmarkEnd w:id="938"/>
      <w:bookmarkEnd w:id="939"/>
      <w:bookmarkEnd w:id="940"/>
      <w:bookmarkEnd w:id="941"/>
    </w:p>
    <w:p w14:paraId="74BEFF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21.2.1 合同一方当事人遇到不可抗力事件，使其履行合同义务受到阻碍时，应立即通知合同另一方当事人和监理人，书面说明不可抗力和受阻碍的详细情况，并提供必要的证明。</w:t>
      </w:r>
    </w:p>
    <w:p w14:paraId="62A7C11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7B593C2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42" w:name="_Toc338944845"/>
      <w:bookmarkStart w:id="943" w:name="_Toc75511175"/>
      <w:bookmarkStart w:id="944" w:name="_Toc98936815"/>
      <w:bookmarkStart w:id="945" w:name="_Toc5305"/>
      <w:bookmarkStart w:id="946" w:name="_Toc342296403"/>
      <w:r>
        <w:rPr>
          <w:rFonts w:hint="eastAsia" w:asciiTheme="minorEastAsia" w:hAnsiTheme="minorEastAsia" w:eastAsiaTheme="minorEastAsia" w:cstheme="minorEastAsia"/>
          <w:color w:val="auto"/>
          <w:sz w:val="21"/>
          <w:szCs w:val="21"/>
          <w:highlight w:val="none"/>
        </w:rPr>
        <w:t>21.3 不可抗力后果及其处理</w:t>
      </w:r>
      <w:bookmarkEnd w:id="942"/>
      <w:bookmarkEnd w:id="943"/>
      <w:bookmarkEnd w:id="944"/>
      <w:bookmarkEnd w:id="945"/>
      <w:bookmarkEnd w:id="946"/>
    </w:p>
    <w:p w14:paraId="45E3E5B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21.3.1 不可抗力造成损害的责任</w:t>
      </w:r>
    </w:p>
    <w:p w14:paraId="672CAF5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除专用合同条款另有约定外，不可抗力导致的人员伤亡、财产损失、费用增加和（或）工期延误等后果，由合同双方按以下原则承担：</w:t>
      </w:r>
      <w:r>
        <w:rPr>
          <w:rFonts w:hint="eastAsia" w:asciiTheme="minorEastAsia" w:hAnsiTheme="minorEastAsia" w:eastAsiaTheme="minorEastAsia" w:cstheme="minorEastAsia"/>
          <w:color w:val="auto"/>
          <w:sz w:val="21"/>
          <w:szCs w:val="21"/>
          <w:highlight w:val="none"/>
          <w:lang w:val="en-US" w:eastAsia="zh-CN"/>
        </w:rPr>
        <w:t xml:space="preserve">  </w:t>
      </w:r>
    </w:p>
    <w:p w14:paraId="52FB673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（1）永久工程，包括已运至施工场地的材料和工程设备的损害，以及因工程损害造成的第三者人员伤亡和财产损失由发包人承担；</w:t>
      </w:r>
    </w:p>
    <w:p w14:paraId="29B9FF6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（2）承包人设备的损坏由承包人承担；</w:t>
      </w:r>
    </w:p>
    <w:p w14:paraId="4BB0A3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（3）发包人和承包人各自承担其人员伤亡和其他财产损失及其相关费用；</w:t>
      </w:r>
    </w:p>
    <w:p w14:paraId="1C2866E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（4）承包人的停工损失由承包人承担，但停工期间应监理人要求照管工程和清理、修复工程的金额由发包人承担；</w:t>
      </w:r>
    </w:p>
    <w:p w14:paraId="42C6A28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（5）不能按期竣工的，应合理延长工期，承包人不需支付逾期竣工违约金。发包人要求赶工的，承包人应采取赶工措施，赶工费用由发包人承担。</w:t>
      </w:r>
    </w:p>
    <w:p w14:paraId="126E61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21.3.2 延迟履行期间发生的不可抗力</w:t>
      </w:r>
    </w:p>
    <w:p w14:paraId="41EACB6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合同一方当事人延迟履行，在延迟履行期间发生不可抗力的，不免除其责任。</w:t>
      </w:r>
    </w:p>
    <w:p w14:paraId="4920AB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21.3.3 避免和减少不可抗力损失</w:t>
      </w:r>
    </w:p>
    <w:p w14:paraId="77179F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不可抗力发生后，发包人和承包人均应采取措施尽量避免和减少损失的扩大，任何一方没有采取有效措施导致损失扩大的，应对扩大的损失承担责任。</w:t>
      </w:r>
    </w:p>
    <w:p w14:paraId="0D9559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21.3.4 因不可抗力解除合同</w:t>
      </w:r>
    </w:p>
    <w:p w14:paraId="6402D7C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5EAF79E4">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47" w:name="_Toc179632771"/>
      <w:bookmarkStart w:id="948" w:name="_Toc75511176"/>
      <w:bookmarkStart w:id="949" w:name="_Toc144974724"/>
      <w:bookmarkStart w:id="950" w:name="_Toc22648"/>
      <w:bookmarkStart w:id="951" w:name="_Toc342296404"/>
      <w:bookmarkStart w:id="952" w:name="_Toc98936816"/>
      <w:bookmarkStart w:id="953" w:name="_Toc152042532"/>
      <w:bookmarkStart w:id="954" w:name="_Toc152045753"/>
      <w:bookmarkStart w:id="955" w:name="_Toc338944846"/>
      <w:r>
        <w:rPr>
          <w:rFonts w:hint="eastAsia" w:asciiTheme="minorEastAsia" w:hAnsiTheme="minorEastAsia" w:eastAsiaTheme="minorEastAsia" w:cstheme="minorEastAsia"/>
          <w:color w:val="auto"/>
          <w:sz w:val="21"/>
          <w:szCs w:val="21"/>
          <w:highlight w:val="none"/>
        </w:rPr>
        <w:t>22. 违约</w:t>
      </w:r>
      <w:bookmarkEnd w:id="947"/>
      <w:bookmarkEnd w:id="948"/>
      <w:bookmarkEnd w:id="949"/>
      <w:bookmarkEnd w:id="950"/>
      <w:bookmarkEnd w:id="951"/>
      <w:bookmarkEnd w:id="952"/>
      <w:bookmarkEnd w:id="953"/>
      <w:bookmarkEnd w:id="954"/>
      <w:bookmarkEnd w:id="955"/>
    </w:p>
    <w:p w14:paraId="30F0A8A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56" w:name="_Toc179632772"/>
      <w:bookmarkStart w:id="957" w:name="_Toc342296405"/>
      <w:bookmarkStart w:id="958" w:name="_Toc144974725"/>
      <w:bookmarkStart w:id="959" w:name="_Toc152042533"/>
      <w:bookmarkStart w:id="960" w:name="_Toc152045754"/>
      <w:bookmarkStart w:id="961" w:name="_Toc98936817"/>
      <w:bookmarkStart w:id="962" w:name="_Toc4193"/>
      <w:bookmarkStart w:id="963" w:name="_Toc338944847"/>
      <w:bookmarkStart w:id="964" w:name="_Toc75511177"/>
      <w:r>
        <w:rPr>
          <w:rFonts w:hint="eastAsia" w:asciiTheme="minorEastAsia" w:hAnsiTheme="minorEastAsia" w:eastAsiaTheme="minorEastAsia" w:cstheme="minorEastAsia"/>
          <w:color w:val="auto"/>
          <w:sz w:val="21"/>
          <w:szCs w:val="21"/>
          <w:highlight w:val="none"/>
        </w:rPr>
        <w:t>22.1 承包人违约</w:t>
      </w:r>
      <w:bookmarkEnd w:id="956"/>
      <w:bookmarkEnd w:id="957"/>
      <w:bookmarkEnd w:id="958"/>
      <w:bookmarkEnd w:id="959"/>
      <w:bookmarkEnd w:id="960"/>
      <w:bookmarkEnd w:id="961"/>
      <w:bookmarkEnd w:id="962"/>
      <w:bookmarkEnd w:id="963"/>
      <w:bookmarkEnd w:id="964"/>
    </w:p>
    <w:p w14:paraId="435E1C5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22.1.1 承包人违约的情形</w:t>
      </w:r>
    </w:p>
    <w:p w14:paraId="1DD8A3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在履行合同过程中发生的下列情况属承包人违约：</w:t>
      </w:r>
    </w:p>
    <w:p w14:paraId="175A291E">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（1）承包人违反第1.8款或第4.3款的约定，私自将合同的全部或部分权利转让给其他人，或私自将合同的全部或部分义务转移给其他人；</w:t>
      </w:r>
    </w:p>
    <w:p w14:paraId="24D96A3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（2）承包人违反第5.3款或第6.4款的约定，未经监理人批准，私自将已按合同约定进入施工场地的施工设备、临时设施或材料撤离施工场地；</w:t>
      </w:r>
    </w:p>
    <w:p w14:paraId="4F9CF9D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（3）承包人违反第5.4款的约定使用了不合格材料或工程设备，工程质量达不到标准要求，又拒绝清除不合格工程；</w:t>
      </w:r>
    </w:p>
    <w:p w14:paraId="4F496A5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（4）承包人未能按合同进度计划及时完成合同约定的工作，已造成或预期造成工期延误；</w:t>
      </w:r>
    </w:p>
    <w:p w14:paraId="5FD5B0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（5）承包人在缺陷责任期内，未能对工程接收证书所列的缺陷清单的内容或缺陷责任期内发生的缺陷进行修复，而又拒绝按监理人指示再进行修补；</w:t>
      </w:r>
    </w:p>
    <w:p w14:paraId="32D53852">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（6）承包人无法继续履行或明确表示不履行或实质上已停止履行合同；</w:t>
      </w:r>
    </w:p>
    <w:p w14:paraId="17FD77F0">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（7）承包人不按合同约定履行义务的其他情况。</w:t>
      </w:r>
    </w:p>
    <w:p w14:paraId="67304F1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22.1.2 对承包人违约的处理</w:t>
      </w:r>
    </w:p>
    <w:p w14:paraId="5F22F0C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（1）承包人发生第22.1.1（6）目约定的违约情况时，发包人可通知承包人立即解除合同，并按有关法律处理。</w:t>
      </w:r>
    </w:p>
    <w:p w14:paraId="26ADB4D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（2）承包人发生除第22.1.1（6）目约定以外的其他违约情况时，监理人可向承包人发出整改通知，要求其在指定的期限内改正。承包人应承担其违约所引起的费用增加和（或）工期延误。</w:t>
      </w:r>
    </w:p>
    <w:p w14:paraId="708F361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（3）经检查证明承包人已采取了有效措施纠正违约行为，具备复工条件的，可由监理人签发复工通知复工。</w:t>
      </w:r>
    </w:p>
    <w:p w14:paraId="66B1F81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22.1.3 承包人违约解除合同</w:t>
      </w:r>
    </w:p>
    <w:p w14:paraId="1A75E60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6C375A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22.1.4 合同解除后的估价、付款和结清</w:t>
      </w:r>
    </w:p>
    <w:p w14:paraId="46A84DC5">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（1）合同解除后，监理人按第3.5款商定或确定承包人实际完成工作的价值，以及承包人已提供的材料、施工设备、工程设备和临时工程等的价值。 </w:t>
      </w:r>
    </w:p>
    <w:p w14:paraId="055E528A">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（2）合同解除后，发包人应暂停对承包人的一切付款，查清各项付款和已扣款金额，包括承包人应支付的违约金。 </w:t>
      </w:r>
    </w:p>
    <w:p w14:paraId="49598F04">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（3）合同解除后，发包人应按第23.4款的约定向承包人索赔由于解除合同给发包人造成的损失。</w:t>
      </w:r>
    </w:p>
    <w:p w14:paraId="47CD0DE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（4）合同双方确认上述往来款项后，出具最终结清付款证书，结清全部合同款项。</w:t>
      </w:r>
    </w:p>
    <w:p w14:paraId="5FDA83A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（5）发包人和承包人未能就解除合同后的结清达成一致而形成争议的，按第24条的约定办理。</w:t>
      </w:r>
    </w:p>
    <w:p w14:paraId="7134F9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22.1.5 协议利益的转让</w:t>
      </w:r>
    </w:p>
    <w:p w14:paraId="0038BC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525C249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22.1.6 紧急情况下无能力或不愿进行抢救</w:t>
      </w:r>
    </w:p>
    <w:p w14:paraId="7E1E557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57D66A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65" w:name="_Toc179632773"/>
      <w:bookmarkStart w:id="966" w:name="_Toc338944848"/>
      <w:bookmarkStart w:id="967" w:name="_Toc3752"/>
      <w:bookmarkStart w:id="968" w:name="_Toc152045755"/>
      <w:bookmarkStart w:id="969" w:name="_Toc342296406"/>
      <w:bookmarkStart w:id="970" w:name="_Toc75511178"/>
      <w:bookmarkStart w:id="971" w:name="_Toc144974726"/>
      <w:bookmarkStart w:id="972" w:name="_Toc98936818"/>
      <w:bookmarkStart w:id="973" w:name="_Toc152042534"/>
      <w:r>
        <w:rPr>
          <w:rFonts w:hint="eastAsia" w:asciiTheme="minorEastAsia" w:hAnsiTheme="minorEastAsia" w:eastAsiaTheme="minorEastAsia" w:cstheme="minorEastAsia"/>
          <w:color w:val="auto"/>
          <w:sz w:val="21"/>
          <w:szCs w:val="21"/>
          <w:highlight w:val="none"/>
        </w:rPr>
        <w:t>22.2 发包人违约</w:t>
      </w:r>
      <w:bookmarkEnd w:id="965"/>
      <w:bookmarkEnd w:id="966"/>
      <w:bookmarkEnd w:id="967"/>
      <w:bookmarkEnd w:id="968"/>
      <w:bookmarkEnd w:id="969"/>
      <w:bookmarkEnd w:id="970"/>
      <w:bookmarkEnd w:id="971"/>
      <w:bookmarkEnd w:id="972"/>
      <w:bookmarkEnd w:id="973"/>
    </w:p>
    <w:p w14:paraId="738E95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22.2.1 发包人违约的情形</w:t>
      </w:r>
    </w:p>
    <w:p w14:paraId="0BBD568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在履行合同过程中发生的下列情形，属发包人违约：</w:t>
      </w:r>
    </w:p>
    <w:p w14:paraId="61AAABDF">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（1）发包人未能按合同约定支付预付款或合同价款，或拖延、拒绝批准付款申请和支付凭证，导致付款延误的；</w:t>
      </w:r>
    </w:p>
    <w:p w14:paraId="505759F8">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（2）发包人原因造成停工的；</w:t>
      </w:r>
    </w:p>
    <w:p w14:paraId="1E31405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（3）监理人无正当理由没有在约定期限内发出复工指示，导致承包人无法复工的；</w:t>
      </w:r>
    </w:p>
    <w:p w14:paraId="77749D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（4）发包人无法继续履行或明确表示不履行或实质上已停止履行合同的；</w:t>
      </w:r>
    </w:p>
    <w:p w14:paraId="746AB7B1">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（5）发包人不履行合同约定其他义务的。</w:t>
      </w:r>
    </w:p>
    <w:p w14:paraId="66DB9F4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22.2.2 承包人有权暂停施工</w:t>
      </w:r>
    </w:p>
    <w:p w14:paraId="204A48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47FD1FD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22.2.3 发包人违约解除合同 </w:t>
      </w:r>
    </w:p>
    <w:p w14:paraId="29C25EA9">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（1）发生第22.2.1（4）目的违约情况时，承包人可书面通知发包人解除合同。   </w:t>
      </w:r>
    </w:p>
    <w:p w14:paraId="2861AA1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14:paraId="4FE2F1A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22.2.4 解除合同后的付款</w:t>
      </w:r>
    </w:p>
    <w:p w14:paraId="1F347F2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因发包人违约解除合同的，发包人应在解除合同后28天内向承包人支付下列金额，承包人应在此期限内及时向发包人提交要求支付下列金额的有关资料和凭证：</w:t>
      </w:r>
    </w:p>
    <w:p w14:paraId="2A6D936C">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（1）合同解除日以前所完成工作的价款；</w:t>
      </w:r>
    </w:p>
    <w:p w14:paraId="5C5A23F3">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（2）承包人为该工程施工订购并已付款的材料、工程设备和其他物品的金额。发包人付还后，该材料、工程设备和其他物品归发包人所有；</w:t>
      </w:r>
    </w:p>
    <w:p w14:paraId="0C99D5C6">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（3）承包人为完成工程所发生的，而发包人未支付的金额；</w:t>
      </w:r>
    </w:p>
    <w:p w14:paraId="08F67497">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（4）承包人撤离施工场地以及遣散承包人人员的金额；</w:t>
      </w:r>
    </w:p>
    <w:p w14:paraId="072C03BD">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（5）由于解除合同应赔偿的承包人损失；</w:t>
      </w:r>
    </w:p>
    <w:p w14:paraId="43B3EB4B">
      <w:pPr>
        <w:pageBreakBefore w:val="0"/>
        <w:widowControl w:val="0"/>
        <w:kinsoku/>
        <w:wordWrap/>
        <w:overflowPunct/>
        <w:bidi w:val="0"/>
        <w:snapToGrid/>
        <w:spacing w:line="400" w:lineRule="exact"/>
        <w:ind w:firstLine="718" w:firstLineChars="34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（6）按合同约定在合同解除日前应支付给承包人的其他金额。</w:t>
      </w:r>
    </w:p>
    <w:p w14:paraId="1CD97A0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发包人应按本项约定支付上述金额并退还质量保证金和履约担保，但有权要求承包人支付应偿还给发包人的各项金额。</w:t>
      </w:r>
    </w:p>
    <w:p w14:paraId="1CBE02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22.2.5 解除合同后的承包人撤离</w:t>
      </w:r>
    </w:p>
    <w:p w14:paraId="63160F9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676835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74" w:name="_Toc338944849"/>
      <w:bookmarkStart w:id="975" w:name="_Toc179632774"/>
      <w:bookmarkStart w:id="976" w:name="_Toc152045756"/>
      <w:bookmarkStart w:id="977" w:name="_Toc342296407"/>
      <w:bookmarkStart w:id="978" w:name="_Toc75511179"/>
      <w:bookmarkStart w:id="979" w:name="_Toc152042535"/>
      <w:bookmarkStart w:id="980" w:name="_Toc98936819"/>
      <w:bookmarkStart w:id="981" w:name="_Toc21375"/>
      <w:r>
        <w:rPr>
          <w:rFonts w:hint="eastAsia" w:asciiTheme="minorEastAsia" w:hAnsiTheme="minorEastAsia" w:eastAsiaTheme="minorEastAsia" w:cstheme="minorEastAsia"/>
          <w:color w:val="auto"/>
          <w:sz w:val="21"/>
          <w:szCs w:val="21"/>
          <w:highlight w:val="none"/>
        </w:rPr>
        <w:t>22.3 第三人造成的违约</w:t>
      </w:r>
      <w:bookmarkEnd w:id="974"/>
      <w:bookmarkEnd w:id="975"/>
      <w:bookmarkEnd w:id="976"/>
      <w:bookmarkEnd w:id="977"/>
      <w:bookmarkEnd w:id="978"/>
      <w:bookmarkEnd w:id="979"/>
      <w:bookmarkEnd w:id="980"/>
      <w:bookmarkEnd w:id="981"/>
    </w:p>
    <w:p w14:paraId="4715D2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420E5F23">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982" w:name="_Toc152045757"/>
      <w:bookmarkStart w:id="983" w:name="_Toc75511180"/>
      <w:bookmarkStart w:id="984" w:name="_Toc179632775"/>
      <w:bookmarkStart w:id="985" w:name="_Toc342296408"/>
      <w:bookmarkStart w:id="986" w:name="_Toc338944850"/>
      <w:bookmarkStart w:id="987" w:name="_Toc98936820"/>
      <w:bookmarkStart w:id="988" w:name="_Toc28897"/>
      <w:bookmarkStart w:id="989" w:name="_Toc144974727"/>
      <w:bookmarkStart w:id="990" w:name="_Toc152042536"/>
      <w:r>
        <w:rPr>
          <w:rFonts w:hint="eastAsia" w:asciiTheme="minorEastAsia" w:hAnsiTheme="minorEastAsia" w:eastAsiaTheme="minorEastAsia" w:cstheme="minorEastAsia"/>
          <w:color w:val="auto"/>
          <w:sz w:val="21"/>
          <w:szCs w:val="21"/>
          <w:highlight w:val="none"/>
        </w:rPr>
        <w:t>23. 索赔</w:t>
      </w:r>
      <w:bookmarkEnd w:id="982"/>
      <w:bookmarkEnd w:id="983"/>
      <w:bookmarkEnd w:id="984"/>
      <w:bookmarkEnd w:id="985"/>
      <w:bookmarkEnd w:id="986"/>
      <w:bookmarkEnd w:id="987"/>
      <w:bookmarkEnd w:id="988"/>
      <w:bookmarkEnd w:id="989"/>
      <w:bookmarkEnd w:id="990"/>
    </w:p>
    <w:p w14:paraId="4953D8B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991" w:name="_Toc5178"/>
      <w:bookmarkStart w:id="992" w:name="_Toc338944851"/>
      <w:bookmarkStart w:id="993" w:name="_Toc98936821"/>
      <w:bookmarkStart w:id="994" w:name="_Toc152042537"/>
      <w:bookmarkStart w:id="995" w:name="_Toc342296409"/>
      <w:bookmarkStart w:id="996" w:name="_Toc179632776"/>
      <w:bookmarkStart w:id="997" w:name="_Toc152045758"/>
      <w:bookmarkStart w:id="998" w:name="_Toc75511181"/>
      <w:bookmarkStart w:id="999" w:name="_Toc144974728"/>
      <w:r>
        <w:rPr>
          <w:rFonts w:hint="eastAsia" w:asciiTheme="minorEastAsia" w:hAnsiTheme="minorEastAsia" w:eastAsiaTheme="minorEastAsia" w:cstheme="minorEastAsia"/>
          <w:color w:val="auto"/>
          <w:sz w:val="21"/>
          <w:szCs w:val="21"/>
          <w:highlight w:val="none"/>
        </w:rPr>
        <w:t>23.1 承包人索赔的提出</w:t>
      </w:r>
      <w:bookmarkEnd w:id="991"/>
      <w:bookmarkEnd w:id="992"/>
      <w:bookmarkEnd w:id="993"/>
      <w:bookmarkEnd w:id="994"/>
      <w:bookmarkEnd w:id="995"/>
      <w:bookmarkEnd w:id="996"/>
      <w:bookmarkEnd w:id="997"/>
      <w:bookmarkEnd w:id="998"/>
      <w:bookmarkEnd w:id="999"/>
    </w:p>
    <w:p w14:paraId="57A28A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根据合同约定，承包人认为有权得到追加付款和（或）延长工期的，应按以下程序向发包人提出索赔：</w:t>
      </w:r>
    </w:p>
    <w:p w14:paraId="6A126E1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232313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7F2FE861">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（3）索赔事件具有连续影响的，承包人应按合理时间间隔继续递交延续索赔通知，说明连续影响的实际情况和记录，列出累计的追加付款金额和（或）工期延长天数；</w:t>
      </w:r>
    </w:p>
    <w:p w14:paraId="6FF9DF59">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（4）在索赔事件影响结束后的28天内，承包人应向监理人递交最终索赔通知书，说明最终要求索赔的追加付款金额和延长的工期，并附必要的记录和证明材料。</w:t>
      </w:r>
    </w:p>
    <w:p w14:paraId="1BFBA01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00" w:name="_Toc342296410"/>
      <w:bookmarkStart w:id="1001" w:name="_Toc98936822"/>
      <w:bookmarkStart w:id="1002" w:name="_Toc152045759"/>
      <w:bookmarkStart w:id="1003" w:name="_Toc14886"/>
      <w:bookmarkStart w:id="1004" w:name="_Toc75511182"/>
      <w:bookmarkStart w:id="1005" w:name="_Toc152042538"/>
      <w:bookmarkStart w:id="1006" w:name="_Toc338944852"/>
      <w:bookmarkStart w:id="1007" w:name="_Toc179632777"/>
      <w:bookmarkStart w:id="1008" w:name="_Toc144974729"/>
      <w:r>
        <w:rPr>
          <w:rFonts w:hint="eastAsia" w:asciiTheme="minorEastAsia" w:hAnsiTheme="minorEastAsia" w:eastAsiaTheme="minorEastAsia" w:cstheme="minorEastAsia"/>
          <w:color w:val="auto"/>
          <w:sz w:val="21"/>
          <w:szCs w:val="21"/>
          <w:highlight w:val="none"/>
        </w:rPr>
        <w:t>23.2 承包人索赔处理程序</w:t>
      </w:r>
      <w:bookmarkEnd w:id="1000"/>
      <w:bookmarkEnd w:id="1001"/>
      <w:bookmarkEnd w:id="1002"/>
      <w:bookmarkEnd w:id="1003"/>
      <w:bookmarkEnd w:id="1004"/>
      <w:bookmarkEnd w:id="1005"/>
      <w:bookmarkEnd w:id="1006"/>
      <w:bookmarkEnd w:id="1007"/>
      <w:bookmarkEnd w:id="1008"/>
    </w:p>
    <w:p w14:paraId="5392A572">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（1）监理人收到承包人提交的索赔通知书后，应及时审查索赔通知书的内容、查验承包人的记录和证明材料，必要时监理人可要求承包人提交全部原始记录副本。</w:t>
      </w:r>
    </w:p>
    <w:p w14:paraId="068715A6">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（2）监理人应按第3.5款商定或确定追加的付款和（或）延长的工期，并在收到上述索赔通知书或有关索赔的进一步证明材料后的42天内，将索赔处理结果答复承包人。</w:t>
      </w:r>
    </w:p>
    <w:p w14:paraId="2C0DC180">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（3）承包人接受索赔处理结果的，发包人应在作出索赔处理结果答复后28天内完成赔付。承包人不接受索赔处理结果的，按第24条的约定办理。</w:t>
      </w:r>
    </w:p>
    <w:p w14:paraId="4E8B87B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09" w:name="_Toc338944853"/>
      <w:bookmarkStart w:id="1010" w:name="_Toc179632778"/>
      <w:bookmarkStart w:id="1011" w:name="_Toc342296411"/>
      <w:bookmarkStart w:id="1012" w:name="_Toc152042539"/>
      <w:bookmarkStart w:id="1013" w:name="_Toc20782"/>
      <w:bookmarkStart w:id="1014" w:name="_Toc144974730"/>
      <w:bookmarkStart w:id="1015" w:name="_Toc98936823"/>
      <w:bookmarkStart w:id="1016" w:name="_Toc75511183"/>
      <w:bookmarkStart w:id="1017" w:name="_Toc152045760"/>
      <w:r>
        <w:rPr>
          <w:rFonts w:hint="eastAsia" w:asciiTheme="minorEastAsia" w:hAnsiTheme="minorEastAsia" w:eastAsiaTheme="minorEastAsia" w:cstheme="minorEastAsia"/>
          <w:color w:val="auto"/>
          <w:sz w:val="21"/>
          <w:szCs w:val="21"/>
          <w:highlight w:val="none"/>
        </w:rPr>
        <w:t>23.3 承包人提出索赔的期限</w:t>
      </w:r>
      <w:bookmarkEnd w:id="1009"/>
      <w:bookmarkEnd w:id="1010"/>
      <w:bookmarkEnd w:id="1011"/>
      <w:bookmarkEnd w:id="1012"/>
      <w:bookmarkEnd w:id="1013"/>
      <w:bookmarkEnd w:id="1014"/>
      <w:bookmarkEnd w:id="1015"/>
      <w:bookmarkEnd w:id="1016"/>
      <w:bookmarkEnd w:id="1017"/>
    </w:p>
    <w:p w14:paraId="0E2F57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23.3.1 承包人按第17.5款的约定接受了竣工付款证书后，应被认为已无权再提出在合同工程接收证书颁发前所发生的任何索赔。</w:t>
      </w:r>
    </w:p>
    <w:p w14:paraId="0F663CA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shd w:val="pct10" w:color="auto" w:fill="FFFFFF"/>
        </w:rPr>
      </w:pPr>
      <w:r>
        <w:rPr>
          <w:rFonts w:hint="eastAsia" w:asciiTheme="minorEastAsia" w:hAnsiTheme="minorEastAsia" w:eastAsiaTheme="minorEastAsia" w:cstheme="minorEastAsia"/>
          <w:color w:val="auto"/>
          <w:sz w:val="21"/>
          <w:szCs w:val="21"/>
          <w:highlight w:val="none"/>
        </w:rPr>
        <w:t xml:space="preserve">23.3.2 承包人按第17.6款的约定提交的最终结清申请单中，只限于提出工程接收证书颁发后发生的索赔。提出索赔的期限自接受最终结清证书时终止。 </w:t>
      </w:r>
    </w:p>
    <w:p w14:paraId="7FD52B7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18" w:name="_Toc152045761"/>
      <w:bookmarkStart w:id="1019" w:name="_Toc179632779"/>
      <w:bookmarkStart w:id="1020" w:name="_Toc338944854"/>
      <w:bookmarkStart w:id="1021" w:name="_Toc152042540"/>
      <w:bookmarkStart w:id="1022" w:name="_Toc1950"/>
      <w:bookmarkStart w:id="1023" w:name="_Toc144974731"/>
      <w:bookmarkStart w:id="1024" w:name="_Toc342296412"/>
      <w:bookmarkStart w:id="1025" w:name="_Toc75511184"/>
      <w:bookmarkStart w:id="1026" w:name="_Toc98936824"/>
      <w:r>
        <w:rPr>
          <w:rFonts w:hint="eastAsia" w:asciiTheme="minorEastAsia" w:hAnsiTheme="minorEastAsia" w:eastAsiaTheme="minorEastAsia" w:cstheme="minorEastAsia"/>
          <w:color w:val="auto"/>
          <w:sz w:val="21"/>
          <w:szCs w:val="21"/>
          <w:highlight w:val="none"/>
        </w:rPr>
        <w:t>23.4 发包人的索赔</w:t>
      </w:r>
      <w:bookmarkEnd w:id="1018"/>
      <w:bookmarkEnd w:id="1019"/>
      <w:bookmarkEnd w:id="1020"/>
      <w:bookmarkEnd w:id="1021"/>
      <w:bookmarkEnd w:id="1022"/>
      <w:bookmarkEnd w:id="1023"/>
      <w:bookmarkEnd w:id="1024"/>
      <w:bookmarkEnd w:id="1025"/>
      <w:bookmarkEnd w:id="1026"/>
    </w:p>
    <w:p w14:paraId="4C221EB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0E05D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6B007DEA">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27" w:name="_Toc98936825"/>
      <w:bookmarkStart w:id="1028" w:name="_Toc28643"/>
      <w:bookmarkStart w:id="1029" w:name="_Toc338944855"/>
      <w:bookmarkStart w:id="1030" w:name="_Toc75511185"/>
      <w:bookmarkStart w:id="1031" w:name="_Toc342296413"/>
      <w:r>
        <w:rPr>
          <w:rFonts w:hint="eastAsia" w:asciiTheme="minorEastAsia" w:hAnsiTheme="minorEastAsia" w:eastAsiaTheme="minorEastAsia" w:cstheme="minorEastAsia"/>
          <w:color w:val="auto"/>
          <w:sz w:val="21"/>
          <w:szCs w:val="21"/>
          <w:highlight w:val="none"/>
        </w:rPr>
        <w:t>24. 争议的解决</w:t>
      </w:r>
      <w:bookmarkEnd w:id="1027"/>
      <w:bookmarkEnd w:id="1028"/>
      <w:bookmarkEnd w:id="1029"/>
      <w:bookmarkEnd w:id="1030"/>
      <w:bookmarkEnd w:id="1031"/>
    </w:p>
    <w:p w14:paraId="04ACAEDD">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32" w:name="_Toc75511186"/>
      <w:bookmarkStart w:id="1033" w:name="_Toc338944856"/>
      <w:bookmarkStart w:id="1034" w:name="_Toc22988"/>
      <w:bookmarkStart w:id="1035" w:name="_Toc98936826"/>
      <w:bookmarkStart w:id="1036" w:name="_Toc342296414"/>
      <w:r>
        <w:rPr>
          <w:rFonts w:hint="eastAsia" w:asciiTheme="minorEastAsia" w:hAnsiTheme="minorEastAsia" w:eastAsiaTheme="minorEastAsia" w:cstheme="minorEastAsia"/>
          <w:color w:val="auto"/>
          <w:sz w:val="21"/>
          <w:szCs w:val="21"/>
          <w:highlight w:val="none"/>
        </w:rPr>
        <w:t>24.1 争议的解决方式</w:t>
      </w:r>
      <w:bookmarkEnd w:id="1032"/>
      <w:bookmarkEnd w:id="1033"/>
      <w:bookmarkEnd w:id="1034"/>
      <w:bookmarkEnd w:id="1035"/>
      <w:bookmarkEnd w:id="1036"/>
    </w:p>
    <w:p w14:paraId="62073D1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B9078E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（1）向约定的仲裁委员会申请仲裁；</w:t>
      </w:r>
    </w:p>
    <w:p w14:paraId="19D8C4D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（2）向有管辖权的人民法院提起诉讼。</w:t>
      </w:r>
    </w:p>
    <w:p w14:paraId="0A5201B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37" w:name="_Toc342296415"/>
      <w:bookmarkStart w:id="1038" w:name="_Toc98936827"/>
      <w:bookmarkStart w:id="1039" w:name="_Toc9112"/>
      <w:bookmarkStart w:id="1040" w:name="_Toc338944857"/>
      <w:bookmarkStart w:id="1041" w:name="_Toc75511187"/>
      <w:r>
        <w:rPr>
          <w:rFonts w:hint="eastAsia" w:asciiTheme="minorEastAsia" w:hAnsiTheme="minorEastAsia" w:eastAsiaTheme="minorEastAsia" w:cstheme="minorEastAsia"/>
          <w:color w:val="auto"/>
          <w:sz w:val="21"/>
          <w:szCs w:val="21"/>
          <w:highlight w:val="none"/>
        </w:rPr>
        <w:t>24.2 友好解决</w:t>
      </w:r>
      <w:bookmarkEnd w:id="1037"/>
      <w:bookmarkEnd w:id="1038"/>
      <w:bookmarkEnd w:id="1039"/>
      <w:bookmarkEnd w:id="1040"/>
      <w:bookmarkEnd w:id="1041"/>
    </w:p>
    <w:p w14:paraId="12C97E3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在提请争议评审、仲裁或者诉讼前，以及在争议评审、仲裁或诉讼过程中，发包人和承包人均可共同努力友好协商解决争议。</w:t>
      </w:r>
    </w:p>
    <w:p w14:paraId="635306D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42" w:name="_Toc98936828"/>
      <w:bookmarkStart w:id="1043" w:name="_Toc338944858"/>
      <w:bookmarkStart w:id="1044" w:name="_Toc342296416"/>
      <w:bookmarkStart w:id="1045" w:name="_Toc8332"/>
      <w:bookmarkStart w:id="1046" w:name="_Toc75511188"/>
      <w:r>
        <w:rPr>
          <w:rFonts w:hint="eastAsia" w:asciiTheme="minorEastAsia" w:hAnsiTheme="minorEastAsia" w:eastAsiaTheme="minorEastAsia" w:cstheme="minorEastAsia"/>
          <w:color w:val="auto"/>
          <w:sz w:val="21"/>
          <w:szCs w:val="21"/>
          <w:highlight w:val="none"/>
        </w:rPr>
        <w:t>24.3 争议评审</w:t>
      </w:r>
      <w:bookmarkEnd w:id="1042"/>
      <w:bookmarkEnd w:id="1043"/>
      <w:bookmarkEnd w:id="1044"/>
      <w:bookmarkEnd w:id="1045"/>
      <w:bookmarkEnd w:id="1046"/>
    </w:p>
    <w:p w14:paraId="3165E74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24.3.1 采用争议评审的，发包人和承包人应在开工日后的28天内或在争议发生后，协商成立争议评审组。争议评审组由有合同管理和工程实践经验的专家组成。</w:t>
      </w:r>
    </w:p>
    <w:p w14:paraId="54513A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24.3.2 合同双方的争议，应首先由</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人向争议评审组提交一份详细的评审申请报告，并附必要的文件、图纸和证明材料，</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人还应将上述报告的副本同时提交给被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人和监理人。</w:t>
      </w:r>
    </w:p>
    <w:p w14:paraId="2E4F532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24.3.3 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人在收到</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人评审申请报告副本后的28天内，向争议评审组提交一份答辩报告，并附证明材料。被</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人应将答辩报告的副本同时提交给</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人和监理人。</w:t>
      </w:r>
    </w:p>
    <w:p w14:paraId="53B21D1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433C2A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247AB7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24.3.6 发包人和承包人接受评审意见的，由监理人根据评审意见拟定执行协议，经争议双方签字后作为合同的补充文件，并遵照执行。</w:t>
      </w:r>
    </w:p>
    <w:p w14:paraId="143E06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403C8C6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E7070ED">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D37DC71">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18" w:type="default"/>
          <w:pgSz w:w="11906" w:h="16838"/>
          <w:pgMar w:top="1418" w:right="1588" w:bottom="1418" w:left="1588" w:header="851" w:footer="992" w:gutter="0"/>
          <w:pgNumType w:fmt="decimal"/>
          <w:cols w:space="720" w:num="1"/>
          <w:docGrid w:linePitch="312" w:charSpace="0"/>
        </w:sectPr>
      </w:pPr>
    </w:p>
    <w:p w14:paraId="77251A8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AEF8E2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CA5998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1231BE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02FB3FD">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F7B477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C7F6EB3">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3C456D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9030E9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2186F5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118EC4F">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bookmarkStart w:id="1047" w:name="_Toc241459658"/>
      <w:bookmarkStart w:id="1048" w:name="_Toc98936829"/>
      <w:bookmarkStart w:id="1049" w:name="_Toc75511189"/>
      <w:bookmarkStart w:id="1050" w:name="_Toc342296417"/>
      <w:bookmarkStart w:id="1051" w:name="_Toc2006"/>
      <w:r>
        <w:rPr>
          <w:rFonts w:hint="eastAsia" w:asciiTheme="minorEastAsia" w:hAnsiTheme="minorEastAsia" w:eastAsiaTheme="minorEastAsia" w:cstheme="minorEastAsia"/>
          <w:b/>
          <w:bCs/>
          <w:color w:val="auto"/>
          <w:sz w:val="28"/>
          <w:szCs w:val="28"/>
          <w:highlight w:val="none"/>
        </w:rPr>
        <w:t>第二节 专用合同条款</w:t>
      </w:r>
      <w:bookmarkEnd w:id="1047"/>
      <w:bookmarkEnd w:id="1048"/>
      <w:bookmarkEnd w:id="1049"/>
      <w:bookmarkEnd w:id="1050"/>
      <w:bookmarkEnd w:id="1051"/>
    </w:p>
    <w:p w14:paraId="29B4B05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89537F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BC73A3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6948FF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19" w:type="default"/>
          <w:pgSz w:w="11906" w:h="16838"/>
          <w:pgMar w:top="1418" w:right="1588" w:bottom="1418" w:left="1588" w:header="851" w:footer="992" w:gutter="0"/>
          <w:pgNumType w:fmt="decimal"/>
          <w:cols w:space="720" w:num="1"/>
          <w:docGrid w:linePitch="312" w:charSpace="0"/>
        </w:sectPr>
      </w:pPr>
    </w:p>
    <w:p w14:paraId="7EF4374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B27124C">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color w:val="auto"/>
          <w:sz w:val="21"/>
          <w:szCs w:val="21"/>
          <w:highlight w:val="none"/>
        </w:rPr>
      </w:pPr>
      <w:bookmarkStart w:id="1052" w:name="_Toc144974831"/>
      <w:r>
        <w:rPr>
          <w:rFonts w:hint="eastAsia" w:asciiTheme="minorEastAsia" w:hAnsiTheme="minorEastAsia" w:eastAsiaTheme="minorEastAsia" w:cstheme="minorEastAsia"/>
          <w:b/>
          <w:color w:val="auto"/>
          <w:sz w:val="21"/>
          <w:szCs w:val="21"/>
          <w:highlight w:val="none"/>
        </w:rPr>
        <w:t>专用合同条款</w:t>
      </w:r>
    </w:p>
    <w:p w14:paraId="1666509B">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53" w:name="_Toc241459659"/>
      <w:bookmarkStart w:id="1054" w:name="_Toc75511190"/>
      <w:bookmarkStart w:id="1055" w:name="_Toc12285"/>
      <w:bookmarkStart w:id="1056" w:name="_Toc342296418"/>
      <w:r>
        <w:rPr>
          <w:rFonts w:hint="eastAsia" w:asciiTheme="minorEastAsia" w:hAnsiTheme="minorEastAsia" w:eastAsiaTheme="minorEastAsia" w:cstheme="minorEastAsia"/>
          <w:color w:val="auto"/>
          <w:sz w:val="21"/>
          <w:szCs w:val="21"/>
          <w:highlight w:val="none"/>
        </w:rPr>
        <w:t>1. 一般约定</w:t>
      </w:r>
      <w:bookmarkEnd w:id="1053"/>
      <w:bookmarkEnd w:id="1054"/>
      <w:bookmarkEnd w:id="1055"/>
      <w:bookmarkEnd w:id="1056"/>
    </w:p>
    <w:p w14:paraId="4E61744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57" w:name="_Toc342296419"/>
      <w:bookmarkStart w:id="1058" w:name="_Toc152042390"/>
      <w:bookmarkStart w:id="1059" w:name="_Toc144974580"/>
      <w:bookmarkStart w:id="1060" w:name="_Toc241459660"/>
      <w:bookmarkStart w:id="1061" w:name="_Toc75511191"/>
      <w:bookmarkStart w:id="1062" w:name="_Toc152045612"/>
      <w:bookmarkStart w:id="1063" w:name="_Toc179632630"/>
      <w:bookmarkStart w:id="1064" w:name="_Toc29732"/>
      <w:r>
        <w:rPr>
          <w:rFonts w:hint="eastAsia" w:asciiTheme="minorEastAsia" w:hAnsiTheme="minorEastAsia" w:eastAsiaTheme="minorEastAsia" w:cstheme="minorEastAsia"/>
          <w:color w:val="auto"/>
          <w:sz w:val="21"/>
          <w:szCs w:val="21"/>
          <w:highlight w:val="none"/>
        </w:rPr>
        <w:t>1.1 词语定义</w:t>
      </w:r>
      <w:bookmarkEnd w:id="1057"/>
      <w:bookmarkEnd w:id="1058"/>
      <w:bookmarkEnd w:id="1059"/>
      <w:bookmarkEnd w:id="1060"/>
      <w:bookmarkEnd w:id="1061"/>
      <w:bookmarkEnd w:id="1062"/>
      <w:bookmarkEnd w:id="1063"/>
      <w:bookmarkEnd w:id="1064"/>
    </w:p>
    <w:p w14:paraId="2905C90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1.1.2合同当事人和人员</w:t>
      </w:r>
    </w:p>
    <w:p w14:paraId="69C575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1.1.2.2发包人：</w:t>
      </w:r>
      <w:r>
        <w:rPr>
          <w:rFonts w:hint="default" w:asciiTheme="minorEastAsia" w:hAnsiTheme="minorEastAsia" w:eastAsiaTheme="minorEastAsia" w:cstheme="minorEastAsia"/>
          <w:color w:val="auto"/>
          <w:sz w:val="21"/>
          <w:szCs w:val="21"/>
          <w:highlight w:val="none"/>
          <w:u w:val="single"/>
          <w:lang w:val="en-US" w:eastAsia="zh-CN"/>
        </w:rPr>
        <w:t>北京市通州区西集镇</w:t>
      </w:r>
      <w:r>
        <w:rPr>
          <w:rFonts w:hint="eastAsia" w:ascii="宋体" w:hAnsi="宋体" w:eastAsia="宋体" w:cs="宋体"/>
          <w:color w:val="auto"/>
          <w:kern w:val="1"/>
          <w:sz w:val="21"/>
          <w:szCs w:val="21"/>
          <w:highlight w:val="none"/>
          <w:u w:val="single"/>
          <w:lang w:val="en-US" w:eastAsia="zh-CN"/>
        </w:rPr>
        <w:t>人民政府</w:t>
      </w:r>
      <w:r>
        <w:rPr>
          <w:rFonts w:hint="eastAsia" w:asciiTheme="minorEastAsia" w:hAnsiTheme="minorEastAsia" w:eastAsiaTheme="minorEastAsia" w:cstheme="minorEastAsia"/>
          <w:color w:val="auto"/>
          <w:sz w:val="21"/>
          <w:szCs w:val="21"/>
          <w:highlight w:val="none"/>
          <w:u w:val="single"/>
        </w:rPr>
        <w:t>。</w:t>
      </w:r>
    </w:p>
    <w:p w14:paraId="252D1AA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1.1.2.6监理人：</w:t>
      </w:r>
      <w:r>
        <w:rPr>
          <w:rFonts w:hint="eastAsia" w:asciiTheme="minorEastAsia" w:hAnsiTheme="minorEastAsia" w:eastAsiaTheme="minorEastAsia" w:cstheme="minorEastAsia"/>
          <w:color w:val="auto"/>
          <w:sz w:val="21"/>
          <w:szCs w:val="21"/>
          <w:highlight w:val="none"/>
          <w:u w:val="single"/>
        </w:rPr>
        <w:t xml:space="preserve">  待定  </w:t>
      </w:r>
      <w:r>
        <w:rPr>
          <w:rFonts w:hint="eastAsia" w:asciiTheme="minorEastAsia" w:hAnsiTheme="minorEastAsia" w:eastAsiaTheme="minorEastAsia" w:cstheme="minorEastAsia"/>
          <w:color w:val="auto"/>
          <w:sz w:val="21"/>
          <w:szCs w:val="21"/>
          <w:highlight w:val="none"/>
        </w:rPr>
        <w:t>。</w:t>
      </w:r>
    </w:p>
    <w:p w14:paraId="32F6A1D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1.1.2.8发包人代表：指发包人指定的派驻施工场地（现场）的全权代表。</w:t>
      </w:r>
    </w:p>
    <w:p w14:paraId="0DB58E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    名：</w:t>
      </w:r>
      <w:r>
        <w:rPr>
          <w:rFonts w:hint="eastAsia" w:asciiTheme="minorEastAsia" w:hAnsiTheme="minorEastAsia" w:eastAsiaTheme="minorEastAsia" w:cstheme="minorEastAsia"/>
          <w:color w:val="auto"/>
          <w:sz w:val="21"/>
          <w:szCs w:val="21"/>
          <w:highlight w:val="none"/>
          <w:u w:val="single"/>
        </w:rPr>
        <w:t xml:space="preserve">  签订合同时明确。  </w:t>
      </w:r>
    </w:p>
    <w:p w14:paraId="34F70AC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职    称：</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16FB658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 xml:space="preserve">。                                                                 </w:t>
      </w:r>
    </w:p>
    <w:p w14:paraId="4EFBAF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电子信箱：</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596D8D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通信地址：</w:t>
      </w:r>
      <w:r>
        <w:rPr>
          <w:rFonts w:hint="eastAsia" w:asciiTheme="minorEastAsia" w:hAnsiTheme="minorEastAsia" w:eastAsiaTheme="minorEastAsia" w:cstheme="minorEastAsia"/>
          <w:color w:val="auto"/>
          <w:sz w:val="21"/>
          <w:szCs w:val="21"/>
          <w:highlight w:val="none"/>
          <w:u w:val="single"/>
        </w:rPr>
        <w:t xml:space="preserve">  签订合同时明确。    </w:t>
      </w:r>
      <w:r>
        <w:rPr>
          <w:rFonts w:hint="eastAsia" w:asciiTheme="minorEastAsia" w:hAnsiTheme="minorEastAsia" w:eastAsiaTheme="minorEastAsia" w:cstheme="minorEastAsia"/>
          <w:color w:val="auto"/>
          <w:sz w:val="21"/>
          <w:szCs w:val="21"/>
          <w:highlight w:val="none"/>
        </w:rPr>
        <w:t>。</w:t>
      </w:r>
    </w:p>
    <w:p w14:paraId="4ED105E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1.1.2.9专业分包人：指根据合同条款第15.8.1项的约定，由发包人和承包人以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方式选择的分包人。</w:t>
      </w:r>
    </w:p>
    <w:p w14:paraId="35BA73F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1.1.2.10专项供应商：指根据合同条款第15.8.1项的约定，由发包人和承包人以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方式选择的供应商。</w:t>
      </w:r>
    </w:p>
    <w:p w14:paraId="11D7F13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1.1.2.11独立承包人：指与发包人直接订立工程承包合同，负责实施与工程有关的其他工作的当事人。</w:t>
      </w:r>
    </w:p>
    <w:p w14:paraId="36BC2E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1.1.3工程和设备</w:t>
      </w:r>
    </w:p>
    <w:p w14:paraId="32AA54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1.1.3.2永久工程：</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0BA6B9A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1.1.3.3临时工程：</w:t>
      </w:r>
      <w:r>
        <w:rPr>
          <w:rFonts w:hint="eastAsia" w:asciiTheme="minorEastAsia" w:hAnsiTheme="minorEastAsia" w:eastAsiaTheme="minorEastAsia" w:cstheme="minorEastAsia"/>
          <w:color w:val="auto"/>
          <w:sz w:val="21"/>
          <w:szCs w:val="21"/>
          <w:highlight w:val="none"/>
          <w:u w:val="single"/>
        </w:rPr>
        <w:t xml:space="preserve">   临时用水、临时用电  </w:t>
      </w:r>
      <w:r>
        <w:rPr>
          <w:rFonts w:hint="eastAsia" w:asciiTheme="minorEastAsia" w:hAnsiTheme="minorEastAsia" w:eastAsiaTheme="minorEastAsia" w:cstheme="minorEastAsia"/>
          <w:color w:val="auto"/>
          <w:sz w:val="21"/>
          <w:szCs w:val="21"/>
          <w:highlight w:val="none"/>
        </w:rPr>
        <w:t>。</w:t>
      </w:r>
    </w:p>
    <w:p w14:paraId="39E1E6B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1.1.3.4单位工程：指具有相对独立的设计文件，能够独立组织施工并能形成独立使用功能的永久工程的组成部分。</w:t>
      </w:r>
    </w:p>
    <w:p w14:paraId="665046D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1.1.3.10永久占地：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5DE0885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1.1.3.11临时占地：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5170D0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1.1.4日期</w:t>
      </w:r>
    </w:p>
    <w:p w14:paraId="4628A6D6">
      <w:pPr>
        <w:pStyle w:val="6"/>
        <w:pageBreakBefore w:val="0"/>
        <w:widowControl w:val="0"/>
        <w:tabs>
          <w:tab w:val="left" w:pos="567"/>
        </w:tabs>
        <w:kinsoku/>
        <w:wordWrap/>
        <w:overflowPunct/>
        <w:bidi w:val="0"/>
        <w:snapToGrid/>
        <w:jc w:val="both"/>
        <w:textAlignment w:val="auto"/>
        <w:outlineLvl w:val="9"/>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1.1.4.3工期：</w:t>
      </w:r>
      <w:r>
        <w:rPr>
          <w:rFonts w:hint="eastAsia" w:asciiTheme="minorEastAsia" w:hAnsiTheme="minorEastAsia" w:eastAsiaTheme="minorEastAsia" w:cstheme="minorEastAsia"/>
          <w:color w:val="auto"/>
          <w:sz w:val="21"/>
          <w:szCs w:val="21"/>
          <w:highlight w:val="none"/>
          <w:u w:val="single"/>
          <w:lang w:val="en-US" w:eastAsia="zh-CN"/>
        </w:rPr>
        <w:t xml:space="preserve">  60日历天  </w:t>
      </w:r>
    </w:p>
    <w:p w14:paraId="4748F2F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1.1.4.5缺陷责任期期限：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24</w:t>
      </w:r>
      <w:r>
        <w:rPr>
          <w:rFonts w:hint="eastAsia" w:asciiTheme="minorEastAsia" w:hAnsiTheme="minorEastAsia" w:eastAsiaTheme="minorEastAsia" w:cstheme="minorEastAsia"/>
          <w:color w:val="auto"/>
          <w:sz w:val="21"/>
          <w:szCs w:val="21"/>
          <w:highlight w:val="none"/>
          <w:u w:val="single"/>
        </w:rPr>
        <w:t xml:space="preserve">个  </w:t>
      </w:r>
      <w:r>
        <w:rPr>
          <w:rFonts w:hint="eastAsia" w:asciiTheme="minorEastAsia" w:hAnsiTheme="minorEastAsia" w:eastAsiaTheme="minorEastAsia" w:cstheme="minorEastAsia"/>
          <w:color w:val="auto"/>
          <w:sz w:val="21"/>
          <w:szCs w:val="21"/>
          <w:highlight w:val="none"/>
        </w:rPr>
        <w:t>月。</w:t>
      </w:r>
    </w:p>
    <w:p w14:paraId="162639B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1.1.4.8保修期：是根据现行有关法律规定，在合同条款第19.7款中约定的由承包人负责对合同约定的保修范围内发生的质量问题履行保修义务并对造成的损失承担赔偿责任的期限。</w:t>
      </w:r>
    </w:p>
    <w:p w14:paraId="352B16F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1.1.6其他</w:t>
      </w:r>
    </w:p>
    <w:p w14:paraId="240E03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1.1.6.2材料：指构成或将构成永久工程组成部分的各类物品(工程设备除外)，包括合同中可能约定的承包人仅负责供应的材料。</w:t>
      </w:r>
    </w:p>
    <w:p w14:paraId="22C5CA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1.1.6.3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14:paraId="5D601E8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1.1.6.4除另有特别指明外，专用合同条款中使用的措辞“合同条款”指通用合同条款和（或）专用合同条款。</w:t>
      </w:r>
    </w:p>
    <w:p w14:paraId="2109270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65" w:name="_Toc152042393"/>
      <w:bookmarkStart w:id="1066" w:name="_Toc144974583"/>
      <w:bookmarkStart w:id="1067" w:name="_Toc342296420"/>
      <w:bookmarkStart w:id="1068" w:name="_Toc241459661"/>
      <w:bookmarkStart w:id="1069" w:name="_Toc11717"/>
      <w:bookmarkStart w:id="1070" w:name="_Toc179632633"/>
      <w:bookmarkStart w:id="1071" w:name="_Toc152045615"/>
      <w:bookmarkStart w:id="1072" w:name="_Toc75511192"/>
      <w:r>
        <w:rPr>
          <w:rFonts w:hint="eastAsia" w:asciiTheme="minorEastAsia" w:hAnsiTheme="minorEastAsia" w:eastAsiaTheme="minorEastAsia" w:cstheme="minorEastAsia"/>
          <w:color w:val="auto"/>
          <w:sz w:val="21"/>
          <w:szCs w:val="21"/>
          <w:highlight w:val="none"/>
        </w:rPr>
        <w:t>1.4 合同文件的优先顺序</w:t>
      </w:r>
      <w:bookmarkEnd w:id="1065"/>
      <w:bookmarkEnd w:id="1066"/>
      <w:bookmarkEnd w:id="1067"/>
      <w:bookmarkEnd w:id="1068"/>
      <w:bookmarkEnd w:id="1069"/>
      <w:bookmarkEnd w:id="1070"/>
      <w:bookmarkEnd w:id="1071"/>
      <w:bookmarkEnd w:id="1072"/>
    </w:p>
    <w:p w14:paraId="56FEC09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合同文件的优先解释顺序如下：</w:t>
      </w:r>
    </w:p>
    <w:p w14:paraId="4F96AD83">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（1）合同协议书；</w:t>
      </w:r>
    </w:p>
    <w:p w14:paraId="7569268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p>
    <w:p w14:paraId="7D2E2A54">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748B21DE">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47069008">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6EAA4558">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r>
        <w:rPr>
          <w:rFonts w:hint="eastAsia" w:asciiTheme="minorEastAsia" w:hAnsiTheme="minorEastAsia" w:eastAsiaTheme="minorEastAsia" w:cstheme="minorEastAsia"/>
          <w:color w:val="auto"/>
          <w:sz w:val="21"/>
          <w:szCs w:val="21"/>
          <w:highlight w:val="none"/>
          <w:u w:val="single"/>
        </w:rPr>
        <w:t>已标价工程量清单</w:t>
      </w:r>
      <w:r>
        <w:rPr>
          <w:rFonts w:hint="eastAsia" w:asciiTheme="minorEastAsia" w:hAnsiTheme="minorEastAsia" w:eastAsiaTheme="minorEastAsia" w:cstheme="minorEastAsia"/>
          <w:color w:val="auto"/>
          <w:sz w:val="21"/>
          <w:szCs w:val="21"/>
          <w:highlight w:val="none"/>
        </w:rPr>
        <w:t>；</w:t>
      </w:r>
    </w:p>
    <w:p w14:paraId="2B8927C2">
      <w:pPr>
        <w:pageBreakBefore w:val="0"/>
        <w:widowControl w:val="0"/>
        <w:kinsoku/>
        <w:wordWrap/>
        <w:overflowPunct/>
        <w:bidi w:val="0"/>
        <w:snapToGrid/>
        <w:spacing w:line="400" w:lineRule="exact"/>
        <w:ind w:firstLine="48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r>
        <w:rPr>
          <w:rFonts w:hint="eastAsia" w:asciiTheme="minorEastAsia" w:hAnsiTheme="minorEastAsia" w:eastAsiaTheme="minorEastAsia" w:cstheme="minorEastAsia"/>
          <w:color w:val="auto"/>
          <w:sz w:val="21"/>
          <w:szCs w:val="21"/>
          <w:highlight w:val="none"/>
          <w:u w:val="single"/>
        </w:rPr>
        <w:t xml:space="preserve">技术标准和要求  </w:t>
      </w:r>
      <w:r>
        <w:rPr>
          <w:rFonts w:hint="eastAsia" w:asciiTheme="minorEastAsia" w:hAnsiTheme="minorEastAsia" w:eastAsiaTheme="minorEastAsia" w:cstheme="minorEastAsia"/>
          <w:color w:val="auto"/>
          <w:sz w:val="21"/>
          <w:szCs w:val="21"/>
          <w:highlight w:val="none"/>
        </w:rPr>
        <w:t xml:space="preserve"> ；</w:t>
      </w:r>
    </w:p>
    <w:p w14:paraId="387D9FA7">
      <w:pPr>
        <w:pageBreakBefore w:val="0"/>
        <w:widowControl w:val="0"/>
        <w:kinsoku/>
        <w:wordWrap/>
        <w:overflowPunct/>
        <w:bidi w:val="0"/>
        <w:snapToGrid/>
        <w:spacing w:line="400" w:lineRule="exact"/>
        <w:ind w:firstLine="48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r>
        <w:rPr>
          <w:rFonts w:hint="eastAsia" w:asciiTheme="minorEastAsia" w:hAnsiTheme="minorEastAsia" w:eastAsiaTheme="minorEastAsia" w:cstheme="minorEastAsia"/>
          <w:color w:val="auto"/>
          <w:sz w:val="21"/>
          <w:szCs w:val="21"/>
          <w:highlight w:val="none"/>
          <w:u w:val="single"/>
        </w:rPr>
        <w:t xml:space="preserve">图纸  </w:t>
      </w:r>
      <w:r>
        <w:rPr>
          <w:rFonts w:hint="eastAsia" w:asciiTheme="minorEastAsia" w:hAnsiTheme="minorEastAsia" w:eastAsiaTheme="minorEastAsia" w:cstheme="minorEastAsia"/>
          <w:color w:val="auto"/>
          <w:sz w:val="21"/>
          <w:szCs w:val="21"/>
          <w:highlight w:val="none"/>
        </w:rPr>
        <w:t xml:space="preserve">  。</w:t>
      </w:r>
    </w:p>
    <w:p w14:paraId="5F4F550C">
      <w:pPr>
        <w:pageBreakBefore w:val="0"/>
        <w:widowControl w:val="0"/>
        <w:kinsoku/>
        <w:wordWrap/>
        <w:overflowPunct/>
        <w:bidi w:val="0"/>
        <w:snapToGrid/>
        <w:spacing w:line="400" w:lineRule="exact"/>
        <w:ind w:firstLine="48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（说明：（6）、（7）、（8）填空内容分别限于技术标准和要求、图纸、已标价工程量清单三者之一。）</w:t>
      </w:r>
    </w:p>
    <w:p w14:paraId="46EF90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合同协议书中约定采用总价合同形式的，除非合同另有约定，已标价工程量清单中的各项工程量对合同双方不具合同约束力。</w:t>
      </w:r>
    </w:p>
    <w:p w14:paraId="612D4EE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图纸与技术标准和要求之间有矛盾或者不一致的，以其中要求较严格的标准为准。</w:t>
      </w:r>
    </w:p>
    <w:p w14:paraId="3521037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合同双方在合同履行过程中签订的补充协议亦构成合同文件的组成部分，其解释顺序视其内容与其他合同文件的相互关系而定。</w:t>
      </w:r>
    </w:p>
    <w:p w14:paraId="009FC76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73" w:name="_Toc31444"/>
      <w:bookmarkStart w:id="1074" w:name="_Toc75511193"/>
      <w:bookmarkStart w:id="1075" w:name="_Toc144974584"/>
      <w:bookmarkStart w:id="1076" w:name="_Toc152045616"/>
      <w:bookmarkStart w:id="1077" w:name="_Toc342296421"/>
      <w:bookmarkStart w:id="1078" w:name="_Toc179632634"/>
      <w:bookmarkStart w:id="1079" w:name="_Toc152042394"/>
      <w:bookmarkStart w:id="1080" w:name="_Toc241459662"/>
      <w:r>
        <w:rPr>
          <w:rFonts w:hint="eastAsia" w:asciiTheme="minorEastAsia" w:hAnsiTheme="minorEastAsia" w:eastAsiaTheme="minorEastAsia" w:cstheme="minorEastAsia"/>
          <w:color w:val="auto"/>
          <w:sz w:val="21"/>
          <w:szCs w:val="21"/>
          <w:highlight w:val="none"/>
        </w:rPr>
        <w:t>1.5 合同协议书</w:t>
      </w:r>
      <w:bookmarkEnd w:id="1073"/>
      <w:bookmarkEnd w:id="1074"/>
      <w:bookmarkEnd w:id="1075"/>
      <w:bookmarkEnd w:id="1076"/>
      <w:bookmarkEnd w:id="1077"/>
      <w:bookmarkEnd w:id="1078"/>
      <w:bookmarkEnd w:id="1079"/>
      <w:bookmarkEnd w:id="1080"/>
    </w:p>
    <w:p w14:paraId="7FDDA9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合同生效的条件：</w:t>
      </w:r>
      <w:r>
        <w:rPr>
          <w:rFonts w:hint="eastAsia" w:asciiTheme="minorEastAsia" w:hAnsiTheme="minorEastAsia" w:eastAsiaTheme="minorEastAsia" w:cstheme="minorEastAsia"/>
          <w:color w:val="auto"/>
          <w:sz w:val="21"/>
          <w:szCs w:val="21"/>
          <w:highlight w:val="none"/>
          <w:u w:val="single"/>
        </w:rPr>
        <w:t>甲乙双方法定代表人或授权代表签字</w:t>
      </w:r>
      <w:r>
        <w:rPr>
          <w:rFonts w:hint="eastAsia" w:asciiTheme="minorEastAsia" w:hAnsiTheme="minorEastAsia" w:eastAsiaTheme="minorEastAsia" w:cstheme="minorEastAsia"/>
          <w:color w:val="auto"/>
          <w:sz w:val="21"/>
          <w:szCs w:val="21"/>
          <w:highlight w:val="none"/>
          <w:u w:val="single"/>
          <w:lang w:val="en-US" w:eastAsia="zh-CN"/>
        </w:rPr>
        <w:t>或盖章</w:t>
      </w:r>
      <w:r>
        <w:rPr>
          <w:rFonts w:hint="eastAsia" w:asciiTheme="minorEastAsia" w:hAnsiTheme="minorEastAsia" w:eastAsiaTheme="minorEastAsia" w:cstheme="minorEastAsia"/>
          <w:color w:val="auto"/>
          <w:sz w:val="21"/>
          <w:szCs w:val="21"/>
          <w:highlight w:val="none"/>
          <w:u w:val="single"/>
        </w:rPr>
        <w:t>并加盖公章之日生效</w:t>
      </w:r>
      <w:r>
        <w:rPr>
          <w:rFonts w:hint="eastAsia" w:asciiTheme="minorEastAsia" w:hAnsiTheme="minorEastAsia" w:eastAsiaTheme="minorEastAsia" w:cstheme="minorEastAsia"/>
          <w:color w:val="auto"/>
          <w:sz w:val="21"/>
          <w:szCs w:val="21"/>
          <w:highlight w:val="none"/>
        </w:rPr>
        <w:t>。</w:t>
      </w:r>
    </w:p>
    <w:p w14:paraId="31EB371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81" w:name="_Toc342296422"/>
      <w:bookmarkStart w:id="1082" w:name="_Toc241459663"/>
      <w:bookmarkStart w:id="1083" w:name="_Toc179632635"/>
      <w:bookmarkStart w:id="1084" w:name="_Toc16709"/>
      <w:bookmarkStart w:id="1085" w:name="_Toc152045617"/>
      <w:bookmarkStart w:id="1086" w:name="_Toc75511194"/>
      <w:bookmarkStart w:id="1087" w:name="_Toc152042395"/>
      <w:bookmarkStart w:id="1088" w:name="_Toc144974585"/>
      <w:r>
        <w:rPr>
          <w:rFonts w:hint="eastAsia" w:asciiTheme="minorEastAsia" w:hAnsiTheme="minorEastAsia" w:eastAsiaTheme="minorEastAsia" w:cstheme="minorEastAsia"/>
          <w:color w:val="auto"/>
          <w:sz w:val="21"/>
          <w:szCs w:val="21"/>
          <w:highlight w:val="none"/>
        </w:rPr>
        <w:t>1.6 图纸和承包人文件</w:t>
      </w:r>
      <w:bookmarkEnd w:id="1081"/>
      <w:bookmarkEnd w:id="1082"/>
      <w:bookmarkEnd w:id="1083"/>
      <w:bookmarkEnd w:id="1084"/>
      <w:bookmarkEnd w:id="1085"/>
      <w:bookmarkEnd w:id="1086"/>
      <w:bookmarkEnd w:id="1087"/>
      <w:bookmarkEnd w:id="1088"/>
    </w:p>
    <w:p w14:paraId="72D4D3D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1.6.1图纸的提供</w:t>
      </w:r>
    </w:p>
    <w:p w14:paraId="2F1D2BE7">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 发包人按照合同条款本项的约定向承包人提供图纸。承包人需要增加图纸套数的，发包人应代为复制，复制费用由承包人承担。</w:t>
      </w:r>
    </w:p>
    <w:p w14:paraId="1E2EBDC8">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 在监理人批准合同条款第10.1款约定的合同进度计划或者合同条款10.2款约定的合同进度计划修改后7天内,承包人应当根据合同进度计划和本项约定的图纸提供期限和数量，编制或者修改图纸供应计划并报送监理人，其中应当载明承包人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14:paraId="793737C7">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（3）发包人提供图纸的期限：</w:t>
      </w:r>
      <w:r>
        <w:rPr>
          <w:rFonts w:hint="eastAsia" w:asciiTheme="minorEastAsia" w:hAnsiTheme="minorEastAsia" w:eastAsiaTheme="minorEastAsia" w:cstheme="minorEastAsia"/>
          <w:bCs/>
          <w:color w:val="auto"/>
          <w:sz w:val="21"/>
          <w:szCs w:val="21"/>
          <w:highlight w:val="none"/>
          <w:u w:val="single"/>
        </w:rPr>
        <w:t>发出中选通知书后五日内</w:t>
      </w:r>
      <w:r>
        <w:rPr>
          <w:rFonts w:hint="eastAsia" w:asciiTheme="minorEastAsia" w:hAnsiTheme="minorEastAsia" w:eastAsiaTheme="minorEastAsia" w:cstheme="minorEastAsia"/>
          <w:color w:val="auto"/>
          <w:sz w:val="21"/>
          <w:szCs w:val="21"/>
          <w:highlight w:val="none"/>
        </w:rPr>
        <w:t>。</w:t>
      </w:r>
    </w:p>
    <w:p w14:paraId="1771783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（4）发包人提供图纸的数量：</w:t>
      </w:r>
      <w:r>
        <w:rPr>
          <w:rFonts w:hint="eastAsia" w:asciiTheme="minorEastAsia" w:hAnsiTheme="minorEastAsia" w:eastAsiaTheme="minorEastAsia" w:cstheme="minorEastAsia"/>
          <w:color w:val="auto"/>
          <w:sz w:val="21"/>
          <w:szCs w:val="21"/>
          <w:highlight w:val="none"/>
          <w:u w:val="single"/>
        </w:rPr>
        <w:t>四套</w:t>
      </w:r>
      <w:r>
        <w:rPr>
          <w:rFonts w:hint="eastAsia" w:asciiTheme="minorEastAsia" w:hAnsiTheme="minorEastAsia" w:eastAsiaTheme="minorEastAsia" w:cstheme="minorEastAsia"/>
          <w:color w:val="auto"/>
          <w:sz w:val="21"/>
          <w:szCs w:val="21"/>
          <w:highlight w:val="none"/>
        </w:rPr>
        <w:t>。</w:t>
      </w:r>
    </w:p>
    <w:p w14:paraId="6E7A3C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1.6.2承包人提供的文件</w:t>
      </w:r>
    </w:p>
    <w:p w14:paraId="1CE4559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（1）除专用合同条款第4.1.10(1)目约定的由承包人提供的设计文件外，本项约定的其他应由承包人提供的文件，包括必要的加工图和大样图，均不是合同计量与支付的依据文件。由承包人提供的文件范围：</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29B18E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（2）承包人提供文件的期限：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671B90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（3）承包人提供文件的数量：</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2DFCA8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（4）监理人批复承包人提供文件的期限：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A9A6EC0">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（5）其他约定：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717B44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1.6.3图纸的修改</w:t>
      </w:r>
    </w:p>
    <w:p w14:paraId="5650A0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监理人应当按照合同条款第1.6.1（2）目约定的有合同约束力的图纸供应计划，签发图纸修改图给承包人。</w:t>
      </w:r>
    </w:p>
    <w:p w14:paraId="2C35670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089" w:name="_Toc75511195"/>
      <w:bookmarkStart w:id="1090" w:name="_Toc152042396"/>
      <w:bookmarkStart w:id="1091" w:name="_Toc179632636"/>
      <w:bookmarkStart w:id="1092" w:name="_Toc152045618"/>
      <w:bookmarkStart w:id="1093" w:name="_Toc241459664"/>
      <w:bookmarkStart w:id="1094" w:name="_Toc144974586"/>
      <w:bookmarkStart w:id="1095" w:name="_Toc342296423"/>
      <w:bookmarkStart w:id="1096" w:name="_Toc21188"/>
      <w:r>
        <w:rPr>
          <w:rFonts w:hint="eastAsia" w:asciiTheme="minorEastAsia" w:hAnsiTheme="minorEastAsia" w:eastAsiaTheme="minorEastAsia" w:cstheme="minorEastAsia"/>
          <w:color w:val="auto"/>
          <w:sz w:val="21"/>
          <w:szCs w:val="21"/>
          <w:highlight w:val="none"/>
        </w:rPr>
        <w:t>1.7 联 络</w:t>
      </w:r>
      <w:bookmarkEnd w:id="1089"/>
      <w:bookmarkEnd w:id="1090"/>
      <w:bookmarkEnd w:id="1091"/>
      <w:bookmarkEnd w:id="1092"/>
      <w:bookmarkEnd w:id="1093"/>
      <w:bookmarkEnd w:id="1094"/>
      <w:bookmarkEnd w:id="1095"/>
      <w:bookmarkEnd w:id="1096"/>
    </w:p>
    <w:p w14:paraId="5332A3A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1.7.2联络来往函件的送达和接收</w:t>
      </w:r>
    </w:p>
    <w:p w14:paraId="0FC44D6C">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（1）联络来往信函的送达期限：合同约定了发出期限的，送达期限为合同约定的发出期限后的24小时内；合同约定了通知、提供或者报送期限的，通知、提供或者报送期限即为送达期限。</w:t>
      </w:r>
    </w:p>
    <w:p w14:paraId="44C6A5F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（2）发包人指定的接收地点：_________________________。</w:t>
      </w:r>
    </w:p>
    <w:p w14:paraId="01A6DD0F">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（3）发包人指定的接收人为：</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3DE3DD7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（4）监理人指定的接收地点：</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5C3BA58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（5）监理人指定的接收人为：</w:t>
      </w:r>
      <w:r>
        <w:rPr>
          <w:rFonts w:hint="eastAsia" w:asciiTheme="minorEastAsia" w:hAnsiTheme="minorEastAsia" w:eastAsiaTheme="minorEastAsia" w:cstheme="minorEastAsia"/>
          <w:color w:val="auto"/>
          <w:sz w:val="21"/>
          <w:szCs w:val="21"/>
          <w:highlight w:val="none"/>
          <w:u w:val="single"/>
        </w:rPr>
        <w:t>另行约定</w:t>
      </w:r>
      <w:r>
        <w:rPr>
          <w:rFonts w:hint="eastAsia" w:asciiTheme="minorEastAsia" w:hAnsiTheme="minorEastAsia" w:eastAsiaTheme="minorEastAsia" w:cstheme="minorEastAsia"/>
          <w:color w:val="auto"/>
          <w:sz w:val="21"/>
          <w:szCs w:val="21"/>
          <w:highlight w:val="none"/>
        </w:rPr>
        <w:t>。</w:t>
      </w:r>
    </w:p>
    <w:p w14:paraId="2DD3B4D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14:paraId="548562D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31DE1F31">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7769B700">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097" w:name="_Toc241459665"/>
      <w:bookmarkStart w:id="1098" w:name="_Toc144974592"/>
      <w:bookmarkStart w:id="1099" w:name="_Toc152045624"/>
      <w:bookmarkStart w:id="1100" w:name="_Toc179632642"/>
      <w:bookmarkStart w:id="1101" w:name="_Toc152042402"/>
      <w:bookmarkStart w:id="1102" w:name="_Toc75511196"/>
      <w:bookmarkStart w:id="1103" w:name="_Toc26308"/>
      <w:bookmarkStart w:id="1104" w:name="_Toc342296424"/>
      <w:r>
        <w:rPr>
          <w:rFonts w:hint="eastAsia" w:asciiTheme="minorEastAsia" w:hAnsiTheme="minorEastAsia" w:eastAsiaTheme="minorEastAsia" w:cstheme="minorEastAsia"/>
          <w:color w:val="auto"/>
          <w:sz w:val="21"/>
          <w:szCs w:val="21"/>
          <w:highlight w:val="none"/>
        </w:rPr>
        <w:t>2. 发包人义务</w:t>
      </w:r>
      <w:bookmarkEnd w:id="1097"/>
      <w:bookmarkEnd w:id="1098"/>
      <w:bookmarkEnd w:id="1099"/>
      <w:bookmarkEnd w:id="1100"/>
      <w:bookmarkEnd w:id="1101"/>
      <w:bookmarkEnd w:id="1102"/>
      <w:bookmarkEnd w:id="1103"/>
      <w:bookmarkEnd w:id="1104"/>
    </w:p>
    <w:p w14:paraId="096CB73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05" w:name="_Toc144974595"/>
      <w:bookmarkStart w:id="1106" w:name="_Toc152045627"/>
      <w:bookmarkStart w:id="1107" w:name="_Toc342296425"/>
      <w:bookmarkStart w:id="1108" w:name="_Toc152042405"/>
      <w:bookmarkStart w:id="1109" w:name="_Toc11389"/>
      <w:bookmarkStart w:id="1110" w:name="_Toc241459666"/>
      <w:bookmarkStart w:id="1111" w:name="_Toc75511197"/>
      <w:bookmarkStart w:id="1112" w:name="_Toc179632645"/>
      <w:r>
        <w:rPr>
          <w:rFonts w:hint="eastAsia" w:asciiTheme="minorEastAsia" w:hAnsiTheme="minorEastAsia" w:eastAsiaTheme="minorEastAsia" w:cstheme="minorEastAsia"/>
          <w:color w:val="auto"/>
          <w:sz w:val="21"/>
          <w:szCs w:val="21"/>
          <w:highlight w:val="none"/>
        </w:rPr>
        <w:t>2.3 提供施工场地</w:t>
      </w:r>
      <w:bookmarkEnd w:id="1105"/>
      <w:bookmarkEnd w:id="1106"/>
      <w:bookmarkEnd w:id="1107"/>
      <w:bookmarkEnd w:id="1108"/>
      <w:bookmarkEnd w:id="1109"/>
      <w:bookmarkEnd w:id="1110"/>
      <w:bookmarkEnd w:id="1111"/>
      <w:bookmarkEnd w:id="1112"/>
    </w:p>
    <w:p w14:paraId="32649AD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施工场地应当在监理人发出的开工通知中载明的开工日期前</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天具备施工条件并移交给承包人，具体施工条件在 “技术标准和要求”第一节“一般要求”中约定。发包人最迟应当在移交施工场地的同时向承包人提供施工场地内地下管线和地下设施等有关资料，并保证资料的真实、准确和完整。</w:t>
      </w:r>
    </w:p>
    <w:p w14:paraId="2B52A30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13" w:name="_Toc152045629"/>
      <w:bookmarkStart w:id="1114" w:name="_Toc342296426"/>
      <w:bookmarkStart w:id="1115" w:name="_Toc144974597"/>
      <w:bookmarkStart w:id="1116" w:name="_Toc75511198"/>
      <w:bookmarkStart w:id="1117" w:name="_Toc1176"/>
      <w:bookmarkStart w:id="1118" w:name="_Toc179632647"/>
      <w:bookmarkStart w:id="1119" w:name="_Toc241459667"/>
      <w:bookmarkStart w:id="1120" w:name="_Toc152042407"/>
      <w:r>
        <w:rPr>
          <w:rFonts w:hint="eastAsia" w:asciiTheme="minorEastAsia" w:hAnsiTheme="minorEastAsia" w:eastAsiaTheme="minorEastAsia" w:cstheme="minorEastAsia"/>
          <w:color w:val="auto"/>
          <w:sz w:val="21"/>
          <w:szCs w:val="21"/>
          <w:highlight w:val="none"/>
        </w:rPr>
        <w:t>2.5 组织设计交底</w:t>
      </w:r>
      <w:bookmarkEnd w:id="1113"/>
      <w:bookmarkEnd w:id="1114"/>
      <w:bookmarkEnd w:id="1115"/>
      <w:bookmarkEnd w:id="1116"/>
      <w:bookmarkEnd w:id="1117"/>
      <w:bookmarkEnd w:id="1118"/>
      <w:bookmarkEnd w:id="1119"/>
      <w:bookmarkEnd w:id="1120"/>
    </w:p>
    <w:p w14:paraId="1D789F7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121" w:name="_Toc179632648"/>
      <w:bookmarkStart w:id="1122" w:name="_Toc152042408"/>
      <w:bookmarkStart w:id="1123" w:name="_Toc152045630"/>
      <w:bookmarkStart w:id="1124" w:name="_Toc144974598"/>
      <w:r>
        <w:rPr>
          <w:rFonts w:hint="eastAsia" w:asciiTheme="minorEastAsia" w:hAnsiTheme="minorEastAsia" w:eastAsiaTheme="minorEastAsia" w:cstheme="minorEastAsia"/>
          <w:color w:val="auto"/>
          <w:sz w:val="21"/>
          <w:szCs w:val="21"/>
          <w:highlight w:val="none"/>
        </w:rPr>
        <w:t>发包人应当在合同条款11.1.1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bookmarkEnd w:id="1121"/>
    <w:bookmarkEnd w:id="1122"/>
    <w:bookmarkEnd w:id="1123"/>
    <w:bookmarkEnd w:id="1124"/>
    <w:p w14:paraId="218CB0A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25" w:name="_Toc144974600"/>
      <w:bookmarkStart w:id="1126" w:name="_Toc152045632"/>
      <w:bookmarkStart w:id="1127" w:name="_Toc13607"/>
      <w:bookmarkStart w:id="1128" w:name="_Toc152042410"/>
      <w:bookmarkStart w:id="1129" w:name="_Toc179632650"/>
      <w:bookmarkStart w:id="1130" w:name="_Toc342296427"/>
      <w:bookmarkStart w:id="1131" w:name="_Toc75511199"/>
      <w:bookmarkStart w:id="1132" w:name="_Toc241459668"/>
      <w:r>
        <w:rPr>
          <w:rFonts w:hint="eastAsia" w:asciiTheme="minorEastAsia" w:hAnsiTheme="minorEastAsia" w:eastAsiaTheme="minorEastAsia" w:cstheme="minorEastAsia"/>
          <w:color w:val="auto"/>
          <w:sz w:val="21"/>
          <w:szCs w:val="21"/>
          <w:highlight w:val="none"/>
        </w:rPr>
        <w:t>2.8 其他义务</w:t>
      </w:r>
      <w:bookmarkEnd w:id="1125"/>
      <w:bookmarkEnd w:id="1126"/>
      <w:bookmarkEnd w:id="1127"/>
      <w:bookmarkEnd w:id="1128"/>
      <w:bookmarkEnd w:id="1129"/>
      <w:bookmarkEnd w:id="1130"/>
      <w:bookmarkEnd w:id="1131"/>
      <w:bookmarkEnd w:id="1132"/>
    </w:p>
    <w:p w14:paraId="6388BB5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（1）向承包人提交对等的支付担保。在承包人按合同条款第4.2条向发包人递交符合合同约定的履约担保的同时，发包人应当按照金额和条件对等的原则和</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或者其他经过承包人事先认可的格式向承包人递交一份支付担保。支付担保的有效期应当自本合同生效之日起至发包人实际支付竣工付款之日止。如果发包人无法获得一份不带具体截止日期的担保，支付担保中应当有“变更工程竣工付款支付日期的，保证期间按照变更后的竣工付款支付日期做相应调整”或类似约定的条款。支付担保应在发包人付清竣工付款之日后28天内退还给发包人。承包人不承担发包人与支付担保有关的任何利息或其它类似的费用或者收益。支付担保是本合同的附件。</w:t>
      </w:r>
    </w:p>
    <w:p w14:paraId="596F7EB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（2）按有关规定及时办理工程质量监督手续。</w:t>
      </w:r>
    </w:p>
    <w:p w14:paraId="6C81A3D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（3）根据建设行政主管部门和（或）城市建设档案管理机构的规定，收集、整理、立卷、归档工程资料，并按规定时间向建设行政主管部门或者城市建设档案管理机构移交规定的工程档案。</w:t>
      </w:r>
    </w:p>
    <w:p w14:paraId="0016239B">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14:paraId="43982B24">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（5）发包人应当履行合同约定的其他义务以及下述义务：</w:t>
      </w:r>
      <w:r>
        <w:rPr>
          <w:rFonts w:hint="eastAsia" w:asciiTheme="minorEastAsia" w:hAnsiTheme="minorEastAsia" w:eastAsiaTheme="minorEastAsia" w:cstheme="minorEastAsia"/>
          <w:color w:val="auto"/>
          <w:sz w:val="21"/>
          <w:szCs w:val="21"/>
          <w:highlight w:val="none"/>
          <w:u w:val="single"/>
        </w:rPr>
        <w:t xml:space="preserve">  /。  </w:t>
      </w:r>
    </w:p>
    <w:p w14:paraId="0EAAFBA0">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33" w:name="_Toc241459669"/>
      <w:bookmarkStart w:id="1134" w:name="_Toc342296428"/>
      <w:bookmarkStart w:id="1135" w:name="_Toc152045633"/>
      <w:bookmarkStart w:id="1136" w:name="_Toc152042411"/>
      <w:bookmarkStart w:id="1137" w:name="_Toc75511200"/>
      <w:bookmarkStart w:id="1138" w:name="_Toc144974601"/>
      <w:bookmarkStart w:id="1139" w:name="_Toc179632651"/>
      <w:bookmarkStart w:id="1140" w:name="_Toc6858"/>
      <w:r>
        <w:rPr>
          <w:rFonts w:hint="eastAsia" w:asciiTheme="minorEastAsia" w:hAnsiTheme="minorEastAsia" w:eastAsiaTheme="minorEastAsia" w:cstheme="minorEastAsia"/>
          <w:color w:val="auto"/>
          <w:sz w:val="21"/>
          <w:szCs w:val="21"/>
          <w:highlight w:val="none"/>
        </w:rPr>
        <w:t>3. 监理人</w:t>
      </w:r>
      <w:bookmarkEnd w:id="1133"/>
      <w:bookmarkEnd w:id="1134"/>
      <w:bookmarkEnd w:id="1135"/>
      <w:bookmarkEnd w:id="1136"/>
      <w:bookmarkEnd w:id="1137"/>
      <w:bookmarkEnd w:id="1138"/>
      <w:bookmarkEnd w:id="1139"/>
      <w:bookmarkEnd w:id="1140"/>
    </w:p>
    <w:p w14:paraId="5422601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41" w:name="_Toc24094"/>
      <w:bookmarkStart w:id="1142" w:name="_Toc75511201"/>
      <w:bookmarkStart w:id="1143" w:name="_Toc241459670"/>
      <w:bookmarkStart w:id="1144" w:name="_Toc152042412"/>
      <w:bookmarkStart w:id="1145" w:name="_Toc342296429"/>
      <w:bookmarkStart w:id="1146" w:name="_Toc144974602"/>
      <w:bookmarkStart w:id="1147" w:name="_Toc152045634"/>
      <w:bookmarkStart w:id="1148" w:name="_Toc179632652"/>
      <w:r>
        <w:rPr>
          <w:rFonts w:hint="eastAsia" w:asciiTheme="minorEastAsia" w:hAnsiTheme="minorEastAsia" w:eastAsiaTheme="minorEastAsia" w:cstheme="minorEastAsia"/>
          <w:color w:val="auto"/>
          <w:sz w:val="21"/>
          <w:szCs w:val="21"/>
          <w:highlight w:val="none"/>
        </w:rPr>
        <w:t>3.1 监理人的职责和权力</w:t>
      </w:r>
      <w:bookmarkEnd w:id="1141"/>
      <w:bookmarkEnd w:id="1142"/>
      <w:bookmarkEnd w:id="1143"/>
      <w:bookmarkEnd w:id="1144"/>
      <w:bookmarkEnd w:id="1145"/>
      <w:bookmarkEnd w:id="1146"/>
      <w:bookmarkEnd w:id="1147"/>
      <w:bookmarkEnd w:id="1148"/>
    </w:p>
    <w:p w14:paraId="274D7D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3.1.1须经发包人批准行使的权力：</w:t>
      </w:r>
      <w:r>
        <w:rPr>
          <w:rFonts w:hint="eastAsia" w:asciiTheme="minorEastAsia" w:hAnsiTheme="minorEastAsia" w:eastAsiaTheme="minorEastAsia" w:cstheme="minorEastAsia"/>
          <w:color w:val="auto"/>
          <w:sz w:val="21"/>
          <w:szCs w:val="21"/>
          <w:highlight w:val="none"/>
          <w:u w:val="single"/>
        </w:rPr>
        <w:t>（1）同意分包本工程的某些非主体和非关键性工作。（2）产生的费用增加额。（3）发布开工通知、暂停施工指示或者复工通知。（4）工程延长。（5）审查批准技术规范或设计的变更。（6）发出的变更指令，其单项工程变更或者累计变更涉及的金额超过了项目专用合同条款数据表规定的金额。（7）变更工作的单价。（8）有关暂列金额的使用。（9）暂估价金额。（10）索赔额</w:t>
      </w:r>
      <w:r>
        <w:rPr>
          <w:rFonts w:hint="eastAsia" w:asciiTheme="minorEastAsia" w:hAnsiTheme="minorEastAsia" w:eastAsiaTheme="minorEastAsia" w:cstheme="minorEastAsia"/>
          <w:color w:val="auto"/>
          <w:sz w:val="21"/>
          <w:szCs w:val="21"/>
          <w:highlight w:val="none"/>
        </w:rPr>
        <w:t>。不管通用合同条款第3.1.1项如何约定，监理人履行须经发包人批准行使的权力时，应当向承包人出示其行使该权力已经取得发包人批准的文件或者其他合法有效的证明。</w:t>
      </w:r>
    </w:p>
    <w:p w14:paraId="313DBA2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49" w:name="_Toc342296430"/>
      <w:bookmarkStart w:id="1150" w:name="_Toc241459671"/>
      <w:bookmarkStart w:id="1151" w:name="_Toc179632654"/>
      <w:bookmarkStart w:id="1152" w:name="_Toc152045636"/>
      <w:bookmarkStart w:id="1153" w:name="_Toc152042414"/>
      <w:bookmarkStart w:id="1154" w:name="_Toc75511202"/>
      <w:bookmarkStart w:id="1155" w:name="_Toc26842"/>
      <w:bookmarkStart w:id="1156" w:name="_Toc144974604"/>
      <w:r>
        <w:rPr>
          <w:rFonts w:hint="eastAsia" w:asciiTheme="minorEastAsia" w:hAnsiTheme="minorEastAsia" w:eastAsiaTheme="minorEastAsia" w:cstheme="minorEastAsia"/>
          <w:color w:val="auto"/>
          <w:sz w:val="21"/>
          <w:szCs w:val="21"/>
          <w:highlight w:val="none"/>
        </w:rPr>
        <w:t>3.3 监理人员</w:t>
      </w:r>
      <w:bookmarkEnd w:id="1149"/>
      <w:bookmarkEnd w:id="1150"/>
      <w:bookmarkEnd w:id="1151"/>
      <w:bookmarkEnd w:id="1152"/>
      <w:bookmarkEnd w:id="1153"/>
      <w:bookmarkEnd w:id="1154"/>
      <w:bookmarkEnd w:id="1155"/>
      <w:bookmarkEnd w:id="1156"/>
    </w:p>
    <w:p w14:paraId="44D9F9C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3.3.4总监理工程师不应将第3.5款约定应由总监理工程师作出确定的权力授权或者委托给其他监理人员。</w:t>
      </w:r>
    </w:p>
    <w:p w14:paraId="18DB1C9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57" w:name="_Toc30255"/>
      <w:bookmarkStart w:id="1158" w:name="_Toc144974605"/>
      <w:bookmarkStart w:id="1159" w:name="_Toc75511203"/>
      <w:bookmarkStart w:id="1160" w:name="_Toc342296431"/>
      <w:bookmarkStart w:id="1161" w:name="_Toc152042415"/>
      <w:bookmarkStart w:id="1162" w:name="_Toc179632655"/>
      <w:bookmarkStart w:id="1163" w:name="_Toc152045637"/>
      <w:bookmarkStart w:id="1164" w:name="_Toc241459672"/>
      <w:r>
        <w:rPr>
          <w:rFonts w:hint="eastAsia" w:asciiTheme="minorEastAsia" w:hAnsiTheme="minorEastAsia" w:eastAsiaTheme="minorEastAsia" w:cstheme="minorEastAsia"/>
          <w:color w:val="auto"/>
          <w:sz w:val="21"/>
          <w:szCs w:val="21"/>
          <w:highlight w:val="none"/>
        </w:rPr>
        <w:t>3.4 监理人的指示</w:t>
      </w:r>
      <w:bookmarkEnd w:id="1157"/>
      <w:bookmarkEnd w:id="1158"/>
      <w:bookmarkEnd w:id="1159"/>
      <w:bookmarkEnd w:id="1160"/>
      <w:bookmarkEnd w:id="1161"/>
      <w:bookmarkEnd w:id="1162"/>
      <w:bookmarkEnd w:id="1163"/>
      <w:bookmarkEnd w:id="1164"/>
    </w:p>
    <w:p w14:paraId="390AED6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3.4.4除通用合同条款已有的专门约定外，承包人只能从总监理工程师或按第3.3.1项授权的监理人员处取得指示，发包人应当通过监理人向承包人发出指示。</w:t>
      </w:r>
      <w:bookmarkStart w:id="1165" w:name="_Toc144974607"/>
      <w:bookmarkStart w:id="1166" w:name="_Toc152042417"/>
      <w:bookmarkStart w:id="1167" w:name="_Toc179632657"/>
      <w:bookmarkStart w:id="1168" w:name="_Toc152045639"/>
    </w:p>
    <w:p w14:paraId="131C8B6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69" w:name="_Toc75511204"/>
      <w:bookmarkStart w:id="1170" w:name="_Toc342296432"/>
      <w:bookmarkStart w:id="1171" w:name="_Toc641"/>
      <w:bookmarkStart w:id="1172" w:name="_Toc241459673"/>
      <w:r>
        <w:rPr>
          <w:rFonts w:hint="eastAsia" w:asciiTheme="minorEastAsia" w:hAnsiTheme="minorEastAsia" w:eastAsiaTheme="minorEastAsia" w:cstheme="minorEastAsia"/>
          <w:color w:val="auto"/>
          <w:sz w:val="21"/>
          <w:szCs w:val="21"/>
          <w:highlight w:val="none"/>
        </w:rPr>
        <w:t>3.6 监理人的宽恕</w:t>
      </w:r>
      <w:bookmarkEnd w:id="1169"/>
      <w:bookmarkEnd w:id="1170"/>
      <w:bookmarkEnd w:id="1171"/>
      <w:bookmarkEnd w:id="1172"/>
    </w:p>
    <w:p w14:paraId="58CB45D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072F74D5">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173" w:name="_Toc342296433"/>
      <w:bookmarkStart w:id="1174" w:name="_Toc18890"/>
      <w:bookmarkStart w:id="1175" w:name="_Toc241459674"/>
      <w:bookmarkStart w:id="1176" w:name="_Toc75511205"/>
      <w:r>
        <w:rPr>
          <w:rFonts w:hint="eastAsia" w:asciiTheme="minorEastAsia" w:hAnsiTheme="minorEastAsia" w:eastAsiaTheme="minorEastAsia" w:cstheme="minorEastAsia"/>
          <w:color w:val="auto"/>
          <w:sz w:val="21"/>
          <w:szCs w:val="21"/>
          <w:highlight w:val="none"/>
        </w:rPr>
        <w:t>4. 承包人</w:t>
      </w:r>
      <w:bookmarkEnd w:id="1165"/>
      <w:bookmarkEnd w:id="1166"/>
      <w:bookmarkEnd w:id="1167"/>
      <w:bookmarkEnd w:id="1168"/>
      <w:bookmarkEnd w:id="1173"/>
      <w:bookmarkEnd w:id="1174"/>
      <w:bookmarkEnd w:id="1175"/>
      <w:bookmarkEnd w:id="1176"/>
    </w:p>
    <w:p w14:paraId="5261B83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77" w:name="_Toc241459675"/>
      <w:bookmarkStart w:id="1178" w:name="_Toc342296434"/>
      <w:bookmarkStart w:id="1179" w:name="_Toc152045640"/>
      <w:bookmarkStart w:id="1180" w:name="_Toc21413"/>
      <w:bookmarkStart w:id="1181" w:name="_Toc75511206"/>
      <w:bookmarkStart w:id="1182" w:name="_Toc179632658"/>
      <w:bookmarkStart w:id="1183" w:name="_Toc144974608"/>
      <w:bookmarkStart w:id="1184" w:name="_Toc152042418"/>
      <w:r>
        <w:rPr>
          <w:rFonts w:hint="eastAsia" w:asciiTheme="minorEastAsia" w:hAnsiTheme="minorEastAsia" w:eastAsiaTheme="minorEastAsia" w:cstheme="minorEastAsia"/>
          <w:color w:val="auto"/>
          <w:sz w:val="21"/>
          <w:szCs w:val="21"/>
          <w:highlight w:val="none"/>
        </w:rPr>
        <w:t>4.1 承包人的一般义务</w:t>
      </w:r>
      <w:bookmarkEnd w:id="1177"/>
      <w:bookmarkEnd w:id="1178"/>
      <w:bookmarkEnd w:id="1179"/>
      <w:bookmarkEnd w:id="1180"/>
      <w:bookmarkEnd w:id="1181"/>
      <w:bookmarkEnd w:id="1182"/>
      <w:bookmarkEnd w:id="1183"/>
      <w:bookmarkEnd w:id="1184"/>
    </w:p>
    <w:p w14:paraId="31C4859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4.1.3除专用合同条款第5.2款约定由发包人提供的材料和工程设备和第6.2款约定由发包人提供的施工设备和临时设施外，承包人应负责提供为完成合同工作所需的劳务、材料、施工设备、工程设备和其他物品，并按合同约定负责临时设施的设计、建造、运行、维护、管理和拆除。</w:t>
      </w:r>
    </w:p>
    <w:p w14:paraId="40DF5C0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4.1.8为他人提供方便</w:t>
      </w:r>
    </w:p>
    <w:p w14:paraId="1C07A38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（1）承包人应当对在施工场地或者附近实施与合同工程有关的其他工作的独立承包人履行管理、协调、配合、照管和服务义务，由此发生的费用被认为已经包括在承包人的签约合同价（</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总报价）中，具体工作内容和要求包括：</w:t>
      </w:r>
      <w:r>
        <w:rPr>
          <w:rFonts w:hint="eastAsia" w:asciiTheme="minorEastAsia" w:hAnsiTheme="minorEastAsia" w:eastAsiaTheme="minorEastAsia" w:cstheme="minorEastAsia"/>
          <w:bCs/>
          <w:color w:val="auto"/>
          <w:sz w:val="21"/>
          <w:szCs w:val="21"/>
          <w:highlight w:val="none"/>
        </w:rPr>
        <w:t>1.承担施工安全保卫工作及非夜间施工照明的职责和要求：</w:t>
      </w:r>
      <w:r>
        <w:rPr>
          <w:rFonts w:hint="eastAsia" w:asciiTheme="minorEastAsia" w:hAnsiTheme="minorEastAsia" w:eastAsiaTheme="minorEastAsia" w:cstheme="minorEastAsia"/>
          <w:color w:val="auto"/>
          <w:sz w:val="21"/>
          <w:szCs w:val="21"/>
          <w:highlight w:val="none"/>
          <w:u w:val="single"/>
        </w:rPr>
        <w:t>符合北京市有关安全防护、文明施工的规定，满足施工条件。</w:t>
      </w:r>
    </w:p>
    <w:p w14:paraId="2E949F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2.需承包人办理的有关施工场地交通、环卫和施工噪音管理等手续：</w:t>
      </w:r>
      <w:r>
        <w:rPr>
          <w:rFonts w:hint="eastAsia" w:asciiTheme="minorEastAsia" w:hAnsiTheme="minorEastAsia" w:eastAsiaTheme="minorEastAsia" w:cstheme="minorEastAsia"/>
          <w:color w:val="auto"/>
          <w:sz w:val="21"/>
          <w:szCs w:val="21"/>
          <w:highlight w:val="none"/>
          <w:u w:val="single"/>
        </w:rPr>
        <w:t>均由承包人负责，开工前办理、协调完。</w:t>
      </w:r>
    </w:p>
    <w:p w14:paraId="7C02F8D7">
      <w:pPr>
        <w:pageBreakBefore w:val="0"/>
        <w:widowControl w:val="0"/>
        <w:kinsoku/>
        <w:wordWrap/>
        <w:overflowPunct/>
        <w:bidi w:val="0"/>
        <w:snapToGrid/>
        <w:spacing w:line="400" w:lineRule="exact"/>
        <w:ind w:firstLine="424" w:firstLineChars="202"/>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3.已完工程成品保护的特殊要求及费用承担：</w:t>
      </w:r>
      <w:r>
        <w:rPr>
          <w:rFonts w:hint="eastAsia" w:asciiTheme="minorEastAsia" w:hAnsiTheme="minorEastAsia" w:eastAsiaTheme="minorEastAsia" w:cstheme="minorEastAsia"/>
          <w:color w:val="auto"/>
          <w:sz w:val="21"/>
          <w:szCs w:val="21"/>
          <w:highlight w:val="none"/>
          <w:u w:val="single"/>
        </w:rPr>
        <w:t>已完工程未交付发包人前，承包人负责成品保护并承担费用。</w:t>
      </w:r>
    </w:p>
    <w:p w14:paraId="49F768E9">
      <w:pPr>
        <w:pageBreakBefore w:val="0"/>
        <w:widowControl w:val="0"/>
        <w:kinsoku/>
        <w:wordWrap/>
        <w:overflowPunct/>
        <w:bidi w:val="0"/>
        <w:snapToGrid/>
        <w:spacing w:line="400" w:lineRule="exact"/>
        <w:ind w:firstLine="394" w:firstLineChars="188"/>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4.施工场地周围地下管线和邻近建筑物、构筑物（含文物保护建筑）、古树名木的保护要求及费用承担：</w:t>
      </w:r>
      <w:r>
        <w:rPr>
          <w:rFonts w:hint="eastAsia" w:asciiTheme="minorEastAsia" w:hAnsiTheme="minorEastAsia" w:eastAsiaTheme="minorEastAsia" w:cstheme="minorEastAsia"/>
          <w:color w:val="auto"/>
          <w:sz w:val="21"/>
          <w:szCs w:val="21"/>
          <w:highlight w:val="none"/>
          <w:u w:val="single"/>
        </w:rPr>
        <w:t xml:space="preserve">见会签记录。若发现地下各种已有的现状管线及电缆等，必须通知监理人与发包人落实、配合、确定解决方案后进行实施，相关费用由发包人承担。如承包人未通知监理人和发包人，责任及费用由承包人自行承担。 </w:t>
      </w:r>
    </w:p>
    <w:p w14:paraId="3D2639A9">
      <w:pPr>
        <w:pageBreakBefore w:val="0"/>
        <w:widowControl w:val="0"/>
        <w:kinsoku/>
        <w:wordWrap/>
        <w:overflowPunct/>
        <w:bidi w:val="0"/>
        <w:snapToGrid/>
        <w:spacing w:line="400" w:lineRule="exact"/>
        <w:ind w:firstLine="394" w:firstLineChars="188"/>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bCs/>
          <w:color w:val="auto"/>
          <w:sz w:val="21"/>
          <w:szCs w:val="21"/>
          <w:highlight w:val="none"/>
        </w:rPr>
        <w:t>5.施工场地清洁卫生的要求：</w:t>
      </w:r>
      <w:r>
        <w:rPr>
          <w:rFonts w:hint="eastAsia" w:asciiTheme="minorEastAsia" w:hAnsiTheme="minorEastAsia" w:eastAsiaTheme="minorEastAsia" w:cstheme="minorEastAsia"/>
          <w:color w:val="auto"/>
          <w:sz w:val="21"/>
          <w:szCs w:val="21"/>
          <w:highlight w:val="none"/>
          <w:u w:val="single"/>
        </w:rPr>
        <w:t>达到北京市建设工程环境保护、文明施工现场标准，工程竣工后做到场地干净。</w:t>
      </w:r>
    </w:p>
    <w:p w14:paraId="5B3598D3">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（2）承包人还应按监理人指示为独立承包人以外的他人在施工场地或者附近实施与合同工程有关的其他工作提供可能的条件，可能发生费用由监理人按第3.5款商定或者确定。</w:t>
      </w:r>
    </w:p>
    <w:p w14:paraId="5CF50BA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4.1.10其他义务  </w:t>
      </w:r>
    </w:p>
    <w:p w14:paraId="7782849C">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根据发包人委托，在其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总报价）中。由承包人承担的施工图设计或与工程配套的设计工作内容：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78586B39">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（2）承包人应履行合同约定的其他义务以及下述义务：</w:t>
      </w:r>
      <w:r>
        <w:rPr>
          <w:rFonts w:hint="eastAsia" w:asciiTheme="minorEastAsia" w:hAnsiTheme="minorEastAsia" w:eastAsiaTheme="minorEastAsia" w:cstheme="minorEastAsia"/>
          <w:color w:val="auto"/>
          <w:sz w:val="21"/>
          <w:szCs w:val="21"/>
          <w:highlight w:val="none"/>
          <w:u w:val="single"/>
        </w:rPr>
        <w:t xml:space="preserve">  /。</w:t>
      </w:r>
    </w:p>
    <w:p w14:paraId="6458C0F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85" w:name="_Toc27045"/>
      <w:bookmarkStart w:id="1186" w:name="_Toc241459676"/>
      <w:bookmarkStart w:id="1187" w:name="_Toc75511207"/>
      <w:bookmarkStart w:id="1188" w:name="_Toc342296435"/>
      <w:bookmarkStart w:id="1189" w:name="_Toc179632660"/>
      <w:bookmarkStart w:id="1190" w:name="_Toc152042420"/>
      <w:bookmarkStart w:id="1191" w:name="_Toc152045642"/>
      <w:bookmarkStart w:id="1192" w:name="_Toc144974610"/>
      <w:r>
        <w:rPr>
          <w:rFonts w:hint="eastAsia" w:asciiTheme="minorEastAsia" w:hAnsiTheme="minorEastAsia" w:eastAsiaTheme="minorEastAsia" w:cstheme="minorEastAsia"/>
          <w:color w:val="auto"/>
          <w:sz w:val="21"/>
          <w:szCs w:val="21"/>
          <w:highlight w:val="none"/>
        </w:rPr>
        <w:t>4.2 履约担保</w:t>
      </w:r>
      <w:bookmarkEnd w:id="1185"/>
      <w:bookmarkEnd w:id="1186"/>
      <w:bookmarkEnd w:id="1187"/>
      <w:bookmarkEnd w:id="1188"/>
      <w:r>
        <w:rPr>
          <w:rFonts w:hint="eastAsia" w:asciiTheme="minorEastAsia" w:hAnsiTheme="minorEastAsia" w:eastAsiaTheme="minorEastAsia" w:cstheme="minorEastAsia"/>
          <w:color w:val="auto"/>
          <w:sz w:val="21"/>
          <w:szCs w:val="21"/>
          <w:highlight w:val="none"/>
        </w:rPr>
        <w:t xml:space="preserve"> </w:t>
      </w:r>
    </w:p>
    <w:p w14:paraId="12F3734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4.2.1履约担保的格式和金额</w:t>
      </w:r>
    </w:p>
    <w:p w14:paraId="12B59CD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承包人应在签订合同前，按照发包人在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文件中规定的格式或者其他经过发包人认可的格式向发包人递交一份履约担保。经过发包人事先书面认可的其他格式的履约担保，其担保条款的实质性内容应当与发包人在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文件中规定的格式内容保持一致。履约担保的金额为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。履约担保是本合同的附件。</w:t>
      </w:r>
    </w:p>
    <w:p w14:paraId="6D624DA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4.2.2履约担保的有效期</w:t>
      </w:r>
    </w:p>
    <w:p w14:paraId="5F6031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w:t>
      </w:r>
    </w:p>
    <w:p w14:paraId="2D8B61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4.2.3履约担保的退还</w:t>
      </w:r>
    </w:p>
    <w:p w14:paraId="6CC065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履约担保应在监理人向承包人颁发（出具）工程接收证书之日后28天内退还给承包人。发包人不承担承包人与履约担保有关的任何利息或其它类似的费用或者收益。</w:t>
      </w:r>
    </w:p>
    <w:p w14:paraId="7958F6E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4.2.4通知义务</w:t>
      </w:r>
    </w:p>
    <w:p w14:paraId="312BDB2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管履约担保条款中如何约定，发包人根据担保条款提出索赔或兑现要求28天前，应通知承包人并说明导致此类索赔或兑现的违约性质或原因。相应地，不管专用合同条款2.8(1)目约定的支付担保条款中如何约定，承包人根据担保条款提出索赔或兑现要求28天前，也应通知发包人并说明导致此类索赔或兑现的违约性质或原因。但是，本项约定的通知不应理解为是在任何意义上寻求承包人或者发包人的同意。</w:t>
      </w:r>
    </w:p>
    <w:p w14:paraId="637B2B7E">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193" w:name="_Toc21727"/>
      <w:bookmarkStart w:id="1194" w:name="_Toc241459677"/>
      <w:bookmarkStart w:id="1195" w:name="_Toc342296436"/>
      <w:bookmarkStart w:id="1196" w:name="_Toc75511208"/>
      <w:r>
        <w:rPr>
          <w:rFonts w:hint="eastAsia" w:asciiTheme="minorEastAsia" w:hAnsiTheme="minorEastAsia" w:eastAsiaTheme="minorEastAsia" w:cstheme="minorEastAsia"/>
          <w:color w:val="auto"/>
          <w:sz w:val="21"/>
          <w:szCs w:val="21"/>
          <w:highlight w:val="none"/>
        </w:rPr>
        <w:t>4.3 分包</w:t>
      </w:r>
      <w:bookmarkEnd w:id="1189"/>
      <w:bookmarkEnd w:id="1190"/>
      <w:bookmarkEnd w:id="1191"/>
      <w:bookmarkEnd w:id="1192"/>
      <w:bookmarkEnd w:id="1193"/>
      <w:bookmarkEnd w:id="1194"/>
      <w:bookmarkEnd w:id="1195"/>
      <w:bookmarkEnd w:id="1196"/>
      <w:r>
        <w:rPr>
          <w:rFonts w:hint="eastAsia" w:asciiTheme="minorEastAsia" w:hAnsiTheme="minorEastAsia" w:eastAsiaTheme="minorEastAsia" w:cstheme="minorEastAsia"/>
          <w:color w:val="auto"/>
          <w:sz w:val="21"/>
          <w:szCs w:val="21"/>
          <w:highlight w:val="none"/>
        </w:rPr>
        <w:t xml:space="preserve"> </w:t>
      </w:r>
    </w:p>
    <w:p w14:paraId="2144567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4.3.2发包人同意承包人分包的非主体、非关键性工作见</w:t>
      </w:r>
      <w:r>
        <w:rPr>
          <w:rFonts w:hint="eastAsia" w:asciiTheme="minorEastAsia" w:hAnsiTheme="minorEastAsia" w:eastAsiaTheme="minorEastAsia" w:cstheme="minorEastAsia"/>
          <w:color w:val="auto"/>
          <w:sz w:val="21"/>
          <w:szCs w:val="21"/>
          <w:highlight w:val="none"/>
          <w:lang w:eastAsia="zh-CN"/>
        </w:rPr>
        <w:t>报价函</w:t>
      </w:r>
      <w:r>
        <w:rPr>
          <w:rFonts w:hint="eastAsia" w:asciiTheme="minorEastAsia" w:hAnsiTheme="minorEastAsia" w:eastAsiaTheme="minorEastAsia" w:cstheme="minorEastAsia"/>
          <w:color w:val="auto"/>
          <w:sz w:val="21"/>
          <w:szCs w:val="21"/>
          <w:highlight w:val="none"/>
        </w:rPr>
        <w:t>附录。除通用合同条款第4.3款的约定外，分包还应遵循以下约定：</w:t>
      </w:r>
    </w:p>
    <w:p w14:paraId="4E10283E">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（1）除</w:t>
      </w:r>
      <w:r>
        <w:rPr>
          <w:rFonts w:hint="eastAsia" w:asciiTheme="minorEastAsia" w:hAnsiTheme="minorEastAsia" w:eastAsiaTheme="minorEastAsia" w:cstheme="minorEastAsia"/>
          <w:color w:val="auto"/>
          <w:sz w:val="21"/>
          <w:szCs w:val="21"/>
          <w:highlight w:val="none"/>
          <w:lang w:eastAsia="zh-CN"/>
        </w:rPr>
        <w:t>报价函</w:t>
      </w:r>
      <w:r>
        <w:rPr>
          <w:rFonts w:hint="eastAsia" w:asciiTheme="minorEastAsia" w:hAnsiTheme="minorEastAsia" w:eastAsiaTheme="minorEastAsia" w:cstheme="minorEastAsia"/>
          <w:color w:val="auto"/>
          <w:sz w:val="21"/>
          <w:szCs w:val="21"/>
          <w:highlight w:val="none"/>
        </w:rPr>
        <w:t>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16692835">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（2）发包人在工程量清单中给定暂估价的专业工程，包括从暂列金额开支的专业工程，达到依法应当</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的规模标准的，以及虽未达到规定的规模标准但合同中约定采用分包方式或者</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方式实施的，应当按专用合同条款第15.8.1项的约定，由发包人和承包人以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方式确定专业分包人。除项目审批部门有特别核准外，暂估价的专业工程的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应当采用与施工总承包同样的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w:t>
      </w:r>
    </w:p>
    <w:p w14:paraId="6A25151A">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（3）在相关分包合同签订并报送有关建设行政主管部门备案后7天内，承包人应当将一份副本提交给监理人，承包人应保障分包工作不得再次分包。</w:t>
      </w:r>
    </w:p>
    <w:p w14:paraId="53D60D16">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045857AD">
      <w:pPr>
        <w:pageBreakBefore w:val="0"/>
        <w:widowControl w:val="0"/>
        <w:kinsoku/>
        <w:wordWrap/>
        <w:overflowPunct/>
        <w:bidi w:val="0"/>
        <w:snapToGrid/>
        <w:spacing w:line="400" w:lineRule="exact"/>
        <w:ind w:firstLine="315" w:firstLineChars="150"/>
        <w:jc w:val="both"/>
        <w:textAlignment w:val="auto"/>
        <w:outlineLvl w:val="9"/>
        <w:rPr>
          <w:rFonts w:hint="eastAsia" w:asciiTheme="minorEastAsia" w:hAnsiTheme="minorEastAsia" w:eastAsiaTheme="minorEastAsia" w:cstheme="minorEastAsia"/>
          <w:color w:val="auto"/>
          <w:sz w:val="21"/>
          <w:szCs w:val="21"/>
          <w:highlight w:val="none"/>
        </w:rPr>
      </w:pPr>
      <w:bookmarkStart w:id="1197" w:name="_Toc152042422"/>
      <w:bookmarkStart w:id="1198" w:name="_Toc152045644"/>
      <w:bookmarkStart w:id="1199" w:name="_Toc179632662"/>
      <w:bookmarkStart w:id="1200" w:name="_Toc144974612"/>
      <w:r>
        <w:rPr>
          <w:rFonts w:hint="eastAsia" w:asciiTheme="minorEastAsia" w:hAnsiTheme="minorEastAsia" w:eastAsiaTheme="minorEastAsia" w:cstheme="minorEastAsia"/>
          <w:color w:val="auto"/>
          <w:sz w:val="21"/>
          <w:szCs w:val="21"/>
          <w:highlight w:val="none"/>
        </w:rPr>
        <w:t>（5）未经发包人和监理人审批同意的分包工程和分包人，发包人有权拒绝验收分包工程和支付相应款项，由此引起的承包人费用增加和（或）延误的工期由承包人承担。</w:t>
      </w:r>
    </w:p>
    <w:p w14:paraId="3D0FD49D">
      <w:pPr>
        <w:pStyle w:val="6"/>
        <w:pageBreakBefore w:val="0"/>
        <w:widowControl w:val="0"/>
        <w:tabs>
          <w:tab w:val="left" w:pos="567"/>
        </w:tabs>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4.3.3本项目</w:t>
      </w:r>
      <w:r>
        <w:rPr>
          <w:rFonts w:hint="eastAsia" w:asciiTheme="minorEastAsia" w:hAnsiTheme="minorEastAsia" w:eastAsiaTheme="minorEastAsia" w:cstheme="minorEastAsia"/>
          <w:color w:val="auto"/>
          <w:sz w:val="21"/>
          <w:szCs w:val="21"/>
          <w:highlight w:val="none"/>
          <w:u w:val="single"/>
          <w:lang w:val="en-US" w:eastAsia="zh-CN"/>
        </w:rPr>
        <w:t xml:space="preserve">  不允许  </w:t>
      </w:r>
      <w:r>
        <w:rPr>
          <w:rFonts w:hint="eastAsia" w:asciiTheme="minorEastAsia" w:hAnsiTheme="minorEastAsia" w:eastAsiaTheme="minorEastAsia" w:cstheme="minorEastAsia"/>
          <w:color w:val="auto"/>
          <w:sz w:val="21"/>
          <w:szCs w:val="21"/>
          <w:highlight w:val="none"/>
          <w:lang w:val="en-US" w:eastAsia="zh-CN"/>
        </w:rPr>
        <w:t>分包</w:t>
      </w:r>
    </w:p>
    <w:p w14:paraId="471201D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01" w:name="_Toc75511209"/>
      <w:bookmarkStart w:id="1202" w:name="_Toc342296437"/>
      <w:bookmarkStart w:id="1203" w:name="_Toc241459678"/>
      <w:bookmarkStart w:id="1204" w:name="_Toc29612"/>
      <w:r>
        <w:rPr>
          <w:rFonts w:hint="eastAsia" w:asciiTheme="minorEastAsia" w:hAnsiTheme="minorEastAsia" w:eastAsiaTheme="minorEastAsia" w:cstheme="minorEastAsia"/>
          <w:color w:val="auto"/>
          <w:sz w:val="21"/>
          <w:szCs w:val="21"/>
          <w:highlight w:val="none"/>
        </w:rPr>
        <w:t>4.5 承包人项目经理</w:t>
      </w:r>
      <w:bookmarkEnd w:id="1197"/>
      <w:bookmarkEnd w:id="1198"/>
      <w:bookmarkEnd w:id="1199"/>
      <w:bookmarkEnd w:id="1200"/>
      <w:bookmarkEnd w:id="1201"/>
      <w:bookmarkEnd w:id="1202"/>
      <w:bookmarkEnd w:id="1203"/>
      <w:bookmarkEnd w:id="1204"/>
    </w:p>
    <w:p w14:paraId="0698EFF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4.5.1承包人项目经理必须与承包人</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时所承诺的人员一致，并在根据通用合同条款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14:paraId="5B22E7D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05" w:name="_Toc179632668"/>
      <w:bookmarkStart w:id="1206" w:name="_Toc144974618"/>
      <w:bookmarkStart w:id="1207" w:name="_Toc152045650"/>
      <w:bookmarkStart w:id="1208" w:name="_Toc152042428"/>
      <w:bookmarkStart w:id="1209" w:name="_Toc32070"/>
      <w:bookmarkStart w:id="1210" w:name="_Toc75511210"/>
      <w:bookmarkStart w:id="1211" w:name="_Toc342296438"/>
      <w:bookmarkStart w:id="1212" w:name="_Toc241459679"/>
      <w:r>
        <w:rPr>
          <w:rFonts w:hint="eastAsia" w:asciiTheme="minorEastAsia" w:hAnsiTheme="minorEastAsia" w:eastAsiaTheme="minorEastAsia" w:cstheme="minorEastAsia"/>
          <w:color w:val="auto"/>
          <w:sz w:val="21"/>
          <w:szCs w:val="21"/>
          <w:highlight w:val="none"/>
        </w:rPr>
        <w:t>4.11 不利物质条件</w:t>
      </w:r>
      <w:bookmarkEnd w:id="1205"/>
      <w:bookmarkEnd w:id="1206"/>
      <w:bookmarkEnd w:id="1207"/>
      <w:bookmarkEnd w:id="1208"/>
      <w:bookmarkEnd w:id="1209"/>
      <w:bookmarkEnd w:id="1210"/>
      <w:bookmarkEnd w:id="1211"/>
      <w:bookmarkEnd w:id="1212"/>
    </w:p>
    <w:p w14:paraId="26E8559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bookmarkStart w:id="1213" w:name="_Toc152045651"/>
      <w:bookmarkStart w:id="1214" w:name="_Toc144974619"/>
      <w:bookmarkStart w:id="1215" w:name="_Toc152042429"/>
      <w:bookmarkStart w:id="1216" w:name="_Toc179632669"/>
      <w:r>
        <w:rPr>
          <w:rFonts w:hint="eastAsia" w:asciiTheme="minorEastAsia" w:hAnsiTheme="minorEastAsia" w:eastAsiaTheme="minorEastAsia" w:cstheme="minorEastAsia"/>
          <w:color w:val="auto"/>
          <w:sz w:val="21"/>
          <w:szCs w:val="21"/>
          <w:highlight w:val="none"/>
        </w:rPr>
        <w:t>4.11.1不利物质条件的范围：</w:t>
      </w:r>
      <w:r>
        <w:rPr>
          <w:rFonts w:hint="eastAsia" w:asciiTheme="minorEastAsia" w:hAnsiTheme="minorEastAsia" w:eastAsiaTheme="minorEastAsia" w:cstheme="minorEastAsia"/>
          <w:color w:val="auto"/>
          <w:sz w:val="21"/>
          <w:szCs w:val="21"/>
          <w:highlight w:val="none"/>
          <w:u w:val="single"/>
        </w:rPr>
        <w:t>地下已存在的但未探明的非自然物质障碍和污染物等</w:t>
      </w:r>
      <w:r>
        <w:rPr>
          <w:rFonts w:hint="eastAsia" w:asciiTheme="minorEastAsia" w:hAnsiTheme="minorEastAsia" w:eastAsiaTheme="minorEastAsia" w:cstheme="minorEastAsia"/>
          <w:color w:val="auto"/>
          <w:sz w:val="21"/>
          <w:szCs w:val="21"/>
          <w:highlight w:val="none"/>
        </w:rPr>
        <w:t>。</w:t>
      </w:r>
    </w:p>
    <w:p w14:paraId="42D7654B">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17" w:name="_Toc22572"/>
      <w:bookmarkStart w:id="1218" w:name="_Toc342296439"/>
      <w:bookmarkStart w:id="1219" w:name="_Toc241459680"/>
      <w:bookmarkStart w:id="1220" w:name="_Toc75511211"/>
      <w:r>
        <w:rPr>
          <w:rFonts w:hint="eastAsia" w:asciiTheme="minorEastAsia" w:hAnsiTheme="minorEastAsia" w:eastAsiaTheme="minorEastAsia" w:cstheme="minorEastAsia"/>
          <w:color w:val="auto"/>
          <w:sz w:val="21"/>
          <w:szCs w:val="21"/>
          <w:highlight w:val="none"/>
        </w:rPr>
        <w:t>5. 材料和工程设备</w:t>
      </w:r>
      <w:bookmarkEnd w:id="1213"/>
      <w:bookmarkEnd w:id="1214"/>
      <w:bookmarkEnd w:id="1215"/>
      <w:bookmarkEnd w:id="1216"/>
      <w:bookmarkEnd w:id="1217"/>
      <w:bookmarkEnd w:id="1218"/>
      <w:bookmarkEnd w:id="1219"/>
      <w:bookmarkEnd w:id="1220"/>
    </w:p>
    <w:p w14:paraId="48C4221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21" w:name="_Toc75511212"/>
      <w:bookmarkStart w:id="1222" w:name="_Toc342296440"/>
      <w:bookmarkStart w:id="1223" w:name="_Toc144974620"/>
      <w:bookmarkStart w:id="1224" w:name="_Toc9038"/>
      <w:bookmarkStart w:id="1225" w:name="_Toc241459681"/>
      <w:bookmarkStart w:id="1226" w:name="_Toc152042430"/>
      <w:bookmarkStart w:id="1227" w:name="_Toc152045652"/>
      <w:bookmarkStart w:id="1228" w:name="_Toc179632670"/>
      <w:r>
        <w:rPr>
          <w:rFonts w:hint="eastAsia" w:asciiTheme="minorEastAsia" w:hAnsiTheme="minorEastAsia" w:eastAsiaTheme="minorEastAsia" w:cstheme="minorEastAsia"/>
          <w:color w:val="auto"/>
          <w:sz w:val="21"/>
          <w:szCs w:val="21"/>
          <w:highlight w:val="none"/>
        </w:rPr>
        <w:t>5.1 承包人提供的材料和工程设备</w:t>
      </w:r>
      <w:bookmarkEnd w:id="1221"/>
      <w:bookmarkEnd w:id="1222"/>
      <w:bookmarkEnd w:id="1223"/>
      <w:bookmarkEnd w:id="1224"/>
      <w:bookmarkEnd w:id="1225"/>
      <w:bookmarkEnd w:id="1226"/>
      <w:bookmarkEnd w:id="1227"/>
      <w:bookmarkEnd w:id="1228"/>
    </w:p>
    <w:p w14:paraId="779B549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5.1.1除专用合同条款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的范围并达到规定的规模标准的，以及虽不属于依法必须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的范围但合同中约定采用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方式采购的，应当按专用合同条款第15.8.1项的约定，由发包人和承包人以</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方式确定专项供应商。承包人负责提供的主要材料和工程设备清单见合同附件二“承包人提供的材料和工程设备一览表”。</w:t>
      </w:r>
    </w:p>
    <w:p w14:paraId="46AF6BD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5.1.2承包人将由其提供的材料和工程设备的供货人及品种、规格、数量和供货时间等报送监理人审批的期限：</w:t>
      </w:r>
      <w:r>
        <w:rPr>
          <w:rFonts w:hint="eastAsia" w:asciiTheme="minorEastAsia" w:hAnsiTheme="minorEastAsia" w:eastAsiaTheme="minorEastAsia" w:cstheme="minorEastAsia"/>
          <w:color w:val="auto"/>
          <w:sz w:val="21"/>
          <w:szCs w:val="21"/>
          <w:highlight w:val="none"/>
          <w:u w:val="single"/>
        </w:rPr>
        <w:t>三个工作日</w:t>
      </w:r>
      <w:r>
        <w:rPr>
          <w:rFonts w:hint="eastAsia" w:asciiTheme="minorEastAsia" w:hAnsiTheme="minorEastAsia" w:eastAsiaTheme="minorEastAsia" w:cstheme="minorEastAsia"/>
          <w:color w:val="auto"/>
          <w:sz w:val="21"/>
          <w:szCs w:val="21"/>
          <w:highlight w:val="none"/>
        </w:rPr>
        <w:t xml:space="preserve">。 </w:t>
      </w:r>
    </w:p>
    <w:p w14:paraId="32C3C92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29" w:name="_Toc152045653"/>
      <w:bookmarkStart w:id="1230" w:name="_Toc9627"/>
      <w:bookmarkStart w:id="1231" w:name="_Toc179632671"/>
      <w:bookmarkStart w:id="1232" w:name="_Toc144974621"/>
      <w:bookmarkStart w:id="1233" w:name="_Toc342296441"/>
      <w:bookmarkStart w:id="1234" w:name="_Toc241459682"/>
      <w:bookmarkStart w:id="1235" w:name="_Toc152042431"/>
      <w:bookmarkStart w:id="1236" w:name="_Toc75511213"/>
      <w:r>
        <w:rPr>
          <w:rFonts w:hint="eastAsia" w:asciiTheme="minorEastAsia" w:hAnsiTheme="minorEastAsia" w:eastAsiaTheme="minorEastAsia" w:cstheme="minorEastAsia"/>
          <w:color w:val="auto"/>
          <w:sz w:val="21"/>
          <w:szCs w:val="21"/>
          <w:highlight w:val="none"/>
        </w:rPr>
        <w:t>5.2 发包人提供的材料和工程设备</w:t>
      </w:r>
      <w:bookmarkEnd w:id="1229"/>
      <w:bookmarkEnd w:id="1230"/>
      <w:bookmarkEnd w:id="1231"/>
      <w:bookmarkEnd w:id="1232"/>
      <w:bookmarkEnd w:id="1233"/>
      <w:bookmarkEnd w:id="1234"/>
      <w:bookmarkEnd w:id="1235"/>
      <w:bookmarkEnd w:id="1236"/>
    </w:p>
    <w:p w14:paraId="1D103CC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5.2.1发包人负责提供的材料和工程设备的名称、规格、数量、价格、交货方式、交货地点和计划交货日期等见合同附件三“发包人提供的材料和工程设备一览表”。</w:t>
      </w:r>
    </w:p>
    <w:p w14:paraId="6200BC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5.2.3由发包人提供的材料和工程设备验收后，由承包人负责接收、运输和保管。 </w:t>
      </w:r>
    </w:p>
    <w:p w14:paraId="3F1898BA">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37" w:name="_Toc342296442"/>
      <w:bookmarkStart w:id="1238" w:name="_Toc152045656"/>
      <w:bookmarkStart w:id="1239" w:name="_Toc241459683"/>
      <w:bookmarkStart w:id="1240" w:name="_Toc144974624"/>
      <w:bookmarkStart w:id="1241" w:name="_Toc152042434"/>
      <w:bookmarkStart w:id="1242" w:name="_Toc19976"/>
      <w:bookmarkStart w:id="1243" w:name="_Toc75511214"/>
      <w:bookmarkStart w:id="1244" w:name="_Toc179632674"/>
      <w:r>
        <w:rPr>
          <w:rFonts w:hint="eastAsia" w:asciiTheme="minorEastAsia" w:hAnsiTheme="minorEastAsia" w:eastAsiaTheme="minorEastAsia" w:cstheme="minorEastAsia"/>
          <w:color w:val="auto"/>
          <w:sz w:val="21"/>
          <w:szCs w:val="21"/>
          <w:highlight w:val="none"/>
        </w:rPr>
        <w:t>6. 施工设备和临时设施</w:t>
      </w:r>
      <w:bookmarkEnd w:id="1237"/>
      <w:bookmarkEnd w:id="1238"/>
      <w:bookmarkEnd w:id="1239"/>
      <w:bookmarkEnd w:id="1240"/>
      <w:bookmarkEnd w:id="1241"/>
      <w:bookmarkEnd w:id="1242"/>
      <w:bookmarkEnd w:id="1243"/>
      <w:bookmarkEnd w:id="1244"/>
    </w:p>
    <w:p w14:paraId="015D090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45" w:name="_Toc152042435"/>
      <w:bookmarkStart w:id="1246" w:name="_Toc30579"/>
      <w:bookmarkStart w:id="1247" w:name="_Toc144974625"/>
      <w:bookmarkStart w:id="1248" w:name="_Toc152045657"/>
      <w:bookmarkStart w:id="1249" w:name="_Toc179632675"/>
      <w:bookmarkStart w:id="1250" w:name="_Toc75511215"/>
      <w:bookmarkStart w:id="1251" w:name="_Toc342296443"/>
      <w:bookmarkStart w:id="1252" w:name="_Toc241459684"/>
      <w:r>
        <w:rPr>
          <w:rFonts w:hint="eastAsia" w:asciiTheme="minorEastAsia" w:hAnsiTheme="minorEastAsia" w:eastAsiaTheme="minorEastAsia" w:cstheme="minorEastAsia"/>
          <w:color w:val="auto"/>
          <w:sz w:val="21"/>
          <w:szCs w:val="21"/>
          <w:highlight w:val="none"/>
        </w:rPr>
        <w:t>6.1 承包人提供的施工设备和临时设施</w:t>
      </w:r>
      <w:bookmarkEnd w:id="1245"/>
      <w:bookmarkEnd w:id="1246"/>
      <w:bookmarkEnd w:id="1247"/>
      <w:bookmarkEnd w:id="1248"/>
      <w:bookmarkEnd w:id="1249"/>
      <w:bookmarkEnd w:id="1250"/>
      <w:bookmarkEnd w:id="1251"/>
      <w:bookmarkEnd w:id="1252"/>
    </w:p>
    <w:p w14:paraId="22E119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6.1.2发包人承担修建临时设施的费用的范围：</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0F3F5AA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需要发包人办理申请手续和承担相关费用的临时占地：</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 </w:t>
      </w:r>
    </w:p>
    <w:p w14:paraId="0D33491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53" w:name="_Toc241459685"/>
      <w:bookmarkStart w:id="1254" w:name="_Toc342296444"/>
      <w:bookmarkStart w:id="1255" w:name="_Toc152045658"/>
      <w:bookmarkStart w:id="1256" w:name="_Toc16650"/>
      <w:bookmarkStart w:id="1257" w:name="_Toc179632676"/>
      <w:bookmarkStart w:id="1258" w:name="_Toc144974626"/>
      <w:bookmarkStart w:id="1259" w:name="_Toc75511216"/>
      <w:bookmarkStart w:id="1260" w:name="_Toc152042436"/>
      <w:r>
        <w:rPr>
          <w:rFonts w:hint="eastAsia" w:asciiTheme="minorEastAsia" w:hAnsiTheme="minorEastAsia" w:eastAsiaTheme="minorEastAsia" w:cstheme="minorEastAsia"/>
          <w:color w:val="auto"/>
          <w:sz w:val="21"/>
          <w:szCs w:val="21"/>
          <w:highlight w:val="none"/>
        </w:rPr>
        <w:t>6.2 发包人提供的施工设备和临时设施</w:t>
      </w:r>
      <w:bookmarkEnd w:id="1253"/>
      <w:bookmarkEnd w:id="1254"/>
      <w:bookmarkEnd w:id="1255"/>
      <w:bookmarkEnd w:id="1256"/>
      <w:bookmarkEnd w:id="1257"/>
      <w:bookmarkEnd w:id="1258"/>
      <w:bookmarkEnd w:id="1259"/>
      <w:bookmarkEnd w:id="1260"/>
    </w:p>
    <w:p w14:paraId="64D1FFA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发包人提供的施工设备和临时设施：</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FA0DA4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发包人提供的施工设备和临时设施的运行、维护、拆除、清运费用的承担人：</w:t>
      </w:r>
      <w:r>
        <w:rPr>
          <w:rFonts w:hint="eastAsia" w:asciiTheme="minorEastAsia" w:hAnsiTheme="minorEastAsia" w:eastAsiaTheme="minorEastAsia" w:cstheme="minorEastAsia"/>
          <w:color w:val="auto"/>
          <w:sz w:val="21"/>
          <w:szCs w:val="21"/>
          <w:highlight w:val="none"/>
          <w:u w:val="single"/>
        </w:rPr>
        <w:t xml:space="preserve">  无  </w:t>
      </w:r>
      <w:r>
        <w:rPr>
          <w:rFonts w:hint="eastAsia" w:asciiTheme="minorEastAsia" w:hAnsiTheme="minorEastAsia" w:eastAsiaTheme="minorEastAsia" w:cstheme="minorEastAsia"/>
          <w:color w:val="auto"/>
          <w:sz w:val="21"/>
          <w:szCs w:val="21"/>
          <w:highlight w:val="none"/>
        </w:rPr>
        <w:t xml:space="preserve"> 。</w:t>
      </w:r>
    </w:p>
    <w:p w14:paraId="22CE84C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61" w:name="_Toc342296445"/>
      <w:bookmarkStart w:id="1262" w:name="_Toc152045660"/>
      <w:bookmarkStart w:id="1263" w:name="_Toc152042438"/>
      <w:bookmarkStart w:id="1264" w:name="_Toc241459686"/>
      <w:bookmarkStart w:id="1265" w:name="_Toc179632678"/>
      <w:bookmarkStart w:id="1266" w:name="_Toc144974628"/>
      <w:bookmarkStart w:id="1267" w:name="_Toc18671"/>
      <w:bookmarkStart w:id="1268" w:name="_Toc75511217"/>
      <w:r>
        <w:rPr>
          <w:rFonts w:hint="eastAsia" w:asciiTheme="minorEastAsia" w:hAnsiTheme="minorEastAsia" w:eastAsiaTheme="minorEastAsia" w:cstheme="minorEastAsia"/>
          <w:color w:val="auto"/>
          <w:sz w:val="21"/>
          <w:szCs w:val="21"/>
          <w:highlight w:val="none"/>
        </w:rPr>
        <w:t>6.4 施工设备和临时设施专用于合同工程</w:t>
      </w:r>
      <w:bookmarkEnd w:id="1261"/>
      <w:bookmarkEnd w:id="1262"/>
      <w:bookmarkEnd w:id="1263"/>
      <w:bookmarkEnd w:id="1264"/>
      <w:bookmarkEnd w:id="1265"/>
      <w:bookmarkEnd w:id="1266"/>
      <w:bookmarkEnd w:id="1267"/>
      <w:bookmarkEnd w:id="1268"/>
    </w:p>
    <w:p w14:paraId="0DE049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bdr w:val="single" w:color="auto" w:sz="4" w:space="0"/>
        </w:rPr>
      </w:pPr>
      <w:r>
        <w:rPr>
          <w:rFonts w:hint="eastAsia" w:asciiTheme="minorEastAsia" w:hAnsiTheme="minorEastAsia" w:eastAsiaTheme="minorEastAsia" w:cstheme="minorEastAsia"/>
          <w:color w:val="auto"/>
          <w:sz w:val="21"/>
          <w:szCs w:val="21"/>
          <w:highlight w:val="none"/>
        </w:rPr>
        <w:t>6.4.1除为专用合同条款第4.1.8项约定的其他独立承包人和监理人指示的他人提供条件外,承包人运入施工场地的所有施工设备以及在施工场地建设的临时设施仅限于用于合同工程。</w:t>
      </w:r>
    </w:p>
    <w:p w14:paraId="0A1D2CA7">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269" w:name="_Toc241459687"/>
      <w:bookmarkStart w:id="1270" w:name="_Toc8374"/>
      <w:bookmarkStart w:id="1271" w:name="_Toc152045661"/>
      <w:bookmarkStart w:id="1272" w:name="_Toc144974629"/>
      <w:bookmarkStart w:id="1273" w:name="_Toc179632679"/>
      <w:bookmarkStart w:id="1274" w:name="_Toc152042439"/>
      <w:bookmarkStart w:id="1275" w:name="_Toc75511218"/>
      <w:bookmarkStart w:id="1276" w:name="_Toc342296446"/>
      <w:r>
        <w:rPr>
          <w:rFonts w:hint="eastAsia" w:asciiTheme="minorEastAsia" w:hAnsiTheme="minorEastAsia" w:eastAsiaTheme="minorEastAsia" w:cstheme="minorEastAsia"/>
          <w:color w:val="auto"/>
          <w:sz w:val="21"/>
          <w:szCs w:val="21"/>
          <w:highlight w:val="none"/>
        </w:rPr>
        <w:t>7. 交通运输</w:t>
      </w:r>
      <w:bookmarkEnd w:id="1269"/>
      <w:bookmarkEnd w:id="1270"/>
      <w:bookmarkEnd w:id="1271"/>
      <w:bookmarkEnd w:id="1272"/>
      <w:bookmarkEnd w:id="1273"/>
      <w:bookmarkEnd w:id="1274"/>
      <w:bookmarkEnd w:id="1275"/>
      <w:bookmarkEnd w:id="1276"/>
    </w:p>
    <w:p w14:paraId="2287D39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77" w:name="_Toc75511219"/>
      <w:bookmarkStart w:id="1278" w:name="_Toc152045662"/>
      <w:bookmarkStart w:id="1279" w:name="_Toc179632680"/>
      <w:bookmarkStart w:id="1280" w:name="_Toc342296447"/>
      <w:bookmarkStart w:id="1281" w:name="_Toc144974630"/>
      <w:bookmarkStart w:id="1282" w:name="_Toc241459688"/>
      <w:bookmarkStart w:id="1283" w:name="_Toc152042440"/>
      <w:bookmarkStart w:id="1284" w:name="_Toc12975"/>
      <w:r>
        <w:rPr>
          <w:rFonts w:hint="eastAsia" w:asciiTheme="minorEastAsia" w:hAnsiTheme="minorEastAsia" w:eastAsiaTheme="minorEastAsia" w:cstheme="minorEastAsia"/>
          <w:color w:val="auto"/>
          <w:sz w:val="21"/>
          <w:szCs w:val="21"/>
          <w:highlight w:val="none"/>
        </w:rPr>
        <w:t>7.1 道路通行权和场外设施</w:t>
      </w:r>
      <w:bookmarkEnd w:id="1277"/>
      <w:bookmarkEnd w:id="1278"/>
      <w:bookmarkEnd w:id="1279"/>
      <w:bookmarkEnd w:id="1280"/>
      <w:bookmarkEnd w:id="1281"/>
      <w:bookmarkEnd w:id="1282"/>
      <w:bookmarkEnd w:id="1283"/>
      <w:bookmarkEnd w:id="1284"/>
    </w:p>
    <w:p w14:paraId="5FDA2BE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取得道路通行权、场外设施修建权的办理人:</w:t>
      </w:r>
      <w:r>
        <w:rPr>
          <w:rFonts w:hint="eastAsia" w:asciiTheme="minorEastAsia" w:hAnsiTheme="minorEastAsia" w:eastAsiaTheme="minorEastAsia" w:cstheme="minorEastAsia"/>
          <w:color w:val="auto"/>
          <w:sz w:val="21"/>
          <w:szCs w:val="21"/>
          <w:highlight w:val="none"/>
          <w:u w:val="single"/>
        </w:rPr>
        <w:t xml:space="preserve"> 承包人 </w:t>
      </w:r>
      <w:r>
        <w:rPr>
          <w:rFonts w:hint="eastAsia" w:asciiTheme="minorEastAsia" w:hAnsiTheme="minorEastAsia" w:eastAsiaTheme="minorEastAsia" w:cstheme="minorEastAsia"/>
          <w:color w:val="auto"/>
          <w:sz w:val="21"/>
          <w:szCs w:val="21"/>
          <w:highlight w:val="none"/>
        </w:rPr>
        <w:t>，其相关费用由发包人承担。</w:t>
      </w:r>
    </w:p>
    <w:p w14:paraId="702EEED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85" w:name="_Toc152042441"/>
      <w:bookmarkStart w:id="1286" w:name="_Toc179632681"/>
      <w:bookmarkStart w:id="1287" w:name="_Toc144974631"/>
      <w:bookmarkStart w:id="1288" w:name="_Toc342296448"/>
      <w:bookmarkStart w:id="1289" w:name="_Toc75511220"/>
      <w:bookmarkStart w:id="1290" w:name="_Toc14794"/>
      <w:bookmarkStart w:id="1291" w:name="_Toc152045663"/>
      <w:bookmarkStart w:id="1292" w:name="_Toc241459689"/>
      <w:r>
        <w:rPr>
          <w:rFonts w:hint="eastAsia" w:asciiTheme="minorEastAsia" w:hAnsiTheme="minorEastAsia" w:eastAsiaTheme="minorEastAsia" w:cstheme="minorEastAsia"/>
          <w:color w:val="auto"/>
          <w:sz w:val="21"/>
          <w:szCs w:val="21"/>
          <w:highlight w:val="none"/>
        </w:rPr>
        <w:t>7.2 场内施工道路</w:t>
      </w:r>
      <w:bookmarkEnd w:id="1285"/>
      <w:bookmarkEnd w:id="1286"/>
      <w:bookmarkEnd w:id="1287"/>
      <w:bookmarkEnd w:id="1288"/>
      <w:bookmarkEnd w:id="1289"/>
      <w:bookmarkEnd w:id="1290"/>
      <w:bookmarkEnd w:id="1291"/>
      <w:bookmarkEnd w:id="1292"/>
    </w:p>
    <w:p w14:paraId="3D4945F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7.2.1施工所需的场内临时道路和交通设施的修建、维护、养护和管理人：</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，相关费用由</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承担。</w:t>
      </w:r>
    </w:p>
    <w:p w14:paraId="1B8251B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7.2.2发包人和监理人有权无偿使用承包人修建的临时道路和交通设施，不需要交纳任何费用。</w:t>
      </w:r>
    </w:p>
    <w:p w14:paraId="508DBABA">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293" w:name="_Toc179632683"/>
      <w:bookmarkStart w:id="1294" w:name="_Toc152042443"/>
      <w:bookmarkStart w:id="1295" w:name="_Toc241459690"/>
      <w:bookmarkStart w:id="1296" w:name="_Toc152045665"/>
      <w:bookmarkStart w:id="1297" w:name="_Toc342296449"/>
      <w:bookmarkStart w:id="1298" w:name="_Toc75511221"/>
      <w:bookmarkStart w:id="1299" w:name="_Toc144974633"/>
      <w:bookmarkStart w:id="1300" w:name="_Toc4755"/>
      <w:r>
        <w:rPr>
          <w:rFonts w:hint="eastAsia" w:asciiTheme="minorEastAsia" w:hAnsiTheme="minorEastAsia" w:eastAsiaTheme="minorEastAsia" w:cstheme="minorEastAsia"/>
          <w:color w:val="auto"/>
          <w:sz w:val="21"/>
          <w:szCs w:val="21"/>
          <w:highlight w:val="none"/>
        </w:rPr>
        <w:t>7.4 超大件和超重件的运输</w:t>
      </w:r>
      <w:bookmarkEnd w:id="1293"/>
      <w:bookmarkEnd w:id="1294"/>
      <w:bookmarkEnd w:id="1295"/>
      <w:bookmarkEnd w:id="1296"/>
      <w:bookmarkEnd w:id="1297"/>
      <w:bookmarkEnd w:id="1298"/>
      <w:bookmarkEnd w:id="1299"/>
      <w:bookmarkEnd w:id="1300"/>
    </w:p>
    <w:p w14:paraId="010B7C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301" w:name="_Toc144974634"/>
      <w:bookmarkStart w:id="1302" w:name="_Toc179632684"/>
      <w:bookmarkStart w:id="1303" w:name="_Toc152045666"/>
      <w:bookmarkStart w:id="1304" w:name="_Toc152042444"/>
      <w:r>
        <w:rPr>
          <w:rFonts w:hint="eastAsia" w:asciiTheme="minorEastAsia" w:hAnsiTheme="minorEastAsia" w:eastAsiaTheme="minorEastAsia" w:cstheme="minorEastAsia"/>
          <w:color w:val="auto"/>
          <w:sz w:val="21"/>
          <w:szCs w:val="21"/>
          <w:highlight w:val="none"/>
        </w:rPr>
        <w:t>运输超大件或超重件所需的道路和桥梁临时加固改造等费用的承担人：</w:t>
      </w:r>
      <w:r>
        <w:rPr>
          <w:rFonts w:hint="eastAsia" w:asciiTheme="minorEastAsia" w:hAnsiTheme="minorEastAsia" w:eastAsiaTheme="minorEastAsia" w:cstheme="minorEastAsia"/>
          <w:color w:val="auto"/>
          <w:sz w:val="21"/>
          <w:szCs w:val="21"/>
          <w:highlight w:val="none"/>
          <w:u w:val="single"/>
        </w:rPr>
        <w:t>承包人</w:t>
      </w:r>
      <w:r>
        <w:rPr>
          <w:rFonts w:hint="eastAsia" w:asciiTheme="minorEastAsia" w:hAnsiTheme="minorEastAsia" w:eastAsiaTheme="minorEastAsia" w:cstheme="minorEastAsia"/>
          <w:color w:val="auto"/>
          <w:sz w:val="21"/>
          <w:szCs w:val="21"/>
          <w:highlight w:val="none"/>
        </w:rPr>
        <w:t>。</w:t>
      </w:r>
    </w:p>
    <w:bookmarkEnd w:id="1301"/>
    <w:bookmarkEnd w:id="1302"/>
    <w:bookmarkEnd w:id="1303"/>
    <w:bookmarkEnd w:id="1304"/>
    <w:p w14:paraId="2264B04E">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05" w:name="_Toc241459691"/>
      <w:bookmarkStart w:id="1306" w:name="_Toc342296450"/>
      <w:bookmarkStart w:id="1307" w:name="_Toc152042446"/>
      <w:bookmarkStart w:id="1308" w:name="_Toc152045668"/>
      <w:bookmarkStart w:id="1309" w:name="_Toc3675"/>
      <w:bookmarkStart w:id="1310" w:name="_Toc75511222"/>
      <w:bookmarkStart w:id="1311" w:name="_Toc144974636"/>
      <w:bookmarkStart w:id="1312" w:name="_Toc179632686"/>
      <w:r>
        <w:rPr>
          <w:rFonts w:hint="eastAsia" w:asciiTheme="minorEastAsia" w:hAnsiTheme="minorEastAsia" w:eastAsiaTheme="minorEastAsia" w:cstheme="minorEastAsia"/>
          <w:color w:val="auto"/>
          <w:sz w:val="21"/>
          <w:szCs w:val="21"/>
          <w:highlight w:val="none"/>
        </w:rPr>
        <w:t>8. 测量放线</w:t>
      </w:r>
      <w:bookmarkEnd w:id="1305"/>
      <w:bookmarkEnd w:id="1306"/>
      <w:bookmarkEnd w:id="1307"/>
      <w:bookmarkEnd w:id="1308"/>
      <w:bookmarkEnd w:id="1309"/>
      <w:bookmarkEnd w:id="1310"/>
      <w:bookmarkEnd w:id="1311"/>
      <w:bookmarkEnd w:id="1312"/>
    </w:p>
    <w:p w14:paraId="50F6A85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13" w:name="_Toc22345"/>
      <w:bookmarkStart w:id="1314" w:name="_Toc179632687"/>
      <w:bookmarkStart w:id="1315" w:name="_Toc152042447"/>
      <w:bookmarkStart w:id="1316" w:name="_Toc241459692"/>
      <w:bookmarkStart w:id="1317" w:name="_Toc342296451"/>
      <w:bookmarkStart w:id="1318" w:name="_Toc75511223"/>
      <w:bookmarkStart w:id="1319" w:name="_Toc152045669"/>
      <w:bookmarkStart w:id="1320" w:name="_Toc144974637"/>
      <w:r>
        <w:rPr>
          <w:rFonts w:hint="eastAsia" w:asciiTheme="minorEastAsia" w:hAnsiTheme="minorEastAsia" w:eastAsiaTheme="minorEastAsia" w:cstheme="minorEastAsia"/>
          <w:color w:val="auto"/>
          <w:sz w:val="21"/>
          <w:szCs w:val="21"/>
          <w:highlight w:val="none"/>
        </w:rPr>
        <w:t>8.1 施工控制网</w:t>
      </w:r>
      <w:bookmarkEnd w:id="1313"/>
      <w:bookmarkEnd w:id="1314"/>
      <w:bookmarkEnd w:id="1315"/>
      <w:bookmarkEnd w:id="1316"/>
      <w:bookmarkEnd w:id="1317"/>
      <w:bookmarkEnd w:id="1318"/>
      <w:bookmarkEnd w:id="1319"/>
      <w:bookmarkEnd w:id="1320"/>
    </w:p>
    <w:p w14:paraId="4776C59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8.1.1发包人通过监理人提供测量基准点、基准线和水准点及其书面资料的期限：</w:t>
      </w:r>
      <w:r>
        <w:rPr>
          <w:rFonts w:hint="eastAsia" w:asciiTheme="minorEastAsia" w:hAnsiTheme="minorEastAsia" w:eastAsiaTheme="minorEastAsia" w:cstheme="minorEastAsia"/>
          <w:color w:val="auto"/>
          <w:sz w:val="21"/>
          <w:szCs w:val="21"/>
          <w:highlight w:val="none"/>
          <w:u w:val="single"/>
        </w:rPr>
        <w:t>合同签订后7天内</w:t>
      </w:r>
      <w:r>
        <w:rPr>
          <w:rFonts w:hint="eastAsia" w:asciiTheme="minorEastAsia" w:hAnsiTheme="minorEastAsia" w:eastAsiaTheme="minorEastAsia" w:cstheme="minorEastAsia"/>
          <w:color w:val="auto"/>
          <w:sz w:val="21"/>
          <w:szCs w:val="21"/>
          <w:highlight w:val="none"/>
        </w:rPr>
        <w:t xml:space="preserve">。 </w:t>
      </w:r>
    </w:p>
    <w:p w14:paraId="69E000E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承包人测设施工控制网的要求：</w:t>
      </w:r>
      <w:r>
        <w:rPr>
          <w:rFonts w:hint="eastAsia" w:asciiTheme="minorEastAsia" w:hAnsiTheme="minorEastAsia" w:eastAsiaTheme="minorEastAsia" w:cstheme="minorEastAsia"/>
          <w:color w:val="auto"/>
          <w:sz w:val="21"/>
          <w:szCs w:val="21"/>
          <w:highlight w:val="none"/>
          <w:u w:val="single"/>
        </w:rPr>
        <w:t>由承包人依据监理人提供的测量基准点、基准线和水准点以及国家的工程测量技术规范和合同要求的工程精度，测设自己的施工控制网</w:t>
      </w:r>
      <w:r>
        <w:rPr>
          <w:rFonts w:hint="eastAsia" w:asciiTheme="minorEastAsia" w:hAnsiTheme="minorEastAsia" w:eastAsiaTheme="minorEastAsia" w:cstheme="minorEastAsia"/>
          <w:color w:val="auto"/>
          <w:sz w:val="21"/>
          <w:szCs w:val="21"/>
          <w:highlight w:val="none"/>
        </w:rPr>
        <w:t xml:space="preserve">。 </w:t>
      </w:r>
    </w:p>
    <w:p w14:paraId="03B785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承包人将施工控制网资料报送监理人审批的期限：</w:t>
      </w:r>
      <w:r>
        <w:rPr>
          <w:rFonts w:hint="eastAsia" w:asciiTheme="minorEastAsia" w:hAnsiTheme="minorEastAsia" w:eastAsiaTheme="minorEastAsia" w:cstheme="minorEastAsia"/>
          <w:color w:val="auto"/>
          <w:sz w:val="21"/>
          <w:szCs w:val="21"/>
          <w:highlight w:val="none"/>
          <w:u w:val="single"/>
        </w:rPr>
        <w:t>在收到监理人按照通用合同条款第11.1.1项发出的开工通知后7天内</w:t>
      </w:r>
      <w:r>
        <w:rPr>
          <w:rFonts w:hint="eastAsia" w:asciiTheme="minorEastAsia" w:hAnsiTheme="minorEastAsia" w:eastAsiaTheme="minorEastAsia" w:cstheme="minorEastAsia"/>
          <w:color w:val="auto"/>
          <w:sz w:val="21"/>
          <w:szCs w:val="21"/>
          <w:highlight w:val="none"/>
        </w:rPr>
        <w:t xml:space="preserve">。 </w:t>
      </w:r>
    </w:p>
    <w:p w14:paraId="4AF0E28F">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21" w:name="_Toc7074"/>
      <w:bookmarkStart w:id="1322" w:name="_Toc241459693"/>
      <w:bookmarkStart w:id="1323" w:name="_Toc179632691"/>
      <w:bookmarkStart w:id="1324" w:name="_Toc152042451"/>
      <w:bookmarkStart w:id="1325" w:name="_Toc75511224"/>
      <w:bookmarkStart w:id="1326" w:name="_Toc152045673"/>
      <w:bookmarkStart w:id="1327" w:name="_Toc144974641"/>
      <w:bookmarkStart w:id="1328" w:name="_Toc342296452"/>
      <w:r>
        <w:rPr>
          <w:rFonts w:hint="eastAsia" w:asciiTheme="minorEastAsia" w:hAnsiTheme="minorEastAsia" w:eastAsiaTheme="minorEastAsia" w:cstheme="minorEastAsia"/>
          <w:color w:val="auto"/>
          <w:sz w:val="21"/>
          <w:szCs w:val="21"/>
          <w:highlight w:val="none"/>
        </w:rPr>
        <w:t>9. 施工安全、治安保卫和环境保护</w:t>
      </w:r>
      <w:bookmarkEnd w:id="1321"/>
      <w:bookmarkEnd w:id="1322"/>
      <w:bookmarkEnd w:id="1323"/>
      <w:bookmarkEnd w:id="1324"/>
      <w:bookmarkEnd w:id="1325"/>
      <w:bookmarkEnd w:id="1326"/>
      <w:bookmarkEnd w:id="1327"/>
      <w:bookmarkEnd w:id="1328"/>
    </w:p>
    <w:p w14:paraId="26CEDA4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29" w:name="_Toc75511225"/>
      <w:bookmarkStart w:id="1330" w:name="_Toc13660"/>
      <w:bookmarkStart w:id="1331" w:name="_Toc179632693"/>
      <w:bookmarkStart w:id="1332" w:name="_Toc152042453"/>
      <w:bookmarkStart w:id="1333" w:name="_Toc342296453"/>
      <w:bookmarkStart w:id="1334" w:name="_Toc241459694"/>
      <w:bookmarkStart w:id="1335" w:name="_Toc152045675"/>
      <w:bookmarkStart w:id="1336" w:name="_Toc144974643"/>
      <w:r>
        <w:rPr>
          <w:rFonts w:hint="eastAsia" w:asciiTheme="minorEastAsia" w:hAnsiTheme="minorEastAsia" w:eastAsiaTheme="minorEastAsia" w:cstheme="minorEastAsia"/>
          <w:color w:val="auto"/>
          <w:sz w:val="21"/>
          <w:szCs w:val="21"/>
          <w:highlight w:val="none"/>
        </w:rPr>
        <w:t>9.2 承包人的施工安全责任</w:t>
      </w:r>
      <w:bookmarkEnd w:id="1329"/>
      <w:bookmarkEnd w:id="1330"/>
      <w:bookmarkEnd w:id="1331"/>
      <w:bookmarkEnd w:id="1332"/>
      <w:bookmarkEnd w:id="1333"/>
      <w:bookmarkEnd w:id="1334"/>
      <w:bookmarkEnd w:id="1335"/>
      <w:bookmarkEnd w:id="1336"/>
    </w:p>
    <w:p w14:paraId="0D670F28">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9.2.1承包人向监理人报送施工安全措施计划的期限：</w:t>
      </w:r>
      <w:r>
        <w:rPr>
          <w:rFonts w:hint="eastAsia" w:asciiTheme="minorEastAsia" w:hAnsiTheme="minorEastAsia" w:eastAsiaTheme="minorEastAsia" w:cstheme="minorEastAsia"/>
          <w:color w:val="auto"/>
          <w:sz w:val="21"/>
          <w:szCs w:val="21"/>
          <w:highlight w:val="none"/>
          <w:u w:val="single"/>
        </w:rPr>
        <w:t>在收到监理人按照通用合同条款第11.1.1项发出的开工通知后7天内</w:t>
      </w:r>
      <w:r>
        <w:rPr>
          <w:rFonts w:hint="eastAsia" w:asciiTheme="minorEastAsia" w:hAnsiTheme="minorEastAsia" w:eastAsiaTheme="minorEastAsia" w:cstheme="minorEastAsia"/>
          <w:color w:val="auto"/>
          <w:sz w:val="21"/>
          <w:szCs w:val="21"/>
          <w:highlight w:val="none"/>
        </w:rPr>
        <w:t>。</w:t>
      </w:r>
    </w:p>
    <w:p w14:paraId="59B59B4C">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监理人收到承包人报送的施工安全措施计划后应当在</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天内给予批复。</w:t>
      </w:r>
    </w:p>
    <w:p w14:paraId="6015FF0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37" w:name="_Toc179632694"/>
      <w:bookmarkStart w:id="1338" w:name="_Toc241459695"/>
      <w:bookmarkStart w:id="1339" w:name="_Toc10060"/>
      <w:bookmarkStart w:id="1340" w:name="_Toc144974644"/>
      <w:bookmarkStart w:id="1341" w:name="_Toc342296454"/>
      <w:bookmarkStart w:id="1342" w:name="_Toc152045676"/>
      <w:bookmarkStart w:id="1343" w:name="_Toc75511226"/>
      <w:bookmarkStart w:id="1344" w:name="_Toc152042454"/>
      <w:r>
        <w:rPr>
          <w:rFonts w:hint="eastAsia" w:asciiTheme="minorEastAsia" w:hAnsiTheme="minorEastAsia" w:eastAsiaTheme="minorEastAsia" w:cstheme="minorEastAsia"/>
          <w:color w:val="auto"/>
          <w:sz w:val="21"/>
          <w:szCs w:val="21"/>
          <w:highlight w:val="none"/>
        </w:rPr>
        <w:t>9.3 治安保卫</w:t>
      </w:r>
      <w:bookmarkEnd w:id="1337"/>
      <w:bookmarkEnd w:id="1338"/>
      <w:bookmarkEnd w:id="1339"/>
      <w:bookmarkEnd w:id="1340"/>
      <w:bookmarkEnd w:id="1341"/>
      <w:bookmarkEnd w:id="1342"/>
      <w:bookmarkEnd w:id="1343"/>
      <w:bookmarkEnd w:id="1344"/>
    </w:p>
    <w:p w14:paraId="002E3CD7">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345" w:name="_Toc152045677"/>
      <w:bookmarkStart w:id="1346" w:name="_Toc179632695"/>
      <w:bookmarkStart w:id="1347" w:name="_Toc152042455"/>
      <w:bookmarkStart w:id="1348" w:name="_Toc144974645"/>
      <w:r>
        <w:rPr>
          <w:rFonts w:hint="eastAsia" w:asciiTheme="minorEastAsia" w:hAnsiTheme="minorEastAsia" w:eastAsiaTheme="minorEastAsia" w:cstheme="minorEastAsia"/>
          <w:color w:val="auto"/>
          <w:sz w:val="21"/>
          <w:szCs w:val="21"/>
          <w:highlight w:val="none"/>
        </w:rPr>
        <w:t>9.3.1承包人应当负责统一管理施工场地的治安保卫事项，履行合同工程的治安保卫职责。</w:t>
      </w:r>
    </w:p>
    <w:p w14:paraId="2FF74FF1">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9.3.3施工场地治安管理计划和突发治安事件紧急预案的编制责任人：</w:t>
      </w:r>
      <w:r>
        <w:rPr>
          <w:rFonts w:hint="eastAsia" w:asciiTheme="minorEastAsia" w:hAnsiTheme="minorEastAsia" w:eastAsiaTheme="minorEastAsia" w:cstheme="minorEastAsia"/>
          <w:color w:val="auto"/>
          <w:sz w:val="21"/>
          <w:szCs w:val="21"/>
          <w:highlight w:val="none"/>
          <w:u w:val="single"/>
        </w:rPr>
        <w:t xml:space="preserve">  承包人  </w:t>
      </w:r>
      <w:r>
        <w:rPr>
          <w:rFonts w:hint="eastAsia" w:asciiTheme="minorEastAsia" w:hAnsiTheme="minorEastAsia" w:eastAsiaTheme="minorEastAsia" w:cstheme="minorEastAsia"/>
          <w:color w:val="auto"/>
          <w:sz w:val="21"/>
          <w:szCs w:val="21"/>
          <w:highlight w:val="none"/>
        </w:rPr>
        <w:t>。</w:t>
      </w:r>
    </w:p>
    <w:bookmarkEnd w:id="1345"/>
    <w:bookmarkEnd w:id="1346"/>
    <w:bookmarkEnd w:id="1347"/>
    <w:bookmarkEnd w:id="1348"/>
    <w:p w14:paraId="36BD205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49" w:name="_Toc31187"/>
      <w:bookmarkStart w:id="1350" w:name="_Toc75511227"/>
      <w:bookmarkStart w:id="1351" w:name="_Toc342296455"/>
      <w:bookmarkStart w:id="1352" w:name="_Toc241459696"/>
      <w:bookmarkStart w:id="1353" w:name="_Toc179632697"/>
      <w:bookmarkStart w:id="1354" w:name="_Toc152045679"/>
      <w:bookmarkStart w:id="1355" w:name="_Toc144974647"/>
      <w:bookmarkStart w:id="1356" w:name="_Toc152042457"/>
      <w:r>
        <w:rPr>
          <w:rFonts w:hint="eastAsia" w:asciiTheme="minorEastAsia" w:hAnsiTheme="minorEastAsia" w:eastAsiaTheme="minorEastAsia" w:cstheme="minorEastAsia"/>
          <w:color w:val="auto"/>
          <w:sz w:val="21"/>
          <w:szCs w:val="21"/>
          <w:highlight w:val="none"/>
        </w:rPr>
        <w:t>9.4 环境保护</w:t>
      </w:r>
      <w:bookmarkEnd w:id="1349"/>
      <w:bookmarkEnd w:id="1350"/>
      <w:bookmarkEnd w:id="1351"/>
      <w:bookmarkEnd w:id="1352"/>
    </w:p>
    <w:p w14:paraId="45B7C6A6">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9.4.2施工环保措施计划报送监理人审批的时间：</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77AC4810">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监理人收到承包人报送的施工环保措施计划后应当在</w:t>
      </w:r>
      <w:r>
        <w:rPr>
          <w:rFonts w:hint="eastAsia" w:asciiTheme="minorEastAsia" w:hAnsiTheme="minorEastAsia" w:eastAsiaTheme="minorEastAsia" w:cstheme="minorEastAsia"/>
          <w:color w:val="auto"/>
          <w:sz w:val="21"/>
          <w:szCs w:val="21"/>
          <w:highlight w:val="none"/>
          <w:u w:val="single"/>
        </w:rPr>
        <w:t xml:space="preserve">  7  </w:t>
      </w:r>
      <w:r>
        <w:rPr>
          <w:rFonts w:hint="eastAsia" w:asciiTheme="minorEastAsia" w:hAnsiTheme="minorEastAsia" w:eastAsiaTheme="minorEastAsia" w:cstheme="minorEastAsia"/>
          <w:color w:val="auto"/>
          <w:sz w:val="21"/>
          <w:szCs w:val="21"/>
          <w:highlight w:val="none"/>
        </w:rPr>
        <w:t>天内给予批复。</w:t>
      </w:r>
    </w:p>
    <w:p w14:paraId="133F4754">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57" w:name="_Toc6184"/>
      <w:bookmarkStart w:id="1358" w:name="_Toc342296456"/>
      <w:bookmarkStart w:id="1359" w:name="_Toc75511228"/>
      <w:bookmarkStart w:id="1360" w:name="_Toc241459697"/>
      <w:r>
        <w:rPr>
          <w:rFonts w:hint="eastAsia" w:asciiTheme="minorEastAsia" w:hAnsiTheme="minorEastAsia" w:eastAsiaTheme="minorEastAsia" w:cstheme="minorEastAsia"/>
          <w:color w:val="auto"/>
          <w:sz w:val="21"/>
          <w:szCs w:val="21"/>
          <w:highlight w:val="none"/>
        </w:rPr>
        <w:t>10. 进度计划</w:t>
      </w:r>
      <w:bookmarkEnd w:id="1353"/>
      <w:bookmarkEnd w:id="1354"/>
      <w:bookmarkEnd w:id="1355"/>
      <w:bookmarkEnd w:id="1356"/>
      <w:bookmarkEnd w:id="1357"/>
      <w:bookmarkEnd w:id="1358"/>
      <w:bookmarkEnd w:id="1359"/>
      <w:bookmarkEnd w:id="1360"/>
    </w:p>
    <w:p w14:paraId="618A078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61" w:name="_Toc342296457"/>
      <w:bookmarkStart w:id="1362" w:name="_Toc75511229"/>
      <w:bookmarkStart w:id="1363" w:name="_Toc144974648"/>
      <w:bookmarkStart w:id="1364" w:name="_Toc179632698"/>
      <w:bookmarkStart w:id="1365" w:name="_Toc152045680"/>
      <w:bookmarkStart w:id="1366" w:name="_Toc152042458"/>
      <w:bookmarkStart w:id="1367" w:name="_Toc241459698"/>
      <w:bookmarkStart w:id="1368" w:name="_Toc3737"/>
      <w:r>
        <w:rPr>
          <w:rFonts w:hint="eastAsia" w:asciiTheme="minorEastAsia" w:hAnsiTheme="minorEastAsia" w:eastAsiaTheme="minorEastAsia" w:cstheme="minorEastAsia"/>
          <w:color w:val="auto"/>
          <w:sz w:val="21"/>
          <w:szCs w:val="21"/>
          <w:highlight w:val="none"/>
        </w:rPr>
        <w:t>10.1 合同进度计划</w:t>
      </w:r>
      <w:bookmarkEnd w:id="1361"/>
      <w:bookmarkEnd w:id="1362"/>
      <w:bookmarkEnd w:id="1363"/>
      <w:bookmarkEnd w:id="1364"/>
      <w:bookmarkEnd w:id="1365"/>
      <w:bookmarkEnd w:id="1366"/>
      <w:bookmarkEnd w:id="1367"/>
      <w:bookmarkEnd w:id="1368"/>
    </w:p>
    <w:p w14:paraId="6445FBF0">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（1）承包人应当在收到监理人按照通用合同条款第11.1.1项发出的开工通知后7天内，编制详细的施工进度计划和施工方案说明并报送监理人。承包人编制施工进度计划和施工方案说明的内容：</w:t>
      </w:r>
      <w:r>
        <w:rPr>
          <w:rFonts w:hint="eastAsia" w:asciiTheme="minorEastAsia" w:hAnsiTheme="minorEastAsia" w:eastAsiaTheme="minorEastAsia" w:cstheme="minorEastAsia"/>
          <w:color w:val="auto"/>
          <w:sz w:val="21"/>
          <w:szCs w:val="21"/>
          <w:highlight w:val="none"/>
          <w:u w:val="single"/>
        </w:rPr>
        <w:t xml:space="preserve">  按</w:t>
      </w:r>
      <w:r>
        <w:rPr>
          <w:rFonts w:hint="eastAsia" w:asciiTheme="minorEastAsia" w:hAnsiTheme="minorEastAsia" w:eastAsiaTheme="minorEastAsia" w:cstheme="minorEastAsia"/>
          <w:color w:val="auto"/>
          <w:sz w:val="21"/>
          <w:szCs w:val="21"/>
          <w:highlight w:val="none"/>
          <w:u w:val="single"/>
          <w:lang w:eastAsia="zh-CN"/>
        </w:rPr>
        <w:t>投标</w:t>
      </w:r>
      <w:r>
        <w:rPr>
          <w:rFonts w:hint="eastAsia" w:asciiTheme="minorEastAsia" w:hAnsiTheme="minorEastAsia" w:eastAsiaTheme="minorEastAsia" w:cstheme="minorEastAsia"/>
          <w:color w:val="auto"/>
          <w:sz w:val="21"/>
          <w:szCs w:val="21"/>
          <w:highlight w:val="none"/>
          <w:u w:val="single"/>
        </w:rPr>
        <w:t>人</w:t>
      </w:r>
      <w:r>
        <w:rPr>
          <w:rFonts w:hint="eastAsia" w:asciiTheme="minorEastAsia" w:hAnsiTheme="minorEastAsia" w:eastAsiaTheme="minorEastAsia" w:cstheme="minorEastAsia"/>
          <w:color w:val="auto"/>
          <w:sz w:val="21"/>
          <w:szCs w:val="21"/>
          <w:highlight w:val="none"/>
          <w:u w:val="single"/>
          <w:lang w:eastAsia="zh-CN"/>
        </w:rPr>
        <w:t>投标</w:t>
      </w:r>
      <w:r>
        <w:rPr>
          <w:rFonts w:hint="eastAsia" w:asciiTheme="minorEastAsia" w:hAnsiTheme="minorEastAsia" w:eastAsiaTheme="minorEastAsia" w:cstheme="minorEastAsia"/>
          <w:color w:val="auto"/>
          <w:sz w:val="21"/>
          <w:szCs w:val="21"/>
          <w:highlight w:val="none"/>
          <w:u w:val="single"/>
        </w:rPr>
        <w:t xml:space="preserve">阶段承诺的总进度计划关键线路目标，以及施工顺序和方法要点，向监理人提交更准确更详细的实施性施工计划和施工方案 </w:t>
      </w:r>
      <w:r>
        <w:rPr>
          <w:rFonts w:hint="eastAsia" w:asciiTheme="minorEastAsia" w:hAnsiTheme="minorEastAsia" w:eastAsiaTheme="minorEastAsia" w:cstheme="minorEastAsia"/>
          <w:color w:val="auto"/>
          <w:sz w:val="21"/>
          <w:szCs w:val="21"/>
          <w:highlight w:val="none"/>
        </w:rPr>
        <w:t xml:space="preserve"> ， 施工进度计划中还应载明要求发包人组织设计人进行阶段性工程设计交底的时间。</w:t>
      </w:r>
    </w:p>
    <w:p w14:paraId="20F38C62">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（2）监理人批复或对施工进度计划和施工方案说明提出修改意见的期限：自监理人收到承包人报送的相关进度计划和施工方案说明后14天内。</w:t>
      </w:r>
    </w:p>
    <w:p w14:paraId="252EC0B4">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（3）承包人编制分阶段或分项施工进度计划和施工方案说明的内容：</w:t>
      </w:r>
      <w:r>
        <w:rPr>
          <w:rFonts w:hint="eastAsia" w:asciiTheme="minorEastAsia" w:hAnsiTheme="minorEastAsia" w:eastAsiaTheme="minorEastAsia" w:cstheme="minorEastAsia"/>
          <w:color w:val="auto"/>
          <w:sz w:val="21"/>
          <w:szCs w:val="21"/>
          <w:highlight w:val="none"/>
          <w:u w:val="single"/>
        </w:rPr>
        <w:t xml:space="preserve">  合同进度计划关键线路上的单位工程或部分，并提交监理人审批  </w:t>
      </w:r>
      <w:r>
        <w:rPr>
          <w:rFonts w:hint="eastAsia" w:asciiTheme="minorEastAsia" w:hAnsiTheme="minorEastAsia" w:eastAsiaTheme="minorEastAsia" w:cstheme="minorEastAsia"/>
          <w:color w:val="auto"/>
          <w:sz w:val="21"/>
          <w:szCs w:val="21"/>
          <w:highlight w:val="none"/>
        </w:rPr>
        <w:t>。</w:t>
      </w:r>
    </w:p>
    <w:p w14:paraId="13DD70F7">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承包人报送分阶段或分项施工进度计划和施工方案说明的期限：</w:t>
      </w:r>
      <w:r>
        <w:rPr>
          <w:rFonts w:hint="eastAsia" w:asciiTheme="minorEastAsia" w:hAnsiTheme="minorEastAsia" w:eastAsiaTheme="minorEastAsia" w:cstheme="minorEastAsia"/>
          <w:color w:val="auto"/>
          <w:sz w:val="21"/>
          <w:szCs w:val="21"/>
          <w:highlight w:val="none"/>
          <w:u w:val="single"/>
        </w:rPr>
        <w:t>分阶段或分项工程开始施工前一个月</w:t>
      </w:r>
      <w:r>
        <w:rPr>
          <w:rFonts w:hint="eastAsia" w:asciiTheme="minorEastAsia" w:hAnsiTheme="minorEastAsia" w:eastAsiaTheme="minorEastAsia" w:cstheme="minorEastAsia"/>
          <w:color w:val="auto"/>
          <w:sz w:val="21"/>
          <w:szCs w:val="21"/>
          <w:highlight w:val="none"/>
        </w:rPr>
        <w:t>。</w:t>
      </w:r>
    </w:p>
    <w:p w14:paraId="40543ABB">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（4）群体工程中单位工程分期进行施工的，承包人应按照发包人提供图纸及有关资料的时间，按单位工程编制进度计划和施工方案说明。群体工程中有关进度计划和施工方案说明的要求：</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61B3C55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69" w:name="_Toc152042459"/>
      <w:bookmarkStart w:id="1370" w:name="_Toc342296458"/>
      <w:bookmarkStart w:id="1371" w:name="_Toc179632699"/>
      <w:bookmarkStart w:id="1372" w:name="_Toc241459699"/>
      <w:bookmarkStart w:id="1373" w:name="_Toc152045681"/>
      <w:bookmarkStart w:id="1374" w:name="_Toc15720"/>
      <w:bookmarkStart w:id="1375" w:name="_Toc75511230"/>
      <w:bookmarkStart w:id="1376" w:name="_Toc144974649"/>
      <w:r>
        <w:rPr>
          <w:rFonts w:hint="eastAsia" w:asciiTheme="minorEastAsia" w:hAnsiTheme="minorEastAsia" w:eastAsiaTheme="minorEastAsia" w:cstheme="minorEastAsia"/>
          <w:color w:val="auto"/>
          <w:sz w:val="21"/>
          <w:szCs w:val="21"/>
          <w:highlight w:val="none"/>
        </w:rPr>
        <w:t>10.2 合同进度计划的修订</w:t>
      </w:r>
      <w:bookmarkEnd w:id="1369"/>
      <w:bookmarkEnd w:id="1370"/>
      <w:bookmarkEnd w:id="1371"/>
      <w:bookmarkEnd w:id="1372"/>
      <w:bookmarkEnd w:id="1373"/>
      <w:bookmarkEnd w:id="1374"/>
      <w:bookmarkEnd w:id="1375"/>
      <w:bookmarkEnd w:id="1376"/>
    </w:p>
    <w:p w14:paraId="68EC1B0C">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（1）承包人报送修订合同进度计划申请报告和相关资料的期限：</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0DD49E08">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（2）监理人批复修订合同进度计划申请报告的期限：</w:t>
      </w:r>
      <w:r>
        <w:rPr>
          <w:rFonts w:hint="eastAsia" w:asciiTheme="minorEastAsia" w:hAnsiTheme="minorEastAsia" w:eastAsiaTheme="minorEastAsia" w:cstheme="minorEastAsia"/>
          <w:color w:val="auto"/>
          <w:sz w:val="21"/>
          <w:szCs w:val="21"/>
          <w:highlight w:val="none"/>
          <w:u w:val="single"/>
        </w:rPr>
        <w:t>收到承包人报送的修订合同进度计划申请报告和相关资料后7天内</w:t>
      </w:r>
      <w:r>
        <w:rPr>
          <w:rFonts w:hint="eastAsia" w:asciiTheme="minorEastAsia" w:hAnsiTheme="minorEastAsia" w:eastAsiaTheme="minorEastAsia" w:cstheme="minorEastAsia"/>
          <w:color w:val="auto"/>
          <w:sz w:val="21"/>
          <w:szCs w:val="21"/>
          <w:highlight w:val="none"/>
        </w:rPr>
        <w:t>。</w:t>
      </w:r>
    </w:p>
    <w:p w14:paraId="545EC9B1">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（3）监理人批复修订合同进度计划的期限：</w:t>
      </w:r>
      <w:r>
        <w:rPr>
          <w:rFonts w:hint="eastAsia" w:asciiTheme="minorEastAsia" w:hAnsiTheme="minorEastAsia" w:eastAsiaTheme="minorEastAsia" w:cstheme="minorEastAsia"/>
          <w:color w:val="auto"/>
          <w:sz w:val="21"/>
          <w:szCs w:val="21"/>
          <w:highlight w:val="none"/>
          <w:u w:val="single"/>
        </w:rPr>
        <w:t>收到承包人报送的修订合同进度计划申请报告和相关资料后7天内</w:t>
      </w:r>
      <w:r>
        <w:rPr>
          <w:rFonts w:hint="eastAsia" w:asciiTheme="minorEastAsia" w:hAnsiTheme="minorEastAsia" w:eastAsiaTheme="minorEastAsia" w:cstheme="minorEastAsia"/>
          <w:color w:val="auto"/>
          <w:sz w:val="21"/>
          <w:szCs w:val="21"/>
          <w:highlight w:val="none"/>
        </w:rPr>
        <w:t>。</w:t>
      </w:r>
    </w:p>
    <w:p w14:paraId="67CFE85D">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377" w:name="_Toc241459700"/>
      <w:bookmarkStart w:id="1378" w:name="_Toc152042460"/>
      <w:bookmarkStart w:id="1379" w:name="_Toc10049"/>
      <w:bookmarkStart w:id="1380" w:name="_Toc152045682"/>
      <w:bookmarkStart w:id="1381" w:name="_Toc342296459"/>
      <w:bookmarkStart w:id="1382" w:name="_Toc144974650"/>
      <w:bookmarkStart w:id="1383" w:name="_Toc179632700"/>
      <w:bookmarkStart w:id="1384" w:name="_Toc75511231"/>
      <w:r>
        <w:rPr>
          <w:rFonts w:hint="eastAsia" w:asciiTheme="minorEastAsia" w:hAnsiTheme="minorEastAsia" w:eastAsiaTheme="minorEastAsia" w:cstheme="minorEastAsia"/>
          <w:color w:val="auto"/>
          <w:sz w:val="21"/>
          <w:szCs w:val="21"/>
          <w:highlight w:val="none"/>
        </w:rPr>
        <w:t>11. 开工和竣工</w:t>
      </w:r>
      <w:bookmarkEnd w:id="1377"/>
      <w:bookmarkEnd w:id="1378"/>
      <w:bookmarkEnd w:id="1379"/>
      <w:bookmarkEnd w:id="1380"/>
      <w:bookmarkEnd w:id="1381"/>
      <w:bookmarkEnd w:id="1382"/>
      <w:bookmarkEnd w:id="1383"/>
      <w:bookmarkEnd w:id="1384"/>
    </w:p>
    <w:p w14:paraId="1F682D1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85" w:name="_Toc179632703"/>
      <w:bookmarkStart w:id="1386" w:name="_Toc342296460"/>
      <w:bookmarkStart w:id="1387" w:name="_Toc152045685"/>
      <w:bookmarkStart w:id="1388" w:name="_Toc75511232"/>
      <w:bookmarkStart w:id="1389" w:name="_Toc144974653"/>
      <w:bookmarkStart w:id="1390" w:name="_Toc152042463"/>
      <w:bookmarkStart w:id="1391" w:name="_Toc241459701"/>
      <w:bookmarkStart w:id="1392" w:name="_Toc16598"/>
      <w:r>
        <w:rPr>
          <w:rFonts w:hint="eastAsia" w:asciiTheme="minorEastAsia" w:hAnsiTheme="minorEastAsia" w:eastAsiaTheme="minorEastAsia" w:cstheme="minorEastAsia"/>
          <w:color w:val="auto"/>
          <w:sz w:val="21"/>
          <w:szCs w:val="21"/>
          <w:highlight w:val="none"/>
        </w:rPr>
        <w:t>11.3 发包人的工期延误</w:t>
      </w:r>
      <w:bookmarkEnd w:id="1385"/>
      <w:bookmarkEnd w:id="1386"/>
      <w:bookmarkEnd w:id="1387"/>
      <w:bookmarkEnd w:id="1388"/>
      <w:bookmarkEnd w:id="1389"/>
      <w:bookmarkEnd w:id="1390"/>
      <w:bookmarkEnd w:id="1391"/>
      <w:bookmarkEnd w:id="1392"/>
    </w:p>
    <w:p w14:paraId="5A7074D4">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 因发包人原因不能按照监理人发出的开工通知中载明的开工日期开工。除发包人原因延期开工外，发包人造成工期延误的其他原因还包括：</w:t>
      </w:r>
      <w:r>
        <w:rPr>
          <w:rFonts w:hint="eastAsia" w:asciiTheme="minorEastAsia" w:hAnsiTheme="minorEastAsia" w:eastAsiaTheme="minorEastAsia" w:cstheme="minorEastAsia"/>
          <w:color w:val="auto"/>
          <w:sz w:val="21"/>
          <w:szCs w:val="21"/>
          <w:highlight w:val="none"/>
          <w:u w:val="single"/>
        </w:rPr>
        <w:t>发生关键工序上的工程量增加、设计变更所导致的工期延误并造成承包人关键线路的工期延误原因</w:t>
      </w:r>
      <w:r>
        <w:rPr>
          <w:rFonts w:hint="eastAsia" w:asciiTheme="minorEastAsia" w:hAnsiTheme="minorEastAsia" w:eastAsiaTheme="minorEastAsia" w:cstheme="minorEastAsia"/>
          <w:color w:val="auto"/>
          <w:sz w:val="21"/>
          <w:szCs w:val="21"/>
          <w:highlight w:val="none"/>
        </w:rPr>
        <w:t>等延误承包人关键线路工作的情况。</w:t>
      </w:r>
    </w:p>
    <w:p w14:paraId="484DACC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393" w:name="_Toc241459702"/>
      <w:bookmarkStart w:id="1394" w:name="_Toc144974654"/>
      <w:bookmarkStart w:id="1395" w:name="_Toc236"/>
      <w:bookmarkStart w:id="1396" w:name="_Toc152045686"/>
      <w:bookmarkStart w:id="1397" w:name="_Toc75511233"/>
      <w:bookmarkStart w:id="1398" w:name="_Toc152042464"/>
      <w:bookmarkStart w:id="1399" w:name="_Toc342296461"/>
      <w:bookmarkStart w:id="1400" w:name="_Toc179632704"/>
      <w:r>
        <w:rPr>
          <w:rFonts w:hint="eastAsia" w:asciiTheme="minorEastAsia" w:hAnsiTheme="minorEastAsia" w:eastAsiaTheme="minorEastAsia" w:cstheme="minorEastAsia"/>
          <w:color w:val="auto"/>
          <w:sz w:val="21"/>
          <w:szCs w:val="21"/>
          <w:highlight w:val="none"/>
        </w:rPr>
        <w:t>11.4 异常恶劣的气候条件</w:t>
      </w:r>
      <w:bookmarkEnd w:id="1393"/>
      <w:bookmarkEnd w:id="1394"/>
      <w:bookmarkEnd w:id="1395"/>
      <w:bookmarkEnd w:id="1396"/>
      <w:bookmarkEnd w:id="1397"/>
      <w:bookmarkEnd w:id="1398"/>
      <w:bookmarkEnd w:id="1399"/>
      <w:bookmarkEnd w:id="1400"/>
    </w:p>
    <w:p w14:paraId="019E0384">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bookmarkStart w:id="1401" w:name="_Toc152042465"/>
      <w:bookmarkStart w:id="1402" w:name="_Toc179632705"/>
      <w:bookmarkStart w:id="1403" w:name="_Toc152045687"/>
      <w:bookmarkStart w:id="1404" w:name="_Toc144974655"/>
      <w:r>
        <w:rPr>
          <w:rFonts w:hint="eastAsia" w:asciiTheme="minorEastAsia" w:hAnsiTheme="minorEastAsia" w:eastAsiaTheme="minorEastAsia" w:cstheme="minorEastAsia"/>
          <w:color w:val="auto"/>
          <w:sz w:val="21"/>
          <w:szCs w:val="21"/>
          <w:highlight w:val="none"/>
        </w:rPr>
        <w:t>异常恶劣的气候条件的范围和标准：</w:t>
      </w:r>
      <w:r>
        <w:rPr>
          <w:rFonts w:hint="eastAsia" w:asciiTheme="minorEastAsia" w:hAnsiTheme="minorEastAsia" w:eastAsiaTheme="minorEastAsia" w:cstheme="minorEastAsia"/>
          <w:color w:val="auto"/>
          <w:sz w:val="21"/>
          <w:szCs w:val="21"/>
          <w:highlight w:val="none"/>
          <w:u w:val="single"/>
        </w:rPr>
        <w:t>20年一遇的最大降水（雪）量、最高（低）温度等</w:t>
      </w:r>
      <w:r>
        <w:rPr>
          <w:rFonts w:hint="eastAsia" w:asciiTheme="minorEastAsia" w:hAnsiTheme="minorEastAsia" w:eastAsiaTheme="minorEastAsia" w:cstheme="minorEastAsia"/>
          <w:color w:val="auto"/>
          <w:sz w:val="21"/>
          <w:szCs w:val="21"/>
          <w:highlight w:val="none"/>
        </w:rPr>
        <w:t>。</w:t>
      </w:r>
    </w:p>
    <w:p w14:paraId="732B87C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05" w:name="_Toc342296462"/>
      <w:bookmarkStart w:id="1406" w:name="_Toc9119"/>
      <w:bookmarkStart w:id="1407" w:name="_Toc241459703"/>
      <w:bookmarkStart w:id="1408" w:name="_Toc75511234"/>
      <w:r>
        <w:rPr>
          <w:rFonts w:hint="eastAsia" w:asciiTheme="minorEastAsia" w:hAnsiTheme="minorEastAsia" w:eastAsiaTheme="minorEastAsia" w:cstheme="minorEastAsia"/>
          <w:color w:val="auto"/>
          <w:sz w:val="21"/>
          <w:szCs w:val="21"/>
          <w:highlight w:val="none"/>
        </w:rPr>
        <w:t>11.5 承包人的工期延误</w:t>
      </w:r>
      <w:bookmarkEnd w:id="1401"/>
      <w:bookmarkEnd w:id="1402"/>
      <w:bookmarkEnd w:id="1403"/>
      <w:bookmarkEnd w:id="1404"/>
      <w:bookmarkEnd w:id="1405"/>
      <w:bookmarkEnd w:id="1406"/>
      <w:bookmarkEnd w:id="1407"/>
      <w:bookmarkEnd w:id="1408"/>
    </w:p>
    <w:p w14:paraId="4B557492">
      <w:pPr>
        <w:pStyle w:val="22"/>
        <w:pageBreakBefore w:val="0"/>
        <w:widowControl w:val="0"/>
        <w:kinsoku/>
        <w:wordWrap/>
        <w:overflowPunct/>
        <w:bidi w:val="0"/>
        <w:snapToGrid/>
        <w:spacing w:after="0" w:line="400" w:lineRule="exact"/>
        <w:ind w:left="0" w:leftChars="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09" w:name="_Toc144974656"/>
      <w:bookmarkStart w:id="1410" w:name="_Toc179632706"/>
      <w:bookmarkStart w:id="1411" w:name="_Toc152045688"/>
      <w:bookmarkStart w:id="1412" w:name="_Toc152042466"/>
      <w:r>
        <w:rPr>
          <w:rFonts w:hint="eastAsia" w:asciiTheme="minorEastAsia" w:hAnsiTheme="minorEastAsia" w:eastAsiaTheme="minorEastAsia" w:cstheme="minorEastAsia"/>
          <w:color w:val="auto"/>
          <w:sz w:val="21"/>
          <w:szCs w:val="21"/>
          <w:highlight w:val="none"/>
        </w:rPr>
        <w:t>由于承包人原因造成不能按期竣工的，在按合同约定确定的竣工日期（包括按合同延长的工期）后7天内，监理人应当按通用合同条款第23.4.1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14:paraId="72F715B1">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逾期竣工违约金的计算标准：</w:t>
      </w:r>
      <w:r>
        <w:rPr>
          <w:rFonts w:hint="eastAsia" w:asciiTheme="minorEastAsia" w:hAnsiTheme="minorEastAsia" w:eastAsiaTheme="minorEastAsia" w:cstheme="minorEastAsia"/>
          <w:color w:val="auto"/>
          <w:sz w:val="21"/>
          <w:szCs w:val="21"/>
          <w:highlight w:val="none"/>
          <w:u w:val="single"/>
        </w:rPr>
        <w:t>工期每延误一天，承包人应当向发包人赔偿工程合同价万分之二的工期违约金，不足一天按一天计</w:t>
      </w:r>
      <w:r>
        <w:rPr>
          <w:rFonts w:hint="eastAsia" w:asciiTheme="minorEastAsia" w:hAnsiTheme="minorEastAsia" w:eastAsiaTheme="minorEastAsia" w:cstheme="minorEastAsia"/>
          <w:color w:val="auto"/>
          <w:sz w:val="21"/>
          <w:szCs w:val="21"/>
          <w:highlight w:val="none"/>
        </w:rPr>
        <w:t>。</w:t>
      </w:r>
    </w:p>
    <w:p w14:paraId="32034DD1">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逾期竣工违约金的计算方法：</w:t>
      </w:r>
      <w:r>
        <w:rPr>
          <w:rFonts w:hint="eastAsia" w:asciiTheme="minorEastAsia" w:hAnsiTheme="minorEastAsia" w:eastAsiaTheme="minorEastAsia" w:cstheme="minorEastAsia"/>
          <w:color w:val="auto"/>
          <w:sz w:val="21"/>
          <w:szCs w:val="21"/>
          <w:highlight w:val="none"/>
          <w:u w:val="single"/>
        </w:rPr>
        <w:t>延误工期日历天*工程合同价*万分之二</w:t>
      </w:r>
      <w:r>
        <w:rPr>
          <w:rFonts w:hint="eastAsia" w:asciiTheme="minorEastAsia" w:hAnsiTheme="minorEastAsia" w:eastAsiaTheme="minorEastAsia" w:cstheme="minorEastAsia"/>
          <w:color w:val="auto"/>
          <w:sz w:val="21"/>
          <w:szCs w:val="21"/>
          <w:highlight w:val="none"/>
        </w:rPr>
        <w:t xml:space="preserve">。 </w:t>
      </w:r>
    </w:p>
    <w:p w14:paraId="63C2D031">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逾期竣工违约金最高限额：</w:t>
      </w:r>
      <w:r>
        <w:rPr>
          <w:rFonts w:hint="eastAsia" w:asciiTheme="minorEastAsia" w:hAnsiTheme="minorEastAsia" w:eastAsiaTheme="minorEastAsia" w:cstheme="minorEastAsia"/>
          <w:color w:val="auto"/>
          <w:sz w:val="21"/>
          <w:szCs w:val="21"/>
          <w:highlight w:val="none"/>
          <w:u w:val="single"/>
        </w:rPr>
        <w:t>合同价的3％</w:t>
      </w:r>
      <w:r>
        <w:rPr>
          <w:rFonts w:hint="eastAsia" w:asciiTheme="minorEastAsia" w:hAnsiTheme="minorEastAsia" w:eastAsiaTheme="minorEastAsia" w:cstheme="minorEastAsia"/>
          <w:color w:val="auto"/>
          <w:sz w:val="21"/>
          <w:szCs w:val="21"/>
          <w:highlight w:val="none"/>
        </w:rPr>
        <w:t>。</w:t>
      </w:r>
    </w:p>
    <w:p w14:paraId="06AF399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13" w:name="_Toc342296463"/>
      <w:bookmarkStart w:id="1414" w:name="_Toc75511235"/>
      <w:bookmarkStart w:id="1415" w:name="_Toc13910"/>
      <w:bookmarkStart w:id="1416" w:name="_Toc241459704"/>
      <w:r>
        <w:rPr>
          <w:rFonts w:hint="eastAsia" w:asciiTheme="minorEastAsia" w:hAnsiTheme="minorEastAsia" w:eastAsiaTheme="minorEastAsia" w:cstheme="minorEastAsia"/>
          <w:color w:val="auto"/>
          <w:sz w:val="21"/>
          <w:szCs w:val="21"/>
          <w:highlight w:val="none"/>
        </w:rPr>
        <w:t>11.6</w:t>
      </w:r>
      <w:bookmarkEnd w:id="1409"/>
      <w:bookmarkStart w:id="1417" w:name="_Toc144974657"/>
      <w:r>
        <w:rPr>
          <w:rFonts w:hint="eastAsia" w:asciiTheme="minorEastAsia" w:hAnsiTheme="minorEastAsia" w:eastAsiaTheme="minorEastAsia" w:cstheme="minorEastAsia"/>
          <w:color w:val="auto"/>
          <w:sz w:val="21"/>
          <w:szCs w:val="21"/>
          <w:highlight w:val="none"/>
        </w:rPr>
        <w:t xml:space="preserve"> 工期提前</w:t>
      </w:r>
      <w:bookmarkEnd w:id="1410"/>
      <w:bookmarkEnd w:id="1411"/>
      <w:bookmarkEnd w:id="1412"/>
      <w:bookmarkEnd w:id="1413"/>
      <w:bookmarkEnd w:id="1414"/>
      <w:bookmarkEnd w:id="1415"/>
      <w:bookmarkEnd w:id="1416"/>
      <w:bookmarkEnd w:id="1417"/>
    </w:p>
    <w:p w14:paraId="75563CE8">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bookmarkStart w:id="1418" w:name="_Toc144974658"/>
      <w:bookmarkStart w:id="1419" w:name="_Toc179632707"/>
      <w:bookmarkStart w:id="1420" w:name="_Toc152042467"/>
      <w:bookmarkStart w:id="1421" w:name="_Toc152045689"/>
      <w:r>
        <w:rPr>
          <w:rFonts w:hint="eastAsia" w:asciiTheme="minorEastAsia" w:hAnsiTheme="minorEastAsia" w:eastAsiaTheme="minorEastAsia" w:cstheme="minorEastAsia"/>
          <w:color w:val="auto"/>
          <w:sz w:val="21"/>
          <w:szCs w:val="21"/>
          <w:highlight w:val="none"/>
        </w:rPr>
        <w:t>提前竣工的奖励办法：</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F5C8375">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22" w:name="_Toc241484601"/>
      <w:bookmarkStart w:id="1423" w:name="_Toc342296464"/>
      <w:bookmarkStart w:id="1424" w:name="_Toc75511236"/>
      <w:bookmarkStart w:id="1425" w:name="_Toc25263"/>
      <w:bookmarkStart w:id="1426" w:name="_Toc241459705"/>
      <w:r>
        <w:rPr>
          <w:rFonts w:hint="eastAsia" w:asciiTheme="minorEastAsia" w:hAnsiTheme="minorEastAsia" w:eastAsiaTheme="minorEastAsia" w:cstheme="minorEastAsia"/>
          <w:color w:val="auto"/>
          <w:sz w:val="21"/>
          <w:szCs w:val="21"/>
          <w:highlight w:val="none"/>
        </w:rPr>
        <w:t>12. 暂停施工</w:t>
      </w:r>
      <w:bookmarkEnd w:id="1418"/>
      <w:bookmarkEnd w:id="1419"/>
      <w:bookmarkEnd w:id="1420"/>
      <w:bookmarkEnd w:id="1421"/>
      <w:bookmarkEnd w:id="1422"/>
      <w:bookmarkEnd w:id="1423"/>
      <w:bookmarkEnd w:id="1424"/>
      <w:bookmarkEnd w:id="1425"/>
      <w:bookmarkEnd w:id="1426"/>
    </w:p>
    <w:p w14:paraId="6D211844">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27" w:name="_Toc152045690"/>
      <w:bookmarkStart w:id="1428" w:name="_Toc152042468"/>
      <w:bookmarkStart w:id="1429" w:name="_Toc144974659"/>
      <w:bookmarkStart w:id="1430" w:name="_Toc241459706"/>
      <w:bookmarkStart w:id="1431" w:name="_Toc179632708"/>
      <w:bookmarkStart w:id="1432" w:name="_Toc342296465"/>
      <w:bookmarkStart w:id="1433" w:name="_Toc75511237"/>
      <w:bookmarkStart w:id="1434" w:name="_Toc29016"/>
      <w:r>
        <w:rPr>
          <w:rFonts w:hint="eastAsia" w:asciiTheme="minorEastAsia" w:hAnsiTheme="minorEastAsia" w:eastAsiaTheme="minorEastAsia" w:cstheme="minorEastAsia"/>
          <w:color w:val="auto"/>
          <w:sz w:val="21"/>
          <w:szCs w:val="21"/>
          <w:highlight w:val="none"/>
        </w:rPr>
        <w:t>12.1 承包人暂停施工的责任</w:t>
      </w:r>
      <w:bookmarkEnd w:id="1427"/>
      <w:bookmarkEnd w:id="1428"/>
      <w:bookmarkEnd w:id="1429"/>
      <w:bookmarkEnd w:id="1430"/>
      <w:bookmarkEnd w:id="1431"/>
      <w:bookmarkEnd w:id="1432"/>
      <w:bookmarkEnd w:id="1433"/>
      <w:bookmarkEnd w:id="1434"/>
    </w:p>
    <w:p w14:paraId="5C46A15F">
      <w:pPr>
        <w:pStyle w:val="22"/>
        <w:pageBreakBefore w:val="0"/>
        <w:widowControl w:val="0"/>
        <w:kinsoku/>
        <w:wordWrap/>
        <w:overflowPunct/>
        <w:bidi w:val="0"/>
        <w:snapToGrid/>
        <w:spacing w:after="0" w:line="400" w:lineRule="exact"/>
        <w:ind w:left="42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（5）承包人承担暂停施工责任的其他情形：</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6945A5E9">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35" w:name="_Toc1713"/>
      <w:bookmarkStart w:id="1436" w:name="_Toc342296466"/>
      <w:bookmarkStart w:id="1437" w:name="_Toc75511238"/>
      <w:bookmarkStart w:id="1438" w:name="_Toc241459707"/>
      <w:r>
        <w:rPr>
          <w:rFonts w:hint="eastAsia" w:asciiTheme="minorEastAsia" w:hAnsiTheme="minorEastAsia" w:eastAsiaTheme="minorEastAsia" w:cstheme="minorEastAsia"/>
          <w:color w:val="auto"/>
          <w:sz w:val="21"/>
          <w:szCs w:val="21"/>
          <w:highlight w:val="none"/>
        </w:rPr>
        <w:t>12.4 暂停施工后的复工</w:t>
      </w:r>
      <w:bookmarkEnd w:id="1435"/>
      <w:bookmarkEnd w:id="1436"/>
      <w:bookmarkEnd w:id="1437"/>
      <w:bookmarkEnd w:id="1438"/>
    </w:p>
    <w:p w14:paraId="0ECFD6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12.4.3根据通用合同条款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6E77F4F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12.4.4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1439" w:name="_Toc152045695"/>
      <w:bookmarkStart w:id="1440" w:name="_Toc179632713"/>
      <w:bookmarkStart w:id="1441" w:name="_Toc144974664"/>
      <w:bookmarkStart w:id="1442" w:name="_Toc241459708"/>
      <w:bookmarkStart w:id="1443" w:name="_Toc152042473"/>
    </w:p>
    <w:p w14:paraId="550260E0">
      <w:pPr>
        <w:pStyle w:val="20"/>
        <w:pageBreakBefore w:val="0"/>
        <w:widowControl w:val="0"/>
        <w:numPr>
          <w:ilvl w:val="0"/>
          <w:numId w:val="3"/>
        </w:numPr>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44" w:name="_Toc75511239"/>
      <w:bookmarkStart w:id="1445" w:name="_Toc342296467"/>
      <w:bookmarkStart w:id="1446" w:name="_Toc19804"/>
      <w:r>
        <w:rPr>
          <w:rFonts w:hint="eastAsia" w:asciiTheme="minorEastAsia" w:hAnsiTheme="minorEastAsia" w:eastAsiaTheme="minorEastAsia" w:cstheme="minorEastAsia"/>
          <w:color w:val="auto"/>
          <w:sz w:val="21"/>
          <w:szCs w:val="21"/>
          <w:highlight w:val="none"/>
        </w:rPr>
        <w:t>工程质量</w:t>
      </w:r>
      <w:bookmarkEnd w:id="1439"/>
      <w:bookmarkEnd w:id="1440"/>
      <w:bookmarkEnd w:id="1441"/>
      <w:bookmarkEnd w:id="1442"/>
      <w:bookmarkEnd w:id="1443"/>
      <w:bookmarkEnd w:id="1444"/>
      <w:bookmarkEnd w:id="1445"/>
      <w:bookmarkEnd w:id="1446"/>
      <w:bookmarkStart w:id="1447" w:name="_Toc144974666"/>
      <w:bookmarkStart w:id="1448" w:name="_Toc152042475"/>
      <w:bookmarkStart w:id="1449" w:name="_Toc179632715"/>
      <w:bookmarkStart w:id="1450" w:name="_Toc152045697"/>
    </w:p>
    <w:p w14:paraId="336D9E55">
      <w:pPr>
        <w:pStyle w:val="20"/>
        <w:pageBreakBefore w:val="0"/>
        <w:widowControl w:val="0"/>
        <w:numPr>
          <w:ilvl w:val="0"/>
          <w:numId w:val="0"/>
        </w:numPr>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13.1质量标准</w:t>
      </w:r>
      <w:r>
        <w:rPr>
          <w:rFonts w:hint="eastAsia" w:asciiTheme="minorEastAsia" w:hAnsiTheme="minorEastAsia" w:eastAsiaTheme="minorEastAsia" w:cstheme="minorEastAsia"/>
          <w:color w:val="auto"/>
          <w:sz w:val="21"/>
          <w:szCs w:val="21"/>
          <w:highlight w:val="none"/>
          <w:u w:val="single"/>
          <w:lang w:val="en-US" w:eastAsia="zh-CN"/>
        </w:rPr>
        <w:t>：合格</w:t>
      </w:r>
    </w:p>
    <w:p w14:paraId="57AF1CB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51" w:name="_Toc241459709"/>
      <w:bookmarkStart w:id="1452" w:name="_Toc342296468"/>
      <w:bookmarkStart w:id="1453" w:name="_Toc75511240"/>
      <w:bookmarkStart w:id="1454" w:name="_Toc17701"/>
      <w:r>
        <w:rPr>
          <w:rFonts w:hint="eastAsia" w:asciiTheme="minorEastAsia" w:hAnsiTheme="minorEastAsia" w:eastAsiaTheme="minorEastAsia" w:cstheme="minorEastAsia"/>
          <w:color w:val="auto"/>
          <w:sz w:val="21"/>
          <w:szCs w:val="21"/>
          <w:highlight w:val="none"/>
        </w:rPr>
        <w:t>13.2 承包人的质量管理</w:t>
      </w:r>
      <w:bookmarkEnd w:id="1447"/>
      <w:bookmarkEnd w:id="1448"/>
      <w:bookmarkEnd w:id="1449"/>
      <w:bookmarkEnd w:id="1450"/>
      <w:bookmarkEnd w:id="1451"/>
      <w:bookmarkEnd w:id="1452"/>
      <w:bookmarkEnd w:id="1453"/>
      <w:bookmarkEnd w:id="1454"/>
    </w:p>
    <w:p w14:paraId="79D2ACC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55" w:name="_Toc144974667"/>
      <w:bookmarkStart w:id="1456" w:name="_Toc179632716"/>
      <w:bookmarkStart w:id="1457" w:name="_Toc152045698"/>
      <w:bookmarkStart w:id="1458" w:name="_Toc152042476"/>
      <w:r>
        <w:rPr>
          <w:rFonts w:hint="eastAsia" w:asciiTheme="minorEastAsia" w:hAnsiTheme="minorEastAsia" w:eastAsiaTheme="minorEastAsia" w:cstheme="minorEastAsia"/>
          <w:color w:val="auto"/>
          <w:sz w:val="21"/>
          <w:szCs w:val="21"/>
          <w:highlight w:val="none"/>
        </w:rPr>
        <w:t>13.2.1承包人向监理人提交工程质量保证措施文件的期限：</w:t>
      </w:r>
      <w:r>
        <w:rPr>
          <w:rFonts w:hint="eastAsia" w:asciiTheme="minorEastAsia" w:hAnsiTheme="minorEastAsia" w:eastAsiaTheme="minorEastAsia" w:cstheme="minorEastAsia"/>
          <w:color w:val="auto"/>
          <w:sz w:val="21"/>
          <w:szCs w:val="21"/>
          <w:highlight w:val="none"/>
          <w:u w:val="single"/>
        </w:rPr>
        <w:t>签订合同后7天内</w:t>
      </w:r>
      <w:r>
        <w:rPr>
          <w:rFonts w:hint="eastAsia" w:asciiTheme="minorEastAsia" w:hAnsiTheme="minorEastAsia" w:eastAsiaTheme="minorEastAsia" w:cstheme="minorEastAsia"/>
          <w:color w:val="auto"/>
          <w:sz w:val="21"/>
          <w:szCs w:val="21"/>
          <w:highlight w:val="none"/>
        </w:rPr>
        <w:t>。</w:t>
      </w:r>
    </w:p>
    <w:p w14:paraId="6A1E17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监理人审批工程质量保证措施文件的期限：</w:t>
      </w:r>
      <w:r>
        <w:rPr>
          <w:rFonts w:hint="eastAsia" w:asciiTheme="minorEastAsia" w:hAnsiTheme="minorEastAsia" w:eastAsiaTheme="minorEastAsia" w:cstheme="minorEastAsia"/>
          <w:color w:val="auto"/>
          <w:sz w:val="21"/>
          <w:szCs w:val="21"/>
          <w:highlight w:val="none"/>
          <w:u w:val="single"/>
        </w:rPr>
        <w:t>7天</w:t>
      </w:r>
      <w:r>
        <w:rPr>
          <w:rFonts w:hint="eastAsia" w:asciiTheme="minorEastAsia" w:hAnsiTheme="minorEastAsia" w:eastAsiaTheme="minorEastAsia" w:cstheme="minorEastAsia"/>
          <w:color w:val="auto"/>
          <w:sz w:val="21"/>
          <w:szCs w:val="21"/>
          <w:highlight w:val="none"/>
        </w:rPr>
        <w:t>。</w:t>
      </w:r>
    </w:p>
    <w:p w14:paraId="4B23DA3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59" w:name="_Toc342296469"/>
      <w:bookmarkStart w:id="1460" w:name="_Toc6810"/>
      <w:bookmarkStart w:id="1461" w:name="_Toc241459710"/>
      <w:bookmarkStart w:id="1462" w:name="_Toc75511241"/>
      <w:r>
        <w:rPr>
          <w:rFonts w:hint="eastAsia" w:asciiTheme="minorEastAsia" w:hAnsiTheme="minorEastAsia" w:eastAsiaTheme="minorEastAsia" w:cstheme="minorEastAsia"/>
          <w:color w:val="auto"/>
          <w:sz w:val="21"/>
          <w:szCs w:val="21"/>
          <w:highlight w:val="none"/>
        </w:rPr>
        <w:t>13.3 承包人的质量检查</w:t>
      </w:r>
      <w:bookmarkEnd w:id="1455"/>
      <w:bookmarkEnd w:id="1456"/>
      <w:bookmarkEnd w:id="1457"/>
      <w:bookmarkEnd w:id="1458"/>
      <w:bookmarkEnd w:id="1459"/>
      <w:bookmarkEnd w:id="1460"/>
      <w:bookmarkEnd w:id="1461"/>
      <w:bookmarkEnd w:id="1462"/>
    </w:p>
    <w:p w14:paraId="4C38C1D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463" w:name="_Toc144974668"/>
      <w:bookmarkStart w:id="1464" w:name="_Toc179632717"/>
      <w:bookmarkStart w:id="1465" w:name="_Toc152042477"/>
      <w:bookmarkStart w:id="1466" w:name="_Toc152045699"/>
      <w:bookmarkStart w:id="1467" w:name="_Toc152045700"/>
      <w:bookmarkStart w:id="1468" w:name="_Toc179632718"/>
      <w:bookmarkStart w:id="1469" w:name="_Toc144974669"/>
      <w:bookmarkStart w:id="1470" w:name="_Toc152042478"/>
      <w:r>
        <w:rPr>
          <w:rFonts w:hint="eastAsia" w:asciiTheme="minorEastAsia" w:hAnsiTheme="minorEastAsia" w:eastAsiaTheme="minorEastAsia" w:cstheme="minorEastAsia"/>
          <w:color w:val="auto"/>
          <w:sz w:val="21"/>
          <w:szCs w:val="21"/>
          <w:highlight w:val="none"/>
        </w:rPr>
        <w:t>承包人向监理人报送工程质量报表的期限：</w:t>
      </w:r>
      <w:r>
        <w:rPr>
          <w:rFonts w:hint="eastAsia" w:asciiTheme="minorEastAsia" w:hAnsiTheme="minorEastAsia" w:eastAsiaTheme="minorEastAsia" w:cstheme="minorEastAsia"/>
          <w:color w:val="auto"/>
          <w:sz w:val="21"/>
          <w:szCs w:val="21"/>
          <w:highlight w:val="none"/>
          <w:u w:val="single"/>
        </w:rPr>
        <w:t>每月25日报监理工程师</w:t>
      </w:r>
      <w:r>
        <w:rPr>
          <w:rFonts w:hint="eastAsia" w:asciiTheme="minorEastAsia" w:hAnsiTheme="minorEastAsia" w:eastAsiaTheme="minorEastAsia" w:cstheme="minorEastAsia"/>
          <w:color w:val="auto"/>
          <w:sz w:val="21"/>
          <w:szCs w:val="21"/>
          <w:highlight w:val="none"/>
        </w:rPr>
        <w:t>。</w:t>
      </w:r>
    </w:p>
    <w:bookmarkEnd w:id="1463"/>
    <w:bookmarkEnd w:id="1464"/>
    <w:bookmarkEnd w:id="1465"/>
    <w:bookmarkEnd w:id="1466"/>
    <w:p w14:paraId="3F80FA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承包人向监理人报送工程质量报表的要求：</w:t>
      </w:r>
      <w:r>
        <w:rPr>
          <w:rFonts w:hint="eastAsia" w:asciiTheme="minorEastAsia" w:hAnsiTheme="minorEastAsia" w:eastAsiaTheme="minorEastAsia" w:cstheme="minorEastAsia"/>
          <w:color w:val="auto"/>
          <w:sz w:val="21"/>
          <w:szCs w:val="21"/>
          <w:highlight w:val="none"/>
          <w:u w:val="single"/>
        </w:rPr>
        <w:t>符合国家有关规定和行业标准</w:t>
      </w:r>
      <w:r>
        <w:rPr>
          <w:rFonts w:hint="eastAsia" w:asciiTheme="minorEastAsia" w:hAnsiTheme="minorEastAsia" w:eastAsiaTheme="minorEastAsia" w:cstheme="minorEastAsia"/>
          <w:color w:val="auto"/>
          <w:sz w:val="21"/>
          <w:szCs w:val="21"/>
          <w:highlight w:val="none"/>
        </w:rPr>
        <w:t>。</w:t>
      </w:r>
    </w:p>
    <w:p w14:paraId="3BDC3BF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监理人审查工程质量报表的期限：</w:t>
      </w:r>
      <w:r>
        <w:rPr>
          <w:rFonts w:hint="eastAsia" w:asciiTheme="minorEastAsia" w:hAnsiTheme="minorEastAsia" w:eastAsiaTheme="minorEastAsia" w:cstheme="minorEastAsia"/>
          <w:color w:val="auto"/>
          <w:sz w:val="21"/>
          <w:szCs w:val="21"/>
          <w:highlight w:val="none"/>
          <w:u w:val="single"/>
        </w:rPr>
        <w:t>接到报告后14天内核实已完工程量</w:t>
      </w:r>
      <w:r>
        <w:rPr>
          <w:rFonts w:hint="eastAsia" w:asciiTheme="minorEastAsia" w:hAnsiTheme="minorEastAsia" w:eastAsiaTheme="minorEastAsia" w:cstheme="minorEastAsia"/>
          <w:color w:val="auto"/>
          <w:sz w:val="21"/>
          <w:szCs w:val="21"/>
          <w:highlight w:val="none"/>
        </w:rPr>
        <w:t>。</w:t>
      </w:r>
    </w:p>
    <w:p w14:paraId="4E59AD71">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1" w:name="_Toc17208"/>
      <w:bookmarkStart w:id="1472" w:name="_Toc75511242"/>
      <w:bookmarkStart w:id="1473" w:name="_Toc342296470"/>
      <w:bookmarkStart w:id="1474" w:name="_Toc241459711"/>
      <w:r>
        <w:rPr>
          <w:rFonts w:hint="eastAsia" w:asciiTheme="minorEastAsia" w:hAnsiTheme="minorEastAsia" w:eastAsiaTheme="minorEastAsia" w:cstheme="minorEastAsia"/>
          <w:color w:val="auto"/>
          <w:sz w:val="21"/>
          <w:szCs w:val="21"/>
          <w:highlight w:val="none"/>
        </w:rPr>
        <w:t>13.4 监理人的质量检查</w:t>
      </w:r>
      <w:bookmarkEnd w:id="1471"/>
      <w:bookmarkEnd w:id="1472"/>
      <w:bookmarkEnd w:id="1473"/>
      <w:bookmarkEnd w:id="1474"/>
    </w:p>
    <w:p w14:paraId="3DCCABA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承包人应当为监理人的检查和检验提供方便，监理人可以进行察看和查阅施工原始记录的其他地方包括：</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C41FE16">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5" w:name="_Toc28696"/>
      <w:bookmarkStart w:id="1476" w:name="_Toc342296471"/>
      <w:bookmarkStart w:id="1477" w:name="_Toc75511243"/>
      <w:bookmarkStart w:id="1478" w:name="_Toc241459712"/>
      <w:r>
        <w:rPr>
          <w:rFonts w:hint="eastAsia" w:asciiTheme="minorEastAsia" w:hAnsiTheme="minorEastAsia" w:eastAsiaTheme="minorEastAsia" w:cstheme="minorEastAsia"/>
          <w:color w:val="auto"/>
          <w:sz w:val="21"/>
          <w:szCs w:val="21"/>
          <w:highlight w:val="none"/>
        </w:rPr>
        <w:t>13.5 工程隐蔽部位覆盖前的检查</w:t>
      </w:r>
      <w:bookmarkEnd w:id="1467"/>
      <w:bookmarkEnd w:id="1468"/>
      <w:bookmarkEnd w:id="1469"/>
      <w:bookmarkEnd w:id="1470"/>
      <w:bookmarkEnd w:id="1475"/>
      <w:bookmarkEnd w:id="1476"/>
      <w:bookmarkEnd w:id="1477"/>
      <w:bookmarkEnd w:id="1478"/>
    </w:p>
    <w:p w14:paraId="7B1B263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13.5.1监理人对工程隐蔽部位进行检查的期限：</w:t>
      </w:r>
      <w:r>
        <w:rPr>
          <w:rFonts w:hint="eastAsia" w:asciiTheme="minorEastAsia" w:hAnsiTheme="minorEastAsia" w:eastAsiaTheme="minorEastAsia" w:cstheme="minorEastAsia"/>
          <w:color w:val="auto"/>
          <w:sz w:val="21"/>
          <w:szCs w:val="21"/>
          <w:highlight w:val="none"/>
          <w:u w:val="single"/>
        </w:rPr>
        <w:t>收到承包人的检查通知后12小时内</w:t>
      </w:r>
      <w:r>
        <w:rPr>
          <w:rFonts w:hint="eastAsia" w:asciiTheme="minorEastAsia" w:hAnsiTheme="minorEastAsia" w:eastAsiaTheme="minorEastAsia" w:cstheme="minorEastAsia"/>
          <w:color w:val="auto"/>
          <w:sz w:val="21"/>
          <w:szCs w:val="21"/>
          <w:highlight w:val="none"/>
        </w:rPr>
        <w:t>。</w:t>
      </w:r>
    </w:p>
    <w:p w14:paraId="73636D5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79" w:name="_Toc20539"/>
      <w:bookmarkStart w:id="1480" w:name="_Toc75511244"/>
      <w:bookmarkStart w:id="1481" w:name="_Toc342296472"/>
      <w:bookmarkStart w:id="1482" w:name="_Toc241459713"/>
      <w:bookmarkStart w:id="1483" w:name="_Toc152042484"/>
      <w:bookmarkStart w:id="1484" w:name="_Toc152045706"/>
      <w:bookmarkStart w:id="1485" w:name="_Toc144974675"/>
      <w:bookmarkStart w:id="1486" w:name="_Toc179632724"/>
      <w:r>
        <w:rPr>
          <w:rFonts w:hint="eastAsia" w:asciiTheme="minorEastAsia" w:hAnsiTheme="minorEastAsia" w:eastAsiaTheme="minorEastAsia" w:cstheme="minorEastAsia"/>
          <w:color w:val="auto"/>
          <w:sz w:val="21"/>
          <w:szCs w:val="21"/>
          <w:highlight w:val="none"/>
        </w:rPr>
        <w:t>13.7 质量争议</w:t>
      </w:r>
      <w:bookmarkEnd w:id="1479"/>
      <w:bookmarkEnd w:id="1480"/>
      <w:bookmarkEnd w:id="1481"/>
      <w:bookmarkEnd w:id="1482"/>
    </w:p>
    <w:p w14:paraId="70CFF9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和承包人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3B04DCBC">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487" w:name="_Toc342296473"/>
      <w:bookmarkStart w:id="1488" w:name="_Toc10941"/>
      <w:bookmarkStart w:id="1489" w:name="_Toc241459714"/>
      <w:bookmarkStart w:id="1490" w:name="_Toc75511245"/>
      <w:r>
        <w:rPr>
          <w:rFonts w:hint="eastAsia" w:asciiTheme="minorEastAsia" w:hAnsiTheme="minorEastAsia" w:eastAsiaTheme="minorEastAsia" w:cstheme="minorEastAsia"/>
          <w:color w:val="auto"/>
          <w:sz w:val="21"/>
          <w:szCs w:val="21"/>
          <w:highlight w:val="none"/>
        </w:rPr>
        <w:t>15. 变更</w:t>
      </w:r>
      <w:bookmarkEnd w:id="1483"/>
      <w:bookmarkEnd w:id="1484"/>
      <w:bookmarkEnd w:id="1485"/>
      <w:bookmarkEnd w:id="1486"/>
      <w:bookmarkEnd w:id="1487"/>
      <w:bookmarkEnd w:id="1488"/>
      <w:bookmarkEnd w:id="1489"/>
      <w:bookmarkEnd w:id="1490"/>
    </w:p>
    <w:p w14:paraId="235B784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91" w:name="_Toc241459715"/>
      <w:bookmarkStart w:id="1492" w:name="_Toc23785"/>
      <w:bookmarkStart w:id="1493" w:name="_Toc144974676"/>
      <w:bookmarkStart w:id="1494" w:name="_Toc179632725"/>
      <w:bookmarkStart w:id="1495" w:name="_Toc342296474"/>
      <w:bookmarkStart w:id="1496" w:name="_Toc152045707"/>
      <w:bookmarkStart w:id="1497" w:name="_Toc152042485"/>
      <w:bookmarkStart w:id="1498" w:name="_Toc75511246"/>
      <w:r>
        <w:rPr>
          <w:rFonts w:hint="eastAsia" w:asciiTheme="minorEastAsia" w:hAnsiTheme="minorEastAsia" w:eastAsiaTheme="minorEastAsia" w:cstheme="minorEastAsia"/>
          <w:color w:val="auto"/>
          <w:sz w:val="21"/>
          <w:szCs w:val="21"/>
          <w:highlight w:val="none"/>
        </w:rPr>
        <w:t>15.1 变更的范围和内容</w:t>
      </w:r>
      <w:bookmarkEnd w:id="1491"/>
      <w:bookmarkEnd w:id="1492"/>
      <w:bookmarkEnd w:id="1493"/>
      <w:bookmarkEnd w:id="1494"/>
      <w:bookmarkEnd w:id="1495"/>
      <w:bookmarkEnd w:id="1496"/>
      <w:bookmarkEnd w:id="1497"/>
      <w:bookmarkEnd w:id="1498"/>
    </w:p>
    <w:p w14:paraId="3D4D303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应当进行变更的其他情形：</w:t>
      </w:r>
      <w:r>
        <w:rPr>
          <w:rFonts w:hint="eastAsia" w:asciiTheme="minorEastAsia" w:hAnsiTheme="minorEastAsia" w:eastAsiaTheme="minorEastAsia" w:cstheme="minorEastAsia"/>
          <w:color w:val="auto"/>
          <w:sz w:val="21"/>
          <w:szCs w:val="21"/>
          <w:highlight w:val="none"/>
          <w:u w:val="single"/>
        </w:rPr>
        <w:t>参见16</w:t>
      </w:r>
      <w:r>
        <w:rPr>
          <w:rFonts w:hint="eastAsia" w:asciiTheme="minorEastAsia" w:hAnsiTheme="minorEastAsia" w:eastAsiaTheme="minorEastAsia" w:cstheme="minorEastAsia"/>
          <w:color w:val="auto"/>
          <w:sz w:val="21"/>
          <w:szCs w:val="21"/>
          <w:highlight w:val="none"/>
        </w:rPr>
        <w:t>。</w:t>
      </w:r>
    </w:p>
    <w:p w14:paraId="5DF8D27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违背通用合同条款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通用合同条款第23.1.1（1）目的约定，在上述28天期限到期后的28天内，向监理人递交索赔意向通知书,并按通用合同条款第23.1.1（2）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79E004C3">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499" w:name="_Toc75511247"/>
      <w:bookmarkStart w:id="1500" w:name="_Toc152042487"/>
      <w:bookmarkStart w:id="1501" w:name="_Toc342296475"/>
      <w:bookmarkStart w:id="1502" w:name="_Toc179632727"/>
      <w:bookmarkStart w:id="1503" w:name="_Toc144974678"/>
      <w:bookmarkStart w:id="1504" w:name="_Toc10749"/>
      <w:bookmarkStart w:id="1505" w:name="_Toc241459716"/>
      <w:bookmarkStart w:id="1506" w:name="_Toc152045709"/>
      <w:r>
        <w:rPr>
          <w:rFonts w:hint="eastAsia" w:asciiTheme="minorEastAsia" w:hAnsiTheme="minorEastAsia" w:eastAsiaTheme="minorEastAsia" w:cstheme="minorEastAsia"/>
          <w:color w:val="auto"/>
          <w:sz w:val="21"/>
          <w:szCs w:val="21"/>
          <w:highlight w:val="none"/>
        </w:rPr>
        <w:t>15.3 变更程序</w:t>
      </w:r>
      <w:bookmarkEnd w:id="1499"/>
      <w:bookmarkEnd w:id="1500"/>
      <w:bookmarkEnd w:id="1501"/>
      <w:bookmarkEnd w:id="1502"/>
      <w:bookmarkEnd w:id="1503"/>
      <w:bookmarkEnd w:id="1504"/>
      <w:bookmarkEnd w:id="1505"/>
      <w:bookmarkEnd w:id="1506"/>
    </w:p>
    <w:p w14:paraId="1F96C5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15.3.2变更估价</w:t>
      </w:r>
    </w:p>
    <w:p w14:paraId="36D8A7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（1）承包人提交变更报价书的期限：</w:t>
      </w:r>
      <w:r>
        <w:rPr>
          <w:rFonts w:hint="eastAsia" w:asciiTheme="minorEastAsia" w:hAnsiTheme="minorEastAsia" w:eastAsiaTheme="minorEastAsia" w:cstheme="minorEastAsia"/>
          <w:color w:val="auto"/>
          <w:sz w:val="21"/>
          <w:szCs w:val="21"/>
          <w:highlight w:val="none"/>
          <w:u w:val="single"/>
        </w:rPr>
        <w:t>承包人收到变更指示或变更意向书后的14天内</w:t>
      </w:r>
      <w:r>
        <w:rPr>
          <w:rFonts w:hint="eastAsia" w:asciiTheme="minorEastAsia" w:hAnsiTheme="minorEastAsia" w:eastAsiaTheme="minorEastAsia" w:cstheme="minorEastAsia"/>
          <w:color w:val="auto"/>
          <w:sz w:val="21"/>
          <w:szCs w:val="21"/>
          <w:highlight w:val="none"/>
        </w:rPr>
        <w:t>。</w:t>
      </w:r>
    </w:p>
    <w:p w14:paraId="1F48B9F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（3）监理人商定或确定变更价格的期限：</w:t>
      </w:r>
      <w:r>
        <w:rPr>
          <w:rFonts w:hint="eastAsia" w:asciiTheme="minorEastAsia" w:hAnsiTheme="minorEastAsia" w:eastAsiaTheme="minorEastAsia" w:cstheme="minorEastAsia"/>
          <w:color w:val="auto"/>
          <w:sz w:val="21"/>
          <w:szCs w:val="21"/>
          <w:highlight w:val="none"/>
          <w:u w:val="single"/>
        </w:rPr>
        <w:t>监理人收到承包人变更报价书后的14天内</w:t>
      </w:r>
      <w:r>
        <w:rPr>
          <w:rFonts w:hint="eastAsia" w:asciiTheme="minorEastAsia" w:hAnsiTheme="minorEastAsia" w:eastAsiaTheme="minorEastAsia" w:cstheme="minorEastAsia"/>
          <w:color w:val="auto"/>
          <w:sz w:val="21"/>
          <w:szCs w:val="21"/>
          <w:highlight w:val="none"/>
        </w:rPr>
        <w:t>。</w:t>
      </w:r>
    </w:p>
    <w:p w14:paraId="6226740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（4）收到变更指示后，如承包人未在规定的期限内提交变更报价书的，监理人可自行决定是否调整合同价款以及如果监理人决定调整合同价款时，相应调整的具体金额。</w:t>
      </w:r>
    </w:p>
    <w:p w14:paraId="2C6F979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07" w:name="_Toc75511248"/>
      <w:bookmarkStart w:id="1508" w:name="_Toc179632728"/>
      <w:bookmarkStart w:id="1509" w:name="_Toc24039"/>
      <w:bookmarkStart w:id="1510" w:name="_Toc241459717"/>
      <w:bookmarkStart w:id="1511" w:name="_Toc152045710"/>
      <w:bookmarkStart w:id="1512" w:name="_Toc144974679"/>
      <w:bookmarkStart w:id="1513" w:name="_Toc152042488"/>
      <w:bookmarkStart w:id="1514" w:name="_Toc342296476"/>
      <w:r>
        <w:rPr>
          <w:rFonts w:hint="eastAsia" w:asciiTheme="minorEastAsia" w:hAnsiTheme="minorEastAsia" w:eastAsiaTheme="minorEastAsia" w:cstheme="minorEastAsia"/>
          <w:color w:val="auto"/>
          <w:sz w:val="21"/>
          <w:szCs w:val="21"/>
          <w:highlight w:val="none"/>
        </w:rPr>
        <w:t>15.4 变更的估价原则</w:t>
      </w:r>
      <w:bookmarkEnd w:id="1507"/>
      <w:bookmarkEnd w:id="1508"/>
      <w:bookmarkEnd w:id="1509"/>
      <w:bookmarkEnd w:id="1510"/>
      <w:bookmarkEnd w:id="1511"/>
      <w:bookmarkEnd w:id="1512"/>
      <w:bookmarkEnd w:id="1513"/>
      <w:bookmarkEnd w:id="1514"/>
    </w:p>
    <w:p w14:paraId="6230C9E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15.4.4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3.5款商定或确定变更措施项目的费用。</w:t>
      </w:r>
    </w:p>
    <w:p w14:paraId="7400D7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15.4.5合同协议书约定采用单价合同形式时，因非承包人原因引起已标价工程量清单中列明的工程量发生增减，且单个子目工程量变化幅度在</w:t>
      </w:r>
      <w:r>
        <w:rPr>
          <w:rFonts w:hint="eastAsia" w:asciiTheme="minorEastAsia" w:hAnsiTheme="minorEastAsia" w:eastAsiaTheme="minorEastAsia" w:cstheme="minorEastAsia"/>
          <w:color w:val="auto"/>
          <w:sz w:val="21"/>
          <w:szCs w:val="21"/>
          <w:highlight w:val="none"/>
          <w:u w:val="single"/>
        </w:rPr>
        <w:t xml:space="preserve"> 15 </w:t>
      </w:r>
      <w:r>
        <w:rPr>
          <w:rFonts w:hint="eastAsia" w:asciiTheme="minorEastAsia" w:hAnsiTheme="minorEastAsia" w:eastAsiaTheme="minorEastAsia" w:cstheme="minorEastAsia"/>
          <w:color w:val="auto"/>
          <w:sz w:val="21"/>
          <w:szCs w:val="21"/>
          <w:highlight w:val="none"/>
        </w:rPr>
        <w:t>%以内（含）时，应执行已标价工程量清单中列明的该子目的单价；单个子目工程量变化幅度在</w:t>
      </w:r>
      <w:r>
        <w:rPr>
          <w:rFonts w:hint="eastAsia" w:asciiTheme="minorEastAsia" w:hAnsiTheme="minorEastAsia" w:eastAsiaTheme="minorEastAsia" w:cstheme="minorEastAsia"/>
          <w:color w:val="auto"/>
          <w:sz w:val="21"/>
          <w:szCs w:val="21"/>
          <w:highlight w:val="none"/>
          <w:u w:val="single"/>
        </w:rPr>
        <w:t xml:space="preserve"> 15 </w:t>
      </w:r>
      <w:r>
        <w:rPr>
          <w:rFonts w:hint="eastAsia" w:asciiTheme="minorEastAsia" w:hAnsiTheme="minorEastAsia" w:eastAsiaTheme="minorEastAsia" w:cstheme="minorEastAsia"/>
          <w:color w:val="auto"/>
          <w:sz w:val="21"/>
          <w:szCs w:val="21"/>
          <w:highlight w:val="none"/>
        </w:rPr>
        <w:t>%以外（不含），且导致分部分项工程费总额变化幅度超过</w:t>
      </w:r>
      <w:r>
        <w:rPr>
          <w:rFonts w:hint="eastAsia" w:asciiTheme="minorEastAsia" w:hAnsiTheme="minorEastAsia" w:eastAsiaTheme="minorEastAsia" w:cstheme="minorEastAsia"/>
          <w:color w:val="auto"/>
          <w:sz w:val="21"/>
          <w:szCs w:val="21"/>
          <w:highlight w:val="none"/>
          <w:u w:val="single"/>
        </w:rPr>
        <w:t xml:space="preserve"> 1 </w:t>
      </w:r>
      <w:r>
        <w:rPr>
          <w:rFonts w:hint="eastAsia" w:asciiTheme="minorEastAsia" w:hAnsiTheme="minorEastAsia" w:eastAsiaTheme="minorEastAsia" w:cstheme="minorEastAsia"/>
          <w:color w:val="auto"/>
          <w:sz w:val="21"/>
          <w:szCs w:val="21"/>
          <w:highlight w:val="none"/>
        </w:rPr>
        <w:t>%时，由承包人提出并由监理人按第3.5款商定或确定新的单价，该子目按修正后的新的单价计价。</w:t>
      </w:r>
    </w:p>
    <w:p w14:paraId="45357B74">
      <w:pPr>
        <w:pageBreakBefore w:val="0"/>
        <w:widowControl w:val="0"/>
        <w:kinsoku/>
        <w:wordWrap/>
        <w:overflowPunct/>
        <w:bidi w:val="0"/>
        <w:snapToGrid/>
        <w:spacing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5.4.6因变更引起价格调整的其他处理方式：</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E43866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15" w:name="_Toc152042489"/>
      <w:bookmarkStart w:id="1516" w:name="_Toc179632729"/>
      <w:bookmarkStart w:id="1517" w:name="_Toc144974680"/>
      <w:bookmarkStart w:id="1518" w:name="_Toc75511249"/>
      <w:bookmarkStart w:id="1519" w:name="_Toc342296477"/>
      <w:bookmarkStart w:id="1520" w:name="_Toc24297"/>
      <w:bookmarkStart w:id="1521" w:name="_Toc241459718"/>
      <w:bookmarkStart w:id="1522" w:name="_Toc152045711"/>
      <w:r>
        <w:rPr>
          <w:rFonts w:hint="eastAsia" w:asciiTheme="minorEastAsia" w:hAnsiTheme="minorEastAsia" w:eastAsiaTheme="minorEastAsia" w:cstheme="minorEastAsia"/>
          <w:color w:val="auto"/>
          <w:sz w:val="21"/>
          <w:szCs w:val="21"/>
          <w:highlight w:val="none"/>
        </w:rPr>
        <w:t>15.5 承包人的合理化建议</w:t>
      </w:r>
      <w:bookmarkEnd w:id="1515"/>
      <w:bookmarkEnd w:id="1516"/>
      <w:bookmarkEnd w:id="1517"/>
      <w:bookmarkEnd w:id="1518"/>
      <w:bookmarkEnd w:id="1519"/>
      <w:bookmarkEnd w:id="1520"/>
      <w:bookmarkEnd w:id="1521"/>
      <w:bookmarkEnd w:id="1522"/>
    </w:p>
    <w:p w14:paraId="24EAE0C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15.5.2对承包人提出合理化建议的奖励方法：</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D78E918">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23" w:name="_Toc152045714"/>
      <w:bookmarkStart w:id="1524" w:name="_Toc31511"/>
      <w:bookmarkStart w:id="1525" w:name="_Toc75511250"/>
      <w:bookmarkStart w:id="1526" w:name="_Toc179632732"/>
      <w:bookmarkStart w:id="1527" w:name="_Toc144974683"/>
      <w:bookmarkStart w:id="1528" w:name="_Toc342296478"/>
      <w:bookmarkStart w:id="1529" w:name="_Toc241459719"/>
      <w:bookmarkStart w:id="1530" w:name="_Toc152042492"/>
      <w:r>
        <w:rPr>
          <w:rFonts w:hint="eastAsia" w:asciiTheme="minorEastAsia" w:hAnsiTheme="minorEastAsia" w:eastAsiaTheme="minorEastAsia" w:cstheme="minorEastAsia"/>
          <w:color w:val="auto"/>
          <w:sz w:val="21"/>
          <w:szCs w:val="21"/>
          <w:highlight w:val="none"/>
        </w:rPr>
        <w:t>15.8 暂估价</w:t>
      </w:r>
      <w:bookmarkEnd w:id="1523"/>
      <w:bookmarkEnd w:id="1524"/>
      <w:bookmarkEnd w:id="1525"/>
      <w:bookmarkEnd w:id="1526"/>
      <w:bookmarkEnd w:id="1527"/>
      <w:bookmarkEnd w:id="1528"/>
      <w:bookmarkEnd w:id="1529"/>
      <w:bookmarkEnd w:id="1530"/>
    </w:p>
    <w:p w14:paraId="7EAD05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15.8.1按合同约定应当由发包人和承包人采用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方式选择专项供应商或专业分包人的，应当由承包人作为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人，依法组织</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工作并接受有管辖权的建设工程招标投标行政监督部门的监督。与组织</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工作有关的费用应当被认为已经包括在承包人的签约合同价（</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总报价）中：</w:t>
      </w:r>
    </w:p>
    <w:p w14:paraId="4DAA3D0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（1）在任何</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工作启动前，承包人应当提前至少</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天编制</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工作计划并通过监理人报请发包人审批，</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工作计划应当包括</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工作的时间安排、拟采用的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方式、拟采用的资格审查方法、主要</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过程文件的编制内容、对</w:t>
      </w:r>
      <w:r>
        <w:rPr>
          <w:rFonts w:hint="eastAsia" w:asciiTheme="minorEastAsia" w:hAnsiTheme="minorEastAsia" w:eastAsiaTheme="minorEastAsia" w:cstheme="minorEastAsia"/>
          <w:color w:val="auto"/>
          <w:sz w:val="21"/>
          <w:szCs w:val="21"/>
          <w:highlight w:val="none"/>
          <w:lang w:eastAsia="zh-CN"/>
        </w:rPr>
        <w:t>投标</w:t>
      </w:r>
      <w:r>
        <w:rPr>
          <w:rFonts w:hint="eastAsia" w:asciiTheme="minorEastAsia" w:hAnsiTheme="minorEastAsia" w:eastAsiaTheme="minorEastAsia" w:cstheme="minorEastAsia"/>
          <w:color w:val="auto"/>
          <w:sz w:val="21"/>
          <w:szCs w:val="21"/>
          <w:highlight w:val="none"/>
        </w:rPr>
        <w:t>人的资格条件要求、评标标准和方法、评标委员会组成、是否编制</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控制价和（或）标底以及</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控制价和（或）标底编制原则，发包人应当在监理人收到承包人报送的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天内给予批准或者提出修改意见。承包人应当严格按照经过发包人批准的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工作计划开展</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w:t>
      </w:r>
    </w:p>
    <w:p w14:paraId="18ACE70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（2）承包人应当在发出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公告（或者资格预审公告或者投标邀请书）、资格预审文件和</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文件前至少</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天，分别将相关文件通过监理人报请发包人审批，发包人应当在监理人收到承包人报送的相关文件后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天内给予批准或者提出修改意见，经发包人批准的相关文件，由承包人负责誊清整理并准备出开展实际</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工作所需要的份数，通过监理人报发包人核查并加盖发包人印章，发包人在相关文件上加盖印章只表明相关文件经过发包人审核批准。最终发出的文件应当分别报送一份给发包人和监理人备查。</w:t>
      </w:r>
    </w:p>
    <w:p w14:paraId="3906A83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（3）如果发、承包任何一方委派评标代表，评标委员会应当由七人以上单数构成。除发包人或者承包人自愿放弃委派评标代表的权利外，</w:t>
      </w:r>
      <w:r>
        <w:rPr>
          <w:rFonts w:hint="eastAsia" w:asciiTheme="minorEastAsia" w:hAnsiTheme="minorEastAsia" w:eastAsiaTheme="minorEastAsia" w:cstheme="minorEastAsia"/>
          <w:color w:val="auto"/>
          <w:sz w:val="21"/>
          <w:szCs w:val="21"/>
          <w:highlight w:val="none"/>
          <w:lang w:val="en-US" w:eastAsia="zh-CN"/>
        </w:rPr>
        <w:t>采购</w:t>
      </w:r>
      <w:r>
        <w:rPr>
          <w:rFonts w:hint="eastAsia" w:asciiTheme="minorEastAsia" w:hAnsiTheme="minorEastAsia" w:eastAsiaTheme="minorEastAsia" w:cstheme="minorEastAsia"/>
          <w:color w:val="auto"/>
          <w:sz w:val="21"/>
          <w:szCs w:val="21"/>
          <w:highlight w:val="none"/>
        </w:rPr>
        <w:t>人评标代表应当分别由发包人和承包人等额委派。</w:t>
      </w:r>
    </w:p>
    <w:p w14:paraId="79118C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016C17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（5）设有</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控制价的，承包人应当在</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文件发出前提前7天将</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控制价报发包人审核认可，发包人应当在收到承包人报送的</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控制价后72小时内给予认可或者提出修改意见。</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控制价的最终审核和决定权属于发包人，未经发包人认可，承包人不得发出</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文件。</w:t>
      </w:r>
    </w:p>
    <w:p w14:paraId="7F1751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（6）承包人在收到相关</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中标人并发出中选通知书。</w:t>
      </w:r>
    </w:p>
    <w:p w14:paraId="4176F5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（7）承包人与专业分包人或者专项供应商订立合同前</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天，应当将准备用于正式签订的合同文件通过监理人报发包人审核，发包人应当在监理人收到相关文件后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天内给予批准或者提出修改意见，承包人应当按照发包人批准的合同文件签订相关合同，合同订立后</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天内，承包人应当将其中的两份副本报送监理人，其中一份由监理人报发包人留存。</w:t>
      </w:r>
    </w:p>
    <w:p w14:paraId="65B724B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（8）发包人对承包人报送文件进行审批或提出的修改意见应当合理，并符合现行有关法律法规的规定。</w:t>
      </w:r>
    </w:p>
    <w:p w14:paraId="355F602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598B67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15.8.3发包人在工程量清单中给定暂估价的专业工程不属于依法必须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的范围或者未达到依法必须</w:t>
      </w:r>
      <w:r>
        <w:rPr>
          <w:rFonts w:hint="eastAsia" w:asciiTheme="minorEastAsia" w:hAnsiTheme="minorEastAsia" w:eastAsiaTheme="minorEastAsia" w:cstheme="minorEastAsia"/>
          <w:color w:val="auto"/>
          <w:sz w:val="21"/>
          <w:szCs w:val="21"/>
          <w:highlight w:val="none"/>
          <w:lang w:val="en-US" w:eastAsia="zh-CN"/>
        </w:rPr>
        <w:t>招标</w:t>
      </w:r>
      <w:r>
        <w:rPr>
          <w:rFonts w:hint="eastAsia" w:asciiTheme="minorEastAsia" w:hAnsiTheme="minorEastAsia" w:eastAsiaTheme="minorEastAsia" w:cstheme="minorEastAsia"/>
          <w:color w:val="auto"/>
          <w:sz w:val="21"/>
          <w:szCs w:val="21"/>
          <w:highlight w:val="none"/>
        </w:rPr>
        <w:t>的规模标准的，其最终价格的估价人为：</w:t>
      </w:r>
      <w:r>
        <w:rPr>
          <w:rFonts w:hint="eastAsia" w:asciiTheme="minorEastAsia" w:hAnsiTheme="minorEastAsia" w:eastAsiaTheme="minorEastAsia" w:cstheme="minorEastAsia"/>
          <w:color w:val="auto"/>
          <w:sz w:val="21"/>
          <w:szCs w:val="21"/>
          <w:highlight w:val="none"/>
          <w:u w:val="single"/>
          <w:lang w:val="en-US" w:eastAsia="zh-CN"/>
        </w:rPr>
        <w:t>采购</w:t>
      </w:r>
      <w:r>
        <w:rPr>
          <w:rFonts w:hint="eastAsia" w:asciiTheme="minorEastAsia" w:hAnsiTheme="minorEastAsia" w:eastAsiaTheme="minorEastAsia" w:cstheme="minorEastAsia"/>
          <w:color w:val="auto"/>
          <w:sz w:val="21"/>
          <w:szCs w:val="21"/>
          <w:highlight w:val="none"/>
          <w:u w:val="single"/>
        </w:rPr>
        <w:t xml:space="preserve">人  </w:t>
      </w:r>
      <w:r>
        <w:rPr>
          <w:rFonts w:hint="eastAsia" w:asciiTheme="minorEastAsia" w:hAnsiTheme="minorEastAsia" w:eastAsiaTheme="minorEastAsia" w:cstheme="minorEastAsia"/>
          <w:color w:val="auto"/>
          <w:sz w:val="21"/>
          <w:szCs w:val="21"/>
          <w:highlight w:val="none"/>
        </w:rPr>
        <w:t>或者按照下列约定：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6986E72">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31" w:name="_Toc152045715"/>
      <w:bookmarkStart w:id="1532" w:name="_Toc10400"/>
      <w:bookmarkStart w:id="1533" w:name="_Toc342296479"/>
      <w:bookmarkStart w:id="1534" w:name="_Toc144974684"/>
      <w:bookmarkStart w:id="1535" w:name="_Toc152042493"/>
      <w:bookmarkStart w:id="1536" w:name="_Toc179632733"/>
      <w:bookmarkStart w:id="1537" w:name="_Toc241459720"/>
      <w:bookmarkStart w:id="1538" w:name="_Toc75511251"/>
      <w:r>
        <w:rPr>
          <w:rFonts w:hint="eastAsia" w:asciiTheme="minorEastAsia" w:hAnsiTheme="minorEastAsia" w:eastAsiaTheme="minorEastAsia" w:cstheme="minorEastAsia"/>
          <w:color w:val="auto"/>
          <w:sz w:val="21"/>
          <w:szCs w:val="21"/>
          <w:highlight w:val="none"/>
        </w:rPr>
        <w:t>16. 价格调整</w:t>
      </w:r>
      <w:bookmarkEnd w:id="1531"/>
      <w:bookmarkEnd w:id="1532"/>
      <w:bookmarkEnd w:id="1533"/>
      <w:bookmarkEnd w:id="1534"/>
      <w:bookmarkEnd w:id="1535"/>
      <w:bookmarkEnd w:id="1536"/>
      <w:bookmarkEnd w:id="1537"/>
      <w:bookmarkEnd w:id="1538"/>
    </w:p>
    <w:p w14:paraId="0B816C5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39" w:name="_Toc342296480"/>
      <w:bookmarkStart w:id="1540" w:name="_Toc75511252"/>
      <w:bookmarkStart w:id="1541" w:name="_Toc152045716"/>
      <w:bookmarkStart w:id="1542" w:name="_Toc144974685"/>
      <w:bookmarkStart w:id="1543" w:name="_Toc179632734"/>
      <w:bookmarkStart w:id="1544" w:name="_Toc15034"/>
      <w:bookmarkStart w:id="1545" w:name="_Toc241459721"/>
      <w:bookmarkStart w:id="1546" w:name="_Toc152042494"/>
      <w:r>
        <w:rPr>
          <w:rFonts w:hint="eastAsia" w:asciiTheme="minorEastAsia" w:hAnsiTheme="minorEastAsia" w:eastAsiaTheme="minorEastAsia" w:cstheme="minorEastAsia"/>
          <w:color w:val="auto"/>
          <w:sz w:val="21"/>
          <w:szCs w:val="21"/>
          <w:highlight w:val="none"/>
        </w:rPr>
        <w:t>16.1 物价波动引起的价格调整</w:t>
      </w:r>
      <w:bookmarkEnd w:id="1539"/>
      <w:bookmarkEnd w:id="1540"/>
      <w:bookmarkEnd w:id="1541"/>
      <w:bookmarkEnd w:id="1542"/>
      <w:bookmarkEnd w:id="1543"/>
      <w:bookmarkEnd w:id="1544"/>
      <w:bookmarkEnd w:id="1545"/>
      <w:bookmarkEnd w:id="1546"/>
    </w:p>
    <w:p w14:paraId="62F36F5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bookmarkStart w:id="1547" w:name="_Toc179632736"/>
      <w:bookmarkStart w:id="1548" w:name="_Toc241459722"/>
      <w:bookmarkStart w:id="1549" w:name="_Toc144974689"/>
      <w:bookmarkStart w:id="1550" w:name="_Toc342296481"/>
      <w:bookmarkStart w:id="1551" w:name="_Toc152045718"/>
      <w:bookmarkStart w:id="1552" w:name="_Toc152042497"/>
      <w:r>
        <w:rPr>
          <w:rFonts w:hint="eastAsia" w:asciiTheme="minorEastAsia" w:hAnsiTheme="minorEastAsia" w:eastAsiaTheme="minorEastAsia" w:cstheme="minorEastAsia"/>
          <w:color w:val="auto"/>
          <w:sz w:val="21"/>
          <w:szCs w:val="21"/>
          <w:highlight w:val="none"/>
        </w:rPr>
        <w:t>物价波动引起的价格调整方法：</w:t>
      </w:r>
      <w:r>
        <w:rPr>
          <w:rFonts w:hint="eastAsia" w:asciiTheme="minorEastAsia" w:hAnsiTheme="minorEastAsia" w:eastAsiaTheme="minorEastAsia" w:cstheme="minorEastAsia"/>
          <w:color w:val="auto"/>
          <w:sz w:val="21"/>
          <w:szCs w:val="21"/>
          <w:highlight w:val="none"/>
          <w:u w:val="single"/>
        </w:rPr>
        <w:t xml:space="preserve">  本项目不进行价格调整。</w:t>
      </w:r>
    </w:p>
    <w:p w14:paraId="5F47E029">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53" w:name="_Toc75511253"/>
      <w:bookmarkStart w:id="1554" w:name="_Toc4476"/>
      <w:r>
        <w:rPr>
          <w:rFonts w:hint="eastAsia" w:asciiTheme="minorEastAsia" w:hAnsiTheme="minorEastAsia" w:eastAsiaTheme="minorEastAsia" w:cstheme="minorEastAsia"/>
          <w:color w:val="auto"/>
          <w:sz w:val="21"/>
          <w:szCs w:val="21"/>
          <w:highlight w:val="none"/>
        </w:rPr>
        <w:t>17. 计量与支付</w:t>
      </w:r>
      <w:bookmarkEnd w:id="1547"/>
      <w:bookmarkEnd w:id="1548"/>
      <w:bookmarkEnd w:id="1549"/>
      <w:bookmarkEnd w:id="1550"/>
      <w:bookmarkEnd w:id="1551"/>
      <w:bookmarkEnd w:id="1552"/>
      <w:bookmarkEnd w:id="1553"/>
      <w:bookmarkEnd w:id="1554"/>
    </w:p>
    <w:p w14:paraId="62B4391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555" w:name="_Toc342296482"/>
      <w:bookmarkStart w:id="1556" w:name="_Toc144974690"/>
      <w:bookmarkStart w:id="1557" w:name="_Toc3704"/>
      <w:bookmarkStart w:id="1558" w:name="_Toc152045719"/>
      <w:bookmarkStart w:id="1559" w:name="_Toc75511254"/>
      <w:bookmarkStart w:id="1560" w:name="_Toc241459723"/>
      <w:bookmarkStart w:id="1561" w:name="_Toc152042498"/>
      <w:bookmarkStart w:id="1562" w:name="_Toc179632737"/>
      <w:r>
        <w:rPr>
          <w:rFonts w:hint="eastAsia" w:asciiTheme="minorEastAsia" w:hAnsiTheme="minorEastAsia" w:eastAsiaTheme="minorEastAsia" w:cstheme="minorEastAsia"/>
          <w:color w:val="auto"/>
          <w:sz w:val="21"/>
          <w:szCs w:val="21"/>
          <w:highlight w:val="none"/>
        </w:rPr>
        <w:t>17.1 计量</w:t>
      </w:r>
      <w:bookmarkEnd w:id="1555"/>
      <w:bookmarkEnd w:id="1556"/>
      <w:bookmarkEnd w:id="1557"/>
      <w:bookmarkEnd w:id="1558"/>
      <w:bookmarkEnd w:id="1559"/>
      <w:bookmarkEnd w:id="1560"/>
      <w:bookmarkEnd w:id="1561"/>
      <w:bookmarkEnd w:id="1562"/>
    </w:p>
    <w:p w14:paraId="339E696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17.1.2计量方法</w:t>
      </w:r>
    </w:p>
    <w:p w14:paraId="5A0A35E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工程量计算规则执行国家标准《建设工程工程量清单计价规范》（GB50500）或其适用的修订版本。除合同另有约定外，承包人实际完成的工程量按约定的工程量计算规则和有合同约束力的图纸进行计量。</w:t>
      </w:r>
    </w:p>
    <w:p w14:paraId="624BF00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17.1.3计量周期</w:t>
      </w:r>
    </w:p>
    <w:p w14:paraId="5880509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（1）本合同的计量周期为月，每月</w:t>
      </w:r>
      <w:r>
        <w:rPr>
          <w:rFonts w:hint="eastAsia" w:asciiTheme="minorEastAsia" w:hAnsiTheme="minorEastAsia" w:eastAsiaTheme="minorEastAsia" w:cstheme="minorEastAsia"/>
          <w:color w:val="auto"/>
          <w:sz w:val="21"/>
          <w:szCs w:val="21"/>
          <w:highlight w:val="none"/>
          <w:u w:val="single"/>
        </w:rPr>
        <w:t xml:space="preserve">  25  </w:t>
      </w:r>
      <w:r>
        <w:rPr>
          <w:rFonts w:hint="eastAsia" w:asciiTheme="minorEastAsia" w:hAnsiTheme="minorEastAsia" w:eastAsiaTheme="minorEastAsia" w:cstheme="minorEastAsia"/>
          <w:color w:val="auto"/>
          <w:sz w:val="21"/>
          <w:szCs w:val="21"/>
          <w:highlight w:val="none"/>
        </w:rPr>
        <w:t>日为当月计量截止日期（不含当日）和下月计量起始日期（含当日）。</w:t>
      </w:r>
    </w:p>
    <w:p w14:paraId="5AAE960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（2）本合同</w:t>
      </w:r>
      <w:r>
        <w:rPr>
          <w:rFonts w:hint="eastAsia" w:asciiTheme="minorEastAsia" w:hAnsiTheme="minorEastAsia" w:eastAsiaTheme="minorEastAsia" w:cstheme="minorEastAsia"/>
          <w:color w:val="auto"/>
          <w:sz w:val="21"/>
          <w:szCs w:val="21"/>
          <w:highlight w:val="none"/>
          <w:u w:val="single"/>
        </w:rPr>
        <w:t>执行</w:t>
      </w:r>
      <w:r>
        <w:rPr>
          <w:rFonts w:hint="eastAsia" w:asciiTheme="minorEastAsia" w:hAnsiTheme="minorEastAsia" w:eastAsiaTheme="minorEastAsia" w:cstheme="minorEastAsia"/>
          <w:color w:val="auto"/>
          <w:sz w:val="21"/>
          <w:szCs w:val="21"/>
          <w:highlight w:val="none"/>
        </w:rPr>
        <w:t>（执行（采用单价合同形式时）/不执行（采用总价合同形式时））通用合同条款本项约定的单价子目计量。总价子目计量方法按专用合同条款第17.1.5项总价子目的计量--</w:t>
      </w:r>
      <w:r>
        <w:rPr>
          <w:rFonts w:hint="eastAsia" w:asciiTheme="minorEastAsia" w:hAnsiTheme="minorEastAsia" w:eastAsiaTheme="minorEastAsia" w:cstheme="minorEastAsia"/>
          <w:color w:val="auto"/>
          <w:sz w:val="21"/>
          <w:szCs w:val="21"/>
          <w:highlight w:val="none"/>
          <w:u w:val="single"/>
        </w:rPr>
        <w:t>按实际完成工程量计量</w:t>
      </w:r>
      <w:r>
        <w:rPr>
          <w:rFonts w:hint="eastAsia" w:asciiTheme="minorEastAsia" w:hAnsiTheme="minorEastAsia" w:eastAsiaTheme="minorEastAsia" w:cstheme="minorEastAsia"/>
          <w:color w:val="auto"/>
          <w:sz w:val="21"/>
          <w:szCs w:val="21"/>
          <w:highlight w:val="none"/>
        </w:rPr>
        <w:t>（支付分解报告/按实际完成工程量计量）。</w:t>
      </w:r>
    </w:p>
    <w:p w14:paraId="72AA79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563" w:name="_Toc152045720"/>
      <w:bookmarkStart w:id="1564" w:name="_Toc152042499"/>
      <w:bookmarkStart w:id="1565" w:name="_Toc179632738"/>
      <w:bookmarkStart w:id="1566" w:name="_Toc144974691"/>
      <w:r>
        <w:rPr>
          <w:rFonts w:hint="eastAsia" w:asciiTheme="minorEastAsia" w:hAnsiTheme="minorEastAsia" w:eastAsiaTheme="minorEastAsia" w:cstheme="minorEastAsia"/>
          <w:color w:val="auto"/>
          <w:sz w:val="21"/>
          <w:szCs w:val="21"/>
          <w:highlight w:val="none"/>
        </w:rPr>
        <w:t>17.1.5总价子目的计量--按实际完成工程量计量</w:t>
      </w:r>
    </w:p>
    <w:p w14:paraId="3E1255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（1）总价子目的价格调整方法：</w:t>
      </w:r>
      <w:r>
        <w:rPr>
          <w:rFonts w:hint="eastAsia" w:asciiTheme="minorEastAsia" w:hAnsiTheme="minorEastAsia" w:eastAsiaTheme="minorEastAsia" w:cstheme="minorEastAsia"/>
          <w:color w:val="auto"/>
          <w:sz w:val="21"/>
          <w:szCs w:val="21"/>
          <w:highlight w:val="none"/>
          <w:u w:val="single"/>
        </w:rPr>
        <w:t xml:space="preserve">因非承包人原因引起已标价工程量清单中某个子目工程量的变化幅度超过15%（不含），且承包人或监理人认为该变化引起相关措施项目发生变化的，发包人或监理人要求承包人针对措施项目的变化提交施工调整方案及价格调整报告，监理人批准后确定需调整的措施项目价款  </w:t>
      </w:r>
      <w:r>
        <w:rPr>
          <w:rFonts w:hint="eastAsia" w:asciiTheme="minorEastAsia" w:hAnsiTheme="minorEastAsia" w:eastAsiaTheme="minorEastAsia" w:cstheme="minorEastAsia"/>
          <w:color w:val="auto"/>
          <w:sz w:val="21"/>
          <w:szCs w:val="21"/>
          <w:highlight w:val="none"/>
        </w:rPr>
        <w:t>。总价子目的计量和支付应以总价为基础，对承包人实际完成的工程量进行计量，是进行工程目标管理和控制进度款支付的依据。</w:t>
      </w:r>
    </w:p>
    <w:p w14:paraId="70F4F5B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在专用合同条款第17.1.3（1）目约定的每月计量截止日期后，对已完成的分部分项工程和单价措施项目的子目，按照专用合同条款第17.1.2项约定的计量方法进行计量，对已完成的总价措施项目的相关子目，按其总价构成、费用性质和实际发生比例进行计量，向监理人提交进度付款申请单、已完成工程量报表和有关计量资料。</w:t>
      </w:r>
    </w:p>
    <w:p w14:paraId="72E5D38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4398F72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（4）监理人应在收到承包人提交的工程量报表后的7天内进行复核，监理人未在约定时间内复核的，承包人提交的工程量报表中的工程量视为承包人实际完成的工程量，据此计算工程价款。</w:t>
      </w:r>
    </w:p>
    <w:p w14:paraId="7BE6A08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（5）除按照第15条约定的变更外，在竣工结算时总价子目的工程量不应当重新计量，签约合同价所基于的工程量即是用于竣工结算的最终工程量。</w:t>
      </w:r>
    </w:p>
    <w:bookmarkEnd w:id="1563"/>
    <w:bookmarkEnd w:id="1564"/>
    <w:bookmarkEnd w:id="1565"/>
    <w:bookmarkEnd w:id="1566"/>
    <w:p w14:paraId="306EDA6E">
      <w:pPr>
        <w:pStyle w:val="21"/>
        <w:pageBreakBefore w:val="0"/>
        <w:widowControl w:val="0"/>
        <w:kinsoku/>
        <w:wordWrap/>
        <w:overflowPunct/>
        <w:bidi w:val="0"/>
        <w:snapToGrid/>
        <w:spacing w:before="156" w:after="156"/>
        <w:jc w:val="both"/>
        <w:textAlignment w:val="auto"/>
        <w:outlineLvl w:val="9"/>
        <w:rPr>
          <w:rFonts w:hint="eastAsia" w:asciiTheme="minorEastAsia" w:hAnsiTheme="minorEastAsia" w:eastAsiaTheme="minorEastAsia" w:cstheme="minorEastAsia"/>
          <w:color w:val="auto"/>
          <w:sz w:val="21"/>
          <w:szCs w:val="21"/>
          <w:highlight w:val="none"/>
        </w:rPr>
      </w:pPr>
      <w:bookmarkStart w:id="1567" w:name="_Toc1068"/>
      <w:bookmarkStart w:id="1568" w:name="_Toc19105821"/>
      <w:bookmarkStart w:id="1569" w:name="_Toc21979161"/>
      <w:bookmarkStart w:id="1570" w:name="_Toc75511258"/>
      <w:bookmarkStart w:id="1571" w:name="_Toc152042513"/>
      <w:bookmarkStart w:id="1572" w:name="_Toc179632752"/>
      <w:bookmarkStart w:id="1573" w:name="_Toc144974705"/>
      <w:bookmarkStart w:id="1574" w:name="_Toc152045734"/>
      <w:r>
        <w:rPr>
          <w:rFonts w:hint="eastAsia" w:asciiTheme="minorEastAsia" w:hAnsiTheme="minorEastAsia" w:eastAsiaTheme="minorEastAsia" w:cstheme="minorEastAsia"/>
          <w:color w:val="auto"/>
          <w:sz w:val="21"/>
          <w:szCs w:val="21"/>
          <w:highlight w:val="none"/>
        </w:rPr>
        <w:t>17.2 预付款</w:t>
      </w:r>
    </w:p>
    <w:p w14:paraId="473EF96D">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17.2.1  预付款 </w:t>
      </w:r>
    </w:p>
    <w:p w14:paraId="6B3A3280">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（1）预付款额度</w:t>
      </w:r>
    </w:p>
    <w:p w14:paraId="3247FEF8">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预付款额度：</w:t>
      </w:r>
      <w:r>
        <w:rPr>
          <w:rFonts w:hint="eastAsia" w:asciiTheme="minorEastAsia" w:hAnsiTheme="minorEastAsia" w:eastAsiaTheme="minorEastAsia" w:cstheme="minorEastAsia"/>
          <w:color w:val="auto"/>
          <w:sz w:val="21"/>
          <w:szCs w:val="21"/>
          <w:highlight w:val="none"/>
          <w:u w:val="single"/>
        </w:rPr>
        <w:t>签约合同价（扣除暂列金额）的</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0%</w:t>
      </w:r>
    </w:p>
    <w:p w14:paraId="27628385">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（2）预付办法</w:t>
      </w:r>
    </w:p>
    <w:p w14:paraId="337C65B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预付款预付办法：</w:t>
      </w:r>
      <w:r>
        <w:rPr>
          <w:rFonts w:hint="eastAsia" w:asciiTheme="minorEastAsia" w:hAnsiTheme="minorEastAsia" w:eastAsiaTheme="minorEastAsia" w:cstheme="minorEastAsia"/>
          <w:color w:val="auto"/>
          <w:sz w:val="21"/>
          <w:szCs w:val="21"/>
          <w:highlight w:val="none"/>
          <w:u w:val="single"/>
        </w:rPr>
        <w:t xml:space="preserve"> 在收到承包人提交的正式发票后，发包人一次性向承包人支付预付款。  </w:t>
      </w:r>
    </w:p>
    <w:p w14:paraId="26962FE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预付款的支付时间：</w:t>
      </w:r>
      <w:r>
        <w:rPr>
          <w:rFonts w:hint="eastAsia" w:asciiTheme="minorEastAsia" w:hAnsiTheme="minorEastAsia" w:eastAsiaTheme="minorEastAsia" w:cstheme="minorEastAsia"/>
          <w:color w:val="auto"/>
          <w:sz w:val="21"/>
          <w:szCs w:val="21"/>
          <w:highlight w:val="none"/>
          <w:u w:val="single"/>
        </w:rPr>
        <w:t xml:space="preserve">  在合同签订后的30天内，不迟于约定开工日期前7天内。  </w:t>
      </w:r>
    </w:p>
    <w:p w14:paraId="4AB704EC">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（3）安全文明施工费用预付额度及方式：</w:t>
      </w:r>
    </w:p>
    <w:p w14:paraId="4CCDE308">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安全文明施工费用的预付不受上述预付办法和支付时间约定的制约。安全文明施工费用按以下时间节点和金额进行预付：</w:t>
      </w:r>
    </w:p>
    <w:p w14:paraId="3800ADD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发包人应当在不迟于第11.1.1项约定的开工日期前的7天内，将签约合同价中载明的安全文明施工费用总额的50%一次性预付给承包人。</w:t>
      </w:r>
    </w:p>
    <w:p w14:paraId="2CAF2202">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发包人应当在±0.00以下主体结构施工完成或签约合同价中分部分项工程项目的完成价款比例达到30%（两者中以条件先满足的为准）7天内，预付至签约合同价中载明的安全文明施工费用总额的70%。</w:t>
      </w:r>
    </w:p>
    <w:p w14:paraId="33554A1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发包人应当在安全生产标准化考评、评定达到（含整改后达到）或超过合同约定的安全生产标准化管理目标之日起7天内，预付至签约合同价中载明的安全文明施工费用总额的90%。</w:t>
      </w:r>
    </w:p>
    <w:p w14:paraId="0F907A4A">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发包人应当在工程竣工后，安全生产标准化考评、认定达到或超过合同约定安全生产标准化管理目标并颁发考评证书之日起的7天内，预付至签约合同价中载明的安全文明施工费用总额的100%。</w:t>
      </w:r>
    </w:p>
    <w:p w14:paraId="1EBD9BE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安全文明施工的预付不抵扣。</w:t>
      </w:r>
    </w:p>
    <w:p w14:paraId="52729106">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17.2.2  预付款的扣回与还清</w:t>
      </w:r>
    </w:p>
    <w:p w14:paraId="329A40D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预付款的扣回办法：</w:t>
      </w:r>
      <w:r>
        <w:rPr>
          <w:rFonts w:hint="eastAsia" w:asciiTheme="minorEastAsia" w:hAnsiTheme="minorEastAsia" w:eastAsiaTheme="minorEastAsia" w:cstheme="minorEastAsia"/>
          <w:color w:val="auto"/>
          <w:sz w:val="21"/>
          <w:szCs w:val="21"/>
          <w:highlight w:val="none"/>
          <w:u w:val="single"/>
        </w:rPr>
        <w:t xml:space="preserve"> 累计拨付工程款达到工程合同价款的60%（含</w:t>
      </w:r>
      <w:r>
        <w:rPr>
          <w:rFonts w:hint="eastAsia" w:asciiTheme="minorEastAsia" w:hAnsiTheme="minorEastAsia" w:eastAsiaTheme="minorEastAsia" w:cstheme="minorEastAsia"/>
          <w:color w:val="auto"/>
          <w:sz w:val="21"/>
          <w:szCs w:val="21"/>
          <w:highlight w:val="none"/>
          <w:u w:val="single"/>
          <w:lang w:val="en-US" w:eastAsia="zh-CN"/>
        </w:rPr>
        <w:t>2</w:t>
      </w:r>
      <w:r>
        <w:rPr>
          <w:rFonts w:hint="eastAsia" w:asciiTheme="minorEastAsia" w:hAnsiTheme="minorEastAsia" w:eastAsiaTheme="minorEastAsia" w:cstheme="minorEastAsia"/>
          <w:color w:val="auto"/>
          <w:sz w:val="21"/>
          <w:szCs w:val="21"/>
          <w:highlight w:val="none"/>
          <w:u w:val="single"/>
        </w:rPr>
        <w:t xml:space="preserve">0%预付款）后，开始抵扣预付款，从月进度款中分两次等额抵扣，直至全部扣清为止。   </w:t>
      </w:r>
      <w:r>
        <w:rPr>
          <w:rFonts w:hint="eastAsia" w:asciiTheme="minorEastAsia" w:hAnsiTheme="minorEastAsia" w:eastAsiaTheme="minorEastAsia" w:cstheme="minorEastAsia"/>
          <w:color w:val="auto"/>
          <w:sz w:val="21"/>
          <w:szCs w:val="21"/>
          <w:highlight w:val="none"/>
        </w:rPr>
        <w:t xml:space="preserve"> </w:t>
      </w:r>
    </w:p>
    <w:p w14:paraId="57B38704">
      <w:pPr>
        <w:keepNext/>
        <w:keepLines/>
        <w:pageBreakBefore w:val="0"/>
        <w:widowControl w:val="0"/>
        <w:kinsoku/>
        <w:wordWrap/>
        <w:overflowPunct/>
        <w:bidi w:val="0"/>
        <w:snapToGrid/>
        <w:spacing w:before="156" w:beforeLines="50" w:after="156" w:afterLines="50" w:line="360" w:lineRule="auto"/>
        <w:ind w:firstLine="420" w:firstLineChars="200"/>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17.2.3按照《西集镇关于落实〈工程建设领域农民工工资专用账户管理暂行办法〉的通知》的通知，应开设农民工工资专用账户的项目，应人工费分账管理、总包代发、总承包单位开立农民工专用账户。</w:t>
      </w:r>
    </w:p>
    <w:p w14:paraId="671EFEEF">
      <w:pPr>
        <w:keepNext/>
        <w:keepLines/>
        <w:pageBreakBefore w:val="0"/>
        <w:widowControl w:val="0"/>
        <w:kinsoku/>
        <w:wordWrap/>
        <w:overflowPunct/>
        <w:bidi w:val="0"/>
        <w:snapToGrid/>
        <w:spacing w:before="156" w:beforeLines="50" w:after="156"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17.3  工程进度付款</w:t>
      </w:r>
    </w:p>
    <w:p w14:paraId="13194C25">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17.3.2  进度付款申请单</w:t>
      </w:r>
    </w:p>
    <w:p w14:paraId="467E5942">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进度付款申请单的份数：</w:t>
      </w:r>
      <w:r>
        <w:rPr>
          <w:rFonts w:hint="eastAsia" w:asciiTheme="minorEastAsia" w:hAnsiTheme="minorEastAsia" w:eastAsiaTheme="minorEastAsia" w:cstheme="minorEastAsia"/>
          <w:color w:val="auto"/>
          <w:sz w:val="21"/>
          <w:szCs w:val="21"/>
          <w:highlight w:val="none"/>
          <w:u w:val="single"/>
        </w:rPr>
        <w:t xml:space="preserve">  5份。                                             </w:t>
      </w:r>
    </w:p>
    <w:p w14:paraId="17BD0B9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承包人报送监理人的进度付款申请单应包括下列内容：</w:t>
      </w:r>
    </w:p>
    <w:p w14:paraId="0A8D95D6">
      <w:pPr>
        <w:pageBreakBefore w:val="0"/>
        <w:widowControl w:val="0"/>
        <w:numPr>
          <w:ilvl w:val="0"/>
          <w:numId w:val="4"/>
        </w:numPr>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根据合同应增加和（或）扣减的其他内容金额：</w:t>
      </w:r>
      <w:r>
        <w:rPr>
          <w:rFonts w:hint="eastAsia" w:asciiTheme="minorEastAsia" w:hAnsiTheme="minorEastAsia" w:eastAsiaTheme="minorEastAsia" w:cstheme="minorEastAsia"/>
          <w:color w:val="auto"/>
          <w:sz w:val="21"/>
          <w:szCs w:val="21"/>
          <w:highlight w:val="none"/>
          <w:u w:val="single"/>
        </w:rPr>
        <w:t>1、付款次数或编号；2、截止本次付款周期末已实施工程的价款；3、变更金额；4、索赔金额；5、本次应支付的预付款和（或）应扣减的返还预付款；6、本次扣减的质量保证金；7、按月进度支付，工程进度款的支付按发包承包双方已确认的工程价款的80%向承包人支付；8、当工程竣工验收合格后支付至合同价款的85%，当完成结算评审后，支付至工程竣工结算价款的97%，剩余3%为质量保证金，质保期满后付清剩余价款。如遇相关规定或调整，最终结算价款以财政评审中心、审计部门、认可的第三方服务机构审定结果为准。</w:t>
      </w:r>
    </w:p>
    <w:p w14:paraId="1B2D5573">
      <w:pPr>
        <w:pageBreakBefore w:val="0"/>
        <w:widowControl w:val="0"/>
        <w:numPr>
          <w:ilvl w:val="0"/>
          <w:numId w:val="4"/>
        </w:numPr>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none"/>
        </w:rPr>
      </w:pPr>
      <w:r>
        <w:rPr>
          <w:rFonts w:hint="eastAsia" w:asciiTheme="minorEastAsia" w:hAnsiTheme="minorEastAsia" w:eastAsiaTheme="minorEastAsia" w:cstheme="minorEastAsia"/>
          <w:color w:val="auto"/>
          <w:sz w:val="21"/>
          <w:szCs w:val="21"/>
          <w:highlight w:val="none"/>
          <w:u w:val="none"/>
        </w:rPr>
        <w:t>本合同约定的付款期限及付款方式、付款额度等以按照采购人内部控制制度核定为准，未及时审批及拨款的不视为采购人违约。</w:t>
      </w:r>
    </w:p>
    <w:p w14:paraId="24E0FC1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17.3.3  进度付款证书和支付时间</w:t>
      </w:r>
    </w:p>
    <w:p w14:paraId="36BEC6E0">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（2）逾期付款违约金的计算标准：</w:t>
      </w:r>
      <w:r>
        <w:rPr>
          <w:rFonts w:hint="eastAsia" w:asciiTheme="minorEastAsia" w:hAnsiTheme="minorEastAsia" w:eastAsiaTheme="minorEastAsia" w:cstheme="minorEastAsia"/>
          <w:color w:val="auto"/>
          <w:sz w:val="21"/>
          <w:szCs w:val="21"/>
          <w:highlight w:val="none"/>
          <w:u w:val="single"/>
        </w:rPr>
        <w:t xml:space="preserve"> 按照中国人民银行发布的同期同类贷款利率计算。 </w:t>
      </w:r>
    </w:p>
    <w:p w14:paraId="559FE7C5">
      <w:pPr>
        <w:pageBreakBefore w:val="0"/>
        <w:widowControl w:val="0"/>
        <w:kinsoku/>
        <w:wordWrap/>
        <w:overflowPunct/>
        <w:bidi w:val="0"/>
        <w:snapToGrid/>
        <w:spacing w:line="360" w:lineRule="auto"/>
        <w:ind w:firstLine="567" w:firstLineChars="27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逾期付款违约金的计算方法：</w:t>
      </w:r>
      <w:r>
        <w:rPr>
          <w:rFonts w:hint="eastAsia" w:asciiTheme="minorEastAsia" w:hAnsiTheme="minorEastAsia" w:eastAsiaTheme="minorEastAsia" w:cstheme="minorEastAsia"/>
          <w:color w:val="auto"/>
          <w:sz w:val="21"/>
          <w:szCs w:val="21"/>
          <w:highlight w:val="none"/>
          <w:u w:val="single"/>
        </w:rPr>
        <w:t xml:space="preserve">按照中国人民银行发布的同期同类贷款利率计算。   </w:t>
      </w:r>
    </w:p>
    <w:p w14:paraId="6E47988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（4）进度付款涉及政府性资金的支付方法：</w:t>
      </w:r>
      <w:r>
        <w:rPr>
          <w:rFonts w:hint="eastAsia" w:asciiTheme="minorEastAsia" w:hAnsiTheme="minorEastAsia" w:eastAsiaTheme="minorEastAsia" w:cstheme="minorEastAsia"/>
          <w:color w:val="auto"/>
          <w:sz w:val="21"/>
          <w:szCs w:val="21"/>
          <w:highlight w:val="none"/>
          <w:u w:val="single"/>
        </w:rPr>
        <w:t xml:space="preserve"> 不适用。 </w:t>
      </w:r>
    </w:p>
    <w:p w14:paraId="7EC378FD">
      <w:pPr>
        <w:keepNext/>
        <w:keepLines/>
        <w:pageBreakBefore w:val="0"/>
        <w:widowControl w:val="0"/>
        <w:kinsoku/>
        <w:wordWrap/>
        <w:overflowPunct/>
        <w:bidi w:val="0"/>
        <w:snapToGrid/>
        <w:spacing w:before="156" w:beforeLines="50" w:after="156"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17.4  质量保证金</w:t>
      </w:r>
    </w:p>
    <w:p w14:paraId="5618AD8B">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17.4.1  质量保证金处理</w:t>
      </w:r>
    </w:p>
    <w:p w14:paraId="6AE0E83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（3）质量保证金形式：</w:t>
      </w:r>
      <w:r>
        <w:rPr>
          <w:rFonts w:hint="eastAsia" w:asciiTheme="minorEastAsia" w:hAnsiTheme="minorEastAsia" w:eastAsiaTheme="minorEastAsia" w:cstheme="minorEastAsia"/>
          <w:color w:val="auto"/>
          <w:sz w:val="21"/>
          <w:szCs w:val="21"/>
          <w:highlight w:val="none"/>
          <w:u w:val="single"/>
        </w:rPr>
        <w:t>采用扣留质量保证金</w:t>
      </w:r>
      <w:r>
        <w:rPr>
          <w:rFonts w:hint="eastAsia" w:asciiTheme="minorEastAsia" w:hAnsiTheme="minorEastAsia" w:eastAsiaTheme="minorEastAsia" w:cstheme="minorEastAsia"/>
          <w:color w:val="auto"/>
          <w:sz w:val="21"/>
          <w:szCs w:val="21"/>
          <w:highlight w:val="none"/>
        </w:rPr>
        <w:t>（采用银行保函担保或其他保函担保形式╱采用扣留质量保证金）。</w:t>
      </w:r>
    </w:p>
    <w:p w14:paraId="462FFE94">
      <w:pPr>
        <w:pageBreakBefore w:val="0"/>
        <w:widowControl w:val="0"/>
        <w:kinsoku/>
        <w:wordWrap/>
        <w:overflowPunct/>
        <w:bidi w:val="0"/>
        <w:snapToGrid/>
        <w:spacing w:line="360" w:lineRule="auto"/>
        <w:ind w:firstLine="945" w:firstLineChars="4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质量保证金约定比例：</w:t>
      </w:r>
      <w:r>
        <w:rPr>
          <w:rFonts w:hint="eastAsia" w:asciiTheme="minorEastAsia" w:hAnsiTheme="minorEastAsia" w:eastAsiaTheme="minorEastAsia" w:cstheme="minorEastAsia"/>
          <w:color w:val="auto"/>
          <w:sz w:val="21"/>
          <w:szCs w:val="21"/>
          <w:highlight w:val="none"/>
          <w:u w:val="single"/>
        </w:rPr>
        <w:t xml:space="preserve">   3  </w:t>
      </w:r>
      <w:r>
        <w:rPr>
          <w:rFonts w:hint="eastAsia" w:asciiTheme="minorEastAsia" w:hAnsiTheme="minorEastAsia" w:eastAsiaTheme="minorEastAsia" w:cstheme="minorEastAsia"/>
          <w:color w:val="auto"/>
          <w:sz w:val="21"/>
          <w:szCs w:val="21"/>
          <w:highlight w:val="none"/>
        </w:rPr>
        <w:t>%</w:t>
      </w:r>
    </w:p>
    <w:p w14:paraId="43B5D9EE">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17.5  竣工结算</w:t>
      </w:r>
      <w:bookmarkEnd w:id="1567"/>
      <w:bookmarkEnd w:id="1568"/>
      <w:bookmarkEnd w:id="1569"/>
      <w:bookmarkEnd w:id="1570"/>
    </w:p>
    <w:p w14:paraId="2E6B4C81">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17.5.1  竣工付款申请单</w:t>
      </w:r>
    </w:p>
    <w:p w14:paraId="59FAF36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（1）承包人提交竣工付款申请单的份数：</w:t>
      </w:r>
      <w:r>
        <w:rPr>
          <w:rFonts w:hint="eastAsia" w:asciiTheme="minorEastAsia" w:hAnsiTheme="minorEastAsia" w:eastAsiaTheme="minorEastAsia" w:cstheme="minorEastAsia"/>
          <w:color w:val="auto"/>
          <w:sz w:val="21"/>
          <w:szCs w:val="21"/>
          <w:highlight w:val="none"/>
          <w:u w:val="single"/>
        </w:rPr>
        <w:t xml:space="preserve">   5份。                               </w:t>
      </w:r>
    </w:p>
    <w:p w14:paraId="55156029">
      <w:pPr>
        <w:pageBreakBefore w:val="0"/>
        <w:widowControl w:val="0"/>
        <w:kinsoku/>
        <w:wordWrap/>
        <w:overflowPunct/>
        <w:bidi w:val="0"/>
        <w:snapToGrid/>
        <w:spacing w:line="360" w:lineRule="auto"/>
        <w:ind w:firstLine="840" w:firstLineChars="4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承包人提交竣工付款申请单的期限：</w:t>
      </w:r>
      <w:r>
        <w:rPr>
          <w:rFonts w:hint="eastAsia" w:asciiTheme="minorEastAsia" w:hAnsiTheme="minorEastAsia" w:eastAsiaTheme="minorEastAsia" w:cstheme="minorEastAsia"/>
          <w:color w:val="auto"/>
          <w:sz w:val="21"/>
          <w:szCs w:val="21"/>
          <w:highlight w:val="none"/>
          <w:u w:val="single"/>
        </w:rPr>
        <w:t xml:space="preserve">   在工程接受证书颁发后14天内。        </w:t>
      </w:r>
    </w:p>
    <w:p w14:paraId="578E6815">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（2）竣工付款申请单的其他内容：</w:t>
      </w:r>
      <w:r>
        <w:rPr>
          <w:rFonts w:hint="eastAsia" w:asciiTheme="minorEastAsia" w:hAnsiTheme="minorEastAsia" w:eastAsiaTheme="minorEastAsia" w:cstheme="minorEastAsia"/>
          <w:color w:val="auto"/>
          <w:sz w:val="21"/>
          <w:szCs w:val="21"/>
          <w:highlight w:val="none"/>
          <w:u w:val="single"/>
        </w:rPr>
        <w:t xml:space="preserve"> 竣工结算合同总价、已支付的工程价款、应扣回的预付款、应扣留的质量保证金、应支付的竣工付款金额等。                            </w:t>
      </w:r>
    </w:p>
    <w:p w14:paraId="389BBE59">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75" w:name="_Toc75511259"/>
      <w:bookmarkStart w:id="1576" w:name="_Toc19105822"/>
      <w:bookmarkStart w:id="1577" w:name="_Toc26007"/>
      <w:bookmarkStart w:id="1578" w:name="_Toc21979162"/>
      <w:r>
        <w:rPr>
          <w:rFonts w:hint="eastAsia" w:asciiTheme="minorEastAsia" w:hAnsiTheme="minorEastAsia" w:eastAsiaTheme="minorEastAsia" w:cstheme="minorEastAsia"/>
          <w:color w:val="auto"/>
          <w:kern w:val="0"/>
          <w:sz w:val="21"/>
          <w:szCs w:val="21"/>
          <w:highlight w:val="none"/>
        </w:rPr>
        <w:t>17.6  最终结清</w:t>
      </w:r>
      <w:bookmarkEnd w:id="1575"/>
      <w:bookmarkEnd w:id="1576"/>
      <w:bookmarkEnd w:id="1577"/>
      <w:bookmarkEnd w:id="1578"/>
    </w:p>
    <w:p w14:paraId="3C1E12D8">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17.6.1  最终结清申请单</w:t>
      </w:r>
    </w:p>
    <w:p w14:paraId="17F9E62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（1）承包人提交最终结清申请单的份数：</w:t>
      </w:r>
      <w:r>
        <w:rPr>
          <w:rFonts w:hint="eastAsia" w:asciiTheme="minorEastAsia" w:hAnsiTheme="minorEastAsia" w:eastAsiaTheme="minorEastAsia" w:cstheme="minorEastAsia"/>
          <w:color w:val="auto"/>
          <w:sz w:val="21"/>
          <w:szCs w:val="21"/>
          <w:highlight w:val="none"/>
          <w:u w:val="single"/>
        </w:rPr>
        <w:t xml:space="preserve">   5份。                             </w:t>
      </w:r>
    </w:p>
    <w:p w14:paraId="45C964DF">
      <w:pPr>
        <w:pageBreakBefore w:val="0"/>
        <w:widowControl w:val="0"/>
        <w:kinsoku/>
        <w:wordWrap/>
        <w:overflowPunct/>
        <w:bidi w:val="0"/>
        <w:snapToGrid/>
        <w:spacing w:line="360" w:lineRule="auto"/>
        <w:ind w:firstLine="945" w:firstLineChars="4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承包人提交最终结清申请单的期限：</w:t>
      </w:r>
      <w:r>
        <w:rPr>
          <w:rFonts w:hint="eastAsia" w:asciiTheme="minorEastAsia" w:hAnsiTheme="minorEastAsia" w:eastAsiaTheme="minorEastAsia" w:cstheme="minorEastAsia"/>
          <w:color w:val="auto"/>
          <w:sz w:val="21"/>
          <w:szCs w:val="21"/>
          <w:highlight w:val="none"/>
          <w:u w:val="single"/>
        </w:rPr>
        <w:t xml:space="preserve">  在缺陷责任期终止证书颁发后28天内。   </w:t>
      </w:r>
    </w:p>
    <w:p w14:paraId="236B9F9A">
      <w:pPr>
        <w:pageBreakBefore w:val="0"/>
        <w:widowControl w:val="0"/>
        <w:kinsoku/>
        <w:wordWrap/>
        <w:overflowPunct/>
        <w:bidi w:val="0"/>
        <w:snapToGrid/>
        <w:spacing w:line="360" w:lineRule="auto"/>
        <w:ind w:firstLine="949" w:firstLineChars="45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发包人向承包人</w:t>
      </w:r>
      <w:r>
        <w:rPr>
          <w:rFonts w:hint="eastAsia" w:asciiTheme="minorEastAsia" w:hAnsiTheme="minorEastAsia" w:eastAsiaTheme="minorEastAsia" w:cstheme="minorEastAsia"/>
          <w:color w:val="auto"/>
          <w:sz w:val="21"/>
          <w:szCs w:val="21"/>
          <w:highlight w:val="none"/>
          <w:u w:val="single"/>
        </w:rPr>
        <w:t xml:space="preserve">  不支付  </w:t>
      </w:r>
      <w:r>
        <w:rPr>
          <w:rFonts w:hint="eastAsia" w:asciiTheme="minorEastAsia" w:hAnsiTheme="minorEastAsia" w:eastAsiaTheme="minorEastAsia" w:cstheme="minorEastAsia"/>
          <w:color w:val="auto"/>
          <w:sz w:val="21"/>
          <w:szCs w:val="21"/>
          <w:highlight w:val="none"/>
        </w:rPr>
        <w:t>（支付 / 不支付）质量保证金利息。</w:t>
      </w:r>
    </w:p>
    <w:p w14:paraId="1D3033FC">
      <w:pPr>
        <w:pageBreakBefore w:val="0"/>
        <w:widowControl w:val="0"/>
        <w:kinsoku/>
        <w:wordWrap/>
        <w:overflowPunct/>
        <w:bidi w:val="0"/>
        <w:snapToGrid/>
        <w:spacing w:line="360" w:lineRule="auto"/>
        <w:ind w:firstLine="949" w:firstLineChars="45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发包人向承包人支付质量保证金利息的，利息计算方法：</w:t>
      </w:r>
      <w:r>
        <w:rPr>
          <w:rFonts w:hint="eastAsia" w:asciiTheme="minorEastAsia" w:hAnsiTheme="minorEastAsia" w:eastAsiaTheme="minorEastAsia" w:cstheme="minorEastAsia"/>
          <w:color w:val="auto"/>
          <w:sz w:val="21"/>
          <w:szCs w:val="21"/>
          <w:highlight w:val="none"/>
          <w:u w:val="single"/>
        </w:rPr>
        <w:t xml:space="preserve">   无。                  </w:t>
      </w:r>
    </w:p>
    <w:p w14:paraId="5DD2772F">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sz w:val="21"/>
          <w:szCs w:val="21"/>
          <w:highlight w:val="none"/>
        </w:rPr>
      </w:pPr>
      <w:bookmarkStart w:id="1579" w:name="_Toc32688"/>
      <w:bookmarkStart w:id="1580" w:name="_Toc21979163"/>
      <w:bookmarkStart w:id="1581" w:name="_Toc75511260"/>
      <w:r>
        <w:rPr>
          <w:rFonts w:hint="eastAsia" w:asciiTheme="minorEastAsia" w:hAnsiTheme="minorEastAsia" w:eastAsiaTheme="minorEastAsia" w:cstheme="minorEastAsia"/>
          <w:color w:val="auto"/>
          <w:sz w:val="21"/>
          <w:szCs w:val="21"/>
          <w:highlight w:val="none"/>
        </w:rPr>
        <w:t>18.竣工验收</w:t>
      </w:r>
      <w:bookmarkEnd w:id="1579"/>
      <w:bookmarkEnd w:id="1580"/>
      <w:bookmarkEnd w:id="1581"/>
    </w:p>
    <w:p w14:paraId="3B51E884">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2" w:name="_Toc21979164"/>
      <w:bookmarkStart w:id="1583" w:name="_Toc75511261"/>
      <w:bookmarkStart w:id="1584" w:name="_Toc16779"/>
      <w:r>
        <w:rPr>
          <w:rFonts w:hint="eastAsia" w:asciiTheme="minorEastAsia" w:hAnsiTheme="minorEastAsia" w:eastAsiaTheme="minorEastAsia" w:cstheme="minorEastAsia"/>
          <w:color w:val="auto"/>
          <w:kern w:val="0"/>
          <w:sz w:val="21"/>
          <w:szCs w:val="21"/>
          <w:highlight w:val="none"/>
        </w:rPr>
        <w:t>18.2  竣工验收申请报告</w:t>
      </w:r>
      <w:bookmarkEnd w:id="1582"/>
      <w:bookmarkEnd w:id="1583"/>
      <w:bookmarkEnd w:id="1584"/>
    </w:p>
    <w:p w14:paraId="21A54BD4">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（2）承包人负责整理和提交的竣工验收资料具体内容：</w:t>
      </w:r>
      <w:r>
        <w:rPr>
          <w:rFonts w:hint="eastAsia" w:asciiTheme="minorEastAsia" w:hAnsiTheme="minorEastAsia" w:eastAsiaTheme="minorEastAsia" w:cstheme="minorEastAsia"/>
          <w:color w:val="auto"/>
          <w:sz w:val="21"/>
          <w:szCs w:val="21"/>
          <w:highlight w:val="none"/>
          <w:u w:val="single"/>
        </w:rPr>
        <w:t xml:space="preserve">  合同文件约定的，符合国家及北京市建设档案馆存档需要的全部资料及发包人要求的其它资料。                   </w:t>
      </w:r>
    </w:p>
    <w:p w14:paraId="236113A9">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竣工验收资料的份数：</w:t>
      </w:r>
      <w:r>
        <w:rPr>
          <w:rFonts w:hint="eastAsia" w:asciiTheme="minorEastAsia" w:hAnsiTheme="minorEastAsia" w:eastAsiaTheme="minorEastAsia" w:cstheme="minorEastAsia"/>
          <w:color w:val="auto"/>
          <w:sz w:val="21"/>
          <w:szCs w:val="21"/>
          <w:highlight w:val="none"/>
          <w:u w:val="single"/>
        </w:rPr>
        <w:t xml:space="preserve">    4份。                                              </w:t>
      </w:r>
    </w:p>
    <w:p w14:paraId="5E8697E7">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竣工验收资料的费用支付方式：</w:t>
      </w:r>
      <w:r>
        <w:rPr>
          <w:rFonts w:hint="eastAsia" w:asciiTheme="minorEastAsia" w:hAnsiTheme="minorEastAsia" w:eastAsiaTheme="minorEastAsia" w:cstheme="minorEastAsia"/>
          <w:color w:val="auto"/>
          <w:sz w:val="21"/>
          <w:szCs w:val="21"/>
          <w:highlight w:val="none"/>
          <w:u w:val="single"/>
        </w:rPr>
        <w:t xml:space="preserve">  无偿将竣工验收资料交付至相关部门。               </w:t>
      </w:r>
    </w:p>
    <w:p w14:paraId="10D6B9FA">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5" w:name="_Toc19105825"/>
      <w:bookmarkStart w:id="1586" w:name="_Toc21979165"/>
      <w:bookmarkStart w:id="1587" w:name="_Toc75511262"/>
      <w:bookmarkStart w:id="1588" w:name="_Toc10747"/>
      <w:r>
        <w:rPr>
          <w:rFonts w:hint="eastAsia" w:asciiTheme="minorEastAsia" w:hAnsiTheme="minorEastAsia" w:eastAsiaTheme="minorEastAsia" w:cstheme="minorEastAsia"/>
          <w:color w:val="auto"/>
          <w:kern w:val="0"/>
          <w:sz w:val="21"/>
          <w:szCs w:val="21"/>
          <w:highlight w:val="none"/>
        </w:rPr>
        <w:t>18.5  施工期运行</w:t>
      </w:r>
      <w:bookmarkEnd w:id="1585"/>
      <w:bookmarkEnd w:id="1586"/>
      <w:bookmarkEnd w:id="1587"/>
      <w:bookmarkEnd w:id="1588"/>
    </w:p>
    <w:p w14:paraId="60FCA1B6">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18.5.1  需要施工期运行的单位工程或设备安装工程：</w:t>
      </w:r>
      <w:r>
        <w:rPr>
          <w:rFonts w:hint="eastAsia" w:asciiTheme="minorEastAsia" w:hAnsiTheme="minorEastAsia" w:eastAsiaTheme="minorEastAsia" w:cstheme="minorEastAsia"/>
          <w:color w:val="auto"/>
          <w:sz w:val="21"/>
          <w:szCs w:val="21"/>
          <w:highlight w:val="none"/>
          <w:u w:val="single"/>
        </w:rPr>
        <w:t xml:space="preserve">   无 。                    </w:t>
      </w:r>
    </w:p>
    <w:p w14:paraId="369DDFBC">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89" w:name="_Toc21979166"/>
      <w:bookmarkStart w:id="1590" w:name="_Toc19105826"/>
      <w:bookmarkStart w:id="1591" w:name="_Toc2900"/>
      <w:bookmarkStart w:id="1592" w:name="_Toc75511263"/>
      <w:r>
        <w:rPr>
          <w:rFonts w:hint="eastAsia" w:asciiTheme="minorEastAsia" w:hAnsiTheme="minorEastAsia" w:eastAsiaTheme="minorEastAsia" w:cstheme="minorEastAsia"/>
          <w:color w:val="auto"/>
          <w:kern w:val="0"/>
          <w:sz w:val="21"/>
          <w:szCs w:val="21"/>
          <w:highlight w:val="none"/>
        </w:rPr>
        <w:t>18.8  施工队伍的撤离</w:t>
      </w:r>
      <w:bookmarkEnd w:id="1589"/>
      <w:bookmarkEnd w:id="1590"/>
      <w:bookmarkEnd w:id="1591"/>
      <w:bookmarkEnd w:id="1592"/>
    </w:p>
    <w:p w14:paraId="74C28AA2">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18.8.3  缺陷责任期满时，承包人在施工场地保留的人员和施工设备最终撤离的期限：</w:t>
      </w:r>
      <w:r>
        <w:rPr>
          <w:rFonts w:hint="eastAsia" w:asciiTheme="minorEastAsia" w:hAnsiTheme="minorEastAsia" w:eastAsiaTheme="minorEastAsia" w:cstheme="minorEastAsia"/>
          <w:color w:val="auto"/>
          <w:sz w:val="21"/>
          <w:szCs w:val="21"/>
          <w:highlight w:val="none"/>
          <w:u w:val="single"/>
        </w:rPr>
        <w:t xml:space="preserve">                                                                          </w:t>
      </w:r>
    </w:p>
    <w:p w14:paraId="1BB12933">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承包人在缺陷责任期满后，要求部分人员和施工设备仍留在场内的，承包人应提交其留场人员和设备的明细表及最后撤离时间，延后撤离造成发包人增加的费用应由承包人承担。 </w:t>
      </w:r>
      <w:r>
        <w:rPr>
          <w:rFonts w:hint="eastAsia" w:asciiTheme="minorEastAsia" w:hAnsiTheme="minorEastAsia" w:eastAsiaTheme="minorEastAsia" w:cstheme="minorEastAsia"/>
          <w:color w:val="auto"/>
          <w:sz w:val="21"/>
          <w:szCs w:val="21"/>
          <w:highlight w:val="none"/>
        </w:rPr>
        <w:t xml:space="preserve">  </w:t>
      </w:r>
    </w:p>
    <w:p w14:paraId="681E2F6A">
      <w:pPr>
        <w:keepNext/>
        <w:keepLines/>
        <w:pageBreakBefore w:val="0"/>
        <w:widowControl w:val="0"/>
        <w:kinsoku/>
        <w:wordWrap/>
        <w:overflowPunct/>
        <w:bidi w:val="0"/>
        <w:snapToGrid/>
        <w:spacing w:before="120" w:beforeLines="50" w:after="120" w:afterLines="50" w:line="360" w:lineRule="auto"/>
        <w:jc w:val="both"/>
        <w:textAlignment w:val="auto"/>
        <w:outlineLvl w:val="9"/>
        <w:rPr>
          <w:rFonts w:hint="eastAsia" w:asciiTheme="minorEastAsia" w:hAnsiTheme="minorEastAsia" w:eastAsiaTheme="minorEastAsia" w:cstheme="minorEastAsia"/>
          <w:color w:val="auto"/>
          <w:kern w:val="0"/>
          <w:sz w:val="21"/>
          <w:szCs w:val="21"/>
          <w:highlight w:val="none"/>
        </w:rPr>
      </w:pPr>
      <w:bookmarkStart w:id="1593" w:name="_Toc19105827"/>
      <w:bookmarkStart w:id="1594" w:name="_Toc26934"/>
      <w:bookmarkStart w:id="1595" w:name="_Toc21979167"/>
      <w:bookmarkStart w:id="1596" w:name="_Toc75511264"/>
      <w:r>
        <w:rPr>
          <w:rFonts w:hint="eastAsia" w:asciiTheme="minorEastAsia" w:hAnsiTheme="minorEastAsia" w:eastAsiaTheme="minorEastAsia" w:cstheme="minorEastAsia"/>
          <w:color w:val="auto"/>
          <w:kern w:val="0"/>
          <w:sz w:val="21"/>
          <w:szCs w:val="21"/>
          <w:highlight w:val="none"/>
        </w:rPr>
        <w:t>18.9  中间验收</w:t>
      </w:r>
      <w:bookmarkEnd w:id="1593"/>
      <w:bookmarkEnd w:id="1594"/>
      <w:bookmarkEnd w:id="1595"/>
      <w:bookmarkEnd w:id="1596"/>
    </w:p>
    <w:p w14:paraId="451A6F6F">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18.9.1  本工程需要进行中间验收的部位：</w:t>
      </w:r>
      <w:r>
        <w:rPr>
          <w:rFonts w:hint="eastAsia" w:asciiTheme="minorEastAsia" w:hAnsiTheme="minorEastAsia" w:eastAsiaTheme="minorEastAsia" w:cstheme="minorEastAsia"/>
          <w:color w:val="auto"/>
          <w:sz w:val="21"/>
          <w:szCs w:val="21"/>
          <w:highlight w:val="none"/>
          <w:u w:val="single"/>
        </w:rPr>
        <w:t xml:space="preserve">   /                                                                      </w:t>
      </w:r>
    </w:p>
    <w:p w14:paraId="164C631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18.9.2  验收不合格的，承包人在</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期限内进行修改后重新验收。</w:t>
      </w:r>
    </w:p>
    <w:p w14:paraId="19C94741">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597" w:name="_Toc241459737"/>
      <w:bookmarkStart w:id="1598" w:name="_Toc5115"/>
      <w:bookmarkStart w:id="1599" w:name="_Toc342296496"/>
      <w:bookmarkStart w:id="1600" w:name="_Toc75511265"/>
      <w:r>
        <w:rPr>
          <w:rFonts w:hint="eastAsia" w:asciiTheme="minorEastAsia" w:hAnsiTheme="minorEastAsia" w:eastAsiaTheme="minorEastAsia" w:cstheme="minorEastAsia"/>
          <w:color w:val="auto"/>
          <w:sz w:val="21"/>
          <w:szCs w:val="21"/>
          <w:highlight w:val="none"/>
        </w:rPr>
        <w:t>19. 缺陷责任与保修责任</w:t>
      </w:r>
      <w:bookmarkEnd w:id="1571"/>
      <w:bookmarkEnd w:id="1572"/>
      <w:bookmarkEnd w:id="1573"/>
      <w:bookmarkEnd w:id="1574"/>
      <w:bookmarkEnd w:id="1597"/>
      <w:bookmarkEnd w:id="1598"/>
      <w:bookmarkEnd w:id="1599"/>
      <w:bookmarkEnd w:id="1600"/>
    </w:p>
    <w:p w14:paraId="472ACA0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01" w:name="_Toc10207"/>
      <w:bookmarkStart w:id="1602" w:name="_Toc342296497"/>
      <w:bookmarkStart w:id="1603" w:name="_Toc75511266"/>
      <w:bookmarkStart w:id="1604" w:name="_Toc152042520"/>
      <w:bookmarkStart w:id="1605" w:name="_Toc179632759"/>
      <w:bookmarkStart w:id="1606" w:name="_Toc152045741"/>
      <w:bookmarkStart w:id="1607" w:name="_Toc241459738"/>
      <w:bookmarkStart w:id="1608" w:name="_Toc144974712"/>
      <w:r>
        <w:rPr>
          <w:rFonts w:hint="eastAsia" w:asciiTheme="minorEastAsia" w:hAnsiTheme="minorEastAsia" w:eastAsiaTheme="minorEastAsia" w:cstheme="minorEastAsia"/>
          <w:color w:val="auto"/>
          <w:sz w:val="21"/>
          <w:szCs w:val="21"/>
          <w:highlight w:val="none"/>
        </w:rPr>
        <w:t>19.7 保修责任</w:t>
      </w:r>
      <w:bookmarkEnd w:id="1601"/>
      <w:bookmarkEnd w:id="1602"/>
      <w:bookmarkEnd w:id="1603"/>
      <w:bookmarkEnd w:id="1604"/>
      <w:bookmarkEnd w:id="1605"/>
      <w:bookmarkEnd w:id="1606"/>
      <w:bookmarkEnd w:id="1607"/>
      <w:bookmarkEnd w:id="1608"/>
    </w:p>
    <w:p w14:paraId="2CB63E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（1）工程质量保修范围：</w:t>
      </w:r>
      <w:r>
        <w:rPr>
          <w:rFonts w:hint="eastAsia" w:asciiTheme="minorEastAsia" w:hAnsiTheme="minorEastAsia" w:eastAsiaTheme="minorEastAsia" w:cstheme="minorEastAsia"/>
          <w:color w:val="auto"/>
          <w:sz w:val="21"/>
          <w:szCs w:val="21"/>
          <w:highlight w:val="none"/>
          <w:u w:val="single"/>
        </w:rPr>
        <w:t>施工合同约定的所有施工承包范围内工程质量保修责任</w:t>
      </w:r>
      <w:r>
        <w:rPr>
          <w:rFonts w:hint="eastAsia" w:asciiTheme="minorEastAsia" w:hAnsiTheme="minorEastAsia" w:eastAsiaTheme="minorEastAsia" w:cstheme="minorEastAsia"/>
          <w:color w:val="auto"/>
          <w:sz w:val="21"/>
          <w:szCs w:val="21"/>
          <w:highlight w:val="none"/>
        </w:rPr>
        <w:t>。</w:t>
      </w:r>
    </w:p>
    <w:p w14:paraId="78A1049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（2）工程质量保修期限：</w:t>
      </w:r>
      <w:r>
        <w:rPr>
          <w:rFonts w:hint="eastAsia" w:asciiTheme="minorEastAsia" w:hAnsiTheme="minorEastAsia" w:eastAsiaTheme="minorEastAsia" w:cstheme="minorEastAsia"/>
          <w:color w:val="auto"/>
          <w:sz w:val="21"/>
          <w:szCs w:val="21"/>
          <w:highlight w:val="none"/>
          <w:u w:val="single"/>
        </w:rPr>
        <w:t>基础设施工程的地基基础和主体结构工程，为设计文件规定的合理使用年限；其他项目的保修期为两年，自全部工程竣工验收合格之日起计算</w:t>
      </w:r>
      <w:r>
        <w:rPr>
          <w:rFonts w:hint="eastAsia" w:asciiTheme="minorEastAsia" w:hAnsiTheme="minorEastAsia" w:eastAsiaTheme="minorEastAsia" w:cstheme="minorEastAsia"/>
          <w:color w:val="auto"/>
          <w:sz w:val="21"/>
          <w:szCs w:val="21"/>
          <w:highlight w:val="none"/>
        </w:rPr>
        <w:t>。</w:t>
      </w:r>
    </w:p>
    <w:p w14:paraId="5538550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（3）工程质量保修责任：</w:t>
      </w:r>
      <w:r>
        <w:rPr>
          <w:rFonts w:hint="eastAsia" w:asciiTheme="minorEastAsia" w:hAnsiTheme="minorEastAsia" w:eastAsiaTheme="minorEastAsia" w:cstheme="minorEastAsia"/>
          <w:color w:val="auto"/>
          <w:sz w:val="21"/>
          <w:szCs w:val="21"/>
          <w:highlight w:val="none"/>
          <w:u w:val="single"/>
        </w:rPr>
        <w:t>按《建设工程质量管理条例》规定执行</w:t>
      </w:r>
      <w:r>
        <w:rPr>
          <w:rFonts w:hint="eastAsia" w:asciiTheme="minorEastAsia" w:hAnsiTheme="minorEastAsia" w:eastAsiaTheme="minorEastAsia" w:cstheme="minorEastAsia"/>
          <w:color w:val="auto"/>
          <w:sz w:val="21"/>
          <w:szCs w:val="21"/>
          <w:highlight w:val="none"/>
        </w:rPr>
        <w:t>。</w:t>
      </w:r>
    </w:p>
    <w:p w14:paraId="3A6DE02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14:paraId="6A502D28">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09" w:name="_Toc152045742"/>
      <w:bookmarkStart w:id="1610" w:name="_Toc19275"/>
      <w:bookmarkStart w:id="1611" w:name="_Toc144974713"/>
      <w:bookmarkStart w:id="1612" w:name="_Toc75511267"/>
      <w:bookmarkStart w:id="1613" w:name="_Toc342296498"/>
      <w:bookmarkStart w:id="1614" w:name="_Toc152042521"/>
      <w:bookmarkStart w:id="1615" w:name="_Toc241459739"/>
      <w:bookmarkStart w:id="1616" w:name="_Toc179632760"/>
      <w:r>
        <w:rPr>
          <w:rFonts w:hint="eastAsia" w:asciiTheme="minorEastAsia" w:hAnsiTheme="minorEastAsia" w:eastAsiaTheme="minorEastAsia" w:cstheme="minorEastAsia"/>
          <w:color w:val="auto"/>
          <w:sz w:val="21"/>
          <w:szCs w:val="21"/>
          <w:highlight w:val="none"/>
        </w:rPr>
        <w:t>20. 保险</w:t>
      </w:r>
      <w:bookmarkEnd w:id="1609"/>
      <w:bookmarkEnd w:id="1610"/>
      <w:bookmarkEnd w:id="1611"/>
      <w:bookmarkEnd w:id="1612"/>
      <w:bookmarkEnd w:id="1613"/>
      <w:bookmarkEnd w:id="1614"/>
      <w:bookmarkEnd w:id="1615"/>
      <w:bookmarkEnd w:id="1616"/>
    </w:p>
    <w:p w14:paraId="6229CBB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17" w:name="_Toc75511268"/>
      <w:bookmarkStart w:id="1618" w:name="_Toc12467"/>
      <w:bookmarkStart w:id="1619" w:name="_Toc152045743"/>
      <w:bookmarkStart w:id="1620" w:name="_Toc179632761"/>
      <w:bookmarkStart w:id="1621" w:name="_Toc241459740"/>
      <w:bookmarkStart w:id="1622" w:name="_Toc152042522"/>
      <w:bookmarkStart w:id="1623" w:name="_Toc342296499"/>
      <w:bookmarkStart w:id="1624" w:name="_Toc144974714"/>
      <w:r>
        <w:rPr>
          <w:rFonts w:hint="eastAsia" w:asciiTheme="minorEastAsia" w:hAnsiTheme="minorEastAsia" w:eastAsiaTheme="minorEastAsia" w:cstheme="minorEastAsia"/>
          <w:color w:val="auto"/>
          <w:sz w:val="21"/>
          <w:szCs w:val="21"/>
          <w:highlight w:val="none"/>
        </w:rPr>
        <w:t>20.1 工程保险</w:t>
      </w:r>
      <w:bookmarkEnd w:id="1617"/>
      <w:bookmarkEnd w:id="1618"/>
      <w:bookmarkEnd w:id="1619"/>
      <w:bookmarkEnd w:id="1620"/>
      <w:bookmarkEnd w:id="1621"/>
      <w:bookmarkEnd w:id="1622"/>
      <w:bookmarkEnd w:id="1623"/>
      <w:bookmarkEnd w:id="1624"/>
    </w:p>
    <w:p w14:paraId="25B4FA4C">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bookmarkStart w:id="1625" w:name="_Toc152042523"/>
      <w:bookmarkStart w:id="1626" w:name="_Toc144974715"/>
      <w:bookmarkStart w:id="1627" w:name="_Toc152045744"/>
      <w:bookmarkStart w:id="1628" w:name="_Toc179632762"/>
      <w:r>
        <w:rPr>
          <w:rFonts w:hint="eastAsia" w:asciiTheme="minorEastAsia" w:hAnsiTheme="minorEastAsia" w:eastAsiaTheme="minorEastAsia" w:cstheme="minorEastAsia"/>
          <w:color w:val="auto"/>
          <w:sz w:val="21"/>
          <w:szCs w:val="21"/>
          <w:highlight w:val="none"/>
        </w:rPr>
        <w:t>本工程</w:t>
      </w:r>
      <w:r>
        <w:rPr>
          <w:rFonts w:hint="eastAsia" w:asciiTheme="minorEastAsia" w:hAnsiTheme="minorEastAsia" w:eastAsiaTheme="minorEastAsia" w:cstheme="minorEastAsia"/>
          <w:color w:val="auto"/>
          <w:sz w:val="21"/>
          <w:szCs w:val="21"/>
          <w:highlight w:val="none"/>
          <w:u w:val="single"/>
        </w:rPr>
        <w:t>不投保</w:t>
      </w:r>
      <w:r>
        <w:rPr>
          <w:rFonts w:hint="eastAsia" w:asciiTheme="minorEastAsia" w:hAnsiTheme="minorEastAsia" w:eastAsiaTheme="minorEastAsia" w:cstheme="minorEastAsia"/>
          <w:color w:val="auto"/>
          <w:sz w:val="21"/>
          <w:szCs w:val="21"/>
          <w:highlight w:val="none"/>
        </w:rPr>
        <w:t>(投保/不投保)工程保险。投保工程保险时，险种为：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，并符合以下约定。</w:t>
      </w:r>
    </w:p>
    <w:p w14:paraId="1C2E4B6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（1）投保人：</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2786EE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（2）投保内容：</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7BBE6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（3）保险费率：由投保人与合同双方同意的保险人商定。</w:t>
      </w:r>
    </w:p>
    <w:p w14:paraId="5DAC1A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（4）保险金额：</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77893C5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（5）保险期限：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bookmarkEnd w:id="1625"/>
    <w:bookmarkEnd w:id="1626"/>
    <w:bookmarkEnd w:id="1627"/>
    <w:bookmarkEnd w:id="1628"/>
    <w:p w14:paraId="0E993AF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29" w:name="_Toc342296500"/>
      <w:bookmarkStart w:id="1630" w:name="_Toc152045746"/>
      <w:bookmarkStart w:id="1631" w:name="_Toc144974717"/>
      <w:bookmarkStart w:id="1632" w:name="_Toc241459741"/>
      <w:bookmarkStart w:id="1633" w:name="_Toc179632764"/>
      <w:bookmarkStart w:id="1634" w:name="_Toc2724"/>
      <w:bookmarkStart w:id="1635" w:name="_Toc152042525"/>
      <w:bookmarkStart w:id="1636" w:name="_Toc75511269"/>
      <w:r>
        <w:rPr>
          <w:rFonts w:hint="eastAsia" w:asciiTheme="minorEastAsia" w:hAnsiTheme="minorEastAsia" w:eastAsiaTheme="minorEastAsia" w:cstheme="minorEastAsia"/>
          <w:color w:val="auto"/>
          <w:sz w:val="21"/>
          <w:szCs w:val="21"/>
          <w:highlight w:val="none"/>
        </w:rPr>
        <w:t>20.4 第三者责任险</w:t>
      </w:r>
      <w:bookmarkEnd w:id="1629"/>
      <w:bookmarkEnd w:id="1630"/>
      <w:bookmarkEnd w:id="1631"/>
      <w:bookmarkEnd w:id="1632"/>
      <w:bookmarkEnd w:id="1633"/>
      <w:bookmarkEnd w:id="1634"/>
      <w:bookmarkEnd w:id="1635"/>
      <w:bookmarkEnd w:id="1636"/>
    </w:p>
    <w:p w14:paraId="35C258E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20.4.2保险金额：</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 ，保险费率由承包人与发包人同意的保险人商定，相关保险费由</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 xml:space="preserve">承担。                               </w:t>
      </w:r>
    </w:p>
    <w:p w14:paraId="1826261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37" w:name="_Toc152042526"/>
      <w:bookmarkStart w:id="1638" w:name="_Toc241459742"/>
      <w:bookmarkStart w:id="1639" w:name="_Toc342296501"/>
      <w:bookmarkStart w:id="1640" w:name="_Toc152045747"/>
      <w:bookmarkStart w:id="1641" w:name="_Toc75511270"/>
      <w:bookmarkStart w:id="1642" w:name="_Toc144974718"/>
      <w:bookmarkStart w:id="1643" w:name="_Toc179632765"/>
      <w:bookmarkStart w:id="1644" w:name="_Toc12994"/>
      <w:r>
        <w:rPr>
          <w:rFonts w:hint="eastAsia" w:asciiTheme="minorEastAsia" w:hAnsiTheme="minorEastAsia" w:eastAsiaTheme="minorEastAsia" w:cstheme="minorEastAsia"/>
          <w:color w:val="auto"/>
          <w:sz w:val="21"/>
          <w:szCs w:val="21"/>
          <w:highlight w:val="none"/>
        </w:rPr>
        <w:t>20.5 其他保险</w:t>
      </w:r>
      <w:bookmarkEnd w:id="1637"/>
      <w:bookmarkEnd w:id="1638"/>
      <w:bookmarkEnd w:id="1639"/>
      <w:bookmarkEnd w:id="1640"/>
      <w:bookmarkEnd w:id="1641"/>
      <w:bookmarkEnd w:id="1642"/>
      <w:bookmarkEnd w:id="1643"/>
      <w:bookmarkEnd w:id="1644"/>
    </w:p>
    <w:p w14:paraId="65122B1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承包人应为其施工设备、进场材料和工程设备等办理的保险：</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C10A5F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45" w:name="_Toc179632766"/>
      <w:bookmarkStart w:id="1646" w:name="_Toc75511271"/>
      <w:bookmarkStart w:id="1647" w:name="_Toc241459743"/>
      <w:bookmarkStart w:id="1648" w:name="_Toc23366"/>
      <w:bookmarkStart w:id="1649" w:name="_Toc152045748"/>
      <w:bookmarkStart w:id="1650" w:name="_Toc152042527"/>
      <w:bookmarkStart w:id="1651" w:name="_Toc342296502"/>
      <w:bookmarkStart w:id="1652" w:name="_Toc144974719"/>
      <w:r>
        <w:rPr>
          <w:rFonts w:hint="eastAsia" w:asciiTheme="minorEastAsia" w:hAnsiTheme="minorEastAsia" w:eastAsiaTheme="minorEastAsia" w:cstheme="minorEastAsia"/>
          <w:color w:val="auto"/>
          <w:sz w:val="21"/>
          <w:szCs w:val="21"/>
          <w:highlight w:val="none"/>
        </w:rPr>
        <w:t>20.6 对各项保险的一般要求</w:t>
      </w:r>
      <w:bookmarkEnd w:id="1645"/>
      <w:bookmarkEnd w:id="1646"/>
      <w:bookmarkEnd w:id="1647"/>
      <w:bookmarkEnd w:id="1648"/>
      <w:bookmarkEnd w:id="1649"/>
      <w:bookmarkEnd w:id="1650"/>
      <w:bookmarkEnd w:id="1651"/>
      <w:bookmarkEnd w:id="1652"/>
    </w:p>
    <w:p w14:paraId="01503FC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20.6.1保险凭证</w:t>
      </w:r>
    </w:p>
    <w:p w14:paraId="5AA86AB9">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承包人向发包人提交各项保险生效的证据和保险单副本的期限：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43A6BDE">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20.6.4保险金不足的补偿</w:t>
      </w:r>
    </w:p>
    <w:p w14:paraId="4AACDED8">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保险金不足以补偿损失时，承包人和发包人负责补偿的责任分摊：</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6C2C02D1">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53" w:name="_Toc144974720"/>
      <w:bookmarkStart w:id="1654" w:name="_Toc342296503"/>
      <w:bookmarkStart w:id="1655" w:name="_Toc241459744"/>
      <w:bookmarkStart w:id="1656" w:name="_Toc152045749"/>
      <w:bookmarkStart w:id="1657" w:name="_Toc179632767"/>
      <w:bookmarkStart w:id="1658" w:name="_Toc75511272"/>
      <w:bookmarkStart w:id="1659" w:name="_Toc152042528"/>
      <w:bookmarkStart w:id="1660" w:name="_Toc30482"/>
      <w:r>
        <w:rPr>
          <w:rFonts w:hint="eastAsia" w:asciiTheme="minorEastAsia" w:hAnsiTheme="minorEastAsia" w:eastAsiaTheme="minorEastAsia" w:cstheme="minorEastAsia"/>
          <w:color w:val="auto"/>
          <w:sz w:val="21"/>
          <w:szCs w:val="21"/>
          <w:highlight w:val="none"/>
        </w:rPr>
        <w:t>21. 不可抗力</w:t>
      </w:r>
      <w:bookmarkEnd w:id="1653"/>
      <w:bookmarkEnd w:id="1654"/>
      <w:bookmarkEnd w:id="1655"/>
      <w:bookmarkEnd w:id="1656"/>
      <w:bookmarkEnd w:id="1657"/>
      <w:bookmarkEnd w:id="1658"/>
      <w:bookmarkEnd w:id="1659"/>
      <w:bookmarkEnd w:id="1660"/>
    </w:p>
    <w:p w14:paraId="6EC21850">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61" w:name="_Toc152045750"/>
      <w:bookmarkStart w:id="1662" w:name="_Toc15316"/>
      <w:bookmarkStart w:id="1663" w:name="_Toc342296504"/>
      <w:bookmarkStart w:id="1664" w:name="_Toc152042529"/>
      <w:bookmarkStart w:id="1665" w:name="_Toc75511273"/>
      <w:bookmarkStart w:id="1666" w:name="_Toc241459745"/>
      <w:bookmarkStart w:id="1667" w:name="_Toc144974721"/>
      <w:bookmarkStart w:id="1668" w:name="_Toc179632768"/>
      <w:r>
        <w:rPr>
          <w:rFonts w:hint="eastAsia" w:asciiTheme="minorEastAsia" w:hAnsiTheme="minorEastAsia" w:eastAsiaTheme="minorEastAsia" w:cstheme="minorEastAsia"/>
          <w:color w:val="auto"/>
          <w:sz w:val="21"/>
          <w:szCs w:val="21"/>
          <w:highlight w:val="none"/>
        </w:rPr>
        <w:t>21.1 不可抗力的确认</w:t>
      </w:r>
      <w:bookmarkEnd w:id="1661"/>
      <w:bookmarkEnd w:id="1662"/>
      <w:bookmarkEnd w:id="1663"/>
      <w:bookmarkEnd w:id="1664"/>
      <w:bookmarkEnd w:id="1665"/>
      <w:bookmarkEnd w:id="1666"/>
      <w:bookmarkEnd w:id="1667"/>
      <w:bookmarkEnd w:id="1668"/>
    </w:p>
    <w:p w14:paraId="3CE795B1">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21.1.1通用合同条款第21.1.1项约定的不可抗力以外的其他情形：</w:t>
      </w:r>
      <w:r>
        <w:rPr>
          <w:rFonts w:hint="eastAsia" w:asciiTheme="minorEastAsia" w:hAnsiTheme="minorEastAsia" w:eastAsiaTheme="minorEastAsia" w:cstheme="minorEastAsia"/>
          <w:color w:val="auto"/>
          <w:sz w:val="21"/>
          <w:szCs w:val="21"/>
          <w:highlight w:val="none"/>
          <w:u w:val="single"/>
        </w:rPr>
        <w:t>6级以上地震、12级以上的大风、6小时内降雪量大于15mm及以上降雪，24小时内降水量为300mm以上的暴雨</w:t>
      </w:r>
      <w:r>
        <w:rPr>
          <w:rFonts w:hint="eastAsia" w:asciiTheme="minorEastAsia" w:hAnsiTheme="minorEastAsia" w:eastAsiaTheme="minorEastAsia" w:cstheme="minorEastAsia"/>
          <w:color w:val="auto"/>
          <w:sz w:val="21"/>
          <w:szCs w:val="21"/>
          <w:highlight w:val="none"/>
        </w:rPr>
        <w:t>。</w:t>
      </w:r>
    </w:p>
    <w:p w14:paraId="2A4586B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不可抗力的等级范围约定：</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043981F">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69" w:name="_Toc152045752"/>
      <w:bookmarkStart w:id="1670" w:name="_Toc75511274"/>
      <w:bookmarkStart w:id="1671" w:name="_Toc241459746"/>
      <w:bookmarkStart w:id="1672" w:name="_Toc342296505"/>
      <w:bookmarkStart w:id="1673" w:name="_Toc23688"/>
      <w:bookmarkStart w:id="1674" w:name="_Toc144974723"/>
      <w:bookmarkStart w:id="1675" w:name="_Toc179632770"/>
      <w:bookmarkStart w:id="1676" w:name="_Toc152042531"/>
      <w:r>
        <w:rPr>
          <w:rFonts w:hint="eastAsia" w:asciiTheme="minorEastAsia" w:hAnsiTheme="minorEastAsia" w:eastAsiaTheme="minorEastAsia" w:cstheme="minorEastAsia"/>
          <w:color w:val="auto"/>
          <w:sz w:val="21"/>
          <w:szCs w:val="21"/>
          <w:highlight w:val="none"/>
        </w:rPr>
        <w:t>21.3 不可抗力后果及其处理</w:t>
      </w:r>
      <w:bookmarkEnd w:id="1669"/>
      <w:bookmarkEnd w:id="1670"/>
      <w:bookmarkEnd w:id="1671"/>
      <w:bookmarkEnd w:id="1672"/>
      <w:bookmarkEnd w:id="1673"/>
      <w:bookmarkEnd w:id="1674"/>
      <w:bookmarkEnd w:id="1675"/>
      <w:bookmarkEnd w:id="1676"/>
    </w:p>
    <w:p w14:paraId="28D1FC8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21.3.1不可抗力造成损害的责任</w:t>
      </w:r>
    </w:p>
    <w:p w14:paraId="166C09E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不可抗力导致的人员伤亡、财产损失、费用增加和（或）工期延误等后果，由合同双方按通用合同条款第21.3.1项约定的原则承担。                                                                      </w:t>
      </w:r>
    </w:p>
    <w:p w14:paraId="0F3BD78B">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677" w:name="_Toc241459747"/>
      <w:bookmarkStart w:id="1678" w:name="_Toc152045762"/>
      <w:bookmarkStart w:id="1679" w:name="_Toc144974732"/>
      <w:bookmarkStart w:id="1680" w:name="_Toc342296506"/>
      <w:bookmarkStart w:id="1681" w:name="_Toc152042541"/>
      <w:bookmarkStart w:id="1682" w:name="_Toc18221"/>
      <w:bookmarkStart w:id="1683" w:name="_Toc179632780"/>
      <w:bookmarkStart w:id="1684" w:name="_Toc75511275"/>
      <w:r>
        <w:rPr>
          <w:rFonts w:hint="eastAsia" w:asciiTheme="minorEastAsia" w:hAnsiTheme="minorEastAsia" w:eastAsiaTheme="minorEastAsia" w:cstheme="minorEastAsia"/>
          <w:color w:val="auto"/>
          <w:sz w:val="21"/>
          <w:szCs w:val="21"/>
          <w:highlight w:val="none"/>
        </w:rPr>
        <w:t>24. 争议的解决</w:t>
      </w:r>
      <w:bookmarkEnd w:id="1677"/>
      <w:bookmarkEnd w:id="1678"/>
      <w:bookmarkEnd w:id="1679"/>
      <w:bookmarkEnd w:id="1680"/>
      <w:bookmarkEnd w:id="1681"/>
      <w:bookmarkEnd w:id="1682"/>
      <w:bookmarkEnd w:id="1683"/>
      <w:bookmarkEnd w:id="1684"/>
    </w:p>
    <w:p w14:paraId="490E71C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85" w:name="_Toc179632781"/>
      <w:bookmarkStart w:id="1686" w:name="_Toc152042542"/>
      <w:bookmarkStart w:id="1687" w:name="_Toc152045763"/>
      <w:bookmarkStart w:id="1688" w:name="_Toc342296507"/>
      <w:bookmarkStart w:id="1689" w:name="_Toc241459748"/>
      <w:bookmarkStart w:id="1690" w:name="_Toc144974733"/>
      <w:bookmarkStart w:id="1691" w:name="_Toc5103"/>
      <w:bookmarkStart w:id="1692" w:name="_Toc75511276"/>
      <w:r>
        <w:rPr>
          <w:rFonts w:hint="eastAsia" w:asciiTheme="minorEastAsia" w:hAnsiTheme="minorEastAsia" w:eastAsiaTheme="minorEastAsia" w:cstheme="minorEastAsia"/>
          <w:color w:val="auto"/>
          <w:sz w:val="21"/>
          <w:szCs w:val="21"/>
          <w:highlight w:val="none"/>
        </w:rPr>
        <w:t>24.1 争议的解决方式</w:t>
      </w:r>
      <w:bookmarkEnd w:id="1685"/>
      <w:bookmarkEnd w:id="1686"/>
      <w:bookmarkEnd w:id="1687"/>
      <w:bookmarkEnd w:id="1688"/>
      <w:bookmarkEnd w:id="1689"/>
      <w:bookmarkEnd w:id="1690"/>
      <w:bookmarkEnd w:id="1691"/>
      <w:bookmarkEnd w:id="1692"/>
    </w:p>
    <w:p w14:paraId="1E36E3BE">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bookmarkStart w:id="1693" w:name="_Toc144974734"/>
      <w:bookmarkStart w:id="1694" w:name="_Toc152042543"/>
      <w:bookmarkStart w:id="1695" w:name="_Toc179632782"/>
      <w:bookmarkStart w:id="1696" w:name="_Toc152045764"/>
      <w:r>
        <w:rPr>
          <w:rFonts w:hint="eastAsia" w:asciiTheme="minorEastAsia" w:hAnsiTheme="minorEastAsia" w:eastAsiaTheme="minorEastAsia" w:cstheme="minorEastAsia"/>
          <w:color w:val="auto"/>
          <w:sz w:val="21"/>
          <w:szCs w:val="21"/>
          <w:highlight w:val="none"/>
        </w:rPr>
        <w:t>因本合同引起的或与本合同有关的任何争议，合同双方友好协商不成、不愿提请争议组评审或者不愿接受争议评审组意见的，选择下列第</w:t>
      </w:r>
      <w:r>
        <w:rPr>
          <w:rFonts w:hint="eastAsia" w:asciiTheme="minorEastAsia" w:hAnsiTheme="minorEastAsia" w:eastAsiaTheme="minorEastAsia" w:cstheme="minorEastAsia"/>
          <w:color w:val="auto"/>
          <w:sz w:val="21"/>
          <w:szCs w:val="21"/>
          <w:highlight w:val="none"/>
          <w:u w:val="single"/>
        </w:rPr>
        <w:t xml:space="preserve">  贰  </w:t>
      </w:r>
      <w:r>
        <w:rPr>
          <w:rFonts w:hint="eastAsia" w:asciiTheme="minorEastAsia" w:hAnsiTheme="minorEastAsia" w:eastAsiaTheme="minorEastAsia" w:cstheme="minorEastAsia"/>
          <w:color w:val="auto"/>
          <w:sz w:val="21"/>
          <w:szCs w:val="21"/>
          <w:highlight w:val="none"/>
        </w:rPr>
        <w:t>种方式解决：</w:t>
      </w:r>
    </w:p>
    <w:p w14:paraId="71BD395D">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（壹）</w:t>
      </w:r>
      <w:r>
        <w:rPr>
          <w:rFonts w:hint="eastAsia" w:asciiTheme="minorEastAsia" w:hAnsiTheme="minorEastAsia" w:eastAsiaTheme="minorEastAsia" w:cstheme="minorEastAsia"/>
          <w:color w:val="auto"/>
          <w:sz w:val="21"/>
          <w:szCs w:val="21"/>
          <w:highlight w:val="none"/>
        </w:rPr>
        <w:t>提请</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仲裁委员会按照该会仲裁规则进行仲裁，仲裁裁决是终局的，对合同双方均有约束力。</w:t>
      </w:r>
    </w:p>
    <w:p w14:paraId="5F58517B">
      <w:pPr>
        <w:pageBreakBefore w:val="0"/>
        <w:widowControl w:val="0"/>
        <w:kinsoku/>
        <w:wordWrap/>
        <w:overflowPunct/>
        <w:bidi w:val="0"/>
        <w:snapToGrid/>
        <w:spacing w:line="400" w:lineRule="exact"/>
        <w:ind w:firstLine="52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（贰）</w:t>
      </w:r>
      <w:r>
        <w:rPr>
          <w:rFonts w:hint="eastAsia" w:asciiTheme="minorEastAsia" w:hAnsiTheme="minorEastAsia" w:eastAsiaTheme="minorEastAsia" w:cstheme="minorEastAsia"/>
          <w:color w:val="auto"/>
          <w:sz w:val="21"/>
          <w:szCs w:val="21"/>
          <w:highlight w:val="none"/>
        </w:rPr>
        <w:t>向有管辖权的人民法院提起诉讼。</w:t>
      </w:r>
    </w:p>
    <w:bookmarkEnd w:id="1693"/>
    <w:bookmarkEnd w:id="1694"/>
    <w:bookmarkEnd w:id="1695"/>
    <w:bookmarkEnd w:id="1696"/>
    <w:p w14:paraId="231D2D3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697" w:name="_Toc152045765"/>
      <w:bookmarkStart w:id="1698" w:name="_Toc152042544"/>
      <w:bookmarkStart w:id="1699" w:name="_Toc28359"/>
      <w:bookmarkStart w:id="1700" w:name="_Toc144974735"/>
      <w:bookmarkStart w:id="1701" w:name="_Toc342296508"/>
      <w:bookmarkStart w:id="1702" w:name="_Toc75511277"/>
      <w:bookmarkStart w:id="1703" w:name="_Toc179632783"/>
      <w:bookmarkStart w:id="1704" w:name="_Toc241459749"/>
      <w:r>
        <w:rPr>
          <w:rFonts w:hint="eastAsia" w:asciiTheme="minorEastAsia" w:hAnsiTheme="minorEastAsia" w:eastAsiaTheme="minorEastAsia" w:cstheme="minorEastAsia"/>
          <w:color w:val="auto"/>
          <w:sz w:val="21"/>
          <w:szCs w:val="21"/>
          <w:highlight w:val="none"/>
        </w:rPr>
        <w:t>24.3 争议评审</w:t>
      </w:r>
      <w:bookmarkEnd w:id="1697"/>
      <w:bookmarkEnd w:id="1698"/>
      <w:bookmarkEnd w:id="1699"/>
      <w:bookmarkEnd w:id="1700"/>
      <w:bookmarkEnd w:id="1701"/>
      <w:bookmarkEnd w:id="1702"/>
      <w:bookmarkEnd w:id="1703"/>
      <w:bookmarkEnd w:id="1704"/>
    </w:p>
    <w:p w14:paraId="7EF2D571">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24.3.4争议评审组邀请合同双方代表人和有关人员举行调查会的期限：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3EA1416D">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24.3.5争议评审组在调查会后作出争议评审意见的期限：</w:t>
      </w: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16CB196A">
      <w:pPr>
        <w:pStyle w:val="20"/>
        <w:pageBreakBefore w:val="0"/>
        <w:widowControl w:val="0"/>
        <w:kinsoku/>
        <w:wordWrap/>
        <w:overflowPunct/>
        <w:bidi w:val="0"/>
        <w:snapToGrid/>
        <w:spacing w:before="0"/>
        <w:jc w:val="both"/>
        <w:textAlignment w:val="auto"/>
        <w:outlineLvl w:val="9"/>
        <w:rPr>
          <w:rFonts w:hint="eastAsia" w:asciiTheme="minorEastAsia" w:hAnsiTheme="minorEastAsia" w:eastAsiaTheme="minorEastAsia" w:cstheme="minorEastAsia"/>
          <w:color w:val="auto"/>
          <w:sz w:val="21"/>
          <w:szCs w:val="21"/>
          <w:highlight w:val="none"/>
        </w:rPr>
      </w:pPr>
      <w:bookmarkStart w:id="1705" w:name="_Toc9552"/>
      <w:bookmarkStart w:id="1706" w:name="_Toc75511278"/>
      <w:r>
        <w:rPr>
          <w:rFonts w:hint="eastAsia" w:asciiTheme="minorEastAsia" w:hAnsiTheme="minorEastAsia" w:eastAsiaTheme="minorEastAsia" w:cstheme="minorEastAsia"/>
          <w:color w:val="auto"/>
          <w:sz w:val="21"/>
          <w:szCs w:val="21"/>
          <w:highlight w:val="none"/>
        </w:rPr>
        <w:t>25. 补充条款</w:t>
      </w:r>
      <w:bookmarkEnd w:id="1705"/>
      <w:bookmarkEnd w:id="1706"/>
    </w:p>
    <w:p w14:paraId="56768123">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签订合同时另行约定 。                                                </w:t>
      </w:r>
    </w:p>
    <w:p w14:paraId="6DE1A8F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07" w:name="_Toc144974826"/>
      <w:bookmarkStart w:id="1708" w:name="_Toc179632785"/>
      <w:bookmarkStart w:id="1709" w:name="_Toc152045767"/>
      <w:bookmarkStart w:id="1710" w:name="_Toc152042546"/>
    </w:p>
    <w:p w14:paraId="07DF7CD5">
      <w:pPr>
        <w:pageBreakBefore w:val="0"/>
        <w:widowControl w:val="0"/>
        <w:kinsoku/>
        <w:wordWrap/>
        <w:overflowPunct/>
        <w:bidi w:val="0"/>
        <w:snapToGrid/>
        <w:spacing w:line="400" w:lineRule="exact"/>
        <w:ind w:firstLine="525"/>
        <w:jc w:val="both"/>
        <w:textAlignment w:val="auto"/>
        <w:outlineLvl w:val="9"/>
        <w:rPr>
          <w:rFonts w:hint="eastAsia" w:asciiTheme="minorEastAsia" w:hAnsiTheme="minorEastAsia" w:eastAsiaTheme="minorEastAsia" w:cstheme="minorEastAsia"/>
          <w:color w:val="auto"/>
          <w:sz w:val="21"/>
          <w:szCs w:val="21"/>
          <w:highlight w:val="none"/>
        </w:rPr>
        <w:sectPr>
          <w:footerReference r:id="rId20" w:type="default"/>
          <w:pgSz w:w="11906" w:h="16838"/>
          <w:pgMar w:top="1418" w:right="1588" w:bottom="1418" w:left="1588" w:header="851" w:footer="992" w:gutter="0"/>
          <w:pgNumType w:fmt="decimal"/>
          <w:cols w:space="720" w:num="1"/>
          <w:docGrid w:linePitch="312" w:charSpace="0"/>
        </w:sectPr>
      </w:pPr>
    </w:p>
    <w:p w14:paraId="1D28153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E95EFC1">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5C2AB7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373991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D761F0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6CF076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3A38AC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70573A95">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74E0A8B">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p>
    <w:p w14:paraId="4D0DA518">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28"/>
          <w:szCs w:val="28"/>
          <w:highlight w:val="none"/>
        </w:rPr>
      </w:pPr>
      <w:bookmarkStart w:id="1711" w:name="_Toc19764"/>
      <w:bookmarkStart w:id="1712" w:name="_Toc241459750"/>
      <w:bookmarkStart w:id="1713" w:name="_Toc342296509"/>
      <w:bookmarkStart w:id="1714" w:name="_Toc75511279"/>
      <w:r>
        <w:rPr>
          <w:rFonts w:hint="eastAsia" w:asciiTheme="minorEastAsia" w:hAnsiTheme="minorEastAsia" w:eastAsiaTheme="minorEastAsia" w:cstheme="minorEastAsia"/>
          <w:b/>
          <w:bCs/>
          <w:color w:val="auto"/>
          <w:sz w:val="28"/>
          <w:szCs w:val="28"/>
          <w:highlight w:val="none"/>
        </w:rPr>
        <w:t>第三节 合同附件格式</w:t>
      </w:r>
      <w:bookmarkEnd w:id="1707"/>
      <w:bookmarkEnd w:id="1708"/>
      <w:bookmarkEnd w:id="1709"/>
      <w:bookmarkEnd w:id="1710"/>
      <w:bookmarkEnd w:id="1711"/>
      <w:bookmarkEnd w:id="1712"/>
      <w:bookmarkEnd w:id="1713"/>
      <w:bookmarkEnd w:id="1714"/>
    </w:p>
    <w:p w14:paraId="302BE1C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52D15F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08E1DB5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E5E963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158EDF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2E1B006">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4EA5AB3B">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2E0AC958">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sectPr>
          <w:footerReference r:id="rId21" w:type="default"/>
          <w:pgSz w:w="11906" w:h="16838"/>
          <w:pgMar w:top="1418" w:right="1588" w:bottom="1418" w:left="1588" w:header="851" w:footer="992" w:gutter="0"/>
          <w:pgNumType w:fmt="decimal"/>
          <w:cols w:space="720" w:num="1"/>
          <w:docGrid w:linePitch="312" w:charSpace="0"/>
        </w:sectPr>
      </w:pPr>
    </w:p>
    <w:p w14:paraId="79832B4B">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15" w:name="_Toc241459751"/>
      <w:bookmarkStart w:id="1716" w:name="_Toc342296510"/>
      <w:bookmarkStart w:id="1717" w:name="_Toc75511280"/>
      <w:bookmarkStart w:id="1718" w:name="_Toc20732"/>
      <w:r>
        <w:rPr>
          <w:rFonts w:hint="eastAsia" w:asciiTheme="minorEastAsia" w:hAnsiTheme="minorEastAsia" w:eastAsiaTheme="minorEastAsia" w:cstheme="minorEastAsia"/>
          <w:color w:val="auto"/>
          <w:sz w:val="21"/>
          <w:szCs w:val="21"/>
          <w:highlight w:val="none"/>
        </w:rPr>
        <w:t>附件一：合同协议书</w:t>
      </w:r>
      <w:bookmarkEnd w:id="1715"/>
      <w:bookmarkEnd w:id="1716"/>
      <w:bookmarkEnd w:id="1717"/>
      <w:bookmarkEnd w:id="1718"/>
    </w:p>
    <w:p w14:paraId="712EC9BB">
      <w:pPr>
        <w:pageBreakBefore w:val="0"/>
        <w:widowControl w:val="0"/>
        <w:kinsoku/>
        <w:wordWrap/>
        <w:overflowPunct/>
        <w:bidi w:val="0"/>
        <w:snapToGrid/>
        <w:spacing w:line="440" w:lineRule="exact"/>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合同协议书</w:t>
      </w:r>
    </w:p>
    <w:p w14:paraId="47A1A5BC">
      <w:pPr>
        <w:pStyle w:val="23"/>
        <w:pageBreakBefore w:val="0"/>
        <w:widowControl w:val="0"/>
        <w:kinsoku/>
        <w:wordWrap/>
        <w:overflowPunct/>
        <w:bidi w:val="0"/>
        <w:snapToGrid/>
        <w:spacing w:line="4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编号：</w:t>
      </w:r>
      <w:r>
        <w:rPr>
          <w:rFonts w:hint="eastAsia" w:asciiTheme="minorEastAsia" w:hAnsiTheme="minorEastAsia" w:eastAsiaTheme="minorEastAsia" w:cstheme="minorEastAsia"/>
          <w:color w:val="auto"/>
          <w:sz w:val="21"/>
          <w:szCs w:val="21"/>
          <w:highlight w:val="none"/>
          <w:u w:val="single"/>
        </w:rPr>
        <w:t xml:space="preserve">                </w:t>
      </w:r>
    </w:p>
    <w:p w14:paraId="443D3E73">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发包人（全称）：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6F1501F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 定 代 表 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02C9D0D5">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b/>
          <w:color w:val="auto"/>
          <w:sz w:val="21"/>
          <w:szCs w:val="21"/>
          <w:highlight w:val="none"/>
        </w:rPr>
        <w:t>法定注册地址：</w:t>
      </w:r>
      <w:r>
        <w:rPr>
          <w:rFonts w:hint="eastAsia" w:asciiTheme="minorEastAsia" w:hAnsiTheme="minorEastAsia" w:eastAsiaTheme="minorEastAsia" w:cstheme="minorEastAsia"/>
          <w:color w:val="auto"/>
          <w:sz w:val="21"/>
          <w:szCs w:val="21"/>
          <w:highlight w:val="none"/>
          <w:u w:val="single"/>
        </w:rPr>
        <w:t xml:space="preserve">                                                            </w:t>
      </w:r>
    </w:p>
    <w:p w14:paraId="137086C7">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p>
    <w:p w14:paraId="4F53B7FA">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承包人（全称）：</w:t>
      </w:r>
      <w:r>
        <w:rPr>
          <w:rFonts w:hint="eastAsia" w:asciiTheme="minorEastAsia" w:hAnsiTheme="minorEastAsia" w:eastAsiaTheme="minorEastAsia" w:cstheme="minorEastAsia"/>
          <w:color w:val="auto"/>
          <w:sz w:val="21"/>
          <w:szCs w:val="21"/>
          <w:highlight w:val="none"/>
          <w:u w:val="single"/>
        </w:rPr>
        <w:t xml:space="preserve">                                                           </w:t>
      </w:r>
    </w:p>
    <w:p w14:paraId="2F63EB3E">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 定 代 表 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b/>
          <w:color w:val="auto"/>
          <w:sz w:val="21"/>
          <w:szCs w:val="21"/>
          <w:highlight w:val="none"/>
          <w:u w:val="single"/>
        </w:rPr>
        <w:t xml:space="preserve"> </w:t>
      </w:r>
    </w:p>
    <w:p w14:paraId="594F05DF">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法定注册地址：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40FBCF2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p>
    <w:p w14:paraId="422EB38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发包人为建设</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（以下简称“本工程”），已接受承包人提出的承担本工程的施工、竣工、交付并维修其任何缺陷的</w:t>
      </w:r>
      <w:r>
        <w:rPr>
          <w:rFonts w:hint="eastAsia" w:asciiTheme="minorEastAsia" w:hAnsiTheme="minorEastAsia" w:eastAsiaTheme="minorEastAsia" w:cstheme="minorEastAsia"/>
          <w:color w:val="auto"/>
          <w:sz w:val="21"/>
          <w:szCs w:val="21"/>
          <w:highlight w:val="none"/>
          <w:lang w:val="en-US" w:eastAsia="zh-CN"/>
        </w:rPr>
        <w:t>投标</w:t>
      </w:r>
      <w:r>
        <w:rPr>
          <w:rFonts w:hint="eastAsia" w:asciiTheme="minorEastAsia" w:hAnsiTheme="minorEastAsia" w:eastAsiaTheme="minorEastAsia" w:cstheme="minorEastAsia"/>
          <w:color w:val="auto"/>
          <w:sz w:val="21"/>
          <w:szCs w:val="21"/>
          <w:highlight w:val="none"/>
        </w:rPr>
        <w:t>。依照《中华人民共和国招标投标法》、《中华人民共和国</w:t>
      </w:r>
      <w:r>
        <w:rPr>
          <w:rFonts w:hint="eastAsia" w:asciiTheme="minorEastAsia" w:hAnsiTheme="minorEastAsia" w:eastAsiaTheme="minorEastAsia" w:cstheme="minorEastAsia"/>
          <w:color w:val="auto"/>
          <w:sz w:val="21"/>
          <w:szCs w:val="21"/>
          <w:highlight w:val="none"/>
          <w:lang w:eastAsia="zh-CN"/>
        </w:rPr>
        <w:t>民法典</w:t>
      </w:r>
      <w:r>
        <w:rPr>
          <w:rFonts w:hint="eastAsia" w:asciiTheme="minorEastAsia" w:hAnsiTheme="minorEastAsia" w:eastAsiaTheme="minorEastAsia" w:cstheme="minorEastAsia"/>
          <w:color w:val="auto"/>
          <w:sz w:val="21"/>
          <w:szCs w:val="21"/>
          <w:highlight w:val="none"/>
        </w:rPr>
        <w:t>》、《中华人民共和国建筑法》、及其他有关法律、行政法规，遵循平等、自愿、公平和诚实信用的原则，双方共同达成并订立如下协议。</w:t>
      </w:r>
    </w:p>
    <w:p w14:paraId="4A142921">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一、工程概况</w:t>
      </w:r>
    </w:p>
    <w:p w14:paraId="52B2FB8A">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标段</w:t>
      </w:r>
    </w:p>
    <w:p w14:paraId="7B0A485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工程地点：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5267CB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工程内容：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7B8414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群体工程应附“承包人承揽工程项目一览表”（附件1）</w:t>
      </w:r>
    </w:p>
    <w:p w14:paraId="572C64B6">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工程立项批准文号：</w:t>
      </w:r>
      <w:r>
        <w:rPr>
          <w:rFonts w:hint="eastAsia" w:asciiTheme="minorEastAsia" w:hAnsiTheme="minorEastAsia" w:eastAsiaTheme="minorEastAsia" w:cstheme="minorEastAsia"/>
          <w:color w:val="auto"/>
          <w:sz w:val="21"/>
          <w:szCs w:val="21"/>
          <w:highlight w:val="none"/>
          <w:u w:val="single"/>
        </w:rPr>
        <w:t xml:space="preserve">                                       </w:t>
      </w:r>
    </w:p>
    <w:p w14:paraId="4D968A39">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资金来源：</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9DD714B">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二、工程承包范围</w:t>
      </w:r>
    </w:p>
    <w:p w14:paraId="0E37D25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承包范围：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6A950021">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详细承包范围见第七章“技术标准和要求”。</w:t>
      </w:r>
    </w:p>
    <w:p w14:paraId="1021C69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三、合同工期</w:t>
      </w:r>
    </w:p>
    <w:p w14:paraId="25A878E9">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计划开工日期：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3925510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计划竣工日期：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1DF8631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工期总日历天数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天，自监理人发出的开工通知中载明的开工日期起算。</w:t>
      </w:r>
    </w:p>
    <w:p w14:paraId="34D134C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四、质量标准</w:t>
      </w:r>
    </w:p>
    <w:p w14:paraId="58D9CEB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工程质量标准：</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157DC4C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五、合同形式</w:t>
      </w:r>
    </w:p>
    <w:p w14:paraId="40D08F4C">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b/>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 xml:space="preserve">本合同采用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val="en-US" w:eastAsia="zh-CN"/>
        </w:rPr>
        <w:t>固定单价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合同形式。</w:t>
      </w:r>
    </w:p>
    <w:p w14:paraId="7346A6E7">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六、签约合同价</w:t>
      </w:r>
    </w:p>
    <w:p w14:paraId="2A00354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金额（大写）：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（人民币）</w:t>
      </w:r>
    </w:p>
    <w:p w14:paraId="79E9DC5F">
      <w:pPr>
        <w:pageBreakBefore w:val="0"/>
        <w:widowControl w:val="0"/>
        <w:kinsoku/>
        <w:wordWrap/>
        <w:overflowPunct/>
        <w:bidi w:val="0"/>
        <w:snapToGrid/>
        <w:spacing w:line="400" w:lineRule="exact"/>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（小写）￥：</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332A4F47">
      <w:pPr>
        <w:pageBreakBefore w:val="0"/>
        <w:widowControl w:val="0"/>
        <w:kinsoku/>
        <w:wordWrap/>
        <w:overflowPunct/>
        <w:bidi w:val="0"/>
        <w:snapToGrid/>
        <w:spacing w:line="400" w:lineRule="exact"/>
        <w:ind w:firstLine="63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其中：安全文明施工费：</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00B16A86">
      <w:pPr>
        <w:pageBreakBefore w:val="0"/>
        <w:widowControl w:val="0"/>
        <w:kinsoku/>
        <w:wordWrap/>
        <w:overflowPunct/>
        <w:bidi w:val="0"/>
        <w:snapToGrid/>
        <w:spacing w:line="400" w:lineRule="exact"/>
        <w:ind w:firstLine="63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暂列金额（含税）：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36DADA53">
      <w:pPr>
        <w:pageBreakBefore w:val="0"/>
        <w:widowControl w:val="0"/>
        <w:kinsoku/>
        <w:wordWrap/>
        <w:overflowPunct/>
        <w:bidi w:val="0"/>
        <w:snapToGrid/>
        <w:spacing w:line="400" w:lineRule="exact"/>
        <w:ind w:firstLine="489" w:firstLineChars="232"/>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 xml:space="preserve">       </w:t>
      </w:r>
      <w:r>
        <w:rPr>
          <w:rFonts w:hint="eastAsia" w:asciiTheme="minorEastAsia" w:hAnsiTheme="minorEastAsia" w:eastAsiaTheme="minorEastAsia" w:cstheme="minorEastAsia"/>
          <w:bCs/>
          <w:color w:val="auto"/>
          <w:sz w:val="21"/>
          <w:szCs w:val="21"/>
          <w:highlight w:val="none"/>
        </w:rPr>
        <w:t>专业工程暂估价</w:t>
      </w:r>
      <w:r>
        <w:rPr>
          <w:rFonts w:hint="eastAsia" w:asciiTheme="minorEastAsia" w:hAnsiTheme="minorEastAsia" w:eastAsiaTheme="minorEastAsia" w:cstheme="minorEastAsia"/>
          <w:color w:val="auto"/>
          <w:sz w:val="21"/>
          <w:szCs w:val="21"/>
          <w:highlight w:val="none"/>
        </w:rPr>
        <w:t>（含税）</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元</w:t>
      </w:r>
    </w:p>
    <w:p w14:paraId="404C04CA">
      <w:pPr>
        <w:pageBreakBefore w:val="0"/>
        <w:widowControl w:val="0"/>
        <w:kinsoku/>
        <w:wordWrap/>
        <w:overflowPunct/>
        <w:bidi w:val="0"/>
        <w:snapToGrid/>
        <w:spacing w:line="400" w:lineRule="exact"/>
        <w:ind w:firstLine="1743" w:firstLineChars="830"/>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color w:val="auto"/>
          <w:sz w:val="21"/>
          <w:szCs w:val="21"/>
          <w:highlight w:val="none"/>
        </w:rPr>
        <w:t>……</w:t>
      </w:r>
    </w:p>
    <w:p w14:paraId="7C68B36E">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七、承包人项目经理：</w:t>
      </w:r>
    </w:p>
    <w:p w14:paraId="3F81EB26">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        职称：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4E66DC8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身份证号：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建造师执业资格证书号：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w:t>
      </w:r>
    </w:p>
    <w:p w14:paraId="399D4E2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建造师注册证书号: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0AC21C7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建造师执业印章号: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388ADD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安全生产考核合格证书号：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w:t>
      </w:r>
    </w:p>
    <w:p w14:paraId="5867D5DC">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八、合同文件的组成</w:t>
      </w:r>
    </w:p>
    <w:p w14:paraId="1E52F5F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下列文件共同构成合同文件：</w:t>
      </w:r>
    </w:p>
    <w:p w14:paraId="5DF7D7E7">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1、本协议书；</w:t>
      </w:r>
    </w:p>
    <w:p w14:paraId="0F3910AE">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2、中</w:t>
      </w:r>
      <w:r>
        <w:rPr>
          <w:rFonts w:hint="eastAsia" w:asciiTheme="minorEastAsia" w:hAnsiTheme="minorEastAsia" w:eastAsiaTheme="minorEastAsia" w:cstheme="minorEastAsia"/>
          <w:color w:val="auto"/>
          <w:sz w:val="21"/>
          <w:szCs w:val="21"/>
          <w:highlight w:val="none"/>
          <w:lang w:val="en-US" w:eastAsia="zh-CN"/>
        </w:rPr>
        <w:t>标</w:t>
      </w:r>
      <w:r>
        <w:rPr>
          <w:rFonts w:hint="eastAsia" w:asciiTheme="minorEastAsia" w:hAnsiTheme="minorEastAsia" w:eastAsiaTheme="minorEastAsia" w:cstheme="minorEastAsia"/>
          <w:color w:val="auto"/>
          <w:sz w:val="21"/>
          <w:szCs w:val="21"/>
          <w:highlight w:val="none"/>
        </w:rPr>
        <w:t>通知书；</w:t>
      </w:r>
    </w:p>
    <w:p w14:paraId="7C0F9801">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及</w:t>
      </w:r>
      <w:r>
        <w:rPr>
          <w:rFonts w:hint="eastAsia" w:asciiTheme="minorEastAsia" w:hAnsiTheme="minorEastAsia" w:eastAsiaTheme="minorEastAsia" w:cstheme="minorEastAsia"/>
          <w:color w:val="auto"/>
          <w:sz w:val="21"/>
          <w:szCs w:val="21"/>
          <w:highlight w:val="none"/>
          <w:lang w:val="en-US" w:eastAsia="zh-CN"/>
        </w:rPr>
        <w:t>报价函</w:t>
      </w:r>
      <w:r>
        <w:rPr>
          <w:rFonts w:hint="eastAsia" w:asciiTheme="minorEastAsia" w:hAnsiTheme="minorEastAsia" w:eastAsiaTheme="minorEastAsia" w:cstheme="minorEastAsia"/>
          <w:color w:val="auto"/>
          <w:sz w:val="21"/>
          <w:szCs w:val="21"/>
          <w:highlight w:val="none"/>
        </w:rPr>
        <w:t>附录；</w:t>
      </w:r>
    </w:p>
    <w:p w14:paraId="2637E170">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4、专用合同条款；</w:t>
      </w:r>
    </w:p>
    <w:p w14:paraId="234BA674">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5、通用合同条款；</w:t>
      </w:r>
    </w:p>
    <w:p w14:paraId="4AA33F30">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6、技术标准和要求；</w:t>
      </w:r>
    </w:p>
    <w:p w14:paraId="1E69D7B6">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7、图纸；</w:t>
      </w:r>
    </w:p>
    <w:p w14:paraId="33F4C32F">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8、已标价工程量清单；</w:t>
      </w:r>
    </w:p>
    <w:p w14:paraId="4900BBFC">
      <w:pPr>
        <w:pStyle w:val="24"/>
        <w:pageBreakBefore w:val="0"/>
        <w:widowControl w:val="0"/>
        <w:kinsoku/>
        <w:wordWrap/>
        <w:overflowPunct/>
        <w:bidi w:val="0"/>
        <w:snapToGrid/>
        <w:spacing w:after="0" w:line="400" w:lineRule="exact"/>
        <w:ind w:left="420" w:firstLine="119" w:firstLineChars="57"/>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9、其他合同文件。</w:t>
      </w:r>
    </w:p>
    <w:p w14:paraId="36CB74A4">
      <w:pPr>
        <w:pageBreakBefore w:val="0"/>
        <w:widowControl w:val="0"/>
        <w:kinsoku/>
        <w:wordWrap/>
        <w:overflowPunct/>
        <w:bidi w:val="0"/>
        <w:snapToGrid/>
        <w:spacing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上述文件互相补充和解释，如有不明确或不一致之处，以合同约定次序在先者为准。</w:t>
      </w:r>
    </w:p>
    <w:p w14:paraId="073EDCD4">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九、本协议书中有关词语定义与合同条款中的定义相同。</w:t>
      </w:r>
    </w:p>
    <w:p w14:paraId="28DCB76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十、承包人承诺按照合同约定进行施工、竣工、交付并承担质量缺陷保修责任。</w:t>
      </w:r>
    </w:p>
    <w:p w14:paraId="1A2424D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十一、发包人承诺按照合同约定的条件、期限和方式向承包人支付合同价款。</w:t>
      </w:r>
    </w:p>
    <w:p w14:paraId="561DC442">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十二、本协议书连同其他合同文件一式六份，合同双方各执三份。</w:t>
      </w:r>
    </w:p>
    <w:p w14:paraId="0FCFFED6">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十三、合同未尽事宜，双方另行签订补充协议，但不得背离本协议第八条所约定的合同文件的实质性内容。补充协议是合同文件的组成部分。</w:t>
      </w:r>
    </w:p>
    <w:p w14:paraId="78E90A45">
      <w:pPr>
        <w:pageBreakBefore w:val="0"/>
        <w:widowControl w:val="0"/>
        <w:kinsoku/>
        <w:wordWrap/>
        <w:overflowPunct/>
        <w:bidi w:val="0"/>
        <w:snapToGrid/>
        <w:spacing w:line="400" w:lineRule="exact"/>
        <w:ind w:firstLine="359" w:firstLineChars="171"/>
        <w:jc w:val="both"/>
        <w:textAlignment w:val="auto"/>
        <w:outlineLvl w:val="9"/>
        <w:rPr>
          <w:rFonts w:hint="eastAsia" w:asciiTheme="minorEastAsia" w:hAnsiTheme="minorEastAsia" w:eastAsiaTheme="minorEastAsia" w:cstheme="minorEastAsia"/>
          <w:color w:val="auto"/>
          <w:sz w:val="21"/>
          <w:szCs w:val="21"/>
          <w:highlight w:val="none"/>
          <w:u w:val="single"/>
        </w:rPr>
      </w:pPr>
    </w:p>
    <w:p w14:paraId="38C3ED7E">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65B91F66">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645145E0">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bCs/>
          <w:color w:val="auto"/>
          <w:sz w:val="21"/>
          <w:szCs w:val="21"/>
          <w:highlight w:val="none"/>
        </w:rPr>
      </w:pPr>
    </w:p>
    <w:p w14:paraId="3ABC3E52">
      <w:pPr>
        <w:pStyle w:val="5"/>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6C711792">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（盖单位章）</w:t>
      </w:r>
      <w:r>
        <w:rPr>
          <w:rFonts w:hint="eastAsia" w:asciiTheme="minorEastAsia" w:hAnsiTheme="minorEastAsia" w:eastAsiaTheme="minorEastAsia" w:cstheme="minorEastAsia"/>
          <w:b/>
          <w:bCs/>
          <w:color w:val="auto"/>
          <w:sz w:val="21"/>
          <w:szCs w:val="21"/>
          <w:highlight w:val="none"/>
        </w:rPr>
        <w:t xml:space="preserve"> 承包人：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（盖单位章）</w:t>
      </w:r>
    </w:p>
    <w:p w14:paraId="4C9A4F00">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3CC79FB5">
      <w:pPr>
        <w:pageBreakBefore w:val="0"/>
        <w:widowControl w:val="0"/>
        <w:kinsoku/>
        <w:wordWrap/>
        <w:overflowPunct/>
        <w:bidi w:val="0"/>
        <w:snapToGrid/>
        <w:spacing w:line="2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法定代表人或其</w:t>
      </w: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z w:val="21"/>
          <w:szCs w:val="21"/>
          <w:highlight w:val="none"/>
        </w:rPr>
        <w:t>法定代表人或其</w:t>
      </w:r>
    </w:p>
    <w:p w14:paraId="5DD26339">
      <w:pPr>
        <w:pageBreakBefore w:val="0"/>
        <w:widowControl w:val="0"/>
        <w:kinsoku/>
        <w:wordWrap/>
        <w:overflowPunct/>
        <w:bidi w:val="0"/>
        <w:snapToGrid/>
        <w:spacing w:line="240" w:lineRule="exact"/>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（签字） </w:t>
      </w:r>
      <w:r>
        <w:rPr>
          <w:rFonts w:hint="eastAsia" w:asciiTheme="minorEastAsia" w:hAnsiTheme="minorEastAsia" w:eastAsiaTheme="minorEastAsia" w:cstheme="minorEastAsia"/>
          <w:b/>
          <w:bCs/>
          <w:color w:val="auto"/>
          <w:sz w:val="21"/>
          <w:szCs w:val="21"/>
          <w:highlight w:val="none"/>
        </w:rPr>
        <w:t xml:space="preserve"> 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p>
    <w:p w14:paraId="29236776">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u w:val="single"/>
        </w:rPr>
      </w:pPr>
    </w:p>
    <w:p w14:paraId="40926652">
      <w:pPr>
        <w:pageBreakBefore w:val="0"/>
        <w:widowControl w:val="0"/>
        <w:kinsoku/>
        <w:wordWrap/>
        <w:overflowPunct/>
        <w:bidi w:val="0"/>
        <w:snapToGrid/>
        <w:spacing w:before="312" w:beforeLines="100" w:after="312" w:afterLines="100" w:line="400" w:lineRule="exact"/>
        <w:ind w:firstLine="525" w:firstLineChars="25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日       </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660625C8">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76639977">
      <w:pPr>
        <w:pageBreakBefore w:val="0"/>
        <w:widowControl w:val="0"/>
        <w:kinsoku/>
        <w:wordWrap/>
        <w:overflowPunct/>
        <w:bidi w:val="0"/>
        <w:snapToGrid/>
        <w:spacing w:before="312" w:beforeLines="100" w:after="312" w:afterLines="100" w:line="400" w:lineRule="exact"/>
        <w:jc w:val="both"/>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签约地点：</w:t>
      </w:r>
      <w:r>
        <w:rPr>
          <w:rFonts w:hint="eastAsia" w:asciiTheme="minorEastAsia" w:hAnsiTheme="minorEastAsia" w:eastAsiaTheme="minorEastAsia" w:cstheme="minorEastAsia"/>
          <w:color w:val="auto"/>
          <w:sz w:val="21"/>
          <w:szCs w:val="21"/>
          <w:highlight w:val="none"/>
          <w:u w:val="single"/>
        </w:rPr>
        <w:t xml:space="preserve">                                                                    </w:t>
      </w:r>
    </w:p>
    <w:p w14:paraId="61AE2142">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bookmarkEnd w:id="1052"/>
      <w:bookmarkStart w:id="1719" w:name="_Toc342296516"/>
      <w:bookmarkStart w:id="1720" w:name="_Toc111445497"/>
      <w:bookmarkStart w:id="1721" w:name="_Toc241459757"/>
    </w:p>
    <w:bookmarkEnd w:id="1719"/>
    <w:bookmarkEnd w:id="1720"/>
    <w:bookmarkEnd w:id="1721"/>
    <w:p w14:paraId="516DF4EC">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bookmarkStart w:id="1722" w:name="_Toc31096"/>
      <w:bookmarkStart w:id="1723" w:name="_Toc342296517"/>
      <w:bookmarkStart w:id="1724" w:name="_Toc75511282"/>
      <w:bookmarkStart w:id="1725" w:name="_Toc98936922"/>
      <w:bookmarkStart w:id="1726" w:name="_Toc241459758"/>
      <w:bookmarkStart w:id="1727" w:name="_Toc111445503"/>
      <w:r>
        <w:rPr>
          <w:rFonts w:hint="eastAsia" w:asciiTheme="minorEastAsia" w:hAnsiTheme="minorEastAsia" w:eastAsiaTheme="minorEastAsia" w:cstheme="minorEastAsia"/>
          <w:color w:val="auto"/>
          <w:sz w:val="21"/>
          <w:szCs w:val="21"/>
          <w:highlight w:val="none"/>
        </w:rPr>
        <w:t>附件八：廉政责任书格式</w:t>
      </w:r>
      <w:bookmarkEnd w:id="1722"/>
      <w:bookmarkEnd w:id="1723"/>
      <w:bookmarkEnd w:id="1724"/>
      <w:bookmarkEnd w:id="1725"/>
      <w:bookmarkEnd w:id="1726"/>
    </w:p>
    <w:p w14:paraId="63015B20">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建设工程廉政责任书</w:t>
      </w:r>
      <w:bookmarkEnd w:id="1727"/>
    </w:p>
    <w:p w14:paraId="4CE9F6D6">
      <w:pPr>
        <w:pageBreakBefore w:val="0"/>
        <w:widowControl w:val="0"/>
        <w:kinsoku/>
        <w:wordWrap/>
        <w:overflowPunct/>
        <w:bidi w:val="0"/>
        <w:snapToGrid/>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557A8D8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p>
    <w:p w14:paraId="100FD90D">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w:t>
      </w:r>
      <w:r>
        <w:rPr>
          <w:rFonts w:hint="eastAsia" w:asciiTheme="minorEastAsia" w:hAnsiTheme="minorEastAsia" w:eastAsiaTheme="minorEastAsia" w:cstheme="minorEastAsia"/>
          <w:color w:val="auto"/>
          <w:sz w:val="21"/>
          <w:szCs w:val="21"/>
          <w:highlight w:val="none"/>
          <w:u w:val="single"/>
        </w:rPr>
        <w:t xml:space="preserve">                                        </w:t>
      </w:r>
    </w:p>
    <w:p w14:paraId="51F3E55F">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3576123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764113C5">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28" w:name="_Toc111445504"/>
      <w:r>
        <w:rPr>
          <w:rFonts w:hint="eastAsia" w:asciiTheme="minorEastAsia" w:hAnsiTheme="minorEastAsia" w:eastAsiaTheme="minorEastAsia" w:cstheme="minorEastAsia"/>
          <w:color w:val="auto"/>
          <w:sz w:val="21"/>
          <w:szCs w:val="21"/>
          <w:highlight w:val="none"/>
        </w:rPr>
        <w:t>一、双方的责任</w:t>
      </w:r>
      <w:bookmarkEnd w:id="1728"/>
    </w:p>
    <w:p w14:paraId="6D417E74">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 应严格遵守国家关于建设工程的有关法律、法规，相关政策，以及廉政建设的各项规定。</w:t>
      </w:r>
    </w:p>
    <w:p w14:paraId="6C82A26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 严格执行建设工程合同文件，自觉按合同办事。</w:t>
      </w:r>
    </w:p>
    <w:p w14:paraId="009C675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 各项活动必须坚持公开、公平、公正、诚信、透明的原则（除法律法规另有规定者外），不得为获取不正当的利益，损害国家、集体和对方利益，不得违反建设工程管理的规章制度。</w:t>
      </w:r>
    </w:p>
    <w:p w14:paraId="149DFE6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 发现对方在业务活动中有违规、违纪、违法行为的，应及时提醒对方，情节严重的，应向其上级主管部门或纪检监察、司法等有关机关举报。</w:t>
      </w:r>
    </w:p>
    <w:p w14:paraId="7E060BFD">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29" w:name="_Toc111445505"/>
      <w:r>
        <w:rPr>
          <w:rFonts w:hint="eastAsia" w:asciiTheme="minorEastAsia" w:hAnsiTheme="minorEastAsia" w:eastAsiaTheme="minorEastAsia" w:cstheme="minorEastAsia"/>
          <w:color w:val="auto"/>
          <w:sz w:val="21"/>
          <w:szCs w:val="21"/>
          <w:highlight w:val="none"/>
        </w:rPr>
        <w:t>二、发包人责任</w:t>
      </w:r>
      <w:bookmarkEnd w:id="1729"/>
    </w:p>
    <w:p w14:paraId="54E7B229">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发包人的领导和从事该建设工程项目的工作人员，在工程建设的事前、事中、事后应遵守以下规定：</w:t>
      </w:r>
    </w:p>
    <w:p w14:paraId="00146D2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2.1不得向承包人和相关单位索要或接受回扣、礼金、有价证券、贵重物品和好处费、感谢费等。</w:t>
      </w:r>
    </w:p>
    <w:p w14:paraId="6CF3EB4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2.2 不得在承包人和相关单位报销任何应由发包人或个人支付的费用。</w:t>
      </w:r>
    </w:p>
    <w:p w14:paraId="2B81233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2.3 不得要求、暗示或接受承包人和相关单位为个人装修住房、婚丧嫁娶、配偶子女的工作安排以及出国（境）、旅游等提供方便。</w:t>
      </w:r>
    </w:p>
    <w:p w14:paraId="1DCAA22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2.4 不得参加有可能影响公正执行公务的承包人和相关单位的宴请、健身、娱乐等活动。</w:t>
      </w:r>
    </w:p>
    <w:p w14:paraId="486BF27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 不得向承包人和相关单位介绍或为配偶、子女、亲属参与同发包人工程建设管理合同有关的业务活动；不得以任何理由要求承包人和相关单位使用某种产品、材料和设备。</w:t>
      </w:r>
    </w:p>
    <w:p w14:paraId="3D0DC230">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0" w:name="_Toc111445506"/>
      <w:r>
        <w:rPr>
          <w:rFonts w:hint="eastAsia" w:asciiTheme="minorEastAsia" w:hAnsiTheme="minorEastAsia" w:eastAsiaTheme="minorEastAsia" w:cstheme="minorEastAsia"/>
          <w:color w:val="auto"/>
          <w:sz w:val="21"/>
          <w:szCs w:val="21"/>
          <w:highlight w:val="none"/>
        </w:rPr>
        <w:t>三、承包人责任</w:t>
      </w:r>
      <w:bookmarkEnd w:id="1730"/>
    </w:p>
    <w:p w14:paraId="5F2C8ABA">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应与发包人保持正常的业务交往，按照有关法律法规和程序开展业务工作，严格执行工程建设的有关方针、政策，执行工程建设强制性标准，并遵守以下规定：</w:t>
      </w:r>
    </w:p>
    <w:p w14:paraId="13E198BB">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3.1 不得以任何理由向发包人及其工作人员索要、接受或赠送礼金、有价证券、贵重物品及回扣、好处费、感谢费等。</w:t>
      </w:r>
    </w:p>
    <w:p w14:paraId="11997BC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3.2不得以任何理由为发包人和相关单位报销应由对方或个人支付的费用。</w:t>
      </w:r>
    </w:p>
    <w:p w14:paraId="74C07F45">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3.3不得接受或暗示为发包人、相关单位或个人装修住房、婚丧嫁娶、配偶子女的工作安排以及出国（境）、旅游等提供方便。</w:t>
      </w:r>
    </w:p>
    <w:p w14:paraId="63D60DC0">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3.4不得以任何理由为发包人、相关单位或个人组织有可能影响公正执行公务的宴请、健身、娱乐等活动。</w:t>
      </w:r>
    </w:p>
    <w:p w14:paraId="339BEDAF">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1" w:name="_Toc111445507"/>
      <w:r>
        <w:rPr>
          <w:rFonts w:hint="eastAsia" w:asciiTheme="minorEastAsia" w:hAnsiTheme="minorEastAsia" w:eastAsiaTheme="minorEastAsia" w:cstheme="minorEastAsia"/>
          <w:color w:val="auto"/>
          <w:sz w:val="21"/>
          <w:szCs w:val="21"/>
          <w:highlight w:val="none"/>
        </w:rPr>
        <w:t>四、违约责任</w:t>
      </w:r>
      <w:bookmarkEnd w:id="1731"/>
    </w:p>
    <w:p w14:paraId="79913AE2">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4.1发包人工作人员有违反本责任书第一、二条责任行为的，依据有关法律、法规给予处理；涉嫌犯罪的，移交司法机关追究刑事责任；给承包人单位造成经济损失的，应予以赔偿。</w:t>
      </w:r>
    </w:p>
    <w:p w14:paraId="24681D17">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4.2 承包人工作人员有违反本责任书第一、三条责任行为的，依据有关法律法规处理；涉嫌犯罪的，移交司法机关追究刑事责任；给发包人单位造成经济损失的，应予以赔偿。</w:t>
      </w:r>
    </w:p>
    <w:p w14:paraId="6AD98C61">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4.3 本责任书作为建设工程合同的组成部分，与建设工程合同具有同等法律效力。经双方签署后立即生效。</w:t>
      </w:r>
    </w:p>
    <w:p w14:paraId="7C70E35F">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2" w:name="_Toc111445508"/>
      <w:r>
        <w:rPr>
          <w:rFonts w:hint="eastAsia" w:asciiTheme="minorEastAsia" w:hAnsiTheme="minorEastAsia" w:eastAsiaTheme="minorEastAsia" w:cstheme="minorEastAsia"/>
          <w:color w:val="auto"/>
          <w:sz w:val="21"/>
          <w:szCs w:val="21"/>
          <w:highlight w:val="none"/>
        </w:rPr>
        <w:t>五、责任书有效期</w:t>
      </w:r>
      <w:bookmarkEnd w:id="1732"/>
    </w:p>
    <w:p w14:paraId="0A202D7E">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本责任书的有效期为双方签署之日起至该工程项目竣工验收合格时止。</w:t>
      </w:r>
    </w:p>
    <w:p w14:paraId="601A56DA">
      <w:pPr>
        <w:pageBreakBefore w:val="0"/>
        <w:widowControl w:val="0"/>
        <w:kinsoku/>
        <w:wordWrap/>
        <w:overflowPunct/>
        <w:bidi w:val="0"/>
        <w:snapToGrid/>
        <w:spacing w:line="400" w:lineRule="exact"/>
        <w:ind w:firstLine="490"/>
        <w:jc w:val="both"/>
        <w:textAlignment w:val="auto"/>
        <w:outlineLvl w:val="9"/>
        <w:rPr>
          <w:rFonts w:hint="eastAsia" w:asciiTheme="minorEastAsia" w:hAnsiTheme="minorEastAsia" w:eastAsiaTheme="minorEastAsia" w:cstheme="minorEastAsia"/>
          <w:color w:val="auto"/>
          <w:sz w:val="21"/>
          <w:szCs w:val="21"/>
          <w:highlight w:val="none"/>
        </w:rPr>
      </w:pPr>
      <w:bookmarkStart w:id="1733" w:name="_Toc111445509"/>
      <w:r>
        <w:rPr>
          <w:rFonts w:hint="eastAsia" w:asciiTheme="minorEastAsia" w:hAnsiTheme="minorEastAsia" w:eastAsiaTheme="minorEastAsia" w:cstheme="minorEastAsia"/>
          <w:color w:val="auto"/>
          <w:sz w:val="21"/>
          <w:szCs w:val="21"/>
          <w:highlight w:val="none"/>
        </w:rPr>
        <w:t>六、责任书份数</w:t>
      </w:r>
      <w:bookmarkEnd w:id="1733"/>
    </w:p>
    <w:p w14:paraId="24EB7638">
      <w:pPr>
        <w:pageBreakBefore w:val="0"/>
        <w:widowControl w:val="0"/>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本责任书一式二份，发包人承包人各执一份，具有同等效力。</w:t>
      </w:r>
    </w:p>
    <w:p w14:paraId="20DA3A23">
      <w:pPr>
        <w:pageBreakBefore w:val="0"/>
        <w:widowControl w:val="0"/>
        <w:kinsoku/>
        <w:wordWrap/>
        <w:overflowPunct/>
        <w:bidi w:val="0"/>
        <w:snapToGrid/>
        <w:spacing w:line="40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20655D72">
      <w:pPr>
        <w:pageBreakBefore w:val="0"/>
        <w:widowControl w:val="0"/>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（公章）</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 xml:space="preserve"> 承包人：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（公章） </w:t>
      </w:r>
    </w:p>
    <w:p w14:paraId="540F30D2">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法定地址：</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法定地址：</w:t>
      </w:r>
      <w:r>
        <w:rPr>
          <w:rFonts w:hint="eastAsia" w:asciiTheme="minorEastAsia" w:hAnsiTheme="minorEastAsia" w:eastAsiaTheme="minorEastAsia" w:cstheme="minorEastAsia"/>
          <w:color w:val="auto"/>
          <w:sz w:val="21"/>
          <w:szCs w:val="21"/>
          <w:highlight w:val="none"/>
          <w:u w:val="single"/>
        </w:rPr>
        <w:t xml:space="preserve">                </w:t>
      </w:r>
    </w:p>
    <w:p w14:paraId="299BA9F7">
      <w:pPr>
        <w:pageBreakBefore w:val="0"/>
        <w:widowControl w:val="0"/>
        <w:tabs>
          <w:tab w:val="left" w:pos="4275"/>
        </w:tabs>
        <w:kinsoku/>
        <w:wordWrap/>
        <w:overflowPunct/>
        <w:bidi w:val="0"/>
        <w:snapToGrid/>
        <w:spacing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法定代表人或其                       法定代表人或其</w:t>
      </w:r>
    </w:p>
    <w:p w14:paraId="2A06DC48">
      <w:pPr>
        <w:pageBreakBefore w:val="0"/>
        <w:widowControl w:val="0"/>
        <w:tabs>
          <w:tab w:val="left" w:pos="4275"/>
        </w:tabs>
        <w:kinsoku/>
        <w:wordWrap/>
        <w:overflowPunct/>
        <w:bidi w:val="0"/>
        <w:snapToGrid/>
        <w:spacing w:after="312" w:afterLines="100" w:line="400" w:lineRule="exact"/>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委托代理人：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（签字）</w:t>
      </w:r>
    </w:p>
    <w:p w14:paraId="42F13979">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电话：</w:t>
      </w:r>
      <w:r>
        <w:rPr>
          <w:rFonts w:hint="eastAsia" w:asciiTheme="minorEastAsia" w:hAnsiTheme="minorEastAsia" w:eastAsiaTheme="minorEastAsia" w:cstheme="minorEastAsia"/>
          <w:color w:val="auto"/>
          <w:sz w:val="21"/>
          <w:szCs w:val="21"/>
          <w:highlight w:val="none"/>
          <w:u w:val="single"/>
        </w:rPr>
        <w:t xml:space="preserve">                    </w:t>
      </w:r>
    </w:p>
    <w:p w14:paraId="76E144E0">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传真：</w:t>
      </w:r>
      <w:r>
        <w:rPr>
          <w:rFonts w:hint="eastAsia" w:asciiTheme="minorEastAsia" w:hAnsiTheme="minorEastAsia" w:eastAsiaTheme="minorEastAsia" w:cstheme="minorEastAsia"/>
          <w:color w:val="auto"/>
          <w:sz w:val="21"/>
          <w:szCs w:val="21"/>
          <w:highlight w:val="none"/>
          <w:u w:val="single"/>
        </w:rPr>
        <w:t xml:space="preserve">                    </w:t>
      </w:r>
    </w:p>
    <w:p w14:paraId="2D97AC7C">
      <w:pPr>
        <w:pageBreakBefore w:val="0"/>
        <w:widowControl w:val="0"/>
        <w:tabs>
          <w:tab w:val="left" w:pos="4700"/>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电子邮箱：</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电子邮箱：</w:t>
      </w:r>
      <w:r>
        <w:rPr>
          <w:rFonts w:hint="eastAsia" w:asciiTheme="minorEastAsia" w:hAnsiTheme="minorEastAsia" w:eastAsiaTheme="minorEastAsia" w:cstheme="minorEastAsia"/>
          <w:color w:val="auto"/>
          <w:sz w:val="21"/>
          <w:szCs w:val="21"/>
          <w:highlight w:val="none"/>
          <w:u w:val="single"/>
        </w:rPr>
        <w:t xml:space="preserve">                </w:t>
      </w:r>
    </w:p>
    <w:p w14:paraId="435EB352">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开户银行：</w:t>
      </w:r>
      <w:r>
        <w:rPr>
          <w:rFonts w:hint="eastAsia" w:asciiTheme="minorEastAsia" w:hAnsiTheme="minorEastAsia" w:eastAsiaTheme="minorEastAsia" w:cstheme="minorEastAsia"/>
          <w:color w:val="auto"/>
          <w:sz w:val="21"/>
          <w:szCs w:val="21"/>
          <w:highlight w:val="none"/>
          <w:u w:val="single"/>
        </w:rPr>
        <w:t xml:space="preserve">                </w:t>
      </w:r>
    </w:p>
    <w:p w14:paraId="3B7B4E7D">
      <w:pPr>
        <w:pageBreakBefore w:val="0"/>
        <w:widowControl w:val="0"/>
        <w:tabs>
          <w:tab w:val="left" w:pos="4275"/>
        </w:tabs>
        <w:kinsoku/>
        <w:wordWrap/>
        <w:overflowPunct/>
        <w:bidi w:val="0"/>
        <w:snapToGrid/>
        <w:spacing w:line="48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帐号：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帐号：</w:t>
      </w:r>
      <w:r>
        <w:rPr>
          <w:rFonts w:hint="eastAsia" w:asciiTheme="minorEastAsia" w:hAnsiTheme="minorEastAsia" w:eastAsiaTheme="minorEastAsia" w:cstheme="minorEastAsia"/>
          <w:color w:val="auto"/>
          <w:sz w:val="21"/>
          <w:szCs w:val="21"/>
          <w:highlight w:val="none"/>
          <w:u w:val="single"/>
        </w:rPr>
        <w:t xml:space="preserve">                    </w:t>
      </w:r>
    </w:p>
    <w:p w14:paraId="42EE596A">
      <w:pPr>
        <w:pStyle w:val="24"/>
        <w:pageBreakBefore w:val="0"/>
        <w:widowControl w:val="0"/>
        <w:kinsoku/>
        <w:wordWrap/>
        <w:overflowPunct/>
        <w:bidi w:val="0"/>
        <w:snapToGrid/>
        <w:spacing w:after="0" w:line="480" w:lineRule="auto"/>
        <w:ind w:left="42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邮政编码：</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 xml:space="preserve">         邮政编码：</w:t>
      </w:r>
      <w:r>
        <w:rPr>
          <w:rFonts w:hint="eastAsia" w:asciiTheme="minorEastAsia" w:hAnsiTheme="minorEastAsia" w:eastAsiaTheme="minorEastAsia" w:cstheme="minorEastAsia"/>
          <w:color w:val="auto"/>
          <w:sz w:val="21"/>
          <w:szCs w:val="21"/>
          <w:highlight w:val="none"/>
          <w:u w:val="single"/>
        </w:rPr>
        <w:t xml:space="preserve">                </w:t>
      </w:r>
    </w:p>
    <w:p w14:paraId="1825BDB7">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br w:type="page"/>
      </w:r>
      <w:bookmarkStart w:id="1734" w:name="_Toc98936923"/>
      <w:bookmarkStart w:id="1735" w:name="_Toc75511283"/>
      <w:bookmarkStart w:id="1736" w:name="_Toc12791"/>
      <w:r>
        <w:rPr>
          <w:rFonts w:hint="eastAsia" w:asciiTheme="minorEastAsia" w:hAnsiTheme="minorEastAsia" w:eastAsiaTheme="minorEastAsia" w:cstheme="minorEastAsia"/>
          <w:color w:val="auto"/>
          <w:sz w:val="21"/>
          <w:szCs w:val="21"/>
          <w:highlight w:val="none"/>
        </w:rPr>
        <w:t>附件九：北京市建设工程施工总承包单位法定代表人授权</w:t>
      </w:r>
      <w:bookmarkEnd w:id="1734"/>
      <w:bookmarkEnd w:id="1735"/>
      <w:bookmarkEnd w:id="1736"/>
    </w:p>
    <w:p w14:paraId="087D8F2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5F6C2363">
      <w:pPr>
        <w:pageBreakBefore w:val="0"/>
        <w:widowControl w:val="0"/>
        <w:kinsoku/>
        <w:wordWrap/>
        <w:overflowPunct/>
        <w:bidi w:val="0"/>
        <w:snapToGrid/>
        <w:spacing w:line="360" w:lineRule="auto"/>
        <w:ind w:firstLine="422" w:firstLineChars="200"/>
        <w:jc w:val="both"/>
        <w:textAlignment w:val="auto"/>
        <w:outlineLvl w:val="9"/>
        <w:rPr>
          <w:rFonts w:hint="eastAsia" w:asciiTheme="minorEastAsia" w:hAnsiTheme="minorEastAsia" w:eastAsiaTheme="minorEastAsia" w:cstheme="minorEastAsia"/>
          <w:b/>
          <w:color w:val="auto"/>
          <w:sz w:val="21"/>
          <w:szCs w:val="21"/>
          <w:highlight w:val="none"/>
        </w:rPr>
      </w:pPr>
    </w:p>
    <w:p w14:paraId="4B3E9E27">
      <w:pPr>
        <w:pageBreakBefore w:val="0"/>
        <w:widowControl w:val="0"/>
        <w:kinsoku/>
        <w:wordWrap/>
        <w:overflowPunct/>
        <w:bidi w:val="0"/>
        <w:snapToGrid/>
        <w:spacing w:line="360" w:lineRule="auto"/>
        <w:ind w:firstLine="422" w:firstLineChars="200"/>
        <w:jc w:val="center"/>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北京市建设工程</w:t>
      </w:r>
    </w:p>
    <w:p w14:paraId="1375E51E">
      <w:pPr>
        <w:pageBreakBefore w:val="0"/>
        <w:widowControl w:val="0"/>
        <w:kinsoku/>
        <w:wordWrap/>
        <w:overflowPunct/>
        <w:bidi w:val="0"/>
        <w:snapToGrid/>
        <w:spacing w:line="360" w:lineRule="auto"/>
        <w:ind w:firstLine="422" w:firstLineChars="200"/>
        <w:jc w:val="center"/>
        <w:textAlignment w:val="auto"/>
        <w:outlineLvl w:val="9"/>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施工总承包单位法定代表人授权</w:t>
      </w:r>
    </w:p>
    <w:p w14:paraId="469A7734">
      <w:pPr>
        <w:pageBreakBefore w:val="0"/>
        <w:widowControl w:val="0"/>
        <w:kinsoku/>
        <w:wordWrap/>
        <w:overflowPunct/>
        <w:bidi w:val="0"/>
        <w:snapToGrid/>
        <w:spacing w:line="360" w:lineRule="auto"/>
        <w:ind w:firstLine="422" w:firstLineChars="200"/>
        <w:jc w:val="both"/>
        <w:textAlignment w:val="auto"/>
        <w:outlineLvl w:val="9"/>
        <w:rPr>
          <w:rFonts w:hint="eastAsia" w:asciiTheme="minorEastAsia" w:hAnsiTheme="minorEastAsia" w:eastAsiaTheme="minorEastAsia" w:cstheme="minorEastAsia"/>
          <w:b/>
          <w:color w:val="auto"/>
          <w:sz w:val="21"/>
          <w:szCs w:val="21"/>
          <w:highlight w:val="none"/>
        </w:rPr>
      </w:pPr>
    </w:p>
    <w:p w14:paraId="45245BAD">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兹授权</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（姓名）担任</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（工程名称）施工总承包单位的项目负责人，对该工程项目的施工工作实施组织管理，依据国家和北京市有关法律法规及标准规范履行职责，并依法对该工程项目在设计使用年限内的工程质量承担相应终身责任。</w:t>
      </w:r>
    </w:p>
    <w:p w14:paraId="55D7DCFE">
      <w:pPr>
        <w:pageBreakBefore w:val="0"/>
        <w:widowControl w:val="0"/>
        <w:kinsoku/>
        <w:wordWrap/>
        <w:overflowPunct/>
        <w:bidi w:val="0"/>
        <w:snapToGrid/>
        <w:spacing w:line="360" w:lineRule="auto"/>
        <w:ind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法定代表人承担被授权人在授权范围内履行职责产生的法律责任。本授权书自授权之日起生效。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066"/>
        <w:gridCol w:w="1588"/>
        <w:gridCol w:w="1134"/>
        <w:gridCol w:w="2608"/>
      </w:tblGrid>
      <w:tr w14:paraId="6B5B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noWrap w:val="0"/>
            <w:vAlign w:val="top"/>
          </w:tcPr>
          <w:p w14:paraId="27099013">
            <w:pPr>
              <w:pStyle w:val="25"/>
              <w:pageBreakBefore w:val="0"/>
              <w:widowControl w:val="0"/>
              <w:kinsoku/>
              <w:wordWrap/>
              <w:overflowPunct/>
              <w:autoSpaceDE w:val="0"/>
              <w:autoSpaceDN w:val="0"/>
              <w:bidi w:val="0"/>
              <w:adjustRightInd w:val="0"/>
              <w:snapToGrid/>
              <w:spacing w:before="0" w:after="0" w:line="281" w:lineRule="exact"/>
              <w:jc w:val="both"/>
              <w:textAlignment w:val="auto"/>
              <w:outlineLvl w:val="9"/>
              <w:rPr>
                <w:rFonts w:hint="eastAsia" w:asciiTheme="minorEastAsia" w:hAnsiTheme="minorEastAsia" w:eastAsiaTheme="minorEastAsia" w:cstheme="minorEastAsia"/>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被授权人基本情况</w:t>
            </w:r>
          </w:p>
        </w:tc>
      </w:tr>
      <w:tr w14:paraId="39C9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6E5A0334">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p>
        </w:tc>
        <w:tc>
          <w:tcPr>
            <w:tcW w:w="2654" w:type="dxa"/>
            <w:gridSpan w:val="2"/>
            <w:noWrap w:val="0"/>
            <w:vAlign w:val="top"/>
          </w:tcPr>
          <w:p w14:paraId="3C2DA5F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3742" w:type="dxa"/>
            <w:gridSpan w:val="2"/>
            <w:noWrap w:val="0"/>
            <w:vAlign w:val="top"/>
          </w:tcPr>
          <w:p w14:paraId="281F766C">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身份证编号</w:t>
            </w:r>
          </w:p>
        </w:tc>
      </w:tr>
      <w:tr w14:paraId="7E42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704B7621">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c>
          <w:tcPr>
            <w:tcW w:w="2654" w:type="dxa"/>
            <w:gridSpan w:val="2"/>
            <w:noWrap w:val="0"/>
            <w:vAlign w:val="top"/>
          </w:tcPr>
          <w:p w14:paraId="63EBE533">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3742" w:type="dxa"/>
            <w:gridSpan w:val="2"/>
            <w:noWrap w:val="0"/>
            <w:vAlign w:val="top"/>
          </w:tcPr>
          <w:p w14:paraId="459A6C35">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户籍所在地</w:t>
            </w:r>
          </w:p>
        </w:tc>
      </w:tr>
      <w:tr w14:paraId="789E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Merge w:val="restart"/>
            <w:noWrap w:val="0"/>
            <w:vAlign w:val="top"/>
          </w:tcPr>
          <w:p w14:paraId="147B2324">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注册证书</w:t>
            </w:r>
          </w:p>
        </w:tc>
        <w:tc>
          <w:tcPr>
            <w:tcW w:w="1066" w:type="dxa"/>
            <w:noWrap w:val="0"/>
            <w:vAlign w:val="top"/>
          </w:tcPr>
          <w:p w14:paraId="16D524C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编号</w:t>
            </w:r>
          </w:p>
        </w:tc>
        <w:tc>
          <w:tcPr>
            <w:tcW w:w="1588" w:type="dxa"/>
            <w:noWrap w:val="0"/>
            <w:vAlign w:val="top"/>
          </w:tcPr>
          <w:p w14:paraId="1C43473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1134" w:type="dxa"/>
            <w:noWrap w:val="0"/>
            <w:vAlign w:val="top"/>
          </w:tcPr>
          <w:p w14:paraId="751513E0">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类别</w:t>
            </w:r>
          </w:p>
        </w:tc>
        <w:tc>
          <w:tcPr>
            <w:tcW w:w="2608" w:type="dxa"/>
            <w:noWrap w:val="0"/>
            <w:vAlign w:val="top"/>
          </w:tcPr>
          <w:p w14:paraId="42F45CFA">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7483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Merge w:val="continue"/>
            <w:noWrap w:val="0"/>
            <w:vAlign w:val="top"/>
          </w:tcPr>
          <w:p w14:paraId="38CA0A2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tc>
        <w:tc>
          <w:tcPr>
            <w:tcW w:w="1066" w:type="dxa"/>
            <w:noWrap w:val="0"/>
            <w:vAlign w:val="top"/>
          </w:tcPr>
          <w:p w14:paraId="5AC0DA4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w:t>
            </w:r>
          </w:p>
        </w:tc>
        <w:tc>
          <w:tcPr>
            <w:tcW w:w="1588" w:type="dxa"/>
            <w:noWrap w:val="0"/>
            <w:vAlign w:val="top"/>
          </w:tcPr>
          <w:p w14:paraId="2B69C5D7">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c>
          <w:tcPr>
            <w:tcW w:w="1134" w:type="dxa"/>
            <w:noWrap w:val="0"/>
            <w:vAlign w:val="top"/>
          </w:tcPr>
          <w:p w14:paraId="667EA0E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期限</w:t>
            </w:r>
          </w:p>
        </w:tc>
        <w:tc>
          <w:tcPr>
            <w:tcW w:w="2608" w:type="dxa"/>
            <w:noWrap w:val="0"/>
            <w:vAlign w:val="top"/>
          </w:tcPr>
          <w:p w14:paraId="24454C4E">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4DEB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noWrap w:val="0"/>
            <w:vAlign w:val="top"/>
          </w:tcPr>
          <w:p w14:paraId="2952330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备注</w:t>
            </w:r>
          </w:p>
        </w:tc>
        <w:tc>
          <w:tcPr>
            <w:tcW w:w="6396" w:type="dxa"/>
            <w:gridSpan w:val="4"/>
            <w:noWrap w:val="0"/>
            <w:vAlign w:val="top"/>
          </w:tcPr>
          <w:p w14:paraId="7281935F">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r w14:paraId="7D4E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noWrap w:val="0"/>
            <w:vAlign w:val="top"/>
          </w:tcPr>
          <w:p w14:paraId="2F23515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tc>
      </w:tr>
    </w:tbl>
    <w:p w14:paraId="1FA8E65C">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p>
    <w:p w14:paraId="31FF0D32">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授权单位名称（公章）：</w:t>
      </w:r>
      <w:r>
        <w:rPr>
          <w:rFonts w:hint="eastAsia" w:asciiTheme="minorEastAsia" w:hAnsiTheme="minorEastAsia" w:eastAsiaTheme="minorEastAsia" w:cstheme="minorEastAsia"/>
          <w:color w:val="auto"/>
          <w:sz w:val="21"/>
          <w:szCs w:val="21"/>
          <w:highlight w:val="none"/>
          <w:u w:val="single"/>
        </w:rPr>
        <w:t xml:space="preserve">     </w:t>
      </w:r>
    </w:p>
    <w:p w14:paraId="7AD1FA3F">
      <w:pPr>
        <w:pageBreakBefore w:val="0"/>
        <w:widowControl w:val="0"/>
        <w:kinsoku/>
        <w:wordWrap/>
        <w:overflowPunct/>
        <w:bidi w:val="0"/>
        <w:snapToGrid/>
        <w:spacing w:line="360" w:lineRule="auto"/>
        <w:ind w:right="64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w:t>
      </w:r>
    </w:p>
    <w:p w14:paraId="1AB84C9F">
      <w:pPr>
        <w:pageBreakBefore w:val="0"/>
        <w:widowControl w:val="0"/>
        <w:kinsoku/>
        <w:wordWrap/>
        <w:overflowPunct/>
        <w:bidi w:val="0"/>
        <w:snapToGrid/>
        <w:spacing w:line="360" w:lineRule="auto"/>
        <w:ind w:right="30" w:firstLine="420" w:firstLineChars="2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授权日期：</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p w14:paraId="44BAB1E5">
      <w:pPr>
        <w:pStyle w:val="21"/>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bookmarkStart w:id="1737" w:name="_Toc98936924"/>
      <w:bookmarkStart w:id="1738" w:name="_Toc19027"/>
      <w:bookmarkStart w:id="1739" w:name="_Toc75511284"/>
      <w:r>
        <w:rPr>
          <w:rFonts w:hint="eastAsia" w:asciiTheme="minorEastAsia" w:hAnsiTheme="minorEastAsia" w:eastAsiaTheme="minorEastAsia" w:cstheme="minorEastAsia"/>
          <w:color w:val="auto"/>
          <w:sz w:val="21"/>
          <w:szCs w:val="21"/>
          <w:highlight w:val="none"/>
        </w:rPr>
        <w:t>附件十：北京市建设工程施工总承包单位项目负责人工程质量终身责任承诺书</w:t>
      </w:r>
      <w:bookmarkEnd w:id="1737"/>
      <w:bookmarkEnd w:id="1738"/>
      <w:bookmarkEnd w:id="1739"/>
    </w:p>
    <w:p w14:paraId="2A29787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32"/>
          <w:szCs w:val="32"/>
          <w:highlight w:val="none"/>
        </w:rPr>
      </w:pPr>
    </w:p>
    <w:p w14:paraId="2D337625">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北京市建设工程施工总承包单位</w:t>
      </w:r>
    </w:p>
    <w:p w14:paraId="09BFBA58">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021AA55">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项目负责人工程质量终身责任</w:t>
      </w:r>
    </w:p>
    <w:p w14:paraId="365EF870">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40F4C8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承</w:t>
      </w:r>
    </w:p>
    <w:p w14:paraId="15C6772C">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5AD2AD6A">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诺</w:t>
      </w:r>
    </w:p>
    <w:p w14:paraId="2256B846">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p>
    <w:p w14:paraId="7C9F700B">
      <w:pPr>
        <w:pageBreakBefore w:val="0"/>
        <w:widowControl w:val="0"/>
        <w:kinsoku/>
        <w:wordWrap/>
        <w:overflowPunct/>
        <w:bidi w:val="0"/>
        <w:snapToGrid/>
        <w:jc w:val="center"/>
        <w:textAlignment w:val="auto"/>
        <w:outlineLvl w:val="9"/>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书</w:t>
      </w:r>
    </w:p>
    <w:p w14:paraId="6B69089E">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124EACE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p>
    <w:p w14:paraId="71061307">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80D365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b/>
          <w:bCs/>
          <w:color w:val="auto"/>
          <w:sz w:val="21"/>
          <w:szCs w:val="21"/>
          <w:highlight w:val="none"/>
        </w:rPr>
        <w:t>工程名称：</w:t>
      </w:r>
    </w:p>
    <w:p w14:paraId="3ACAD4E9">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1F576192">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77D2988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034491B3">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施工总承包单位：</w:t>
      </w:r>
    </w:p>
    <w:p w14:paraId="4D8C3B0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493CA6E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法定代表人：</w:t>
      </w:r>
    </w:p>
    <w:p w14:paraId="618007BB">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p w14:paraId="3C4EC2EA">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    项目负责人：</w:t>
      </w:r>
    </w:p>
    <w:p w14:paraId="5AC43ED8">
      <w:pPr>
        <w:pageBreakBefore w:val="0"/>
        <w:widowControl w:val="0"/>
        <w:kinsoku/>
        <w:wordWrap/>
        <w:overflowPunct/>
        <w:bidi w:val="0"/>
        <w:snapToGrid/>
        <w:spacing w:line="360" w:lineRule="auto"/>
        <w:jc w:val="center"/>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r>
        <w:rPr>
          <w:rFonts w:hint="eastAsia" w:asciiTheme="minorEastAsia" w:hAnsiTheme="minorEastAsia" w:eastAsiaTheme="minorEastAsia" w:cstheme="minorEastAsia"/>
          <w:b/>
          <w:bCs/>
          <w:color w:val="auto"/>
          <w:sz w:val="21"/>
          <w:szCs w:val="21"/>
          <w:highlight w:val="none"/>
        </w:rPr>
        <w:t>承诺书</w:t>
      </w:r>
    </w:p>
    <w:p w14:paraId="1CC9F592">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p w14:paraId="02B3A67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（身份证编号</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）受</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单位（法定代表人：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授权），担任</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工程名称）的施工总承包单位项目负责人（项目经理），对该工程项目的施工工作实施组织管理，并依法对该工程项目在设计使用年限内的工程质量承担相应终身责任。本人将严格遵守职业道德，并代表施工总承包单位和我本人作出如下郑重承诺：</w:t>
      </w:r>
    </w:p>
    <w:p w14:paraId="7ADB6D5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严格按照《建筑法》、《中华人民共和国城乡规划法》、《建设工程质量管理条例》等国家和北京市有关建设工程的法律法规、标准规范、文件规定和工程设计文件、合同约定，认真履行施工总承包单位项目负责人的职责和义务。保证不违反法律法规和标准规范，不降低建设工程施工质量。</w:t>
      </w:r>
    </w:p>
    <w:p w14:paraId="58016E0E">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本人持有符合规定且有效的执业资格注册证书，在符合注册许可范围和聘用单位资质等级许可范围内进行执业。保证不以他人名义执业，不让其他人员借名替代，不超越许可范围执业。保证不违法分包，不与分包单位串通、弄虚作假、降低工程质量。</w:t>
      </w:r>
    </w:p>
    <w:p w14:paraId="506851A1">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建立健全质量管理体系，按有关规定配备施工现场管理人员，保证相关人员持证上岗，落实质量责任制，保证不让分包单位以包代管；建立健全教育培训制度，保证不让未经教育培训或者考核不合格的人员上岗作业。</w:t>
      </w:r>
    </w:p>
    <w:p w14:paraId="1EF223BB">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四、对应当实行抽样检测的建筑材料、商品混凝土、混凝土预制构件、建筑构配件和设备等，在建设单位或者监理单位见证下取样送检，经检测合格后使用；保证取样、封样、送检工作不弄虚作假；未经检验、检验不合格或者未经签字确认的，保证不在工程上使用或者安装。</w:t>
      </w:r>
    </w:p>
    <w:p w14:paraId="61CC12C4">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五、严格按照工程设计和施工技术标准施工，保证关键部位、关键工序施工过程中施工管理人员到岗履职。隐蔽工程、上道工序未经验收或者验收不合格，保证不擅自隐蔽、不进行下一道工序；保证不擅自修改工程设计，不偷工减料；发现设计文件和图纸有差错的，保证及时提出意见和建议。</w:t>
      </w:r>
    </w:p>
    <w:p w14:paraId="5181DF2A">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六、保证使用北京市工商局和市住房和城乡建设委联合监制的《北京市预拌混凝土买卖合同》，签订后，严格执行。保证不签订阴阳合同，不在混凝土拌合物中加水或其它组分。</w:t>
      </w:r>
    </w:p>
    <w:p w14:paraId="54E76DA9">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七、愿意接受政府建设主管部门和有关单位的检查、考核、指导。保证对存在的问题和隐患按要求整改，并按规定接受处理。</w:t>
      </w:r>
      <w:r>
        <w:rPr>
          <w:rFonts w:hint="eastAsia" w:asciiTheme="minorEastAsia" w:hAnsiTheme="minorEastAsia" w:eastAsiaTheme="minorEastAsia" w:cstheme="minorEastAsia"/>
          <w:color w:val="auto"/>
          <w:sz w:val="21"/>
          <w:szCs w:val="21"/>
          <w:highlight w:val="none"/>
        </w:rPr>
        <w:br w:type="page"/>
      </w:r>
    </w:p>
    <w:p w14:paraId="3F82E62B">
      <w:pPr>
        <w:pageBreakBefore w:val="0"/>
        <w:widowControl w:val="0"/>
        <w:kinsoku/>
        <w:wordWrap/>
        <w:overflowPunct/>
        <w:topLinePunct/>
        <w:bidi w:val="0"/>
        <w:snapToGrid/>
        <w:jc w:val="center"/>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承诺人信息</w:t>
      </w:r>
    </w:p>
    <w:p w14:paraId="62A9023C">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
          <w:bCs/>
          <w:color w:val="auto"/>
          <w:sz w:val="21"/>
          <w:szCs w:val="21"/>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15"/>
        <w:gridCol w:w="1715"/>
        <w:gridCol w:w="1716"/>
        <w:gridCol w:w="1718"/>
      </w:tblGrid>
      <w:tr w14:paraId="67C5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noWrap w:val="0"/>
            <w:vAlign w:val="center"/>
          </w:tcPr>
          <w:p w14:paraId="7189E91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姓名</w:t>
            </w:r>
          </w:p>
        </w:tc>
        <w:tc>
          <w:tcPr>
            <w:tcW w:w="1715" w:type="dxa"/>
            <w:noWrap w:val="0"/>
            <w:vAlign w:val="center"/>
          </w:tcPr>
          <w:p w14:paraId="3E92A2C9">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5" w:type="dxa"/>
            <w:noWrap w:val="0"/>
            <w:vAlign w:val="center"/>
          </w:tcPr>
          <w:p w14:paraId="46057AA0">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身份证编号</w:t>
            </w:r>
          </w:p>
        </w:tc>
        <w:tc>
          <w:tcPr>
            <w:tcW w:w="3434" w:type="dxa"/>
            <w:gridSpan w:val="2"/>
            <w:noWrap w:val="0"/>
            <w:vAlign w:val="center"/>
          </w:tcPr>
          <w:p w14:paraId="50FBC2C9">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1DFF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noWrap w:val="0"/>
            <w:vAlign w:val="center"/>
          </w:tcPr>
          <w:p w14:paraId="59F193C4">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电话</w:t>
            </w:r>
          </w:p>
        </w:tc>
        <w:tc>
          <w:tcPr>
            <w:tcW w:w="1715" w:type="dxa"/>
            <w:noWrap w:val="0"/>
            <w:vAlign w:val="center"/>
          </w:tcPr>
          <w:p w14:paraId="7A699612">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5" w:type="dxa"/>
            <w:noWrap w:val="0"/>
            <w:vAlign w:val="center"/>
          </w:tcPr>
          <w:p w14:paraId="4EFA4BF4">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户籍所在地</w:t>
            </w:r>
          </w:p>
        </w:tc>
        <w:tc>
          <w:tcPr>
            <w:tcW w:w="3434" w:type="dxa"/>
            <w:gridSpan w:val="2"/>
            <w:noWrap w:val="0"/>
            <w:vAlign w:val="center"/>
          </w:tcPr>
          <w:p w14:paraId="011FE22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31F7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vMerge w:val="restart"/>
            <w:noWrap w:val="0"/>
            <w:vAlign w:val="center"/>
          </w:tcPr>
          <w:p w14:paraId="4679DDBC">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注册</w:t>
            </w:r>
          </w:p>
          <w:p w14:paraId="6DEFECDE">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证书</w:t>
            </w:r>
          </w:p>
        </w:tc>
        <w:tc>
          <w:tcPr>
            <w:tcW w:w="1715" w:type="dxa"/>
            <w:noWrap w:val="0"/>
            <w:vAlign w:val="center"/>
          </w:tcPr>
          <w:p w14:paraId="2E7D3B93">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编号</w:t>
            </w:r>
          </w:p>
        </w:tc>
        <w:tc>
          <w:tcPr>
            <w:tcW w:w="1715" w:type="dxa"/>
            <w:noWrap w:val="0"/>
            <w:vAlign w:val="center"/>
          </w:tcPr>
          <w:p w14:paraId="7CE1B865">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6" w:type="dxa"/>
            <w:noWrap w:val="0"/>
            <w:vAlign w:val="center"/>
          </w:tcPr>
          <w:p w14:paraId="4E280D51">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类别</w:t>
            </w:r>
          </w:p>
        </w:tc>
        <w:tc>
          <w:tcPr>
            <w:tcW w:w="1718" w:type="dxa"/>
            <w:noWrap w:val="0"/>
            <w:vAlign w:val="center"/>
          </w:tcPr>
          <w:p w14:paraId="0A2B6D0E">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6EF6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5" w:type="dxa"/>
            <w:vMerge w:val="continue"/>
            <w:noWrap w:val="0"/>
            <w:vAlign w:val="center"/>
          </w:tcPr>
          <w:p w14:paraId="119C93F0">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tc>
        <w:tc>
          <w:tcPr>
            <w:tcW w:w="1715" w:type="dxa"/>
            <w:noWrap w:val="0"/>
            <w:vAlign w:val="center"/>
          </w:tcPr>
          <w:p w14:paraId="10F09C4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专业</w:t>
            </w:r>
          </w:p>
        </w:tc>
        <w:tc>
          <w:tcPr>
            <w:tcW w:w="1715" w:type="dxa"/>
            <w:noWrap w:val="0"/>
            <w:vAlign w:val="center"/>
          </w:tcPr>
          <w:p w14:paraId="399E810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c>
          <w:tcPr>
            <w:tcW w:w="1716" w:type="dxa"/>
            <w:noWrap w:val="0"/>
            <w:vAlign w:val="center"/>
          </w:tcPr>
          <w:p w14:paraId="6C35D326">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期限</w:t>
            </w:r>
          </w:p>
        </w:tc>
        <w:tc>
          <w:tcPr>
            <w:tcW w:w="1718" w:type="dxa"/>
            <w:noWrap w:val="0"/>
            <w:vAlign w:val="center"/>
          </w:tcPr>
          <w:p w14:paraId="6421E7B8">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r w14:paraId="7D3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715" w:type="dxa"/>
            <w:noWrap w:val="0"/>
            <w:vAlign w:val="center"/>
          </w:tcPr>
          <w:p w14:paraId="65DB59AF">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备注</w:t>
            </w:r>
          </w:p>
        </w:tc>
        <w:tc>
          <w:tcPr>
            <w:tcW w:w="6864" w:type="dxa"/>
            <w:gridSpan w:val="4"/>
            <w:noWrap w:val="0"/>
            <w:vAlign w:val="center"/>
          </w:tcPr>
          <w:p w14:paraId="1590C1FD">
            <w:pPr>
              <w:pageBreakBefore w:val="0"/>
              <w:widowControl w:val="0"/>
              <w:kinsoku/>
              <w:wordWrap/>
              <w:overflowPunct/>
              <w:topLinePunct/>
              <w:bidi w:val="0"/>
              <w:snapToGrid/>
              <w:jc w:val="both"/>
              <w:textAlignment w:val="auto"/>
              <w:outlineLvl w:val="9"/>
              <w:rPr>
                <w:rFonts w:hint="eastAsia" w:asciiTheme="minorEastAsia" w:hAnsiTheme="minorEastAsia" w:eastAsiaTheme="minorEastAsia" w:cstheme="minorEastAsia"/>
                <w:bCs/>
                <w:color w:val="auto"/>
                <w:sz w:val="21"/>
                <w:szCs w:val="21"/>
                <w:highlight w:val="none"/>
              </w:rPr>
            </w:pPr>
          </w:p>
        </w:tc>
      </w:tr>
    </w:tbl>
    <w:p w14:paraId="00BFEE76">
      <w:pPr>
        <w:pageBreakBefore w:val="0"/>
        <w:widowControl w:val="0"/>
        <w:kinsoku/>
        <w:wordWrap/>
        <w:overflowPunct/>
        <w:bidi w:val="0"/>
        <w:snapToGrid/>
        <w:spacing w:line="360" w:lineRule="auto"/>
        <w:jc w:val="both"/>
        <w:textAlignment w:val="auto"/>
        <w:outlineLvl w:val="9"/>
        <w:rPr>
          <w:rFonts w:hint="eastAsia" w:asciiTheme="minorEastAsia" w:hAnsiTheme="minorEastAsia" w:eastAsiaTheme="minorEastAsia" w:cstheme="minorEastAsia"/>
          <w:color w:val="auto"/>
          <w:sz w:val="21"/>
          <w:szCs w:val="21"/>
          <w:highlight w:val="none"/>
        </w:rPr>
      </w:pPr>
    </w:p>
    <w:p w14:paraId="08B8FA9B">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1895EFCF">
      <w:pPr>
        <w:pageBreakBefore w:val="0"/>
        <w:widowControl w:val="0"/>
        <w:kinsoku/>
        <w:wordWrap/>
        <w:overflowPunct/>
        <w:bidi w:val="0"/>
        <w:snapToGrid/>
        <w:spacing w:line="360" w:lineRule="auto"/>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60561EC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drawing>
          <wp:anchor distT="0" distB="0" distL="114300" distR="114300" simplePos="0" relativeHeight="251669504" behindDoc="0" locked="0" layoutInCell="1" allowOverlap="1">
            <wp:simplePos x="0" y="0"/>
            <wp:positionH relativeFrom="column">
              <wp:posOffset>-383540</wp:posOffset>
            </wp:positionH>
            <wp:positionV relativeFrom="paragraph">
              <wp:posOffset>-186690</wp:posOffset>
            </wp:positionV>
            <wp:extent cx="6227445" cy="3608705"/>
            <wp:effectExtent l="0" t="0" r="1905" b="1079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2"/>
                    <a:stretch>
                      <a:fillRect/>
                    </a:stretch>
                  </pic:blipFill>
                  <pic:spPr>
                    <a:xfrm>
                      <a:off x="0" y="0"/>
                      <a:ext cx="6227445" cy="3608705"/>
                    </a:xfrm>
                    <a:prstGeom prst="rect">
                      <a:avLst/>
                    </a:prstGeom>
                    <a:noFill/>
                    <a:ln>
                      <a:noFill/>
                    </a:ln>
                  </pic:spPr>
                </pic:pic>
              </a:graphicData>
            </a:graphic>
          </wp:anchor>
        </w:drawing>
      </w:r>
    </w:p>
    <w:p w14:paraId="3806D81D">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48919D3">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5323DA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18B3FC20">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0D4A9B7">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3E1E48E">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A42C3A1">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370054BF">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481C229">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438724E0">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1E35701">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766490D">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DB2063B">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25109C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FB41D5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209371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EFDDEBB">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867600E">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64BF7BC">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642B7AF">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1D1447D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承诺人（签字）             法定代表人（签字）             单位盖章（公章）</w:t>
      </w:r>
    </w:p>
    <w:p w14:paraId="7871A7A4">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p>
    <w:p w14:paraId="3225E17C">
      <w:pPr>
        <w:pageBreakBefore w:val="0"/>
        <w:widowControl w:val="0"/>
        <w:kinsoku/>
        <w:wordWrap/>
        <w:overflowPunct/>
        <w:bidi w:val="0"/>
        <w:snapToGrid/>
        <w:jc w:val="both"/>
        <w:textAlignment w:val="auto"/>
        <w:outlineLvl w:val="9"/>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盖执业印章                                                年    月    日</w:t>
      </w:r>
    </w:p>
    <w:p w14:paraId="44CBC5C6">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219FB596">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05172AE3">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7F247179">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64B18902">
      <w:pPr>
        <w:pageBreakBefore w:val="0"/>
        <w:widowControl w:val="0"/>
        <w:kinsoku/>
        <w:wordWrap/>
        <w:overflowPunct/>
        <w:bidi w:val="0"/>
        <w:snapToGrid/>
        <w:ind w:firstLine="630" w:firstLineChars="300"/>
        <w:jc w:val="both"/>
        <w:textAlignment w:val="auto"/>
        <w:outlineLvl w:val="9"/>
        <w:rPr>
          <w:rFonts w:hint="eastAsia" w:asciiTheme="minorEastAsia" w:hAnsiTheme="minorEastAsia" w:eastAsiaTheme="minorEastAsia" w:cstheme="minorEastAsia"/>
          <w:color w:val="auto"/>
          <w:sz w:val="21"/>
          <w:szCs w:val="21"/>
          <w:highlight w:val="none"/>
        </w:rPr>
      </w:pPr>
    </w:p>
    <w:p w14:paraId="5FA73661">
      <w:pPr>
        <w:pageBreakBefore w:val="0"/>
        <w:widowControl w:val="0"/>
        <w:kinsoku/>
        <w:wordWrap/>
        <w:overflowPunct/>
        <w:bidi w:val="0"/>
        <w:snapToGrid/>
        <w:spacing w:line="440" w:lineRule="exact"/>
        <w:jc w:val="both"/>
        <w:textAlignment w:val="auto"/>
        <w:outlineLvl w:val="9"/>
        <w:rPr>
          <w:rFonts w:hint="eastAsia" w:asciiTheme="minorEastAsia" w:hAnsiTheme="minorEastAsia" w:eastAsiaTheme="minorEastAsia" w:cstheme="minorEastAsia"/>
          <w:color w:val="auto"/>
          <w:sz w:val="21"/>
          <w:szCs w:val="21"/>
          <w:highlight w:val="none"/>
        </w:rPr>
      </w:pPr>
    </w:p>
    <w:p w14:paraId="16C3A8F8">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宋体" w:hAnsi="宋体" w:eastAsia="宋体" w:cs="宋体"/>
          <w:b/>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r>
        <w:rPr>
          <w:rFonts w:hint="eastAsia" w:ascii="宋体" w:hAnsi="宋体" w:eastAsia="宋体" w:cs="宋体"/>
          <w:b/>
          <w:color w:val="auto"/>
          <w:sz w:val="21"/>
          <w:szCs w:val="21"/>
          <w:highlight w:val="none"/>
          <w:lang w:val="zh-CN"/>
        </w:rPr>
        <w:t>安全生产协议书</w:t>
      </w:r>
    </w:p>
    <w:p w14:paraId="383EE70E">
      <w:pPr>
        <w:keepNext w:val="0"/>
        <w:keepLines w:val="0"/>
        <w:pageBreakBefore w:val="0"/>
        <w:widowControl w:val="0"/>
        <w:kinsoku/>
        <w:wordWrap/>
        <w:overflowPunct/>
        <w:topLinePunct w:val="0"/>
        <w:autoSpaceDE/>
        <w:autoSpaceDN/>
        <w:bidi w:val="0"/>
        <w:adjustRightInd/>
        <w:snapToGrid/>
        <w:spacing w:before="240" w:line="520" w:lineRule="exact"/>
        <w:ind w:firstLine="488"/>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 xml:space="preserve">甲方： </w:t>
      </w:r>
      <w:r>
        <w:rPr>
          <w:rFonts w:hint="eastAsia" w:ascii="宋体" w:hAnsi="宋体" w:eastAsia="宋体" w:cs="宋体"/>
          <w:b/>
          <w:color w:val="auto"/>
          <w:kern w:val="1"/>
          <w:sz w:val="21"/>
          <w:szCs w:val="21"/>
          <w:highlight w:val="none"/>
        </w:rPr>
        <w:t xml:space="preserve"> </w:t>
      </w:r>
    </w:p>
    <w:p w14:paraId="6DB87928">
      <w:pPr>
        <w:keepNext w:val="0"/>
        <w:keepLines w:val="0"/>
        <w:pageBreakBefore w:val="0"/>
        <w:widowControl w:val="0"/>
        <w:kinsoku/>
        <w:wordWrap/>
        <w:overflowPunct/>
        <w:topLinePunct w:val="0"/>
        <w:autoSpaceDE/>
        <w:autoSpaceDN/>
        <w:bidi w:val="0"/>
        <w:adjustRightInd/>
        <w:snapToGrid/>
        <w:spacing w:after="100" w:afterAutospacing="1" w:line="520" w:lineRule="exact"/>
        <w:ind w:firstLine="488"/>
        <w:jc w:val="both"/>
        <w:textAlignment w:val="auto"/>
        <w:outlineLvl w:val="9"/>
        <w:rPr>
          <w:rFonts w:hint="eastAsia" w:ascii="宋体" w:hAnsi="宋体" w:eastAsia="宋体" w:cs="宋体"/>
          <w:b/>
          <w:color w:val="auto"/>
          <w:kern w:val="1"/>
          <w:sz w:val="21"/>
          <w:szCs w:val="21"/>
          <w:highlight w:val="none"/>
          <w:lang w:val="zh-CN"/>
        </w:rPr>
      </w:pPr>
      <w:r>
        <w:rPr>
          <w:rFonts w:hint="eastAsia" w:ascii="宋体" w:hAnsi="宋体" w:eastAsia="宋体" w:cs="宋体"/>
          <w:b/>
          <w:color w:val="auto"/>
          <w:kern w:val="1"/>
          <w:sz w:val="21"/>
          <w:szCs w:val="21"/>
          <w:highlight w:val="none"/>
          <w:lang w:val="zh-CN"/>
        </w:rPr>
        <w:t>乙方</w:t>
      </w:r>
      <w:r>
        <w:rPr>
          <w:rFonts w:hint="eastAsia" w:ascii="宋体" w:hAnsi="宋体" w:eastAsia="宋体" w:cs="宋体"/>
          <w:b/>
          <w:color w:val="auto"/>
          <w:kern w:val="1"/>
          <w:sz w:val="21"/>
          <w:szCs w:val="21"/>
          <w:highlight w:val="none"/>
        </w:rPr>
        <w:t>：</w:t>
      </w:r>
      <w:r>
        <w:rPr>
          <w:rFonts w:hint="eastAsia" w:ascii="宋体" w:hAnsi="宋体" w:eastAsia="宋体" w:cs="宋体"/>
          <w:b/>
          <w:color w:val="auto"/>
          <w:kern w:val="1"/>
          <w:sz w:val="21"/>
          <w:szCs w:val="21"/>
          <w:highlight w:val="none"/>
          <w:lang w:val="zh-CN"/>
        </w:rPr>
        <w:t xml:space="preserve"> </w:t>
      </w:r>
    </w:p>
    <w:p w14:paraId="1E0C2F5D">
      <w:pPr>
        <w:keepNext w:val="0"/>
        <w:keepLines w:val="0"/>
        <w:pageBreakBefore w:val="0"/>
        <w:widowControl w:val="0"/>
        <w:kinsoku/>
        <w:wordWrap/>
        <w:overflowPunct/>
        <w:topLinePunct w:val="0"/>
        <w:autoSpaceDE/>
        <w:autoSpaceDN/>
        <w:bidi w:val="0"/>
        <w:adjustRightInd/>
        <w:snapToGrid/>
        <w:spacing w:line="520" w:lineRule="exact"/>
        <w:ind w:firstLine="488"/>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为认真贯彻国家有关安全生产的方针、政策和法规，执行北京市通州区西集镇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的有关规章制度，明确甲、乙双方的安全生产责任、权利和义务，特签订本协议，具体内容如下：</w:t>
      </w:r>
    </w:p>
    <w:p w14:paraId="4539AC4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一、甲方权利、义务及责任</w:t>
      </w:r>
    </w:p>
    <w:p w14:paraId="2272D2E3">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依据国家安全生产法律法规和北京市通州区西集镇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的有关规章制度，对乙方安全生产工作进行管理。</w:t>
      </w:r>
    </w:p>
    <w:p w14:paraId="49DE68A8">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对乙方的施工作业有权进行全过程监督，对未落实安全措施的危险作业有权要求停工整顿，整改措施经甲方认可后方能重新复工。</w:t>
      </w:r>
    </w:p>
    <w:p w14:paraId="63B2C0E0">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1"/>
          <w:sz w:val="21"/>
          <w:szCs w:val="21"/>
          <w:highlight w:val="none"/>
          <w:lang w:val="zh-CN"/>
        </w:rPr>
        <w:t>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负责监督</w:t>
      </w:r>
      <w:r>
        <w:rPr>
          <w:rFonts w:hint="eastAsia" w:ascii="宋体" w:hAnsi="宋体" w:eastAsia="宋体" w:cs="宋体"/>
          <w:color w:val="auto"/>
          <w:sz w:val="21"/>
          <w:szCs w:val="21"/>
          <w:highlight w:val="none"/>
        </w:rPr>
        <w:t>乙方对安全生产专项合同价款的使用。</w:t>
      </w:r>
    </w:p>
    <w:p w14:paraId="69BEC5CE">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二、乙方权利、义务及责任</w:t>
      </w:r>
    </w:p>
    <w:p w14:paraId="02DFB02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.遵守国家安全生产法律、法规和有关标准，贯彻落实北京市通州区西集镇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的有关规章制度。编写</w:t>
      </w:r>
      <w:r>
        <w:rPr>
          <w:rFonts w:hint="eastAsia" w:ascii="宋体" w:hAnsi="宋体" w:eastAsia="宋体" w:cs="宋体"/>
          <w:color w:val="auto"/>
          <w:sz w:val="21"/>
          <w:szCs w:val="21"/>
          <w:highlight w:val="none"/>
        </w:rPr>
        <w:t>专项安全施工方案。按照工程建设强制性标准和专项安全施工方案组织施工，制止违规施工作业。</w:t>
      </w:r>
    </w:p>
    <w:p w14:paraId="58F93496">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乙方法定代表人（或委托代理人）是承包工程项目安全生产的第一责任人，必须保证安全生产，采取有效安全措施，防止人身伤亡事故或其他安全事故的发生。安全生产必须贯彻“管生产必须管安全”和“谁主管、谁负责”的原则。</w:t>
      </w:r>
    </w:p>
    <w:p w14:paraId="21E6282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乙方必须遵守甲方有关安全生产的规定和制度，认真履行安全生产的责任。服从甲方的监督和指导，并根据相关规定向甲方安全生产部门汇报工作。</w:t>
      </w:r>
    </w:p>
    <w:p w14:paraId="5043CDD1">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 建立安全生产三级教育体系，对施工人员进行安全生产三级教育。对新参加工作的人员必须进行岗前安全培训，累计时间不少于24学时。未经安全生产三级教育培训的施工人员不得上岗。施工前做好逐级安全交底工作，做好安全交底记录。</w:t>
      </w:r>
    </w:p>
    <w:p w14:paraId="5FCEC7E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 xml:space="preserve">5. </w:t>
      </w:r>
      <w:r>
        <w:rPr>
          <w:rFonts w:hint="eastAsia" w:ascii="宋体" w:hAnsi="宋体" w:eastAsia="宋体" w:cs="宋体"/>
          <w:color w:val="auto"/>
          <w:kern w:val="1"/>
          <w:sz w:val="21"/>
          <w:szCs w:val="21"/>
          <w:highlight w:val="none"/>
          <w:lang w:val="zh-CN"/>
        </w:rPr>
        <w:t>乙方要加强对安全生产工作的领导，成立安全领导机构，明确专职和兼职安全生产管理人员并报甲方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备案；施工时必须配备足够的安全员在场负责安全工作。安全生产管理人员每天要认真做好安全检查记录，健全交接班制度，确保施工安全。并实施实名制落实到班组，制定相应的安全生产规章制度。</w:t>
      </w:r>
    </w:p>
    <w:p w14:paraId="6B4FD52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6.</w:t>
      </w:r>
      <w:r>
        <w:rPr>
          <w:rFonts w:hint="eastAsia" w:ascii="宋体" w:hAnsi="宋体" w:eastAsia="宋体" w:cs="宋体"/>
          <w:color w:val="auto"/>
          <w:kern w:val="1"/>
          <w:sz w:val="21"/>
          <w:szCs w:val="21"/>
          <w:highlight w:val="none"/>
          <w:lang w:val="zh-CN"/>
        </w:rPr>
        <w:t>乙方主要负责人和专职安全生产管理人员应持证上岗，在施工现场应佩戴明显标志，接受甲方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监督管理，并按时参加甲方</w:t>
      </w:r>
      <w:r>
        <w:rPr>
          <w:rFonts w:hint="eastAsia" w:ascii="宋体" w:hAnsi="宋体" w:eastAsia="宋体" w:cs="宋体"/>
          <w:color w:val="auto"/>
          <w:kern w:val="1"/>
          <w:sz w:val="21"/>
          <w:szCs w:val="21"/>
          <w:highlight w:val="none"/>
          <w:lang w:val="zh-CN" w:eastAsia="zh-CN"/>
        </w:rPr>
        <w:t>及监理公司</w:t>
      </w:r>
      <w:r>
        <w:rPr>
          <w:rFonts w:hint="eastAsia" w:ascii="宋体" w:hAnsi="宋体" w:eastAsia="宋体" w:cs="宋体"/>
          <w:color w:val="auto"/>
          <w:kern w:val="1"/>
          <w:sz w:val="21"/>
          <w:szCs w:val="21"/>
          <w:highlight w:val="none"/>
          <w:lang w:val="zh-CN"/>
        </w:rPr>
        <w:t>组织的安全例会。</w:t>
      </w:r>
    </w:p>
    <w:p w14:paraId="738F00A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rPr>
        <w:t>7.</w:t>
      </w:r>
      <w:r>
        <w:rPr>
          <w:rFonts w:hint="eastAsia" w:ascii="宋体" w:hAnsi="宋体" w:eastAsia="宋体" w:cs="宋体"/>
          <w:color w:val="auto"/>
          <w:kern w:val="1"/>
          <w:sz w:val="21"/>
          <w:szCs w:val="21"/>
          <w:highlight w:val="none"/>
          <w:lang w:val="zh-CN"/>
        </w:rPr>
        <w:t xml:space="preserve"> 乙方</w:t>
      </w:r>
      <w:r>
        <w:rPr>
          <w:rFonts w:hint="eastAsia" w:ascii="宋体" w:hAnsi="宋体" w:eastAsia="宋体" w:cs="宋体"/>
          <w:color w:val="auto"/>
          <w:sz w:val="21"/>
          <w:szCs w:val="21"/>
          <w:highlight w:val="none"/>
        </w:rPr>
        <w:t>按工程建设施工合同的有关条款，督促甲方对安全生产专项合同价款的拨付。</w:t>
      </w:r>
    </w:p>
    <w:p w14:paraId="00020ABA">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8.乙方必须按国家规定为施工人员配备符合国家标准或行业标准的劳动防护用品和用具，并按有关标准或规定进行定期检验和试验。乙方施工范围内的安全设施自行负责，并与工程同时设计、同时施工、同时投入生产和使用。</w:t>
      </w:r>
    </w:p>
    <w:p w14:paraId="283C5C58">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9．建立、健全并落实施工现场安全生产保证体系；针对工程特点，制定施工现场防火（包括冬季林木防火）、防汛、临时用电施工、起重吊装、季节性施工的安全措施、</w:t>
      </w:r>
      <w:r>
        <w:rPr>
          <w:rFonts w:hint="eastAsia" w:ascii="宋体" w:hAnsi="宋体" w:eastAsia="宋体" w:cs="宋体"/>
          <w:color w:val="auto"/>
          <w:kern w:val="1"/>
          <w:sz w:val="21"/>
          <w:szCs w:val="21"/>
          <w:highlight w:val="none"/>
          <w:lang w:val="zh-CN"/>
        </w:rPr>
        <w:t>临街交通要道、人行道的保护，</w:t>
      </w:r>
      <w:r>
        <w:rPr>
          <w:rFonts w:hint="eastAsia" w:ascii="宋体" w:hAnsi="宋体" w:eastAsia="宋体" w:cs="宋体"/>
          <w:color w:val="auto"/>
          <w:kern w:val="1"/>
          <w:sz w:val="21"/>
          <w:szCs w:val="21"/>
          <w:highlight w:val="none"/>
        </w:rPr>
        <w:t>汛期、雨季</w:t>
      </w:r>
      <w:r>
        <w:rPr>
          <w:rFonts w:hint="eastAsia" w:ascii="宋体" w:hAnsi="宋体" w:eastAsia="宋体" w:cs="宋体"/>
          <w:color w:val="auto"/>
          <w:sz w:val="21"/>
          <w:szCs w:val="21"/>
          <w:highlight w:val="none"/>
        </w:rPr>
        <w:t>排水</w:t>
      </w:r>
      <w:r>
        <w:rPr>
          <w:rFonts w:hint="eastAsia" w:ascii="宋体" w:hAnsi="宋体" w:eastAsia="宋体" w:cs="宋体"/>
          <w:color w:val="auto"/>
          <w:kern w:val="1"/>
          <w:sz w:val="21"/>
          <w:szCs w:val="21"/>
          <w:highlight w:val="none"/>
        </w:rPr>
        <w:t>的应急方案</w:t>
      </w:r>
      <w:r>
        <w:rPr>
          <w:rFonts w:hint="eastAsia" w:ascii="宋体" w:hAnsi="宋体" w:eastAsia="宋体" w:cs="宋体"/>
          <w:color w:val="auto"/>
          <w:sz w:val="21"/>
          <w:szCs w:val="21"/>
          <w:highlight w:val="none"/>
        </w:rPr>
        <w:t>等安全专项保证方案，经监理审定后执行，并报甲方备案。发现严重违规施工和存在安全事故隐患的，及时纠正、整改，并检查整改结果，签署复查意见。</w:t>
      </w:r>
    </w:p>
    <w:p w14:paraId="3CE0B1F2">
      <w:pPr>
        <w:keepNext w:val="0"/>
        <w:keepLines w:val="0"/>
        <w:pageBreakBefore w:val="0"/>
        <w:widowControl w:val="0"/>
        <w:kinsoku/>
        <w:wordWrap/>
        <w:overflowPunct/>
        <w:topLinePunct w:val="0"/>
        <w:autoSpaceDE/>
        <w:autoSpaceDN/>
        <w:bidi w:val="0"/>
        <w:adjustRightInd/>
        <w:snapToGrid/>
        <w:spacing w:line="520" w:lineRule="exact"/>
        <w:ind w:left="361" w:firstLine="12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10．特种作业人员（如电工、焊工、起重工等）持证上岗。</w:t>
      </w:r>
    </w:p>
    <w:p w14:paraId="6A514036">
      <w:pPr>
        <w:keepNext w:val="0"/>
        <w:keepLines w:val="0"/>
        <w:pageBreakBefore w:val="0"/>
        <w:widowControl w:val="0"/>
        <w:kinsoku/>
        <w:wordWrap/>
        <w:overflowPunct/>
        <w:topLinePunct w:val="0"/>
        <w:autoSpaceDE/>
        <w:autoSpaceDN/>
        <w:bidi w:val="0"/>
        <w:adjustRightInd/>
        <w:snapToGrid/>
        <w:spacing w:line="520" w:lineRule="exact"/>
        <w:ind w:left="361" w:firstLine="12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11．进行安全自查工作；参加施工现场的安全生产检查。</w:t>
      </w:r>
      <w:r>
        <w:rPr>
          <w:rFonts w:hint="eastAsia" w:ascii="宋体" w:hAnsi="宋体" w:eastAsia="宋体" w:cs="宋体"/>
          <w:color w:val="auto"/>
          <w:kern w:val="1"/>
          <w:sz w:val="21"/>
          <w:szCs w:val="21"/>
          <w:highlight w:val="none"/>
        </w:rPr>
        <w:t>检查各种施工机械、</w:t>
      </w:r>
    </w:p>
    <w:p w14:paraId="1C0FE542">
      <w:pPr>
        <w:keepNext w:val="0"/>
        <w:keepLines w:val="0"/>
        <w:pageBreakBefore w:val="0"/>
        <w:widowControl w:val="0"/>
        <w:kinsoku/>
        <w:wordWrap/>
        <w:overflowPunct/>
        <w:topLinePunct w:val="0"/>
        <w:autoSpaceDE/>
        <w:autoSpaceDN/>
        <w:bidi w:val="0"/>
        <w:adjustRightInd/>
        <w:snapToGrid/>
        <w:spacing w:line="520" w:lineRule="exact"/>
        <w:ind w:left="478" w:hanging="478"/>
        <w:jc w:val="both"/>
        <w:textAlignment w:val="auto"/>
        <w:outlineLvl w:val="9"/>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kern w:val="1"/>
          <w:sz w:val="21"/>
          <w:szCs w:val="21"/>
          <w:highlight w:val="none"/>
        </w:rPr>
        <w:t>材料和主要人员的安全状态。</w:t>
      </w:r>
    </w:p>
    <w:p w14:paraId="1CA3D02C">
      <w:pPr>
        <w:keepNext w:val="0"/>
        <w:keepLines w:val="0"/>
        <w:pageBreakBefore w:val="0"/>
        <w:widowControl w:val="0"/>
        <w:kinsoku/>
        <w:wordWrap/>
        <w:overflowPunct/>
        <w:topLinePunct w:val="0"/>
        <w:autoSpaceDE/>
        <w:autoSpaceDN/>
        <w:bidi w:val="0"/>
        <w:adjustRightInd/>
        <w:snapToGrid/>
        <w:spacing w:line="520" w:lineRule="exact"/>
        <w:ind w:left="478" w:hanging="478"/>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12．施工机械、安全设施无有关技术监督部门签署的验收手续，不得投入使</w:t>
      </w:r>
    </w:p>
    <w:p w14:paraId="0AFA5EB1">
      <w:pPr>
        <w:keepNext w:val="0"/>
        <w:keepLines w:val="0"/>
        <w:pageBreakBefore w:val="0"/>
        <w:widowControl w:val="0"/>
        <w:kinsoku/>
        <w:wordWrap/>
        <w:overflowPunct/>
        <w:topLinePunct w:val="0"/>
        <w:autoSpaceDE/>
        <w:autoSpaceDN/>
        <w:bidi w:val="0"/>
        <w:adjustRightInd/>
        <w:snapToGrid/>
        <w:spacing w:line="520" w:lineRule="exact"/>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用。经常检查所使用的工具、车辆是否完好，杜绝使用带病的工具、车辆作业。施工运输必须遵守交通法的有关规定，确保交通安全。</w:t>
      </w:r>
    </w:p>
    <w:p w14:paraId="5047D8C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13．检查施工现场的消防工作、冬季防寒、夏季防暑、文明施工、卫生防疫等项工作。注重施工现场的消防安全，对电焊、氧割等明火作业要制定严格的操作规范并配备防火设施，以确保安全。</w:t>
      </w:r>
    </w:p>
    <w:p w14:paraId="303F024F">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14．在工程实施过程中，发现存在安全事故隐患的，应及时对安全事故隐患进行整改。</w:t>
      </w:r>
    </w:p>
    <w:p w14:paraId="21636C19">
      <w:pPr>
        <w:keepNext w:val="0"/>
        <w:keepLines w:val="0"/>
        <w:pageBreakBefore w:val="0"/>
        <w:widowControl w:val="0"/>
        <w:kinsoku/>
        <w:wordWrap/>
        <w:overflowPunct/>
        <w:topLinePunct w:val="0"/>
        <w:autoSpaceDE/>
        <w:autoSpaceDN/>
        <w:bidi w:val="0"/>
        <w:adjustRightInd/>
        <w:snapToGrid/>
        <w:spacing w:line="520" w:lineRule="exact"/>
        <w:ind w:firstLine="420" w:firstLineChars="20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15</w:t>
      </w:r>
      <w:r>
        <w:rPr>
          <w:rFonts w:hint="eastAsia" w:ascii="宋体" w:hAnsi="宋体" w:eastAsia="宋体" w:cs="宋体"/>
          <w:color w:val="auto"/>
          <w:kern w:val="1"/>
          <w:sz w:val="21"/>
          <w:szCs w:val="21"/>
          <w:highlight w:val="none"/>
          <w:lang w:val="zh-CN"/>
        </w:rPr>
        <w:t>．制定安全生产规章制度和事故应急救援预案，及时消除生产安全事故隐患。</w:t>
      </w:r>
      <w:r>
        <w:rPr>
          <w:rFonts w:hint="eastAsia" w:ascii="宋体" w:hAnsi="宋体" w:eastAsia="宋体" w:cs="宋体"/>
          <w:color w:val="auto"/>
          <w:sz w:val="21"/>
          <w:szCs w:val="21"/>
          <w:highlight w:val="none"/>
        </w:rPr>
        <w:t>施工现场发生伤亡事故时，应迅速掌握事故情况，按照国家有关伤亡事故报告和调查处理的规定，及时、如实地向</w:t>
      </w:r>
      <w:r>
        <w:rPr>
          <w:rFonts w:hint="eastAsia" w:ascii="宋体" w:hAnsi="宋体" w:eastAsia="宋体" w:cs="宋体"/>
          <w:color w:val="auto"/>
          <w:kern w:val="1"/>
          <w:sz w:val="21"/>
          <w:szCs w:val="21"/>
          <w:highlight w:val="none"/>
          <w:lang w:val="zh-CN"/>
        </w:rPr>
        <w:t>甲方以及</w:t>
      </w:r>
      <w:r>
        <w:rPr>
          <w:rFonts w:hint="eastAsia" w:ascii="宋体" w:hAnsi="宋体" w:eastAsia="宋体" w:cs="宋体"/>
          <w:color w:val="auto"/>
          <w:sz w:val="21"/>
          <w:szCs w:val="21"/>
          <w:highlight w:val="none"/>
        </w:rPr>
        <w:t>负责安全生产监督管理的部门、建设行政主管部门或者其他有关部门报告。</w:t>
      </w:r>
      <w:r>
        <w:rPr>
          <w:rFonts w:hint="eastAsia" w:ascii="宋体" w:hAnsi="宋体" w:eastAsia="宋体" w:cs="宋体"/>
          <w:color w:val="auto"/>
          <w:kern w:val="1"/>
          <w:sz w:val="21"/>
          <w:szCs w:val="21"/>
          <w:highlight w:val="none"/>
          <w:lang w:val="zh-CN"/>
        </w:rPr>
        <w:t>严禁弄虚作假或隐瞒不报、谎报或拖延不报，不得故意破坏事故现场、毁灭有关证据。</w:t>
      </w:r>
    </w:p>
    <w:p w14:paraId="54FF8239">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16.</w:t>
      </w:r>
      <w:r>
        <w:rPr>
          <w:rFonts w:hint="eastAsia" w:ascii="宋体" w:hAnsi="宋体" w:eastAsia="宋体" w:cs="宋体"/>
          <w:color w:val="auto"/>
          <w:kern w:val="1"/>
          <w:sz w:val="21"/>
          <w:szCs w:val="21"/>
          <w:highlight w:val="none"/>
          <w:lang w:val="zh-CN"/>
        </w:rPr>
        <w:t>乙方不履行或不认真履行合同和本协议中有关安全生产的条款，不服从安监部门管理或其施工现场违章作业、野蛮施工、管理混乱等，必须无条件接受安监部门提出的警告，由此所造成的损失由乙方承担。</w:t>
      </w:r>
    </w:p>
    <w:p w14:paraId="3A7831C7">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17.</w:t>
      </w:r>
      <w:r>
        <w:rPr>
          <w:rFonts w:hint="eastAsia" w:ascii="宋体" w:hAnsi="宋体" w:eastAsia="宋体" w:cs="宋体"/>
          <w:color w:val="auto"/>
          <w:kern w:val="1"/>
          <w:sz w:val="21"/>
          <w:szCs w:val="21"/>
          <w:highlight w:val="none"/>
          <w:lang w:val="zh-CN"/>
        </w:rPr>
        <w:t>凡因乙方主要责任或全责造成的各类事故，由乙方承担因事故造成的经济损失。凡涉及两个单位以上的各类事故（如人身、机械、设备、火灾等事故），要根据事故调查组的意见或政府有关部门的认定结果</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按“以责论处”的原则进行处理并承担相应的经济损失。</w:t>
      </w:r>
    </w:p>
    <w:p w14:paraId="7749DDC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18.</w:t>
      </w:r>
      <w:r>
        <w:rPr>
          <w:rFonts w:hint="eastAsia" w:ascii="宋体" w:hAnsi="宋体" w:eastAsia="宋体" w:cs="宋体"/>
          <w:color w:val="auto"/>
          <w:kern w:val="1"/>
          <w:sz w:val="21"/>
          <w:szCs w:val="21"/>
          <w:highlight w:val="none"/>
          <w:lang w:val="zh-CN"/>
        </w:rPr>
        <w:t>乙方必须无条件遵守《建筑工程安全生产管理条例》以及《北京市建设工程施工现场管理办法》中有关施工单位安全责任的全部条款，对在施工过程中出现的生产、生活安全事故负全责</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甲方责任除外</w:t>
      </w:r>
      <w:r>
        <w:rPr>
          <w:rFonts w:hint="eastAsia" w:ascii="宋体" w:hAnsi="宋体" w:eastAsia="宋体" w:cs="宋体"/>
          <w:color w:val="auto"/>
          <w:kern w:val="1"/>
          <w:sz w:val="21"/>
          <w:szCs w:val="21"/>
          <w:highlight w:val="none"/>
        </w:rPr>
        <w:t>）</w:t>
      </w:r>
      <w:r>
        <w:rPr>
          <w:rFonts w:hint="eastAsia" w:ascii="宋体" w:hAnsi="宋体" w:eastAsia="宋体" w:cs="宋体"/>
          <w:color w:val="auto"/>
          <w:kern w:val="1"/>
          <w:sz w:val="21"/>
          <w:szCs w:val="21"/>
          <w:highlight w:val="none"/>
          <w:lang w:val="zh-CN"/>
        </w:rPr>
        <w:t>，不得因自身责任出现的安全事故向甲方要求额外经济补偿。</w:t>
      </w:r>
    </w:p>
    <w:p w14:paraId="0C37C70C">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rPr>
        <w:t>19．对于不按照法律、法规和工程建设强制性标准等有关规定履行施工安全责任的，造成损失的，依法承担赔偿责任；构成犯罪的，由司法机关依法追究刑事责任。</w:t>
      </w:r>
    </w:p>
    <w:p w14:paraId="6BA89B6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b/>
          <w:color w:val="auto"/>
          <w:kern w:val="1"/>
          <w:sz w:val="21"/>
          <w:szCs w:val="21"/>
          <w:highlight w:val="none"/>
          <w:lang w:val="zh-CN"/>
        </w:rPr>
        <w:t>三、此协议作为承包合同的附件，与其具有同等法律效力。</w:t>
      </w:r>
    </w:p>
    <w:p w14:paraId="21D027E6">
      <w:pPr>
        <w:keepNext w:val="0"/>
        <w:keepLines w:val="0"/>
        <w:pageBreakBefore w:val="0"/>
        <w:widowControl w:val="0"/>
        <w:kinsoku/>
        <w:wordWrap/>
        <w:overflowPunct/>
        <w:topLinePunct w:val="0"/>
        <w:autoSpaceDE/>
        <w:autoSpaceDN/>
        <w:bidi w:val="0"/>
        <w:adjustRightInd/>
        <w:snapToGrid/>
        <w:spacing w:line="520" w:lineRule="exact"/>
        <w:ind w:firstLine="49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四、本协议制定依据</w:t>
      </w:r>
    </w:p>
    <w:p w14:paraId="4480C625">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zh-CN"/>
        </w:rPr>
        <w:t>《中华人民共和国安全生产法》</w:t>
      </w:r>
    </w:p>
    <w:p w14:paraId="3436489A">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2.</w:t>
      </w:r>
      <w:r>
        <w:rPr>
          <w:rFonts w:hint="eastAsia" w:ascii="宋体" w:hAnsi="宋体" w:eastAsia="宋体" w:cs="宋体"/>
          <w:color w:val="auto"/>
          <w:kern w:val="1"/>
          <w:sz w:val="21"/>
          <w:szCs w:val="21"/>
          <w:highlight w:val="none"/>
          <w:lang w:val="zh-CN"/>
        </w:rPr>
        <w:t>《建设工程安全生产管理条例》</w:t>
      </w:r>
    </w:p>
    <w:p w14:paraId="4F27632E">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r>
        <w:rPr>
          <w:rFonts w:hint="eastAsia" w:ascii="宋体" w:hAnsi="宋体" w:eastAsia="宋体" w:cs="宋体"/>
          <w:color w:val="auto"/>
          <w:kern w:val="1"/>
          <w:sz w:val="21"/>
          <w:szCs w:val="21"/>
          <w:highlight w:val="none"/>
          <w:lang w:val="zh-CN"/>
        </w:rPr>
        <w:t>《北京市安全生产条例》</w:t>
      </w:r>
    </w:p>
    <w:p w14:paraId="7A6E34C5">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w:t>
      </w:r>
      <w:r>
        <w:rPr>
          <w:rFonts w:hint="eastAsia" w:ascii="宋体" w:hAnsi="宋体" w:eastAsia="宋体" w:cs="宋体"/>
          <w:color w:val="auto"/>
          <w:kern w:val="1"/>
          <w:sz w:val="21"/>
          <w:szCs w:val="21"/>
          <w:highlight w:val="none"/>
          <w:lang w:val="zh-CN"/>
        </w:rPr>
        <w:t>．《北京市建设工程施工现场管理办法》</w:t>
      </w:r>
    </w:p>
    <w:p w14:paraId="37CDD601">
      <w:pPr>
        <w:keepNext w:val="0"/>
        <w:keepLines w:val="0"/>
        <w:pageBreakBefore w:val="0"/>
        <w:widowControl w:val="0"/>
        <w:kinsoku/>
        <w:wordWrap/>
        <w:overflowPunct/>
        <w:topLinePunct w:val="0"/>
        <w:autoSpaceDE/>
        <w:autoSpaceDN/>
        <w:bidi w:val="0"/>
        <w:adjustRightInd/>
        <w:snapToGrid/>
        <w:spacing w:line="520" w:lineRule="exact"/>
        <w:ind w:left="420"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5.</w:t>
      </w:r>
      <w:r>
        <w:rPr>
          <w:rFonts w:hint="eastAsia" w:ascii="宋体" w:hAnsi="宋体" w:eastAsia="宋体" w:cs="宋体"/>
          <w:color w:val="auto"/>
          <w:kern w:val="1"/>
          <w:sz w:val="21"/>
          <w:szCs w:val="21"/>
          <w:highlight w:val="none"/>
          <w:lang w:val="zh-CN"/>
        </w:rPr>
        <w:t>有关北京市通州区西集镇</w:t>
      </w:r>
      <w:r>
        <w:rPr>
          <w:rFonts w:hint="eastAsia" w:ascii="宋体" w:hAnsi="宋体" w:eastAsia="宋体" w:cs="宋体"/>
          <w:color w:val="auto"/>
          <w:kern w:val="1"/>
          <w:sz w:val="21"/>
          <w:szCs w:val="21"/>
          <w:highlight w:val="none"/>
          <w:lang w:val="en-US" w:eastAsia="zh-CN"/>
        </w:rPr>
        <w:t>人民政府</w:t>
      </w:r>
      <w:r>
        <w:rPr>
          <w:rFonts w:hint="eastAsia" w:ascii="宋体" w:hAnsi="宋体" w:eastAsia="宋体" w:cs="宋体"/>
          <w:color w:val="auto"/>
          <w:kern w:val="1"/>
          <w:sz w:val="21"/>
          <w:szCs w:val="21"/>
          <w:highlight w:val="none"/>
          <w:lang w:val="zh-CN"/>
        </w:rPr>
        <w:t>的有关规章制度</w:t>
      </w:r>
    </w:p>
    <w:p w14:paraId="4536DC69">
      <w:pPr>
        <w:keepNext w:val="0"/>
        <w:keepLines w:val="0"/>
        <w:pageBreakBefore w:val="0"/>
        <w:widowControl w:val="0"/>
        <w:tabs>
          <w:tab w:val="left" w:pos="1695"/>
        </w:tabs>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五、本协议未尽事宜由甲乙双方协商解决。</w:t>
      </w:r>
    </w:p>
    <w:p w14:paraId="455714AC">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b/>
          <w:color w:val="auto"/>
          <w:kern w:val="1"/>
          <w:sz w:val="21"/>
          <w:szCs w:val="21"/>
          <w:highlight w:val="none"/>
          <w:lang w:val="zh-CN"/>
        </w:rPr>
        <w:t>六、</w:t>
      </w:r>
      <w:r>
        <w:rPr>
          <w:rFonts w:hint="eastAsia" w:ascii="宋体" w:hAnsi="宋体" w:eastAsia="宋体" w:cs="宋体"/>
          <w:color w:val="auto"/>
          <w:kern w:val="1"/>
          <w:sz w:val="21"/>
          <w:szCs w:val="21"/>
          <w:highlight w:val="none"/>
        </w:rPr>
        <w:t>本协议书作为合同附件，份数与合同一致。</w:t>
      </w:r>
    </w:p>
    <w:p w14:paraId="498A85E4">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outlineLvl w:val="9"/>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lang w:val="zh-CN"/>
        </w:rPr>
        <w:t>七、本协议从双方法定代表人或委托代理人签署并加盖单位公章之日起生效。</w:t>
      </w:r>
    </w:p>
    <w:p w14:paraId="4B6733BD">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630D2AE1">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4D09020F">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甲</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方：（单位盖章）</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乙</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方：</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（单位盖章）</w:t>
      </w:r>
    </w:p>
    <w:p w14:paraId="0F6A961A">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lang w:val="zh-CN"/>
        </w:rPr>
      </w:pPr>
    </w:p>
    <w:p w14:paraId="277CC7BE">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法人代表</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法人代表</w:t>
      </w:r>
      <w:r>
        <w:rPr>
          <w:rFonts w:hint="eastAsia" w:ascii="宋体" w:hAnsi="宋体" w:eastAsia="宋体" w:cs="宋体"/>
          <w:color w:val="auto"/>
          <w:kern w:val="1"/>
          <w:sz w:val="21"/>
          <w:szCs w:val="21"/>
          <w:highlight w:val="none"/>
        </w:rPr>
        <w:t xml:space="preserve">：   </w:t>
      </w:r>
    </w:p>
    <w:p w14:paraId="2B26F3D9">
      <w:pPr>
        <w:keepNext w:val="0"/>
        <w:keepLines w:val="0"/>
        <w:pageBreakBefore w:val="0"/>
        <w:widowControl w:val="0"/>
        <w:kinsoku/>
        <w:wordWrap/>
        <w:overflowPunct/>
        <w:topLinePunct w:val="0"/>
        <w:autoSpaceDE/>
        <w:autoSpaceDN/>
        <w:bidi w:val="0"/>
        <w:adjustRightInd/>
        <w:snapToGrid/>
        <w:spacing w:line="500" w:lineRule="exact"/>
        <w:ind w:firstLine="240"/>
        <w:jc w:val="both"/>
        <w:textAlignment w:val="auto"/>
        <w:outlineLvl w:val="9"/>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zh-CN"/>
        </w:rPr>
        <w:t>委托代理人</w:t>
      </w: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zh-CN"/>
        </w:rPr>
        <w:t>委托代理人</w:t>
      </w:r>
      <w:r>
        <w:rPr>
          <w:rFonts w:hint="eastAsia" w:ascii="宋体" w:hAnsi="宋体" w:eastAsia="宋体" w:cs="宋体"/>
          <w:color w:val="auto"/>
          <w:kern w:val="1"/>
          <w:sz w:val="21"/>
          <w:szCs w:val="21"/>
          <w:highlight w:val="none"/>
        </w:rPr>
        <w:t>：</w:t>
      </w:r>
    </w:p>
    <w:p w14:paraId="6D40ACF8">
      <w:pPr>
        <w:keepNext w:val="0"/>
        <w:keepLines w:val="0"/>
        <w:pageBreakBefore w:val="0"/>
        <w:widowControl w:val="0"/>
        <w:kinsoku/>
        <w:wordWrap/>
        <w:overflowPunct/>
        <w:topLinePunct w:val="0"/>
        <w:autoSpaceDE/>
        <w:autoSpaceDN/>
        <w:bidi w:val="0"/>
        <w:adjustRightInd/>
        <w:snapToGrid/>
        <w:spacing w:line="500" w:lineRule="exact"/>
        <w:ind w:firstLine="525" w:firstLineChars="250"/>
        <w:jc w:val="both"/>
        <w:textAlignment w:val="auto"/>
        <w:outlineLvl w:val="9"/>
        <w:rPr>
          <w:rFonts w:hint="eastAsia" w:ascii="宋体" w:hAnsi="宋体" w:eastAsia="宋体" w:cs="宋体"/>
          <w:color w:val="auto"/>
          <w:kern w:val="1"/>
          <w:sz w:val="21"/>
          <w:szCs w:val="21"/>
          <w:highlight w:val="none"/>
        </w:rPr>
      </w:pPr>
    </w:p>
    <w:p w14:paraId="0A3B9FAB">
      <w:pPr>
        <w:keepNext w:val="0"/>
        <w:keepLines w:val="0"/>
        <w:pageBreakBefore w:val="0"/>
        <w:widowControl w:val="0"/>
        <w:kinsoku/>
        <w:wordWrap/>
        <w:overflowPunct/>
        <w:topLinePunct w:val="0"/>
        <w:autoSpaceDE/>
        <w:autoSpaceDN/>
        <w:bidi w:val="0"/>
        <w:adjustRightInd/>
        <w:snapToGrid/>
        <w:spacing w:line="500" w:lineRule="exact"/>
        <w:ind w:firstLine="525" w:firstLineChars="250"/>
        <w:jc w:val="both"/>
        <w:textAlignment w:val="auto"/>
        <w:outlineLvl w:val="9"/>
        <w:rPr>
          <w:rFonts w:hint="eastAsia" w:ascii="宋体" w:hAnsi="宋体" w:eastAsia="宋体" w:cs="宋体"/>
          <w:color w:val="auto"/>
          <w:kern w:val="1"/>
          <w:sz w:val="21"/>
          <w:szCs w:val="21"/>
          <w:highlight w:val="none"/>
          <w:lang w:val="zh-CN"/>
        </w:rPr>
      </w:pPr>
      <w:r>
        <w:rPr>
          <w:rFonts w:hint="eastAsia" w:ascii="宋体" w:hAnsi="宋体" w:eastAsia="宋体" w:cs="宋体"/>
          <w:color w:val="auto"/>
          <w:kern w:val="1"/>
          <w:sz w:val="21"/>
          <w:szCs w:val="21"/>
          <w:highlight w:val="none"/>
        </w:rPr>
        <w:t xml:space="preserve"> </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年</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月</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 xml:space="preserve">日                    </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年</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月</w:t>
      </w:r>
      <w:r>
        <w:rPr>
          <w:rFonts w:hint="eastAsia" w:ascii="宋体" w:hAnsi="宋体" w:eastAsia="宋体" w:cs="宋体"/>
          <w:color w:val="auto"/>
          <w:kern w:val="1"/>
          <w:sz w:val="21"/>
          <w:szCs w:val="21"/>
          <w:highlight w:val="none"/>
          <w:lang w:val="en-US" w:eastAsia="zh-CN"/>
        </w:rPr>
        <w:t xml:space="preserve">   </w:t>
      </w:r>
      <w:r>
        <w:rPr>
          <w:rFonts w:hint="eastAsia" w:ascii="宋体" w:hAnsi="宋体" w:eastAsia="宋体" w:cs="宋体"/>
          <w:color w:val="auto"/>
          <w:kern w:val="1"/>
          <w:sz w:val="21"/>
          <w:szCs w:val="21"/>
          <w:highlight w:val="none"/>
        </w:rPr>
        <w:t xml:space="preserve"> 日</w:t>
      </w:r>
    </w:p>
    <w:p w14:paraId="2F8813C3">
      <w:pPr>
        <w:pageBreakBefore w:val="0"/>
        <w:widowControl w:val="0"/>
        <w:kinsoku/>
        <w:wordWrap/>
        <w:overflowPunct/>
        <w:bidi w:val="0"/>
        <w:snapToGrid/>
        <w:jc w:val="both"/>
        <w:textAlignment w:val="auto"/>
        <w:outlineLvl w:val="9"/>
        <w:rPr>
          <w:rFonts w:hint="eastAsia" w:ascii="宋体" w:hAnsi="宋体" w:eastAsia="宋体" w:cs="宋体"/>
          <w:color w:val="auto"/>
          <w:kern w:val="1"/>
          <w:sz w:val="21"/>
          <w:szCs w:val="21"/>
          <w:highlight w:val="none"/>
        </w:rPr>
      </w:pPr>
    </w:p>
    <w:p w14:paraId="142232B0">
      <w:pPr>
        <w:pageBreakBefore w:val="0"/>
        <w:widowControl w:val="0"/>
        <w:kinsoku/>
        <w:wordWrap/>
        <w:overflowPunct/>
        <w:bidi w:val="0"/>
        <w:snapToGrid/>
        <w:jc w:val="both"/>
        <w:textAlignment w:val="auto"/>
        <w:outlineLvl w:val="9"/>
        <w:rPr>
          <w:rFonts w:hint="eastAsia" w:ascii="宋体" w:hAnsi="宋体" w:eastAsia="宋体" w:cs="宋体"/>
          <w:color w:val="auto"/>
          <w:sz w:val="21"/>
          <w:szCs w:val="21"/>
          <w:highlight w:val="none"/>
          <w:lang w:val="en-US" w:eastAsia="zh-CN"/>
        </w:rPr>
      </w:pPr>
    </w:p>
    <w:p w14:paraId="4A980F64">
      <w:pPr>
        <w:pStyle w:val="6"/>
        <w:rPr>
          <w:rFonts w:hint="eastAsia" w:ascii="宋体" w:hAnsi="宋体" w:eastAsia="宋体" w:cs="宋体"/>
          <w:color w:val="auto"/>
          <w:highlight w:val="none"/>
        </w:rPr>
      </w:pPr>
    </w:p>
    <w:p w14:paraId="0AC835C9">
      <w:pPr>
        <w:pStyle w:val="6"/>
        <w:spacing w:line="248" w:lineRule="auto"/>
        <w:rPr>
          <w:color w:val="auto"/>
          <w:highlight w:val="none"/>
        </w:rPr>
      </w:pPr>
    </w:p>
    <w:p w14:paraId="504C6E95">
      <w:pPr>
        <w:pStyle w:val="6"/>
        <w:spacing w:line="248" w:lineRule="auto"/>
        <w:rPr>
          <w:color w:val="auto"/>
          <w:highlight w:val="none"/>
        </w:rPr>
      </w:pPr>
    </w:p>
    <w:p w14:paraId="388D955C">
      <w:pPr>
        <w:pStyle w:val="6"/>
        <w:spacing w:line="248" w:lineRule="auto"/>
        <w:rPr>
          <w:color w:val="auto"/>
          <w:highlight w:val="none"/>
        </w:rPr>
      </w:pPr>
    </w:p>
    <w:p w14:paraId="50340774">
      <w:pPr>
        <w:pStyle w:val="6"/>
        <w:spacing w:line="248" w:lineRule="auto"/>
        <w:rPr>
          <w:color w:val="auto"/>
          <w:highlight w:val="none"/>
        </w:rPr>
      </w:pPr>
    </w:p>
    <w:p w14:paraId="506D386F">
      <w:pPr>
        <w:spacing w:before="306" w:line="219" w:lineRule="auto"/>
        <w:ind w:left="2682"/>
        <w:outlineLvl w:val="0"/>
        <w:rPr>
          <w:rFonts w:ascii="宋体" w:hAnsi="宋体" w:eastAsia="宋体" w:cs="宋体"/>
          <w:color w:val="auto"/>
          <w:sz w:val="36"/>
          <w:szCs w:val="36"/>
          <w:highlight w:val="none"/>
        </w:rPr>
      </w:pPr>
      <w:bookmarkStart w:id="1740" w:name="bookmark5"/>
      <w:bookmarkEnd w:id="1740"/>
      <w:bookmarkStart w:id="1741" w:name="bookmark6"/>
      <w:bookmarkEnd w:id="1741"/>
      <w:r>
        <w:rPr>
          <w:rFonts w:ascii="宋体" w:hAnsi="宋体" w:eastAsia="宋体" w:cs="宋体"/>
          <w:b/>
          <w:bCs/>
          <w:color w:val="auto"/>
          <w:spacing w:val="-8"/>
          <w:sz w:val="36"/>
          <w:szCs w:val="36"/>
          <w:highlight w:val="none"/>
        </w:rPr>
        <w:t>第六章</w:t>
      </w:r>
      <w:r>
        <w:rPr>
          <w:rFonts w:ascii="宋体" w:hAnsi="宋体" w:eastAsia="宋体" w:cs="宋体"/>
          <w:color w:val="auto"/>
          <w:spacing w:val="11"/>
          <w:sz w:val="36"/>
          <w:szCs w:val="36"/>
          <w:highlight w:val="none"/>
        </w:rPr>
        <w:t xml:space="preserve">   </w:t>
      </w:r>
      <w:r>
        <w:rPr>
          <w:rFonts w:ascii="宋体" w:hAnsi="宋体" w:eastAsia="宋体" w:cs="宋体"/>
          <w:b/>
          <w:bCs/>
          <w:color w:val="auto"/>
          <w:spacing w:val="-8"/>
          <w:sz w:val="36"/>
          <w:szCs w:val="36"/>
          <w:highlight w:val="none"/>
        </w:rPr>
        <w:t>响应文件格式</w:t>
      </w:r>
    </w:p>
    <w:p w14:paraId="101954FD">
      <w:pPr>
        <w:pStyle w:val="6"/>
        <w:spacing w:line="293" w:lineRule="auto"/>
        <w:rPr>
          <w:color w:val="auto"/>
          <w:highlight w:val="none"/>
        </w:rPr>
      </w:pPr>
    </w:p>
    <w:p w14:paraId="19C221DF">
      <w:pPr>
        <w:pStyle w:val="6"/>
        <w:spacing w:line="293" w:lineRule="auto"/>
        <w:rPr>
          <w:color w:val="auto"/>
          <w:highlight w:val="none"/>
        </w:rPr>
      </w:pPr>
    </w:p>
    <w:p w14:paraId="3C7C6B4A">
      <w:pPr>
        <w:keepNext w:val="0"/>
        <w:keepLines w:val="0"/>
        <w:pageBreakBefore w:val="0"/>
        <w:widowControl/>
        <w:kinsoku w:val="0"/>
        <w:wordWrap/>
        <w:overflowPunct/>
        <w:topLinePunct w:val="0"/>
        <w:autoSpaceDE w:val="0"/>
        <w:autoSpaceDN w:val="0"/>
        <w:bidi w:val="0"/>
        <w:adjustRightInd w:val="0"/>
        <w:snapToGrid w:val="0"/>
        <w:spacing w:before="78" w:line="360" w:lineRule="auto"/>
        <w:ind w:left="180"/>
        <w:jc w:val="both"/>
        <w:textAlignment w:val="baseline"/>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供应商编制文件须知</w:t>
      </w:r>
    </w:p>
    <w:p w14:paraId="441BD065">
      <w:pPr>
        <w:keepNext w:val="0"/>
        <w:keepLines w:val="0"/>
        <w:pageBreakBefore w:val="0"/>
        <w:widowControl/>
        <w:kinsoku w:val="0"/>
        <w:wordWrap/>
        <w:overflowPunct/>
        <w:topLinePunct w:val="0"/>
        <w:autoSpaceDE w:val="0"/>
        <w:autoSpaceDN w:val="0"/>
        <w:bidi w:val="0"/>
        <w:adjustRightInd w:val="0"/>
        <w:snapToGrid w:val="0"/>
        <w:spacing w:before="182" w:line="360" w:lineRule="auto"/>
        <w:ind w:left="180" w:right="214" w:firstLine="18"/>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1、供应商按照本部分的顺序编制响应文件， 编制中涉及格式资料的，应按照本部分提</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
          <w:sz w:val="21"/>
          <w:szCs w:val="21"/>
          <w:highlight w:val="none"/>
        </w:rPr>
        <w:t>供的内容和格式（所有表格的格式可扩展）填写提交。</w:t>
      </w:r>
    </w:p>
    <w:p w14:paraId="4D1B3D8A">
      <w:pPr>
        <w:keepNext w:val="0"/>
        <w:keepLines w:val="0"/>
        <w:pageBreakBefore w:val="0"/>
        <w:widowControl/>
        <w:kinsoku w:val="0"/>
        <w:wordWrap/>
        <w:overflowPunct/>
        <w:topLinePunct w:val="0"/>
        <w:autoSpaceDE w:val="0"/>
        <w:autoSpaceDN w:val="0"/>
        <w:bidi w:val="0"/>
        <w:adjustRightInd w:val="0"/>
        <w:snapToGrid w:val="0"/>
        <w:spacing w:before="180" w:line="360" w:lineRule="auto"/>
        <w:ind w:left="181" w:hanging="5"/>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2、对于竞争性磋商文件中标记了“实质性格式”文件的，供应</w:t>
      </w:r>
      <w:r>
        <w:rPr>
          <w:rFonts w:hint="eastAsia" w:ascii="宋体" w:hAnsi="宋体" w:eastAsia="宋体" w:cs="宋体"/>
          <w:color w:val="auto"/>
          <w:spacing w:val="-2"/>
          <w:sz w:val="21"/>
          <w:szCs w:val="21"/>
          <w:highlight w:val="none"/>
        </w:rPr>
        <w:t>商不得改变格式中给定的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文字所表达的含义，不得删减格式中的实质性内容，不得自行添加与格式中给定的文</w:t>
      </w:r>
      <w:r>
        <w:rPr>
          <w:rFonts w:hint="eastAsia" w:ascii="宋体" w:hAnsi="宋体" w:eastAsia="宋体" w:cs="宋体"/>
          <w:color w:val="auto"/>
          <w:sz w:val="21"/>
          <w:szCs w:val="21"/>
          <w:highlight w:val="none"/>
        </w:rPr>
        <w:t xml:space="preserve">  字内容相矛盾的内容，不得对应当填写的空格不填写或不实</w:t>
      </w:r>
      <w:r>
        <w:rPr>
          <w:rFonts w:hint="eastAsia" w:ascii="宋体" w:hAnsi="宋体" w:eastAsia="宋体" w:cs="宋体"/>
          <w:color w:val="auto"/>
          <w:spacing w:val="-1"/>
          <w:sz w:val="21"/>
          <w:szCs w:val="21"/>
          <w:highlight w:val="none"/>
        </w:rPr>
        <w:t>质性响应，</w:t>
      </w:r>
      <w:r>
        <w:rPr>
          <w:rFonts w:hint="eastAsia" w:ascii="宋体" w:hAnsi="宋体" w:eastAsia="宋体" w:cs="宋体"/>
          <w:b/>
          <w:bCs/>
          <w:color w:val="auto"/>
          <w:spacing w:val="-1"/>
          <w:sz w:val="21"/>
          <w:szCs w:val="21"/>
          <w:highlight w:val="none"/>
        </w:rPr>
        <w:t>否则响应无效</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未标记“实质性格式”的文件和竞争性磋商文件未提供格式的</w:t>
      </w:r>
      <w:r>
        <w:rPr>
          <w:rFonts w:hint="eastAsia" w:ascii="宋体" w:hAnsi="宋体" w:eastAsia="宋体" w:cs="宋体"/>
          <w:color w:val="auto"/>
          <w:spacing w:val="1"/>
          <w:sz w:val="21"/>
          <w:szCs w:val="21"/>
          <w:highlight w:val="none"/>
        </w:rPr>
        <w:t>内容，可由供应商自行编</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写。</w:t>
      </w:r>
    </w:p>
    <w:p w14:paraId="3ECC2462">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8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3、全部声明和问题的回答及所附材料必须</w:t>
      </w:r>
      <w:r>
        <w:rPr>
          <w:rFonts w:hint="eastAsia" w:ascii="宋体" w:hAnsi="宋体" w:eastAsia="宋体" w:cs="宋体"/>
          <w:color w:val="auto"/>
          <w:spacing w:val="-2"/>
          <w:sz w:val="21"/>
          <w:szCs w:val="21"/>
          <w:highlight w:val="none"/>
        </w:rPr>
        <w:t>是真实的、准确的和完整的。</w:t>
      </w:r>
    </w:p>
    <w:p w14:paraId="787CD2E8">
      <w:pPr>
        <w:spacing w:line="219" w:lineRule="auto"/>
        <w:rPr>
          <w:rFonts w:ascii="宋体" w:hAnsi="宋体" w:eastAsia="宋体" w:cs="宋体"/>
          <w:color w:val="auto"/>
          <w:sz w:val="24"/>
          <w:szCs w:val="24"/>
          <w:highlight w:val="none"/>
        </w:rPr>
        <w:sectPr>
          <w:headerReference r:id="rId22" w:type="default"/>
          <w:footerReference r:id="rId23" w:type="default"/>
          <w:pgSz w:w="11907" w:h="16840"/>
          <w:pgMar w:top="1167" w:right="929" w:bottom="1011" w:left="1672" w:header="830" w:footer="851" w:gutter="0"/>
          <w:pgNumType w:fmt="decimal"/>
          <w:cols w:space="720" w:num="1"/>
        </w:sectPr>
      </w:pPr>
    </w:p>
    <w:p w14:paraId="44D90E9A">
      <w:pPr>
        <w:pStyle w:val="6"/>
        <w:spacing w:line="447" w:lineRule="auto"/>
        <w:rPr>
          <w:color w:val="auto"/>
          <w:highlight w:val="none"/>
        </w:rPr>
      </w:pPr>
    </w:p>
    <w:p w14:paraId="3308C25F">
      <w:pPr>
        <w:spacing w:before="78" w:line="220" w:lineRule="auto"/>
        <w:ind w:left="50"/>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响</w:t>
      </w:r>
      <w:r>
        <w:rPr>
          <w:rFonts w:ascii="宋体" w:hAnsi="宋体" w:eastAsia="宋体" w:cs="宋体"/>
          <w:color w:val="auto"/>
          <w:spacing w:val="-60"/>
          <w:sz w:val="24"/>
          <w:szCs w:val="24"/>
          <w:highlight w:val="none"/>
        </w:rPr>
        <w:t xml:space="preserve"> </w:t>
      </w:r>
      <w:r>
        <w:rPr>
          <w:rFonts w:ascii="宋体" w:hAnsi="宋体" w:eastAsia="宋体" w:cs="宋体"/>
          <w:b/>
          <w:bCs/>
          <w:color w:val="auto"/>
          <w:spacing w:val="-7"/>
          <w:sz w:val="24"/>
          <w:szCs w:val="24"/>
          <w:highlight w:val="none"/>
        </w:rPr>
        <w:t>应</w:t>
      </w:r>
      <w:r>
        <w:rPr>
          <w:rFonts w:ascii="宋体" w:hAnsi="宋体" w:eastAsia="宋体" w:cs="宋体"/>
          <w:color w:val="auto"/>
          <w:spacing w:val="-68"/>
          <w:sz w:val="24"/>
          <w:szCs w:val="24"/>
          <w:highlight w:val="none"/>
        </w:rPr>
        <w:t xml:space="preserve"> </w:t>
      </w:r>
      <w:r>
        <w:rPr>
          <w:rFonts w:ascii="宋体" w:hAnsi="宋体" w:eastAsia="宋体" w:cs="宋体"/>
          <w:b/>
          <w:bCs/>
          <w:color w:val="auto"/>
          <w:spacing w:val="-7"/>
          <w:sz w:val="24"/>
          <w:szCs w:val="24"/>
          <w:highlight w:val="none"/>
        </w:rPr>
        <w:t>文</w:t>
      </w:r>
      <w:r>
        <w:rPr>
          <w:rFonts w:ascii="宋体" w:hAnsi="宋体" w:eastAsia="宋体" w:cs="宋体"/>
          <w:color w:val="auto"/>
          <w:spacing w:val="-70"/>
          <w:sz w:val="24"/>
          <w:szCs w:val="24"/>
          <w:highlight w:val="none"/>
        </w:rPr>
        <w:t xml:space="preserve"> </w:t>
      </w:r>
      <w:r>
        <w:rPr>
          <w:rFonts w:ascii="宋体" w:hAnsi="宋体" w:eastAsia="宋体" w:cs="宋体"/>
          <w:b/>
          <w:bCs/>
          <w:color w:val="auto"/>
          <w:spacing w:val="-7"/>
          <w:sz w:val="24"/>
          <w:szCs w:val="24"/>
          <w:highlight w:val="none"/>
        </w:rPr>
        <w:t>件</w:t>
      </w:r>
      <w:r>
        <w:rPr>
          <w:rFonts w:ascii="宋体" w:hAnsi="宋体" w:eastAsia="宋体" w:cs="宋体"/>
          <w:color w:val="auto"/>
          <w:spacing w:val="-71"/>
          <w:sz w:val="24"/>
          <w:szCs w:val="24"/>
          <w:highlight w:val="none"/>
        </w:rPr>
        <w:t xml:space="preserve"> </w:t>
      </w:r>
      <w:r>
        <w:rPr>
          <w:rFonts w:ascii="宋体" w:hAnsi="宋体" w:eastAsia="宋体" w:cs="宋体"/>
          <w:b/>
          <w:bCs/>
          <w:color w:val="auto"/>
          <w:spacing w:val="-7"/>
          <w:sz w:val="24"/>
          <w:szCs w:val="24"/>
          <w:highlight w:val="none"/>
        </w:rPr>
        <w:t>封面（非实质性格式）</w:t>
      </w:r>
    </w:p>
    <w:p w14:paraId="44300BE0">
      <w:pPr>
        <w:spacing w:before="359" w:line="220" w:lineRule="auto"/>
        <w:ind w:left="1903"/>
        <w:rPr>
          <w:rFonts w:ascii="宋体" w:hAnsi="宋体" w:eastAsia="宋体" w:cs="宋体"/>
          <w:color w:val="auto"/>
          <w:sz w:val="84"/>
          <w:szCs w:val="84"/>
          <w:highlight w:val="none"/>
        </w:rPr>
      </w:pPr>
      <w:r>
        <w:rPr>
          <w:rFonts w:ascii="宋体" w:hAnsi="宋体" w:eastAsia="宋体" w:cs="宋体"/>
          <w:b/>
          <w:bCs/>
          <w:color w:val="auto"/>
          <w:spacing w:val="-46"/>
          <w:sz w:val="84"/>
          <w:szCs w:val="84"/>
          <w:highlight w:val="none"/>
        </w:rPr>
        <w:t>响</w:t>
      </w:r>
      <w:r>
        <w:rPr>
          <w:rFonts w:ascii="宋体" w:hAnsi="宋体" w:eastAsia="宋体" w:cs="宋体"/>
          <w:color w:val="auto"/>
          <w:spacing w:val="276"/>
          <w:sz w:val="84"/>
          <w:szCs w:val="84"/>
          <w:highlight w:val="none"/>
        </w:rPr>
        <w:t xml:space="preserve"> </w:t>
      </w:r>
      <w:r>
        <w:rPr>
          <w:rFonts w:ascii="宋体" w:hAnsi="宋体" w:eastAsia="宋体" w:cs="宋体"/>
          <w:b/>
          <w:bCs/>
          <w:color w:val="auto"/>
          <w:spacing w:val="-46"/>
          <w:sz w:val="84"/>
          <w:szCs w:val="84"/>
          <w:highlight w:val="none"/>
        </w:rPr>
        <w:t>应</w:t>
      </w:r>
      <w:r>
        <w:rPr>
          <w:rFonts w:ascii="宋体" w:hAnsi="宋体" w:eastAsia="宋体" w:cs="宋体"/>
          <w:color w:val="auto"/>
          <w:spacing w:val="282"/>
          <w:sz w:val="84"/>
          <w:szCs w:val="84"/>
          <w:highlight w:val="none"/>
        </w:rPr>
        <w:t xml:space="preserve"> </w:t>
      </w:r>
      <w:r>
        <w:rPr>
          <w:rFonts w:ascii="宋体" w:hAnsi="宋体" w:eastAsia="宋体" w:cs="宋体"/>
          <w:b/>
          <w:bCs/>
          <w:color w:val="auto"/>
          <w:spacing w:val="-46"/>
          <w:sz w:val="84"/>
          <w:szCs w:val="84"/>
          <w:highlight w:val="none"/>
        </w:rPr>
        <w:t>文</w:t>
      </w:r>
      <w:r>
        <w:rPr>
          <w:rFonts w:ascii="宋体" w:hAnsi="宋体" w:eastAsia="宋体" w:cs="宋体"/>
          <w:color w:val="auto"/>
          <w:spacing w:val="273"/>
          <w:sz w:val="84"/>
          <w:szCs w:val="84"/>
          <w:highlight w:val="none"/>
        </w:rPr>
        <w:t xml:space="preserve"> </w:t>
      </w:r>
      <w:r>
        <w:rPr>
          <w:rFonts w:ascii="宋体" w:hAnsi="宋体" w:eastAsia="宋体" w:cs="宋体"/>
          <w:b/>
          <w:bCs/>
          <w:color w:val="auto"/>
          <w:spacing w:val="-46"/>
          <w:sz w:val="84"/>
          <w:szCs w:val="84"/>
          <w:highlight w:val="none"/>
        </w:rPr>
        <w:t>件</w:t>
      </w:r>
    </w:p>
    <w:p w14:paraId="5A7DB890">
      <w:pPr>
        <w:pStyle w:val="6"/>
        <w:spacing w:line="246" w:lineRule="auto"/>
        <w:rPr>
          <w:color w:val="auto"/>
          <w:highlight w:val="none"/>
        </w:rPr>
      </w:pPr>
    </w:p>
    <w:p w14:paraId="5D9AA75D">
      <w:pPr>
        <w:pStyle w:val="6"/>
        <w:spacing w:line="246" w:lineRule="auto"/>
        <w:rPr>
          <w:color w:val="auto"/>
          <w:highlight w:val="none"/>
        </w:rPr>
      </w:pPr>
    </w:p>
    <w:p w14:paraId="3472D569">
      <w:pPr>
        <w:pStyle w:val="6"/>
        <w:spacing w:line="246" w:lineRule="auto"/>
        <w:rPr>
          <w:color w:val="auto"/>
          <w:highlight w:val="none"/>
        </w:rPr>
      </w:pPr>
    </w:p>
    <w:p w14:paraId="6B8A3460">
      <w:pPr>
        <w:pStyle w:val="6"/>
        <w:spacing w:line="246" w:lineRule="auto"/>
        <w:rPr>
          <w:color w:val="auto"/>
          <w:highlight w:val="none"/>
        </w:rPr>
      </w:pPr>
    </w:p>
    <w:p w14:paraId="69C86447">
      <w:pPr>
        <w:pStyle w:val="6"/>
        <w:spacing w:line="247" w:lineRule="auto"/>
        <w:rPr>
          <w:color w:val="auto"/>
          <w:highlight w:val="none"/>
        </w:rPr>
      </w:pPr>
    </w:p>
    <w:p w14:paraId="31557A93">
      <w:pPr>
        <w:spacing w:before="104" w:line="220" w:lineRule="auto"/>
        <w:ind w:left="556"/>
        <w:rPr>
          <w:rFonts w:ascii="Times New Roman" w:hAnsi="Times New Roman" w:eastAsia="Times New Roman" w:cs="Times New Roman"/>
          <w:color w:val="auto"/>
          <w:sz w:val="32"/>
          <w:szCs w:val="32"/>
          <w:highlight w:val="none"/>
        </w:rPr>
      </w:pPr>
      <w:r>
        <w:rPr>
          <w:rFonts w:ascii="宋体" w:hAnsi="宋体" w:eastAsia="宋体" w:cs="宋体"/>
          <w:b/>
          <w:bCs/>
          <w:color w:val="auto"/>
          <w:spacing w:val="-5"/>
          <w:sz w:val="32"/>
          <w:szCs w:val="32"/>
          <w:highlight w:val="none"/>
        </w:rPr>
        <w:t>项</w:t>
      </w:r>
      <w:r>
        <w:rPr>
          <w:rFonts w:ascii="宋体" w:hAnsi="宋体" w:eastAsia="宋体" w:cs="宋体"/>
          <w:color w:val="auto"/>
          <w:spacing w:val="-44"/>
          <w:sz w:val="32"/>
          <w:szCs w:val="32"/>
          <w:highlight w:val="none"/>
        </w:rPr>
        <w:t xml:space="preserve"> </w:t>
      </w:r>
      <w:r>
        <w:rPr>
          <w:rFonts w:ascii="宋体" w:hAnsi="宋体" w:eastAsia="宋体" w:cs="宋体"/>
          <w:b/>
          <w:bCs/>
          <w:color w:val="auto"/>
          <w:spacing w:val="-5"/>
          <w:sz w:val="32"/>
          <w:szCs w:val="32"/>
          <w:highlight w:val="none"/>
        </w:rPr>
        <w:t>目名称</w:t>
      </w:r>
      <w:r>
        <w:rPr>
          <w:rFonts w:ascii="宋体" w:hAnsi="宋体" w:eastAsia="宋体" w:cs="宋体"/>
          <w:color w:val="auto"/>
          <w:spacing w:val="-91"/>
          <w:sz w:val="32"/>
          <w:szCs w:val="32"/>
          <w:highlight w:val="none"/>
        </w:rPr>
        <w:t xml:space="preserve"> </w:t>
      </w:r>
      <w:r>
        <w:rPr>
          <w:rFonts w:ascii="Times New Roman" w:hAnsi="Times New Roman" w:eastAsia="Times New Roman" w:cs="Times New Roman"/>
          <w:b/>
          <w:bCs/>
          <w:color w:val="auto"/>
          <w:spacing w:val="-5"/>
          <w:sz w:val="32"/>
          <w:szCs w:val="32"/>
          <w:highlight w:val="none"/>
        </w:rPr>
        <w:t>:</w:t>
      </w:r>
    </w:p>
    <w:p w14:paraId="3A909A1B">
      <w:pPr>
        <w:spacing w:before="32" w:line="220" w:lineRule="auto"/>
        <w:ind w:left="556"/>
        <w:rPr>
          <w:rFonts w:ascii="宋体" w:hAnsi="宋体" w:eastAsia="宋体" w:cs="宋体"/>
          <w:color w:val="auto"/>
          <w:sz w:val="32"/>
          <w:szCs w:val="32"/>
          <w:highlight w:val="none"/>
        </w:rPr>
      </w:pPr>
      <w:r>
        <w:rPr>
          <w:rFonts w:ascii="宋体" w:hAnsi="宋体" w:eastAsia="宋体" w:cs="宋体"/>
          <w:b/>
          <w:bCs/>
          <w:color w:val="auto"/>
          <w:spacing w:val="13"/>
          <w:sz w:val="32"/>
          <w:szCs w:val="32"/>
          <w:highlight w:val="none"/>
        </w:rPr>
        <w:t>项</w:t>
      </w:r>
      <w:r>
        <w:rPr>
          <w:rFonts w:ascii="宋体" w:hAnsi="宋体" w:eastAsia="宋体" w:cs="宋体"/>
          <w:color w:val="auto"/>
          <w:spacing w:val="-39"/>
          <w:sz w:val="32"/>
          <w:szCs w:val="32"/>
          <w:highlight w:val="none"/>
        </w:rPr>
        <w:t xml:space="preserve"> </w:t>
      </w:r>
      <w:r>
        <w:rPr>
          <w:rFonts w:ascii="宋体" w:hAnsi="宋体" w:eastAsia="宋体" w:cs="宋体"/>
          <w:b/>
          <w:bCs/>
          <w:color w:val="auto"/>
          <w:spacing w:val="13"/>
          <w:sz w:val="32"/>
          <w:szCs w:val="32"/>
          <w:highlight w:val="none"/>
        </w:rPr>
        <w:t>目编号</w:t>
      </w:r>
      <w:r>
        <w:rPr>
          <w:rFonts w:ascii="Times New Roman" w:hAnsi="Times New Roman" w:eastAsia="Times New Roman" w:cs="Times New Roman"/>
          <w:b/>
          <w:bCs/>
          <w:color w:val="auto"/>
          <w:spacing w:val="13"/>
          <w:sz w:val="32"/>
          <w:szCs w:val="32"/>
          <w:highlight w:val="none"/>
        </w:rPr>
        <w:t>/</w:t>
      </w:r>
      <w:r>
        <w:rPr>
          <w:rFonts w:ascii="宋体" w:hAnsi="宋体" w:eastAsia="宋体" w:cs="宋体"/>
          <w:b/>
          <w:bCs/>
          <w:color w:val="auto"/>
          <w:spacing w:val="13"/>
          <w:sz w:val="32"/>
          <w:szCs w:val="32"/>
          <w:highlight w:val="none"/>
        </w:rPr>
        <w:t>包号：</w:t>
      </w:r>
    </w:p>
    <w:p w14:paraId="61746693">
      <w:pPr>
        <w:pStyle w:val="6"/>
        <w:spacing w:line="259" w:lineRule="auto"/>
        <w:rPr>
          <w:color w:val="auto"/>
          <w:highlight w:val="none"/>
        </w:rPr>
      </w:pPr>
    </w:p>
    <w:p w14:paraId="555C6D61">
      <w:pPr>
        <w:pStyle w:val="6"/>
        <w:spacing w:line="259" w:lineRule="auto"/>
        <w:rPr>
          <w:color w:val="auto"/>
          <w:highlight w:val="none"/>
        </w:rPr>
      </w:pPr>
    </w:p>
    <w:p w14:paraId="081CF097">
      <w:pPr>
        <w:pStyle w:val="6"/>
        <w:spacing w:line="259" w:lineRule="auto"/>
        <w:rPr>
          <w:color w:val="auto"/>
          <w:highlight w:val="none"/>
        </w:rPr>
      </w:pPr>
    </w:p>
    <w:p w14:paraId="16A306E3">
      <w:pPr>
        <w:pStyle w:val="6"/>
        <w:spacing w:line="259" w:lineRule="auto"/>
        <w:rPr>
          <w:color w:val="auto"/>
          <w:highlight w:val="none"/>
        </w:rPr>
      </w:pPr>
    </w:p>
    <w:p w14:paraId="5AEA9A83">
      <w:pPr>
        <w:pStyle w:val="6"/>
        <w:spacing w:line="260" w:lineRule="auto"/>
        <w:rPr>
          <w:color w:val="auto"/>
          <w:highlight w:val="none"/>
        </w:rPr>
      </w:pPr>
    </w:p>
    <w:p w14:paraId="33FFF6A0">
      <w:pPr>
        <w:pStyle w:val="6"/>
        <w:spacing w:line="260" w:lineRule="auto"/>
        <w:rPr>
          <w:color w:val="auto"/>
          <w:highlight w:val="none"/>
        </w:rPr>
      </w:pPr>
    </w:p>
    <w:p w14:paraId="1A5790B0">
      <w:pPr>
        <w:pStyle w:val="6"/>
        <w:spacing w:line="260" w:lineRule="auto"/>
        <w:rPr>
          <w:color w:val="auto"/>
          <w:highlight w:val="none"/>
        </w:rPr>
      </w:pPr>
    </w:p>
    <w:p w14:paraId="2CE5A7F8">
      <w:pPr>
        <w:pStyle w:val="6"/>
        <w:spacing w:line="260" w:lineRule="auto"/>
        <w:rPr>
          <w:color w:val="auto"/>
          <w:highlight w:val="none"/>
        </w:rPr>
      </w:pPr>
    </w:p>
    <w:p w14:paraId="6D505BB1">
      <w:pPr>
        <w:pStyle w:val="6"/>
        <w:spacing w:line="260" w:lineRule="auto"/>
        <w:rPr>
          <w:color w:val="auto"/>
          <w:highlight w:val="none"/>
        </w:rPr>
      </w:pPr>
    </w:p>
    <w:p w14:paraId="3D84B133">
      <w:pPr>
        <w:pStyle w:val="6"/>
        <w:spacing w:line="260" w:lineRule="auto"/>
        <w:rPr>
          <w:color w:val="auto"/>
          <w:highlight w:val="none"/>
        </w:rPr>
      </w:pPr>
    </w:p>
    <w:p w14:paraId="68C0874D">
      <w:pPr>
        <w:pStyle w:val="6"/>
        <w:spacing w:line="260" w:lineRule="auto"/>
        <w:rPr>
          <w:color w:val="auto"/>
          <w:highlight w:val="none"/>
        </w:rPr>
      </w:pPr>
    </w:p>
    <w:p w14:paraId="12BF3844">
      <w:pPr>
        <w:spacing w:before="104" w:line="219" w:lineRule="auto"/>
        <w:ind w:left="1401"/>
        <w:rPr>
          <w:rFonts w:hint="eastAsia" w:ascii="宋体" w:hAnsi="宋体" w:eastAsia="宋体" w:cs="宋体"/>
          <w:color w:val="auto"/>
          <w:sz w:val="32"/>
          <w:szCs w:val="32"/>
          <w:highlight w:val="none"/>
          <w:lang w:eastAsia="zh-CN"/>
        </w:rPr>
      </w:pPr>
      <w:r>
        <w:rPr>
          <w:rFonts w:ascii="宋体" w:hAnsi="宋体" w:eastAsia="宋体" w:cs="宋体"/>
          <w:b/>
          <w:bCs/>
          <w:color w:val="auto"/>
          <w:spacing w:val="28"/>
          <w:sz w:val="32"/>
          <w:szCs w:val="32"/>
          <w:highlight w:val="none"/>
        </w:rPr>
        <w:t>供应商名称：</w:t>
      </w:r>
      <w:r>
        <w:rPr>
          <w:rFonts w:hint="eastAsia" w:ascii="宋体" w:hAnsi="宋体" w:eastAsia="宋体" w:cs="宋体"/>
          <w:b/>
          <w:bCs/>
          <w:color w:val="auto"/>
          <w:spacing w:val="28"/>
          <w:sz w:val="32"/>
          <w:szCs w:val="32"/>
          <w:highlight w:val="none"/>
          <w:lang w:eastAsia="zh-CN"/>
        </w:rPr>
        <w:t>（</w:t>
      </w:r>
      <w:r>
        <w:rPr>
          <w:rFonts w:hint="eastAsia" w:ascii="宋体" w:hAnsi="宋体" w:eastAsia="宋体" w:cs="宋体"/>
          <w:b/>
          <w:bCs/>
          <w:color w:val="auto"/>
          <w:spacing w:val="28"/>
          <w:sz w:val="32"/>
          <w:szCs w:val="32"/>
          <w:highlight w:val="none"/>
          <w:lang w:val="en-US" w:eastAsia="zh-CN"/>
        </w:rPr>
        <w:t>加盖公章</w:t>
      </w:r>
      <w:r>
        <w:rPr>
          <w:rFonts w:hint="eastAsia" w:ascii="宋体" w:hAnsi="宋体" w:eastAsia="宋体" w:cs="宋体"/>
          <w:b/>
          <w:bCs/>
          <w:color w:val="auto"/>
          <w:spacing w:val="28"/>
          <w:sz w:val="32"/>
          <w:szCs w:val="32"/>
          <w:highlight w:val="none"/>
          <w:lang w:eastAsia="zh-CN"/>
        </w:rPr>
        <w:t>）</w:t>
      </w:r>
    </w:p>
    <w:p w14:paraId="1B32B232">
      <w:pPr>
        <w:spacing w:before="104" w:line="219" w:lineRule="auto"/>
        <w:ind w:left="1401"/>
        <w:rPr>
          <w:rFonts w:ascii="宋体" w:hAnsi="宋体" w:eastAsia="宋体" w:cs="宋体"/>
          <w:color w:val="auto"/>
          <w:sz w:val="32"/>
          <w:szCs w:val="32"/>
          <w:highlight w:val="none"/>
        </w:rPr>
      </w:pPr>
    </w:p>
    <w:p w14:paraId="5B42495F">
      <w:pPr>
        <w:spacing w:line="219" w:lineRule="auto"/>
        <w:rPr>
          <w:rFonts w:ascii="宋体" w:hAnsi="宋体" w:eastAsia="宋体" w:cs="宋体"/>
          <w:color w:val="auto"/>
          <w:sz w:val="32"/>
          <w:szCs w:val="32"/>
          <w:highlight w:val="none"/>
        </w:rPr>
        <w:sectPr>
          <w:headerReference r:id="rId24" w:type="default"/>
          <w:footerReference r:id="rId25" w:type="default"/>
          <w:pgSz w:w="11907" w:h="16840"/>
          <w:pgMar w:top="1167" w:right="1105" w:bottom="1011" w:left="1672" w:header="830" w:footer="851" w:gutter="0"/>
          <w:pgNumType w:fmt="decimal"/>
          <w:cols w:space="720" w:num="1"/>
        </w:sectPr>
      </w:pPr>
    </w:p>
    <w:p w14:paraId="2FC09DD0">
      <w:pPr>
        <w:spacing w:before="287" w:line="219" w:lineRule="auto"/>
        <w:ind w:left="57"/>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  </w:t>
      </w:r>
      <w:r>
        <w:rPr>
          <w:rFonts w:ascii="宋体" w:hAnsi="宋体" w:eastAsia="宋体" w:cs="宋体"/>
          <w:color w:val="auto"/>
          <w:spacing w:val="-1"/>
          <w:sz w:val="24"/>
          <w:szCs w:val="24"/>
          <w:highlight w:val="none"/>
        </w:rPr>
        <w:t>满足《中华人民共和国政府采购法》第二十二</w:t>
      </w:r>
      <w:r>
        <w:rPr>
          <w:rFonts w:ascii="宋体" w:hAnsi="宋体" w:eastAsia="宋体" w:cs="宋体"/>
          <w:color w:val="auto"/>
          <w:spacing w:val="-2"/>
          <w:sz w:val="24"/>
          <w:szCs w:val="24"/>
          <w:highlight w:val="none"/>
        </w:rPr>
        <w:t>条规定</w:t>
      </w:r>
    </w:p>
    <w:p w14:paraId="0C0E45EC">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8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1-1  营业执照等证明文件</w:t>
      </w:r>
    </w:p>
    <w:p w14:paraId="090BA020">
      <w:pPr>
        <w:spacing w:line="220" w:lineRule="auto"/>
        <w:rPr>
          <w:rFonts w:ascii="宋体" w:hAnsi="宋体" w:eastAsia="宋体" w:cs="宋体"/>
          <w:color w:val="auto"/>
          <w:sz w:val="24"/>
          <w:szCs w:val="24"/>
          <w:highlight w:val="none"/>
        </w:rPr>
        <w:sectPr>
          <w:footerReference r:id="rId26" w:type="default"/>
          <w:pgSz w:w="11907" w:h="16840"/>
          <w:pgMar w:top="1167" w:right="1105" w:bottom="1011" w:left="1672" w:header="830" w:footer="851" w:gutter="0"/>
          <w:pgNumType w:fmt="decimal"/>
          <w:cols w:space="720" w:num="1"/>
        </w:sectPr>
      </w:pPr>
    </w:p>
    <w:p w14:paraId="4CE24E8C">
      <w:pPr>
        <w:spacing w:before="287" w:line="219" w:lineRule="auto"/>
        <w:ind w:left="57"/>
        <w:outlineLvl w:val="2"/>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1-2  </w:t>
      </w:r>
      <w:r>
        <w:rPr>
          <w:rFonts w:ascii="宋体" w:hAnsi="宋体" w:eastAsia="宋体" w:cs="宋体"/>
          <w:color w:val="auto"/>
          <w:spacing w:val="-3"/>
          <w:sz w:val="24"/>
          <w:szCs w:val="24"/>
          <w:highlight w:val="none"/>
        </w:rPr>
        <w:t>供应商资格声明书</w:t>
      </w:r>
    </w:p>
    <w:p w14:paraId="5C422937">
      <w:pPr>
        <w:spacing w:before="165" w:line="219" w:lineRule="auto"/>
        <w:ind w:left="3133"/>
        <w:rPr>
          <w:rFonts w:ascii="宋体" w:hAnsi="宋体" w:eastAsia="宋体" w:cs="宋体"/>
          <w:color w:val="auto"/>
          <w:sz w:val="36"/>
          <w:szCs w:val="36"/>
          <w:highlight w:val="none"/>
        </w:rPr>
      </w:pPr>
      <w:r>
        <w:rPr>
          <w:rFonts w:ascii="宋体" w:hAnsi="宋体" w:eastAsia="宋体" w:cs="宋体"/>
          <w:b/>
          <w:bCs/>
          <w:color w:val="auto"/>
          <w:spacing w:val="-5"/>
          <w:sz w:val="36"/>
          <w:szCs w:val="36"/>
          <w:highlight w:val="none"/>
        </w:rPr>
        <w:t>供应商资格声明书</w:t>
      </w:r>
    </w:p>
    <w:p w14:paraId="72303BF3">
      <w:pPr>
        <w:pStyle w:val="6"/>
        <w:spacing w:line="354" w:lineRule="auto"/>
        <w:rPr>
          <w:color w:val="auto"/>
          <w:highlight w:val="none"/>
        </w:rPr>
      </w:pPr>
    </w:p>
    <w:p w14:paraId="536CD1D0">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8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致：</w:t>
      </w:r>
      <w:r>
        <w:rPr>
          <w:rFonts w:hint="eastAsia" w:ascii="宋体" w:hAnsi="宋体" w:eastAsia="宋体" w:cs="宋体"/>
          <w:color w:val="auto"/>
          <w:spacing w:val="-1"/>
          <w:sz w:val="21"/>
          <w:szCs w:val="21"/>
          <w:highlight w:val="none"/>
          <w:u w:val="single"/>
        </w:rPr>
        <w:t>采购人或采购代理机构</w:t>
      </w:r>
    </w:p>
    <w:p w14:paraId="6A5CCB38">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在参与本次项目磋商中，我单位承诺：</w:t>
      </w:r>
    </w:p>
    <w:p w14:paraId="5AE9D387">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（一）具有良好的商业信誉和健全的财务会计制度；</w:t>
      </w:r>
    </w:p>
    <w:p w14:paraId="09DAF608">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（二）具有履行合同所必需的设备和专业技术能力；</w:t>
      </w:r>
    </w:p>
    <w:p w14:paraId="40FFCDD4">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（三）有依法缴纳税收和社会保障资金的良好记录；</w:t>
      </w:r>
    </w:p>
    <w:p w14:paraId="697B15B3">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（四）参加政府采购活动前三年内，在经营活动中没有重大违法记录（重大违法记 录指因违法经营受到刑事处罚或者责令停产停业、吊销许可证或者执照、较大数额罚款等行政处罚，不包括因违法经营被禁止在一定期限内参加政府采 购活动，但期限已经届满的情形）；</w:t>
      </w:r>
    </w:p>
    <w:p w14:paraId="3BF44DC5">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（五）我单位不属于政府采购法律、行政法规规定的公益一类事业单位、或使用事 业编制且由财政拨款保障的群团组织（仅适用于政府购买服务项目）；</w:t>
      </w:r>
    </w:p>
    <w:p w14:paraId="7DF0B398">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（六）我单位不存在为采购项目提供整体设计、规范编制或者项目管理、监理、检 测等服务后，再参加该采购项目的其他采购活动的情形（单一来源采购项目除外）；</w:t>
      </w:r>
    </w:p>
    <w:p w14:paraId="04ADB3F0">
      <w:pPr>
        <w:keepNext w:val="0"/>
        <w:keepLines w:val="0"/>
        <w:pageBreakBefore w:val="0"/>
        <w:widowControl/>
        <w:kinsoku w:val="0"/>
        <w:wordWrap/>
        <w:overflowPunct/>
        <w:topLinePunct w:val="0"/>
        <w:autoSpaceDE w:val="0"/>
        <w:autoSpaceDN w:val="0"/>
        <w:bidi w:val="0"/>
        <w:adjustRightInd w:val="0"/>
        <w:snapToGrid w:val="0"/>
        <w:spacing w:before="178" w:line="360" w:lineRule="auto"/>
        <w:ind w:left="420" w:leftChars="0" w:firstLine="0" w:firstLineChars="0"/>
        <w:jc w:val="both"/>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（七）与我单位存在“单位负责人为同一人或者存在直接控股、管理关系”的其他法人单位信息如下（如有，不论其是否参加同一合同项下的政府采购活动均须填写）：</w:t>
      </w:r>
    </w:p>
    <w:p w14:paraId="00DABAF6">
      <w:pPr>
        <w:spacing w:line="143" w:lineRule="exact"/>
        <w:rPr>
          <w:rFonts w:hint="eastAsia" w:ascii="宋体" w:hAnsi="宋体" w:eastAsia="宋体" w:cs="宋体"/>
          <w:color w:val="auto"/>
          <w:sz w:val="21"/>
          <w:szCs w:val="21"/>
          <w:highlight w:val="none"/>
        </w:rPr>
      </w:pPr>
    </w:p>
    <w:tbl>
      <w:tblPr>
        <w:tblStyle w:val="18"/>
        <w:tblW w:w="8499" w:type="dxa"/>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4568"/>
        <w:gridCol w:w="2977"/>
      </w:tblGrid>
      <w:tr w14:paraId="23408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54" w:type="dxa"/>
            <w:vAlign w:val="top"/>
          </w:tcPr>
          <w:p w14:paraId="0B7825DC">
            <w:pPr>
              <w:pStyle w:val="19"/>
              <w:spacing w:before="96" w:line="221" w:lineRule="auto"/>
              <w:ind w:left="23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4568" w:type="dxa"/>
            <w:vAlign w:val="top"/>
          </w:tcPr>
          <w:p w14:paraId="279B23DB">
            <w:pPr>
              <w:pStyle w:val="19"/>
              <w:spacing w:before="97" w:line="220" w:lineRule="auto"/>
              <w:ind w:left="180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单位名称</w:t>
            </w:r>
          </w:p>
        </w:tc>
        <w:tc>
          <w:tcPr>
            <w:tcW w:w="2977" w:type="dxa"/>
            <w:vAlign w:val="top"/>
          </w:tcPr>
          <w:p w14:paraId="46062635">
            <w:pPr>
              <w:pStyle w:val="19"/>
              <w:spacing w:before="97" w:line="220" w:lineRule="auto"/>
              <w:ind w:left="10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相互关系</w:t>
            </w:r>
          </w:p>
        </w:tc>
      </w:tr>
      <w:tr w14:paraId="55DC6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54" w:type="dxa"/>
            <w:vAlign w:val="top"/>
          </w:tcPr>
          <w:p w14:paraId="5D2B348F">
            <w:pPr>
              <w:spacing w:before="137" w:line="186" w:lineRule="auto"/>
              <w:ind w:left="43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68" w:type="dxa"/>
            <w:vAlign w:val="top"/>
          </w:tcPr>
          <w:p w14:paraId="3D35CF82">
            <w:pPr>
              <w:rPr>
                <w:rFonts w:hint="eastAsia" w:ascii="宋体" w:hAnsi="宋体" w:eastAsia="宋体" w:cs="宋体"/>
                <w:color w:val="auto"/>
                <w:sz w:val="21"/>
                <w:szCs w:val="21"/>
                <w:highlight w:val="none"/>
              </w:rPr>
            </w:pPr>
          </w:p>
        </w:tc>
        <w:tc>
          <w:tcPr>
            <w:tcW w:w="2977" w:type="dxa"/>
            <w:vAlign w:val="top"/>
          </w:tcPr>
          <w:p w14:paraId="7876C7E3">
            <w:pPr>
              <w:rPr>
                <w:rFonts w:hint="eastAsia" w:ascii="宋体" w:hAnsi="宋体" w:eastAsia="宋体" w:cs="宋体"/>
                <w:color w:val="auto"/>
                <w:sz w:val="21"/>
                <w:szCs w:val="21"/>
                <w:highlight w:val="none"/>
              </w:rPr>
            </w:pPr>
          </w:p>
        </w:tc>
      </w:tr>
      <w:tr w14:paraId="35B4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954" w:type="dxa"/>
            <w:vAlign w:val="top"/>
          </w:tcPr>
          <w:p w14:paraId="05123D46">
            <w:pPr>
              <w:spacing w:before="140" w:line="186" w:lineRule="auto"/>
              <w:ind w:left="4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568" w:type="dxa"/>
            <w:vAlign w:val="top"/>
          </w:tcPr>
          <w:p w14:paraId="46C1B2CA">
            <w:pPr>
              <w:rPr>
                <w:rFonts w:hint="eastAsia" w:ascii="宋体" w:hAnsi="宋体" w:eastAsia="宋体" w:cs="宋体"/>
                <w:color w:val="auto"/>
                <w:sz w:val="21"/>
                <w:szCs w:val="21"/>
                <w:highlight w:val="none"/>
              </w:rPr>
            </w:pPr>
          </w:p>
        </w:tc>
        <w:tc>
          <w:tcPr>
            <w:tcW w:w="2977" w:type="dxa"/>
            <w:vAlign w:val="top"/>
          </w:tcPr>
          <w:p w14:paraId="48AE16B0">
            <w:pPr>
              <w:rPr>
                <w:rFonts w:hint="eastAsia" w:ascii="宋体" w:hAnsi="宋体" w:eastAsia="宋体" w:cs="宋体"/>
                <w:color w:val="auto"/>
                <w:sz w:val="21"/>
                <w:szCs w:val="21"/>
                <w:highlight w:val="none"/>
              </w:rPr>
            </w:pPr>
          </w:p>
        </w:tc>
      </w:tr>
      <w:tr w14:paraId="115A5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954" w:type="dxa"/>
            <w:vAlign w:val="top"/>
          </w:tcPr>
          <w:p w14:paraId="128705BC">
            <w:pPr>
              <w:spacing w:before="281" w:line="74" w:lineRule="exact"/>
              <w:ind w:left="376"/>
              <w:rPr>
                <w:rFonts w:hint="eastAsia"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rPr>
              <w:t>…</w:t>
            </w:r>
          </w:p>
        </w:tc>
        <w:tc>
          <w:tcPr>
            <w:tcW w:w="4568" w:type="dxa"/>
            <w:vAlign w:val="top"/>
          </w:tcPr>
          <w:p w14:paraId="385B38E2">
            <w:pPr>
              <w:rPr>
                <w:rFonts w:hint="eastAsia" w:ascii="宋体" w:hAnsi="宋体" w:eastAsia="宋体" w:cs="宋体"/>
                <w:color w:val="auto"/>
                <w:sz w:val="21"/>
                <w:szCs w:val="21"/>
                <w:highlight w:val="none"/>
              </w:rPr>
            </w:pPr>
          </w:p>
        </w:tc>
        <w:tc>
          <w:tcPr>
            <w:tcW w:w="2977" w:type="dxa"/>
            <w:vAlign w:val="top"/>
          </w:tcPr>
          <w:p w14:paraId="2C662599">
            <w:pPr>
              <w:rPr>
                <w:rFonts w:hint="eastAsia" w:ascii="宋体" w:hAnsi="宋体" w:eastAsia="宋体" w:cs="宋体"/>
                <w:color w:val="auto"/>
                <w:sz w:val="21"/>
                <w:szCs w:val="21"/>
                <w:highlight w:val="none"/>
              </w:rPr>
            </w:pPr>
          </w:p>
        </w:tc>
      </w:tr>
    </w:tbl>
    <w:p w14:paraId="76C5F913">
      <w:pPr>
        <w:spacing w:before="37" w:line="220" w:lineRule="auto"/>
        <w:ind w:left="5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上述声明真实有效，否则我方负全部责任。</w:t>
      </w:r>
    </w:p>
    <w:p w14:paraId="01C79001">
      <w:pPr>
        <w:spacing w:before="51" w:line="212" w:lineRule="auto"/>
        <w:ind w:left="527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04977F46">
      <w:pPr>
        <w:spacing w:before="216" w:line="212" w:lineRule="auto"/>
        <w:ind w:left="591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34F32766">
      <w:pPr>
        <w:spacing w:before="190" w:line="362" w:lineRule="auto"/>
        <w:ind w:left="40" w:right="6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说明：供应商承诺不实的，依据《政府采购法》第七十七条“提供虚假材料谋取中</w:t>
      </w:r>
      <w:r>
        <w:rPr>
          <w:rFonts w:hint="eastAsia" w:ascii="宋体" w:hAnsi="宋体" w:eastAsia="宋体" w:cs="宋体"/>
          <w:color w:val="auto"/>
          <w:sz w:val="21"/>
          <w:szCs w:val="21"/>
          <w:highlight w:val="none"/>
        </w:rPr>
        <w:t xml:space="preserve">标、 </w:t>
      </w:r>
      <w:r>
        <w:rPr>
          <w:rFonts w:hint="eastAsia" w:ascii="宋体" w:hAnsi="宋体" w:eastAsia="宋体" w:cs="宋体"/>
          <w:color w:val="auto"/>
          <w:spacing w:val="-4"/>
          <w:sz w:val="21"/>
          <w:szCs w:val="21"/>
          <w:highlight w:val="none"/>
        </w:rPr>
        <w:t>成交的”有关规定予以处理。</w:t>
      </w:r>
    </w:p>
    <w:p w14:paraId="2CE41DEB">
      <w:pPr>
        <w:spacing w:line="362" w:lineRule="auto"/>
        <w:rPr>
          <w:rFonts w:ascii="宋体" w:hAnsi="宋体" w:eastAsia="宋体" w:cs="宋体"/>
          <w:color w:val="auto"/>
          <w:sz w:val="24"/>
          <w:szCs w:val="24"/>
          <w:highlight w:val="none"/>
        </w:rPr>
        <w:sectPr>
          <w:footerReference r:id="rId27" w:type="default"/>
          <w:pgSz w:w="11907" w:h="16840"/>
          <w:pgMar w:top="1167" w:right="1105" w:bottom="1011" w:left="1672" w:header="830" w:footer="851" w:gutter="0"/>
          <w:pgNumType w:fmt="decimal"/>
          <w:cols w:space="720" w:num="1"/>
        </w:sectPr>
      </w:pPr>
    </w:p>
    <w:p w14:paraId="32202582">
      <w:pPr>
        <w:spacing w:before="287" w:line="219" w:lineRule="auto"/>
        <w:ind w:left="34"/>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2  </w:t>
      </w:r>
      <w:r>
        <w:rPr>
          <w:rFonts w:ascii="宋体" w:hAnsi="宋体" w:eastAsia="宋体" w:cs="宋体"/>
          <w:color w:val="auto"/>
          <w:spacing w:val="-1"/>
          <w:sz w:val="24"/>
          <w:szCs w:val="24"/>
          <w:highlight w:val="none"/>
        </w:rPr>
        <w:t>落实政府采购政策需满足的资格要求</w:t>
      </w:r>
    </w:p>
    <w:p w14:paraId="1C1090E9">
      <w:pPr>
        <w:spacing w:before="181" w:line="220" w:lineRule="auto"/>
        <w:ind w:left="34"/>
        <w:outlineLvl w:val="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2-1</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3"/>
          <w:sz w:val="21"/>
          <w:szCs w:val="21"/>
          <w:highlight w:val="none"/>
        </w:rPr>
        <w:t>中小企业政策证明文件</w:t>
      </w:r>
    </w:p>
    <w:p w14:paraId="62C3417E">
      <w:pPr>
        <w:spacing w:before="180" w:line="220" w:lineRule="auto"/>
        <w:ind w:left="41"/>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说明：</w:t>
      </w:r>
    </w:p>
    <w:p w14:paraId="5895C2CF">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1" w:right="29" w:firstLine="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（1）如本项目（包）不专门面向中小企业预留采购份额，供应商无须提供《中小企业</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声明函》或《残疾人福利性单位声明函》或由省级以上监狱管理局、戒毒管理局（含新</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
          <w:sz w:val="21"/>
          <w:szCs w:val="21"/>
          <w:highlight w:val="none"/>
        </w:rPr>
        <w:t>疆生产建设兵团）出具的属于监狱企业的证明文件；当供应商拟享受中小企业扶持政策</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
          <w:sz w:val="21"/>
          <w:szCs w:val="21"/>
          <w:highlight w:val="none"/>
        </w:rPr>
        <w:t>时，仍应提供上述证明文件，否则不享受相关中小企业扶持政策。</w:t>
      </w:r>
    </w:p>
    <w:p w14:paraId="0F6EE32D">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0" w:right="29" w:firstLine="4"/>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（2）如本项目（包）专门面向中小企业采购，响应文件中须提供《中小企业声明函》</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或《残疾人福利性单位声明函》，或提供由省级以上监狱管理局、戒毒管理局（含新疆</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
          <w:sz w:val="21"/>
          <w:szCs w:val="21"/>
          <w:highlight w:val="none"/>
        </w:rPr>
        <w:t>生产建设兵团）出具的属于监狱企业的证明文件。</w:t>
      </w:r>
    </w:p>
    <w:p w14:paraId="5C68D1DA">
      <w:pPr>
        <w:keepNext w:val="0"/>
        <w:keepLines w:val="0"/>
        <w:pageBreakBefore w:val="0"/>
        <w:widowControl/>
        <w:kinsoku w:val="0"/>
        <w:wordWrap/>
        <w:overflowPunct/>
        <w:topLinePunct w:val="0"/>
        <w:autoSpaceDE w:val="0"/>
        <w:autoSpaceDN w:val="0"/>
        <w:bidi w:val="0"/>
        <w:adjustRightInd w:val="0"/>
        <w:snapToGrid w:val="0"/>
        <w:spacing w:before="183" w:line="360" w:lineRule="auto"/>
        <w:ind w:left="38" w:right="29" w:firstLine="6"/>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（3）如本项目（包）预留部分采购项目预算专门面向中小企业采购，且要求获得采购</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5"/>
          <w:sz w:val="21"/>
          <w:szCs w:val="21"/>
          <w:highlight w:val="none"/>
        </w:rPr>
        <w:t>合同的供应商将采购项目中的一定比例分包给一家或者多家中小企业或要求</w:t>
      </w:r>
      <w:r>
        <w:rPr>
          <w:rFonts w:hint="eastAsia" w:ascii="宋体" w:hAnsi="宋体" w:eastAsia="宋体" w:cs="宋体"/>
          <w:color w:val="auto"/>
          <w:spacing w:val="4"/>
          <w:sz w:val="21"/>
          <w:szCs w:val="21"/>
          <w:highlight w:val="none"/>
        </w:rPr>
        <w:t>供应商以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联合体形式参加采购活动，响应文件中须提供《中小企业声明函》或《残疾人福利性单</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2"/>
          <w:sz w:val="21"/>
          <w:szCs w:val="21"/>
          <w:highlight w:val="none"/>
        </w:rPr>
        <w:t>位声明函》或由省级以上监狱管理局、戒毒管理局（含新疆生产建设兵团）出具的属于</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4"/>
          <w:sz w:val="21"/>
          <w:szCs w:val="21"/>
          <w:highlight w:val="none"/>
        </w:rPr>
        <w:t>监狱企业的证明文件。</w:t>
      </w:r>
    </w:p>
    <w:p w14:paraId="1FC4091E">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4"/>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（4）中小企业声明函填写注意事项</w:t>
      </w:r>
    </w:p>
    <w:p w14:paraId="3D83C16C">
      <w:pPr>
        <w:keepNext w:val="0"/>
        <w:keepLines w:val="0"/>
        <w:pageBreakBefore w:val="0"/>
        <w:widowControl/>
        <w:kinsoku w:val="0"/>
        <w:wordWrap/>
        <w:overflowPunct/>
        <w:topLinePunct w:val="0"/>
        <w:autoSpaceDE w:val="0"/>
        <w:autoSpaceDN w:val="0"/>
        <w:bidi w:val="0"/>
        <w:adjustRightInd w:val="0"/>
        <w:snapToGrid w:val="0"/>
        <w:spacing w:before="181" w:line="360" w:lineRule="auto"/>
        <w:ind w:left="43" w:right="37" w:firstLine="1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1）《中小企业声明函》由参加政府采购活动的供应商出具。联</w:t>
      </w:r>
      <w:r>
        <w:rPr>
          <w:rFonts w:hint="eastAsia" w:ascii="宋体" w:hAnsi="宋体" w:eastAsia="宋体" w:cs="宋体"/>
          <w:color w:val="auto"/>
          <w:spacing w:val="-6"/>
          <w:sz w:val="21"/>
          <w:szCs w:val="21"/>
          <w:highlight w:val="none"/>
        </w:rPr>
        <w:t>合体参与的，《中小企业</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声明函》可由牵头人出具。</w:t>
      </w:r>
    </w:p>
    <w:p w14:paraId="09337B1B">
      <w:pPr>
        <w:keepNext w:val="0"/>
        <w:keepLines w:val="0"/>
        <w:pageBreakBefore w:val="0"/>
        <w:widowControl/>
        <w:kinsoku w:val="0"/>
        <w:wordWrap/>
        <w:overflowPunct/>
        <w:topLinePunct w:val="0"/>
        <w:autoSpaceDE w:val="0"/>
        <w:autoSpaceDN w:val="0"/>
        <w:bidi w:val="0"/>
        <w:adjustRightInd w:val="0"/>
        <w:snapToGrid w:val="0"/>
        <w:spacing w:before="181" w:line="360" w:lineRule="auto"/>
        <w:ind w:left="37" w:right="28" w:hanging="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2）对于联合体中由中小企业承担的部分，或者分包给中小企</w:t>
      </w:r>
      <w:r>
        <w:rPr>
          <w:rFonts w:hint="eastAsia" w:ascii="宋体" w:hAnsi="宋体" w:eastAsia="宋体" w:cs="宋体"/>
          <w:color w:val="auto"/>
          <w:spacing w:val="1"/>
          <w:sz w:val="21"/>
          <w:szCs w:val="21"/>
          <w:highlight w:val="none"/>
        </w:rPr>
        <w:t>业的部分，必须全部由中</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小企业制造、承建或者承接。供应商应当在声明函“标的名称”部分标明联合体中中小企</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
          <w:sz w:val="21"/>
          <w:szCs w:val="21"/>
          <w:highlight w:val="none"/>
        </w:rPr>
        <w:t>业承担的具体内容或者中小企业的具体分包内容。</w:t>
      </w:r>
    </w:p>
    <w:p w14:paraId="3BB82A37">
      <w:pPr>
        <w:keepNext w:val="0"/>
        <w:keepLines w:val="0"/>
        <w:pageBreakBefore w:val="0"/>
        <w:widowControl/>
        <w:kinsoku w:val="0"/>
        <w:wordWrap/>
        <w:overflowPunct/>
        <w:topLinePunct w:val="0"/>
        <w:autoSpaceDE w:val="0"/>
        <w:autoSpaceDN w:val="0"/>
        <w:bidi w:val="0"/>
        <w:adjustRightInd w:val="0"/>
        <w:snapToGrid w:val="0"/>
        <w:spacing w:before="181" w:line="360" w:lineRule="auto"/>
        <w:ind w:left="39" w:right="38" w:hanging="1"/>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3）对于多标的采购项目，供应商应充分、准确地了解所提供货物的制造企业、提供服</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2"/>
          <w:sz w:val="21"/>
          <w:szCs w:val="21"/>
          <w:highlight w:val="none"/>
        </w:rPr>
        <w:t>务的承接企业信息。对相关情况了解不清楚的，不建议填报本声明函。</w:t>
      </w:r>
    </w:p>
    <w:p w14:paraId="1E0DA021">
      <w:pPr>
        <w:keepNext w:val="0"/>
        <w:keepLines w:val="0"/>
        <w:pageBreakBefore w:val="0"/>
        <w:widowControl/>
        <w:kinsoku w:val="0"/>
        <w:wordWrap/>
        <w:overflowPunct/>
        <w:topLinePunct w:val="0"/>
        <w:autoSpaceDE w:val="0"/>
        <w:autoSpaceDN w:val="0"/>
        <w:bidi w:val="0"/>
        <w:adjustRightInd w:val="0"/>
        <w:snapToGrid w:val="0"/>
        <w:spacing w:before="180" w:line="360" w:lineRule="auto"/>
        <w:ind w:left="38" w:right="28" w:firstLine="6"/>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（5）温馨提示：为方便广大中小企业识别企业规模类型，工业和信息化部组织开发了</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2"/>
          <w:sz w:val="21"/>
          <w:szCs w:val="21"/>
          <w:highlight w:val="none"/>
        </w:rPr>
        <w:t>中小企业规模类型自测小程序，在国务院客户端和工业和信息化部网站上均有链接，供</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应商填写所属的行业和指标数据可自动生成企业规模类型测试结果。本项目中小企业划</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分标准所属行业详见第二章《供应商须知资料表》，如在该程序中未找到本项目文件规</w:t>
      </w:r>
      <w:r>
        <w:rPr>
          <w:rFonts w:hint="eastAsia" w:ascii="宋体" w:hAnsi="宋体" w:eastAsia="宋体" w:cs="宋体"/>
          <w:color w:val="auto"/>
          <w:spacing w:val="17"/>
          <w:sz w:val="21"/>
          <w:szCs w:val="21"/>
          <w:highlight w:val="none"/>
        </w:rPr>
        <w:t xml:space="preserve"> </w:t>
      </w:r>
      <w:r>
        <w:rPr>
          <w:rFonts w:hint="eastAsia" w:ascii="宋体" w:hAnsi="宋体" w:eastAsia="宋体" w:cs="宋体"/>
          <w:color w:val="auto"/>
          <w:spacing w:val="-2"/>
          <w:sz w:val="21"/>
          <w:szCs w:val="21"/>
          <w:highlight w:val="none"/>
        </w:rPr>
        <w:t>定的中小企业划分标准所属行业，则按照《关于印发中小企业划型标准规定的通知（工</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10"/>
          <w:sz w:val="21"/>
          <w:szCs w:val="21"/>
          <w:highlight w:val="none"/>
        </w:rPr>
        <w:t>信部联企业﹝2011﹞300</w:t>
      </w:r>
      <w:r>
        <w:rPr>
          <w:rFonts w:hint="eastAsia" w:ascii="宋体" w:hAnsi="宋体" w:eastAsia="宋体" w:cs="宋体"/>
          <w:color w:val="auto"/>
          <w:spacing w:val="15"/>
          <w:w w:val="101"/>
          <w:sz w:val="21"/>
          <w:szCs w:val="21"/>
          <w:highlight w:val="none"/>
        </w:rPr>
        <w:t xml:space="preserve"> </w:t>
      </w:r>
      <w:r>
        <w:rPr>
          <w:rFonts w:hint="eastAsia" w:ascii="宋体" w:hAnsi="宋体" w:eastAsia="宋体" w:cs="宋体"/>
          <w:color w:val="auto"/>
          <w:spacing w:val="-10"/>
          <w:sz w:val="21"/>
          <w:szCs w:val="21"/>
          <w:highlight w:val="none"/>
        </w:rPr>
        <w:t>号）》及《金融业企业划型标准规定》（〔2</w:t>
      </w:r>
      <w:r>
        <w:rPr>
          <w:rFonts w:hint="eastAsia" w:ascii="宋体" w:hAnsi="宋体" w:eastAsia="宋体" w:cs="宋体"/>
          <w:color w:val="auto"/>
          <w:spacing w:val="-11"/>
          <w:sz w:val="21"/>
          <w:szCs w:val="21"/>
          <w:highlight w:val="none"/>
        </w:rPr>
        <w:t>015〕309  号）等国务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院批准的中小企业划分标准执行。</w:t>
      </w:r>
    </w:p>
    <w:p w14:paraId="7C91CC2B">
      <w:pPr>
        <w:spacing w:line="360" w:lineRule="auto"/>
        <w:rPr>
          <w:rFonts w:hint="eastAsia" w:ascii="宋体" w:hAnsi="宋体" w:eastAsia="宋体" w:cs="宋体"/>
          <w:color w:val="auto"/>
          <w:sz w:val="21"/>
          <w:szCs w:val="21"/>
          <w:highlight w:val="none"/>
        </w:rPr>
        <w:sectPr>
          <w:footerReference r:id="rId28" w:type="default"/>
          <w:pgSz w:w="11907" w:h="16840"/>
          <w:pgMar w:top="1167" w:right="1105" w:bottom="1011" w:left="1672" w:header="830" w:footer="851" w:gutter="0"/>
          <w:pgNumType w:fmt="decimal"/>
          <w:cols w:space="720" w:num="1"/>
        </w:sectPr>
      </w:pPr>
    </w:p>
    <w:p w14:paraId="290A2DF2">
      <w:pPr>
        <w:pStyle w:val="6"/>
        <w:spacing w:line="272" w:lineRule="auto"/>
        <w:rPr>
          <w:color w:val="auto"/>
          <w:highlight w:val="none"/>
        </w:rPr>
      </w:pPr>
    </w:p>
    <w:p w14:paraId="7EEEA446">
      <w:pPr>
        <w:spacing w:before="78" w:line="220" w:lineRule="auto"/>
        <w:ind w:left="34"/>
        <w:outlineLvl w:val="3"/>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2-1-1</w:t>
      </w:r>
      <w:r>
        <w:rPr>
          <w:rFonts w:ascii="Times New Roman" w:hAnsi="Times New Roman" w:eastAsia="Times New Roman" w:cs="Times New Roman"/>
          <w:b/>
          <w:bCs/>
          <w:color w:val="auto"/>
          <w:spacing w:val="15"/>
          <w:w w:val="101"/>
          <w:sz w:val="24"/>
          <w:szCs w:val="24"/>
          <w:highlight w:val="none"/>
        </w:rPr>
        <w:t xml:space="preserve">  </w:t>
      </w:r>
      <w:r>
        <w:rPr>
          <w:rFonts w:ascii="宋体" w:hAnsi="宋体" w:eastAsia="宋体" w:cs="宋体"/>
          <w:b/>
          <w:bCs/>
          <w:color w:val="auto"/>
          <w:spacing w:val="-4"/>
          <w:sz w:val="24"/>
          <w:szCs w:val="24"/>
          <w:highlight w:val="none"/>
        </w:rPr>
        <w:t>中小企业证明文件</w:t>
      </w:r>
    </w:p>
    <w:p w14:paraId="5956B320">
      <w:pPr>
        <w:spacing w:before="333" w:line="220" w:lineRule="auto"/>
        <w:ind w:left="1721"/>
        <w:rPr>
          <w:rFonts w:ascii="宋体" w:hAnsi="宋体" w:eastAsia="宋体" w:cs="宋体"/>
          <w:color w:val="auto"/>
          <w:sz w:val="36"/>
          <w:szCs w:val="36"/>
          <w:highlight w:val="none"/>
        </w:rPr>
      </w:pPr>
      <w:r>
        <w:rPr>
          <w:rFonts w:ascii="宋体" w:hAnsi="宋体" w:eastAsia="宋体" w:cs="宋体"/>
          <w:b/>
          <w:bCs/>
          <w:color w:val="auto"/>
          <w:spacing w:val="-6"/>
          <w:sz w:val="36"/>
          <w:szCs w:val="36"/>
          <w:highlight w:val="none"/>
        </w:rPr>
        <w:t>中小企业声明函（工程、服务）格式</w:t>
      </w:r>
    </w:p>
    <w:p w14:paraId="28F5B127">
      <w:pPr>
        <w:pStyle w:val="6"/>
        <w:spacing w:line="413" w:lineRule="auto"/>
        <w:rPr>
          <w:color w:val="auto"/>
          <w:highlight w:val="none"/>
        </w:rPr>
      </w:pPr>
    </w:p>
    <w:p w14:paraId="204689C3">
      <w:pPr>
        <w:keepNext w:val="0"/>
        <w:keepLines w:val="0"/>
        <w:pageBreakBefore w:val="0"/>
        <w:widowControl/>
        <w:kinsoku w:val="0"/>
        <w:wordWrap/>
        <w:overflowPunct/>
        <w:topLinePunct w:val="0"/>
        <w:autoSpaceDE w:val="0"/>
        <w:autoSpaceDN w:val="0"/>
        <w:bidi w:val="0"/>
        <w:adjustRightInd w:val="0"/>
        <w:snapToGrid w:val="0"/>
        <w:spacing w:before="78" w:line="359" w:lineRule="auto"/>
        <w:ind w:left="36" w:right="40" w:firstLine="506"/>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 xml:space="preserve">本公司（联合体）郑重声明，根据《政府采购促进中小企业发展管理办法》（财 </w:t>
      </w:r>
      <w:r>
        <w:rPr>
          <w:rFonts w:hint="eastAsia" w:ascii="宋体" w:hAnsi="宋体" w:eastAsia="宋体" w:cs="宋体"/>
          <w:color w:val="auto"/>
          <w:spacing w:val="7"/>
          <w:sz w:val="21"/>
          <w:szCs w:val="21"/>
          <w:highlight w:val="none"/>
        </w:rPr>
        <w:t>库﹝2020﹞46  号）的规定，本公司（联合体）参加</w:t>
      </w:r>
      <w:r>
        <w:rPr>
          <w:rFonts w:hint="eastAsia" w:ascii="宋体" w:hAnsi="宋体" w:eastAsia="宋体" w:cs="宋体"/>
          <w:color w:val="auto"/>
          <w:spacing w:val="7"/>
          <w:sz w:val="21"/>
          <w:szCs w:val="21"/>
          <w:highlight w:val="none"/>
          <w:u w:val="single"/>
        </w:rPr>
        <w:t>（单位名称）</w:t>
      </w:r>
      <w:r>
        <w:rPr>
          <w:rFonts w:hint="eastAsia" w:ascii="宋体" w:hAnsi="宋体" w:eastAsia="宋体" w:cs="宋体"/>
          <w:color w:val="auto"/>
          <w:spacing w:val="7"/>
          <w:sz w:val="21"/>
          <w:szCs w:val="21"/>
          <w:highlight w:val="none"/>
        </w:rPr>
        <w:t>的</w:t>
      </w:r>
      <w:r>
        <w:rPr>
          <w:rFonts w:hint="eastAsia" w:ascii="宋体" w:hAnsi="宋体" w:eastAsia="宋体" w:cs="宋体"/>
          <w:color w:val="auto"/>
          <w:spacing w:val="7"/>
          <w:sz w:val="21"/>
          <w:szCs w:val="21"/>
          <w:highlight w:val="none"/>
          <w:u w:val="single"/>
        </w:rPr>
        <w:t>（项目名称）</w:t>
      </w:r>
      <w:r>
        <w:rPr>
          <w:rFonts w:hint="eastAsia" w:ascii="宋体" w:hAnsi="宋体" w:eastAsia="宋体" w:cs="宋体"/>
          <w:color w:val="auto"/>
          <w:spacing w:val="7"/>
          <w:sz w:val="21"/>
          <w:szCs w:val="21"/>
          <w:highlight w:val="none"/>
        </w:rPr>
        <w:t>采</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11"/>
          <w:sz w:val="21"/>
          <w:szCs w:val="21"/>
          <w:highlight w:val="none"/>
        </w:rPr>
        <w:t>购活动，工程的施工单位全部为符合政策要求的中小企业（或者：服务全部由符合</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1"/>
          <w:sz w:val="21"/>
          <w:szCs w:val="21"/>
          <w:highlight w:val="none"/>
        </w:rPr>
        <w:t>政策要求的中小企业承接）。相关企业（含联合体中的中小企业、签订分包意向协</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6"/>
          <w:sz w:val="21"/>
          <w:szCs w:val="21"/>
          <w:highlight w:val="none"/>
        </w:rPr>
        <w:t>议的中小企业）</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6"/>
          <w:sz w:val="21"/>
          <w:szCs w:val="21"/>
          <w:highlight w:val="none"/>
        </w:rPr>
        <w:t>的具体情况如下：</w:t>
      </w:r>
    </w:p>
    <w:p w14:paraId="745B8C45">
      <w:pPr>
        <w:keepNext w:val="0"/>
        <w:keepLines w:val="0"/>
        <w:pageBreakBefore w:val="0"/>
        <w:widowControl/>
        <w:kinsoku w:val="0"/>
        <w:wordWrap/>
        <w:overflowPunct/>
        <w:topLinePunct w:val="0"/>
        <w:autoSpaceDE w:val="0"/>
        <w:autoSpaceDN w:val="0"/>
        <w:bidi w:val="0"/>
        <w:adjustRightInd w:val="0"/>
        <w:snapToGrid w:val="0"/>
        <w:spacing w:before="2" w:line="312" w:lineRule="auto"/>
        <w:ind w:left="42" w:right="26" w:firstLine="518"/>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w:t>
      </w:r>
      <w:r>
        <w:rPr>
          <w:rFonts w:hint="eastAsia" w:ascii="宋体" w:hAnsi="宋体" w:eastAsia="宋体" w:cs="宋体"/>
          <w:color w:val="auto"/>
          <w:spacing w:val="-53"/>
          <w:sz w:val="21"/>
          <w:szCs w:val="21"/>
          <w:highlight w:val="none"/>
        </w:rPr>
        <w:t xml:space="preserve"> </w:t>
      </w:r>
      <w:r>
        <w:rPr>
          <w:rFonts w:hint="eastAsia" w:ascii="宋体" w:hAnsi="宋体" w:eastAsia="宋体" w:cs="宋体"/>
          <w:color w:val="auto"/>
          <w:spacing w:val="10"/>
          <w:sz w:val="21"/>
          <w:szCs w:val="21"/>
          <w:highlight w:val="none"/>
          <w:u w:val="single" w:color="auto"/>
        </w:rPr>
        <w:t xml:space="preserve"> （标的名称</w:t>
      </w:r>
      <w:r>
        <w:rPr>
          <w:rFonts w:hint="eastAsia" w:ascii="宋体" w:hAnsi="宋体" w:eastAsia="宋体" w:cs="宋体"/>
          <w:color w:val="auto"/>
          <w:spacing w:val="2"/>
          <w:sz w:val="21"/>
          <w:szCs w:val="21"/>
          <w:highlight w:val="none"/>
          <w:u w:val="single" w:color="auto"/>
        </w:rPr>
        <w:t>）</w:t>
      </w:r>
      <w:r>
        <w:rPr>
          <w:rFonts w:hint="eastAsia" w:ascii="宋体" w:hAnsi="宋体" w:eastAsia="宋体" w:cs="宋体"/>
          <w:color w:val="auto"/>
          <w:spacing w:val="40"/>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0"/>
          <w:sz w:val="21"/>
          <w:szCs w:val="21"/>
          <w:highlight w:val="none"/>
        </w:rPr>
        <w:t>属于</w:t>
      </w:r>
      <w:r>
        <w:rPr>
          <w:rFonts w:hint="eastAsia" w:ascii="宋体" w:hAnsi="宋体" w:eastAsia="宋体" w:cs="宋体"/>
          <w:color w:val="auto"/>
          <w:spacing w:val="10"/>
          <w:sz w:val="21"/>
          <w:szCs w:val="21"/>
          <w:highlight w:val="none"/>
          <w:u w:val="single" w:color="auto"/>
        </w:rPr>
        <w:t>（采购文件中明确的所属行业）</w:t>
      </w:r>
      <w:r>
        <w:rPr>
          <w:rFonts w:hint="eastAsia" w:ascii="宋体" w:hAnsi="宋体" w:eastAsia="宋体" w:cs="宋体"/>
          <w:color w:val="auto"/>
          <w:spacing w:val="10"/>
          <w:sz w:val="21"/>
          <w:szCs w:val="21"/>
          <w:highlight w:val="none"/>
        </w:rPr>
        <w:t>行业；承建（承接）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企业为</w:t>
      </w:r>
      <w:r>
        <w:rPr>
          <w:rFonts w:hint="eastAsia" w:ascii="宋体" w:hAnsi="宋体" w:eastAsia="宋体" w:cs="宋体"/>
          <w:color w:val="auto"/>
          <w:spacing w:val="2"/>
          <w:sz w:val="21"/>
          <w:szCs w:val="21"/>
          <w:highlight w:val="none"/>
          <w:u w:val="single" w:color="auto"/>
        </w:rPr>
        <w:t>（企业名称</w:t>
      </w:r>
      <w:r>
        <w:rPr>
          <w:rFonts w:hint="eastAsia" w:ascii="宋体" w:hAnsi="宋体" w:eastAsia="宋体" w:cs="宋体"/>
          <w:color w:val="auto"/>
          <w:spacing w:val="-60"/>
          <w:w w:val="95"/>
          <w:sz w:val="21"/>
          <w:szCs w:val="21"/>
          <w:highlight w:val="none"/>
          <w:u w:val="single" w:color="auto"/>
        </w:rPr>
        <w:t>）</w:t>
      </w:r>
      <w:r>
        <w:rPr>
          <w:rFonts w:hint="eastAsia" w:ascii="宋体" w:hAnsi="宋体" w:eastAsia="宋体" w:cs="宋体"/>
          <w:color w:val="auto"/>
          <w:spacing w:val="-60"/>
          <w:w w:val="95"/>
          <w:sz w:val="21"/>
          <w:szCs w:val="21"/>
          <w:highlight w:val="none"/>
        </w:rPr>
        <w:t>，</w:t>
      </w:r>
      <w:r>
        <w:rPr>
          <w:rFonts w:hint="eastAsia" w:ascii="宋体" w:hAnsi="宋体" w:eastAsia="宋体" w:cs="宋体"/>
          <w:color w:val="auto"/>
          <w:spacing w:val="2"/>
          <w:sz w:val="21"/>
          <w:szCs w:val="21"/>
          <w:highlight w:val="none"/>
        </w:rPr>
        <w:t>从业人员______人，营业收入为______万元，资</w:t>
      </w:r>
      <w:r>
        <w:rPr>
          <w:rFonts w:hint="eastAsia" w:ascii="宋体" w:hAnsi="宋体" w:eastAsia="宋体" w:cs="宋体"/>
          <w:color w:val="auto"/>
          <w:spacing w:val="1"/>
          <w:sz w:val="21"/>
          <w:szCs w:val="21"/>
          <w:highlight w:val="none"/>
        </w:rPr>
        <w:t>产总额为______</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6"/>
          <w:sz w:val="21"/>
          <w:szCs w:val="21"/>
          <w:highlight w:val="none"/>
        </w:rPr>
        <w:t>万元</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6"/>
          <w:position w:val="7"/>
          <w:sz w:val="21"/>
          <w:szCs w:val="21"/>
          <w:highlight w:val="none"/>
        </w:rPr>
        <w:t xml:space="preserve">1 </w:t>
      </w:r>
      <w:r>
        <w:rPr>
          <w:rFonts w:hint="eastAsia" w:ascii="宋体" w:hAnsi="宋体" w:eastAsia="宋体" w:cs="宋体"/>
          <w:color w:val="auto"/>
          <w:spacing w:val="6"/>
          <w:sz w:val="21"/>
          <w:szCs w:val="21"/>
          <w:highlight w:val="none"/>
        </w:rPr>
        <w:t>，属于（中型企业、小型企业、微型企业</w:t>
      </w:r>
      <w:r>
        <w:rPr>
          <w:rFonts w:hint="eastAsia" w:ascii="宋体" w:hAnsi="宋体" w:eastAsia="宋体" w:cs="宋体"/>
          <w:color w:val="auto"/>
          <w:spacing w:val="-54"/>
          <w:sz w:val="21"/>
          <w:szCs w:val="21"/>
          <w:highlight w:val="none"/>
        </w:rPr>
        <w:t>）；</w:t>
      </w:r>
    </w:p>
    <w:p w14:paraId="2F2A0F84">
      <w:pPr>
        <w:keepNext w:val="0"/>
        <w:keepLines w:val="0"/>
        <w:pageBreakBefore w:val="0"/>
        <w:widowControl/>
        <w:kinsoku w:val="0"/>
        <w:wordWrap/>
        <w:overflowPunct/>
        <w:topLinePunct w:val="0"/>
        <w:autoSpaceDE w:val="0"/>
        <w:autoSpaceDN w:val="0"/>
        <w:bidi w:val="0"/>
        <w:adjustRightInd w:val="0"/>
        <w:snapToGrid w:val="0"/>
        <w:spacing w:before="179" w:line="313" w:lineRule="auto"/>
        <w:ind w:left="42" w:right="26" w:firstLine="495"/>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 xml:space="preserve">2.  </w:t>
      </w:r>
      <w:r>
        <w:rPr>
          <w:rFonts w:hint="eastAsia" w:ascii="宋体" w:hAnsi="宋体" w:eastAsia="宋体" w:cs="宋体"/>
          <w:color w:val="auto"/>
          <w:spacing w:val="11"/>
          <w:sz w:val="21"/>
          <w:szCs w:val="21"/>
          <w:highlight w:val="none"/>
          <w:u w:val="single" w:color="auto"/>
        </w:rPr>
        <w:t>（标的名称</w:t>
      </w:r>
      <w:r>
        <w:rPr>
          <w:rFonts w:hint="eastAsia" w:ascii="宋体" w:hAnsi="宋体" w:eastAsia="宋体" w:cs="宋体"/>
          <w:color w:val="auto"/>
          <w:spacing w:val="-2"/>
          <w:sz w:val="21"/>
          <w:szCs w:val="21"/>
          <w:highlight w:val="none"/>
          <w:u w:val="single" w:color="auto"/>
        </w:rPr>
        <w:t>）</w:t>
      </w:r>
      <w:r>
        <w:rPr>
          <w:rFonts w:hint="eastAsia" w:ascii="宋体" w:hAnsi="宋体" w:eastAsia="宋体" w:cs="宋体"/>
          <w:color w:val="auto"/>
          <w:spacing w:val="40"/>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1"/>
          <w:sz w:val="21"/>
          <w:szCs w:val="21"/>
          <w:highlight w:val="none"/>
        </w:rPr>
        <w:t>属于</w:t>
      </w:r>
      <w:r>
        <w:rPr>
          <w:rFonts w:hint="eastAsia" w:ascii="宋体" w:hAnsi="宋体" w:eastAsia="宋体" w:cs="宋体"/>
          <w:color w:val="auto"/>
          <w:spacing w:val="11"/>
          <w:sz w:val="21"/>
          <w:szCs w:val="21"/>
          <w:highlight w:val="none"/>
          <w:u w:val="single" w:color="auto"/>
        </w:rPr>
        <w:t>（采购文件中明确的所属行业）</w:t>
      </w:r>
      <w:r>
        <w:rPr>
          <w:rFonts w:hint="eastAsia" w:ascii="宋体" w:hAnsi="宋体" w:eastAsia="宋体" w:cs="宋体"/>
          <w:color w:val="auto"/>
          <w:spacing w:val="11"/>
          <w:sz w:val="21"/>
          <w:szCs w:val="21"/>
          <w:highlight w:val="none"/>
        </w:rPr>
        <w:t>行业；</w:t>
      </w:r>
      <w:r>
        <w:rPr>
          <w:rFonts w:hint="eastAsia" w:ascii="宋体" w:hAnsi="宋体" w:eastAsia="宋体" w:cs="宋体"/>
          <w:color w:val="auto"/>
          <w:spacing w:val="10"/>
          <w:sz w:val="21"/>
          <w:szCs w:val="21"/>
          <w:highlight w:val="none"/>
        </w:rPr>
        <w:t>承建（承接）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企业为</w:t>
      </w:r>
      <w:r>
        <w:rPr>
          <w:rFonts w:hint="eastAsia" w:ascii="宋体" w:hAnsi="宋体" w:eastAsia="宋体" w:cs="宋体"/>
          <w:color w:val="auto"/>
          <w:spacing w:val="2"/>
          <w:sz w:val="21"/>
          <w:szCs w:val="21"/>
          <w:highlight w:val="none"/>
          <w:u w:val="single" w:color="auto"/>
        </w:rPr>
        <w:t>（企业名称</w:t>
      </w:r>
      <w:r>
        <w:rPr>
          <w:rFonts w:hint="eastAsia" w:ascii="宋体" w:hAnsi="宋体" w:eastAsia="宋体" w:cs="宋体"/>
          <w:color w:val="auto"/>
          <w:spacing w:val="-60"/>
          <w:w w:val="95"/>
          <w:sz w:val="21"/>
          <w:szCs w:val="21"/>
          <w:highlight w:val="none"/>
          <w:u w:val="single" w:color="auto"/>
        </w:rPr>
        <w:t>）</w:t>
      </w:r>
      <w:r>
        <w:rPr>
          <w:rFonts w:hint="eastAsia" w:ascii="宋体" w:hAnsi="宋体" w:eastAsia="宋体" w:cs="宋体"/>
          <w:color w:val="auto"/>
          <w:spacing w:val="-60"/>
          <w:w w:val="95"/>
          <w:sz w:val="21"/>
          <w:szCs w:val="21"/>
          <w:highlight w:val="none"/>
        </w:rPr>
        <w:t>，</w:t>
      </w:r>
      <w:r>
        <w:rPr>
          <w:rFonts w:hint="eastAsia" w:ascii="宋体" w:hAnsi="宋体" w:eastAsia="宋体" w:cs="宋体"/>
          <w:color w:val="auto"/>
          <w:spacing w:val="2"/>
          <w:sz w:val="21"/>
          <w:szCs w:val="21"/>
          <w:highlight w:val="none"/>
        </w:rPr>
        <w:t>从业人员______人，营业收入为______万元，资</w:t>
      </w:r>
      <w:r>
        <w:rPr>
          <w:rFonts w:hint="eastAsia" w:ascii="宋体" w:hAnsi="宋体" w:eastAsia="宋体" w:cs="宋体"/>
          <w:color w:val="auto"/>
          <w:spacing w:val="1"/>
          <w:sz w:val="21"/>
          <w:szCs w:val="21"/>
          <w:highlight w:val="none"/>
        </w:rPr>
        <w:t>产总额为______</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0"/>
          <w:sz w:val="21"/>
          <w:szCs w:val="21"/>
          <w:highlight w:val="none"/>
        </w:rPr>
        <w:t>万元，属于</w:t>
      </w:r>
      <w:r>
        <w:rPr>
          <w:rFonts w:hint="eastAsia" w:ascii="宋体" w:hAnsi="宋体" w:eastAsia="宋体" w:cs="宋体"/>
          <w:color w:val="auto"/>
          <w:spacing w:val="10"/>
          <w:sz w:val="21"/>
          <w:szCs w:val="21"/>
          <w:highlight w:val="none"/>
          <w:u w:val="single" w:color="auto"/>
        </w:rPr>
        <w:t>（中型企业、小型企业、微型企业</w:t>
      </w:r>
      <w:r>
        <w:rPr>
          <w:rFonts w:hint="eastAsia" w:ascii="宋体" w:hAnsi="宋体" w:eastAsia="宋体" w:cs="宋体"/>
          <w:color w:val="auto"/>
          <w:spacing w:val="-42"/>
          <w:sz w:val="21"/>
          <w:szCs w:val="21"/>
          <w:highlight w:val="none"/>
          <w:u w:val="single" w:color="auto"/>
        </w:rPr>
        <w:t>）</w:t>
      </w:r>
      <w:r>
        <w:rPr>
          <w:rFonts w:hint="eastAsia" w:ascii="宋体" w:hAnsi="宋体" w:eastAsia="宋体" w:cs="宋体"/>
          <w:color w:val="auto"/>
          <w:spacing w:val="-42"/>
          <w:sz w:val="21"/>
          <w:szCs w:val="21"/>
          <w:highlight w:val="none"/>
        </w:rPr>
        <w:t>；</w:t>
      </w:r>
    </w:p>
    <w:p w14:paraId="049BEFDF">
      <w:pPr>
        <w:pStyle w:val="6"/>
        <w:keepNext w:val="0"/>
        <w:keepLines w:val="0"/>
        <w:pageBreakBefore w:val="0"/>
        <w:widowControl/>
        <w:kinsoku w:val="0"/>
        <w:wordWrap/>
        <w:overflowPunct/>
        <w:topLinePunct w:val="0"/>
        <w:autoSpaceDE w:val="0"/>
        <w:autoSpaceDN w:val="0"/>
        <w:bidi w:val="0"/>
        <w:adjustRightInd w:val="0"/>
        <w:snapToGrid w:val="0"/>
        <w:spacing w:line="342" w:lineRule="auto"/>
        <w:jc w:val="both"/>
        <w:textAlignment w:val="baseline"/>
        <w:rPr>
          <w:rFonts w:hint="eastAsia" w:ascii="宋体" w:hAnsi="宋体" w:eastAsia="宋体" w:cs="宋体"/>
          <w:color w:val="auto"/>
          <w:sz w:val="21"/>
          <w:szCs w:val="21"/>
          <w:highlight w:val="none"/>
        </w:rPr>
      </w:pPr>
    </w:p>
    <w:p w14:paraId="231DF962">
      <w:pPr>
        <w:pStyle w:val="6"/>
        <w:keepNext w:val="0"/>
        <w:keepLines w:val="0"/>
        <w:pageBreakBefore w:val="0"/>
        <w:widowControl/>
        <w:kinsoku w:val="0"/>
        <w:wordWrap/>
        <w:overflowPunct/>
        <w:topLinePunct w:val="0"/>
        <w:autoSpaceDE w:val="0"/>
        <w:autoSpaceDN w:val="0"/>
        <w:bidi w:val="0"/>
        <w:adjustRightInd w:val="0"/>
        <w:snapToGrid w:val="0"/>
        <w:spacing w:line="343" w:lineRule="auto"/>
        <w:jc w:val="both"/>
        <w:textAlignment w:val="baseline"/>
        <w:rPr>
          <w:rFonts w:hint="eastAsia" w:ascii="宋体" w:hAnsi="宋体" w:eastAsia="宋体" w:cs="宋体"/>
          <w:color w:val="auto"/>
          <w:sz w:val="21"/>
          <w:szCs w:val="21"/>
          <w:highlight w:val="none"/>
        </w:rPr>
      </w:pPr>
    </w:p>
    <w:p w14:paraId="1EFA0552">
      <w:pPr>
        <w:keepNext w:val="0"/>
        <w:keepLines w:val="0"/>
        <w:pageBreakBefore w:val="0"/>
        <w:widowControl/>
        <w:kinsoku w:val="0"/>
        <w:wordWrap/>
        <w:overflowPunct/>
        <w:topLinePunct w:val="0"/>
        <w:autoSpaceDE w:val="0"/>
        <w:autoSpaceDN w:val="0"/>
        <w:bidi w:val="0"/>
        <w:adjustRightInd w:val="0"/>
        <w:snapToGrid w:val="0"/>
        <w:spacing w:before="70" w:line="75" w:lineRule="exact"/>
        <w:ind w:left="559"/>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position w:val="-1"/>
          <w:sz w:val="21"/>
          <w:szCs w:val="21"/>
          <w:highlight w:val="none"/>
        </w:rPr>
        <w:t>……</w:t>
      </w:r>
    </w:p>
    <w:p w14:paraId="28F661EA">
      <w:pPr>
        <w:keepNext w:val="0"/>
        <w:keepLines w:val="0"/>
        <w:pageBreakBefore w:val="0"/>
        <w:widowControl/>
        <w:kinsoku w:val="0"/>
        <w:wordWrap/>
        <w:overflowPunct/>
        <w:topLinePunct w:val="0"/>
        <w:autoSpaceDE w:val="0"/>
        <w:autoSpaceDN w:val="0"/>
        <w:bidi w:val="0"/>
        <w:adjustRightInd w:val="0"/>
        <w:snapToGrid w:val="0"/>
        <w:spacing w:before="176" w:line="359" w:lineRule="auto"/>
        <w:ind w:left="37" w:right="40" w:firstLine="532"/>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以上企业，不属于大企业的分支机构，不存在控股股东为大企业的情形，也不</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10"/>
          <w:sz w:val="21"/>
          <w:szCs w:val="21"/>
          <w:highlight w:val="none"/>
        </w:rPr>
        <w:t>存在与大企业的负责人为同一人的情形。</w:t>
      </w:r>
    </w:p>
    <w:p w14:paraId="4D42ABBE">
      <w:pPr>
        <w:keepNext w:val="0"/>
        <w:keepLines w:val="0"/>
        <w:pageBreakBefore w:val="0"/>
        <w:widowControl/>
        <w:kinsoku w:val="0"/>
        <w:wordWrap/>
        <w:overflowPunct/>
        <w:topLinePunct w:val="0"/>
        <w:autoSpaceDE w:val="0"/>
        <w:autoSpaceDN w:val="0"/>
        <w:bidi w:val="0"/>
        <w:adjustRightInd w:val="0"/>
        <w:snapToGrid w:val="0"/>
        <w:spacing w:before="1" w:line="218" w:lineRule="auto"/>
        <w:ind w:left="543"/>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本企业对上述声明内容的真实性负责。如有虚假，将依法承担相</w:t>
      </w:r>
      <w:r>
        <w:rPr>
          <w:rFonts w:hint="eastAsia" w:ascii="宋体" w:hAnsi="宋体" w:eastAsia="宋体" w:cs="宋体"/>
          <w:color w:val="auto"/>
          <w:spacing w:val="10"/>
          <w:sz w:val="21"/>
          <w:szCs w:val="21"/>
          <w:highlight w:val="none"/>
        </w:rPr>
        <w:t>应责任。</w:t>
      </w:r>
    </w:p>
    <w:p w14:paraId="79630038">
      <w:pPr>
        <w:pStyle w:val="6"/>
        <w:keepNext w:val="0"/>
        <w:keepLines w:val="0"/>
        <w:pageBreakBefore w:val="0"/>
        <w:widowControl/>
        <w:kinsoku w:val="0"/>
        <w:wordWrap/>
        <w:overflowPunct/>
        <w:topLinePunct w:val="0"/>
        <w:autoSpaceDE w:val="0"/>
        <w:autoSpaceDN w:val="0"/>
        <w:bidi w:val="0"/>
        <w:adjustRightInd w:val="0"/>
        <w:snapToGrid w:val="0"/>
        <w:spacing w:line="257" w:lineRule="auto"/>
        <w:jc w:val="both"/>
        <w:textAlignment w:val="baseline"/>
        <w:rPr>
          <w:rFonts w:hint="eastAsia" w:ascii="宋体" w:hAnsi="宋体" w:eastAsia="宋体" w:cs="宋体"/>
          <w:color w:val="auto"/>
          <w:sz w:val="21"/>
          <w:szCs w:val="21"/>
          <w:highlight w:val="none"/>
        </w:rPr>
      </w:pPr>
    </w:p>
    <w:p w14:paraId="1F39445A">
      <w:pPr>
        <w:pStyle w:val="6"/>
        <w:keepNext w:val="0"/>
        <w:keepLines w:val="0"/>
        <w:pageBreakBefore w:val="0"/>
        <w:widowControl/>
        <w:kinsoku w:val="0"/>
        <w:wordWrap/>
        <w:overflowPunct/>
        <w:topLinePunct w:val="0"/>
        <w:autoSpaceDE w:val="0"/>
        <w:autoSpaceDN w:val="0"/>
        <w:bidi w:val="0"/>
        <w:adjustRightInd w:val="0"/>
        <w:snapToGrid w:val="0"/>
        <w:spacing w:line="258" w:lineRule="auto"/>
        <w:jc w:val="both"/>
        <w:textAlignment w:val="baseline"/>
        <w:rPr>
          <w:rFonts w:hint="eastAsia" w:ascii="宋体" w:hAnsi="宋体" w:eastAsia="宋体" w:cs="宋体"/>
          <w:color w:val="auto"/>
          <w:sz w:val="21"/>
          <w:szCs w:val="21"/>
          <w:highlight w:val="none"/>
        </w:rPr>
      </w:pPr>
    </w:p>
    <w:p w14:paraId="5031124D">
      <w:pPr>
        <w:keepNext w:val="0"/>
        <w:keepLines w:val="0"/>
        <w:pageBreakBefore w:val="0"/>
        <w:widowControl/>
        <w:kinsoku w:val="0"/>
        <w:wordWrap/>
        <w:overflowPunct/>
        <w:topLinePunct w:val="0"/>
        <w:autoSpaceDE w:val="0"/>
        <w:autoSpaceDN w:val="0"/>
        <w:bidi w:val="0"/>
        <w:adjustRightInd w:val="0"/>
        <w:snapToGrid w:val="0"/>
        <w:spacing w:before="78" w:line="212" w:lineRule="auto"/>
        <w:ind w:left="5994"/>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企业名称（盖章</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0"/>
          <w:sz w:val="21"/>
          <w:szCs w:val="21"/>
          <w:highlight w:val="none"/>
        </w:rPr>
        <w:t>______</w:t>
      </w:r>
    </w:p>
    <w:p w14:paraId="50D01779">
      <w:pPr>
        <w:keepNext w:val="0"/>
        <w:keepLines w:val="0"/>
        <w:pageBreakBefore w:val="0"/>
        <w:widowControl/>
        <w:kinsoku w:val="0"/>
        <w:wordWrap/>
        <w:overflowPunct/>
        <w:topLinePunct w:val="0"/>
        <w:autoSpaceDE w:val="0"/>
        <w:autoSpaceDN w:val="0"/>
        <w:bidi w:val="0"/>
        <w:adjustRightInd w:val="0"/>
        <w:snapToGrid w:val="0"/>
        <w:spacing w:before="191" w:line="212" w:lineRule="auto"/>
        <w:ind w:left="7231"/>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日</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期：______</w:t>
      </w:r>
    </w:p>
    <w:p w14:paraId="1D267C75">
      <w:pPr>
        <w:pStyle w:val="6"/>
        <w:spacing w:line="337" w:lineRule="auto"/>
        <w:rPr>
          <w:color w:val="auto"/>
          <w:highlight w:val="none"/>
        </w:rPr>
      </w:pPr>
    </w:p>
    <w:p w14:paraId="79A91BA9">
      <w:pPr>
        <w:pStyle w:val="6"/>
        <w:spacing w:line="338" w:lineRule="auto"/>
        <w:rPr>
          <w:color w:val="auto"/>
          <w:highlight w:val="none"/>
        </w:rPr>
      </w:pPr>
      <w:r>
        <w:rPr>
          <w:color w:val="auto"/>
          <w:highlight w:val="none"/>
        </w:rPr>
        <w:pict>
          <v:shape id="_x0000_s1028" o:spid="_x0000_s1028" style="position:absolute;left:0pt;margin-left:1.7pt;margin-top:18.5pt;height:0.5pt;width:447.3pt;z-index:251663360;mso-width-relative:page;mso-height-relative:page;" filled="f" stroked="t" coordsize="8945,10" path="m0,5l8945,5e">
            <v:fill on="f" focussize="0,0"/>
            <v:stroke weight="0.5pt" color="#000000" miterlimit="10" joinstyle="miter"/>
            <v:imagedata o:title=""/>
            <o:lock v:ext="edit"/>
          </v:shape>
        </w:pict>
      </w:r>
    </w:p>
    <w:p w14:paraId="07D254E1">
      <w:pPr>
        <w:spacing w:before="69" w:line="220" w:lineRule="auto"/>
        <w:ind w:left="153"/>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6"/>
          <w:sz w:val="14"/>
          <w:szCs w:val="14"/>
          <w:highlight w:val="none"/>
        </w:rPr>
        <w:t>1</w:t>
      </w:r>
      <w:r>
        <w:rPr>
          <w:rFonts w:ascii="Times New Roman" w:hAnsi="Times New Roman" w:eastAsia="Times New Roman" w:cs="Times New Roman"/>
          <w:color w:val="auto"/>
          <w:spacing w:val="11"/>
          <w:position w:val="6"/>
          <w:sz w:val="14"/>
          <w:szCs w:val="14"/>
          <w:highlight w:val="none"/>
        </w:rPr>
        <w:t xml:space="preserve"> </w:t>
      </w:r>
      <w:r>
        <w:rPr>
          <w:rFonts w:ascii="宋体" w:hAnsi="宋体" w:eastAsia="宋体" w:cs="宋体"/>
          <w:color w:val="auto"/>
          <w:spacing w:val="-1"/>
          <w:sz w:val="21"/>
          <w:szCs w:val="21"/>
          <w:highlight w:val="none"/>
        </w:rPr>
        <w:t>从业人员、营业收入、资产总额填报上一年度数据，无上一</w:t>
      </w:r>
      <w:r>
        <w:rPr>
          <w:rFonts w:ascii="宋体" w:hAnsi="宋体" w:eastAsia="宋体" w:cs="宋体"/>
          <w:color w:val="auto"/>
          <w:spacing w:val="-2"/>
          <w:sz w:val="21"/>
          <w:szCs w:val="21"/>
          <w:highlight w:val="none"/>
        </w:rPr>
        <w:t>年度数据的新成立企业可不填报。</w:t>
      </w:r>
    </w:p>
    <w:p w14:paraId="55BC82C0">
      <w:pPr>
        <w:spacing w:line="220" w:lineRule="auto"/>
        <w:rPr>
          <w:rFonts w:ascii="宋体" w:hAnsi="宋体" w:eastAsia="宋体" w:cs="宋体"/>
          <w:color w:val="auto"/>
          <w:sz w:val="21"/>
          <w:szCs w:val="21"/>
          <w:highlight w:val="none"/>
        </w:rPr>
        <w:sectPr>
          <w:footerReference r:id="rId29" w:type="default"/>
          <w:pgSz w:w="11907" w:h="16840"/>
          <w:pgMar w:top="1167" w:right="1105" w:bottom="1011" w:left="1672" w:header="830" w:footer="851" w:gutter="0"/>
          <w:pgNumType w:fmt="decimal"/>
          <w:cols w:space="720" w:num="1"/>
        </w:sectPr>
      </w:pPr>
    </w:p>
    <w:p w14:paraId="3BABA7AC">
      <w:pPr>
        <w:spacing w:before="305" w:line="220" w:lineRule="auto"/>
        <w:ind w:left="2229"/>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残疾人福利性单位声明函格式</w:t>
      </w:r>
    </w:p>
    <w:p w14:paraId="348A6189">
      <w:pPr>
        <w:pStyle w:val="6"/>
        <w:spacing w:line="319" w:lineRule="auto"/>
        <w:rPr>
          <w:color w:val="auto"/>
          <w:highlight w:val="none"/>
        </w:rPr>
      </w:pPr>
    </w:p>
    <w:p w14:paraId="497DFF7D">
      <w:pPr>
        <w:pStyle w:val="6"/>
        <w:spacing w:line="319" w:lineRule="auto"/>
        <w:rPr>
          <w:color w:val="auto"/>
          <w:highlight w:val="none"/>
        </w:rPr>
      </w:pPr>
    </w:p>
    <w:p w14:paraId="750FC0C0">
      <w:pPr>
        <w:spacing w:before="78" w:line="452" w:lineRule="auto"/>
        <w:ind w:left="37" w:right="40" w:firstLine="50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本单位郑重声明，根据《财政部</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8"/>
          <w:sz w:val="21"/>
          <w:szCs w:val="21"/>
          <w:highlight w:val="none"/>
        </w:rPr>
        <w:t>民政部</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8"/>
          <w:sz w:val="21"/>
          <w:szCs w:val="21"/>
          <w:highlight w:val="none"/>
        </w:rPr>
        <w:t>中国残疾人联合会关于促进残疾人就</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业政府采购政策的通知》（财库〔2017〕 141 号）</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2"/>
          <w:sz w:val="21"/>
          <w:szCs w:val="21"/>
          <w:highlight w:val="none"/>
        </w:rPr>
        <w:t>的规定，本单位</w:t>
      </w:r>
      <w:r>
        <w:rPr>
          <w:rFonts w:hint="eastAsia" w:ascii="宋体" w:hAnsi="宋体" w:eastAsia="宋体" w:cs="宋体"/>
          <w:b/>
          <w:bCs/>
          <w:color w:val="auto"/>
          <w:spacing w:val="2"/>
          <w:sz w:val="21"/>
          <w:szCs w:val="21"/>
          <w:highlight w:val="none"/>
        </w:rPr>
        <w:t>（请进行选择</w:t>
      </w:r>
      <w:r>
        <w:rPr>
          <w:rFonts w:hint="eastAsia" w:ascii="宋体" w:hAnsi="宋体" w:eastAsia="宋体" w:cs="宋体"/>
          <w:b/>
          <w:bCs/>
          <w:color w:val="auto"/>
          <w:spacing w:val="-44"/>
          <w:sz w:val="21"/>
          <w:szCs w:val="21"/>
          <w:highlight w:val="none"/>
        </w:rPr>
        <w:t>）</w:t>
      </w:r>
      <w:r>
        <w:rPr>
          <w:rFonts w:hint="eastAsia" w:ascii="宋体" w:hAnsi="宋体" w:eastAsia="宋体" w:cs="宋体"/>
          <w:color w:val="auto"/>
          <w:spacing w:val="-44"/>
          <w:sz w:val="21"/>
          <w:szCs w:val="21"/>
          <w:highlight w:val="none"/>
        </w:rPr>
        <w:t>：</w:t>
      </w:r>
    </w:p>
    <w:p w14:paraId="19C4F468">
      <w:pPr>
        <w:spacing w:line="219" w:lineRule="auto"/>
        <w:ind w:left="528"/>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rPr>
        <w:t>□</w:t>
      </w:r>
      <w:r>
        <w:rPr>
          <w:rFonts w:hint="eastAsia" w:ascii="宋体" w:hAnsi="宋体" w:eastAsia="宋体" w:cs="宋体"/>
          <w:b/>
          <w:bCs/>
          <w:color w:val="auto"/>
          <w:spacing w:val="2"/>
          <w:sz w:val="21"/>
          <w:szCs w:val="21"/>
          <w:highlight w:val="none"/>
        </w:rPr>
        <w:t>不属于符合条件的残疾人福利性单位。</w:t>
      </w:r>
    </w:p>
    <w:p w14:paraId="0FEB322D">
      <w:pPr>
        <w:spacing w:before="304" w:line="449" w:lineRule="auto"/>
        <w:ind w:left="36" w:right="40" w:firstLine="491"/>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rPr>
        <w:t>□</w:t>
      </w:r>
      <w:r>
        <w:rPr>
          <w:rFonts w:hint="eastAsia" w:ascii="宋体" w:hAnsi="宋体" w:eastAsia="宋体" w:cs="宋体"/>
          <w:b/>
          <w:bCs/>
          <w:color w:val="auto"/>
          <w:spacing w:val="3"/>
          <w:sz w:val="21"/>
          <w:szCs w:val="21"/>
          <w:highlight w:val="none"/>
        </w:rPr>
        <w:t>属于符合条件的残疾人福利性单位，</w:t>
      </w:r>
      <w:r>
        <w:rPr>
          <w:rFonts w:hint="eastAsia" w:ascii="宋体" w:hAnsi="宋体" w:eastAsia="宋体" w:cs="宋体"/>
          <w:color w:val="auto"/>
          <w:spacing w:val="3"/>
          <w:sz w:val="21"/>
          <w:szCs w:val="21"/>
          <w:highlight w:val="none"/>
        </w:rPr>
        <w:t>且本单位参加______单位的___</w:t>
      </w:r>
      <w:r>
        <w:rPr>
          <w:rFonts w:hint="eastAsia" w:ascii="宋体" w:hAnsi="宋体" w:eastAsia="宋体" w:cs="宋体"/>
          <w:color w:val="auto"/>
          <w:spacing w:val="2"/>
          <w:sz w:val="21"/>
          <w:szCs w:val="21"/>
          <w:highlight w:val="none"/>
        </w:rPr>
        <w:t>___项目采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2"/>
          <w:sz w:val="21"/>
          <w:szCs w:val="21"/>
          <w:highlight w:val="none"/>
        </w:rPr>
        <w:t>购活动提供本单位制造的货物（由本单位承担工程/提供服务</w:t>
      </w:r>
      <w:r>
        <w:rPr>
          <w:rFonts w:hint="eastAsia" w:ascii="宋体" w:hAnsi="宋体" w:eastAsia="宋体" w:cs="宋体"/>
          <w:color w:val="auto"/>
          <w:spacing w:val="-62"/>
          <w:sz w:val="21"/>
          <w:szCs w:val="21"/>
          <w:highlight w:val="none"/>
        </w:rPr>
        <w:t>），</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或者提供其他残疾</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人福利性单位制造的货物（不包括使用非残疾人福利性单位注册商标的货物）。</w:t>
      </w:r>
    </w:p>
    <w:p w14:paraId="4E893A99">
      <w:pPr>
        <w:spacing w:before="11" w:line="219" w:lineRule="auto"/>
        <w:ind w:left="531"/>
        <w:rPr>
          <w:rFonts w:hint="eastAsia" w:ascii="宋体" w:hAnsi="宋体" w:eastAsia="宋体" w:cs="宋体"/>
          <w:color w:val="auto"/>
          <w:sz w:val="21"/>
          <w:szCs w:val="21"/>
          <w:highlight w:val="none"/>
        </w:rPr>
      </w:pPr>
      <w:r>
        <w:rPr>
          <w:rFonts w:hint="eastAsia" w:ascii="宋体" w:hAnsi="宋体" w:eastAsia="宋体" w:cs="宋体"/>
          <w:b/>
          <w:bCs/>
          <w:color w:val="auto"/>
          <w:spacing w:val="9"/>
          <w:sz w:val="21"/>
          <w:szCs w:val="21"/>
          <w:highlight w:val="none"/>
        </w:rPr>
        <w:t>本单位对上述声明的真实性负责。如有虚假，将依法承担相应责任。</w:t>
      </w:r>
    </w:p>
    <w:p w14:paraId="1FFD652F">
      <w:pPr>
        <w:pStyle w:val="6"/>
        <w:spacing w:line="278" w:lineRule="auto"/>
        <w:rPr>
          <w:rFonts w:hint="eastAsia" w:ascii="宋体" w:hAnsi="宋体" w:eastAsia="宋体" w:cs="宋体"/>
          <w:color w:val="auto"/>
          <w:sz w:val="21"/>
          <w:szCs w:val="21"/>
          <w:highlight w:val="none"/>
        </w:rPr>
      </w:pPr>
    </w:p>
    <w:p w14:paraId="372502DD">
      <w:pPr>
        <w:pStyle w:val="6"/>
        <w:spacing w:line="278" w:lineRule="auto"/>
        <w:rPr>
          <w:rFonts w:hint="eastAsia" w:ascii="宋体" w:hAnsi="宋体" w:eastAsia="宋体" w:cs="宋体"/>
          <w:color w:val="auto"/>
          <w:sz w:val="21"/>
          <w:szCs w:val="21"/>
          <w:highlight w:val="none"/>
        </w:rPr>
      </w:pPr>
    </w:p>
    <w:p w14:paraId="0E6A40C9">
      <w:pPr>
        <w:pStyle w:val="6"/>
        <w:spacing w:line="278" w:lineRule="auto"/>
        <w:rPr>
          <w:rFonts w:hint="eastAsia" w:ascii="宋体" w:hAnsi="宋体" w:eastAsia="宋体" w:cs="宋体"/>
          <w:color w:val="auto"/>
          <w:sz w:val="21"/>
          <w:szCs w:val="21"/>
          <w:highlight w:val="none"/>
        </w:rPr>
      </w:pPr>
    </w:p>
    <w:p w14:paraId="0AD6EDBA">
      <w:pPr>
        <w:pStyle w:val="6"/>
        <w:spacing w:line="279" w:lineRule="auto"/>
        <w:rPr>
          <w:rFonts w:hint="eastAsia" w:ascii="宋体" w:hAnsi="宋体" w:eastAsia="宋体" w:cs="宋体"/>
          <w:color w:val="auto"/>
          <w:sz w:val="21"/>
          <w:szCs w:val="21"/>
          <w:highlight w:val="none"/>
        </w:rPr>
      </w:pPr>
    </w:p>
    <w:p w14:paraId="0AF647A8">
      <w:pPr>
        <w:pStyle w:val="6"/>
        <w:spacing w:line="279" w:lineRule="auto"/>
        <w:rPr>
          <w:rFonts w:hint="eastAsia" w:ascii="宋体" w:hAnsi="宋体" w:eastAsia="宋体" w:cs="宋体"/>
          <w:color w:val="auto"/>
          <w:sz w:val="21"/>
          <w:szCs w:val="21"/>
          <w:highlight w:val="none"/>
        </w:rPr>
      </w:pPr>
    </w:p>
    <w:p w14:paraId="4031D209">
      <w:pPr>
        <w:spacing w:before="79" w:line="191" w:lineRule="auto"/>
        <w:ind w:left="4684"/>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单位名称（盖章</w:t>
      </w:r>
      <w:r>
        <w:rPr>
          <w:rFonts w:hint="eastAsia" w:ascii="宋体" w:hAnsi="宋体" w:eastAsia="宋体" w:cs="宋体"/>
          <w:color w:val="auto"/>
          <w:spacing w:val="-61"/>
          <w:sz w:val="21"/>
          <w:szCs w:val="21"/>
          <w:highlight w:val="none"/>
        </w:rPr>
        <w:t>）：</w:t>
      </w:r>
      <w:r>
        <w:rPr>
          <w:rFonts w:hint="eastAsia" w:ascii="宋体" w:hAnsi="宋体" w:eastAsia="宋体" w:cs="宋体"/>
          <w:color w:val="auto"/>
          <w:sz w:val="21"/>
          <w:szCs w:val="21"/>
          <w:highlight w:val="none"/>
          <w:u w:val="single"/>
          <w:lang w:val="en-US" w:eastAsia="zh-CN"/>
        </w:rPr>
        <w:t xml:space="preserve">            </w:t>
      </w:r>
    </w:p>
    <w:p w14:paraId="279CABD0">
      <w:pPr>
        <w:pStyle w:val="6"/>
        <w:spacing w:line="250" w:lineRule="auto"/>
        <w:rPr>
          <w:rFonts w:hint="eastAsia" w:ascii="宋体" w:hAnsi="宋体" w:eastAsia="宋体" w:cs="宋体"/>
          <w:color w:val="auto"/>
          <w:sz w:val="21"/>
          <w:szCs w:val="21"/>
          <w:highlight w:val="none"/>
        </w:rPr>
      </w:pPr>
    </w:p>
    <w:p w14:paraId="7626E254">
      <w:pPr>
        <w:spacing w:before="78" w:line="191" w:lineRule="auto"/>
        <w:ind w:left="5851"/>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日</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21"/>
          <w:sz w:val="21"/>
          <w:szCs w:val="21"/>
          <w:highlight w:val="none"/>
        </w:rPr>
        <w:t>期：</w:t>
      </w:r>
    </w:p>
    <w:p w14:paraId="23630A28">
      <w:pPr>
        <w:spacing w:line="10" w:lineRule="exact"/>
        <w:ind w:left="681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position w:val="5"/>
          <w:sz w:val="24"/>
          <w:szCs w:val="24"/>
          <w:highlight w:val="none"/>
        </w:rPr>
        <w:t>______</w:t>
      </w:r>
    </w:p>
    <w:p w14:paraId="5E863790">
      <w:pPr>
        <w:spacing w:line="10" w:lineRule="exact"/>
        <w:rPr>
          <w:rFonts w:ascii="Times New Roman" w:hAnsi="Times New Roman" w:eastAsia="Times New Roman" w:cs="Times New Roman"/>
          <w:color w:val="auto"/>
          <w:sz w:val="24"/>
          <w:szCs w:val="24"/>
          <w:highlight w:val="none"/>
        </w:rPr>
        <w:sectPr>
          <w:footerReference r:id="rId30" w:type="default"/>
          <w:pgSz w:w="11907" w:h="16840"/>
          <w:pgMar w:top="1167" w:right="1105" w:bottom="1011" w:left="1672" w:header="830" w:footer="851" w:gutter="0"/>
          <w:pgNumType w:fmt="decimal"/>
          <w:cols w:space="720" w:num="1"/>
        </w:sectPr>
      </w:pPr>
    </w:p>
    <w:p w14:paraId="77A2CFA8">
      <w:pPr>
        <w:pStyle w:val="6"/>
        <w:spacing w:before="336" w:line="360" w:lineRule="auto"/>
        <w:ind w:left="22"/>
        <w:outlineLvl w:val="3"/>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2-1-2</w:t>
      </w:r>
      <w:r>
        <w:rPr>
          <w:rFonts w:hint="eastAsia" w:ascii="宋体" w:hAnsi="宋体" w:eastAsia="宋体" w:cs="宋体"/>
          <w:color w:val="auto"/>
          <w:spacing w:val="67"/>
          <w:w w:val="101"/>
          <w:sz w:val="24"/>
          <w:szCs w:val="24"/>
          <w:highlight w:val="none"/>
        </w:rPr>
        <w:t xml:space="preserve"> </w:t>
      </w:r>
      <w:r>
        <w:rPr>
          <w:rFonts w:hint="eastAsia" w:ascii="宋体" w:hAnsi="宋体" w:eastAsia="宋体" w:cs="宋体"/>
          <w:color w:val="auto"/>
          <w:spacing w:val="2"/>
          <w:sz w:val="24"/>
          <w:szCs w:val="24"/>
          <w:highlight w:val="none"/>
        </w:rPr>
        <w:t>拟分包情况说明及分包意向协议</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不适用）</w:t>
      </w:r>
    </w:p>
    <w:p w14:paraId="0823556F">
      <w:pPr>
        <w:spacing w:before="293" w:line="360" w:lineRule="auto"/>
        <w:ind w:left="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说明：</w:t>
      </w:r>
    </w:p>
    <w:p w14:paraId="531CF2C5">
      <w:pPr>
        <w:spacing w:before="175" w:line="360" w:lineRule="auto"/>
        <w:ind w:left="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如本项目（包）允许分包，且供应商拟进行分包时：</w:t>
      </w:r>
    </w:p>
    <w:p w14:paraId="20D3D6F3">
      <w:pPr>
        <w:pStyle w:val="6"/>
        <w:spacing w:before="184"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（1）响应文件中须提供《拟分包情况说明》，否则</w:t>
      </w:r>
      <w:r>
        <w:rPr>
          <w:rFonts w:hint="eastAsia" w:ascii="宋体" w:hAnsi="宋体" w:eastAsia="宋体" w:cs="宋体"/>
          <w:b/>
          <w:bCs/>
          <w:color w:val="auto"/>
          <w:spacing w:val="-6"/>
          <w:sz w:val="21"/>
          <w:szCs w:val="21"/>
          <w:highlight w:val="none"/>
        </w:rPr>
        <w:t>响应无效</w:t>
      </w:r>
      <w:r>
        <w:rPr>
          <w:rFonts w:hint="eastAsia" w:ascii="宋体" w:hAnsi="宋体" w:eastAsia="宋体" w:cs="宋体"/>
          <w:color w:val="auto"/>
          <w:spacing w:val="-6"/>
          <w:sz w:val="21"/>
          <w:szCs w:val="21"/>
          <w:highlight w:val="none"/>
        </w:rPr>
        <w:t>；</w:t>
      </w:r>
    </w:p>
    <w:p w14:paraId="2E0B6697">
      <w:pPr>
        <w:pStyle w:val="6"/>
        <w:spacing w:before="187"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（2）当同时符合下列情形时</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6"/>
          <w:sz w:val="21"/>
          <w:szCs w:val="21"/>
          <w:highlight w:val="none"/>
        </w:rPr>
        <w:t>，响应文件还须</w:t>
      </w:r>
      <w:r>
        <w:rPr>
          <w:rFonts w:hint="eastAsia" w:ascii="宋体" w:hAnsi="宋体" w:eastAsia="宋体" w:cs="宋体"/>
          <w:color w:val="auto"/>
          <w:spacing w:val="-7"/>
          <w:sz w:val="21"/>
          <w:szCs w:val="21"/>
          <w:highlight w:val="none"/>
        </w:rPr>
        <w:t>提供《分包意向协议》，否则</w:t>
      </w:r>
      <w:r>
        <w:rPr>
          <w:rFonts w:hint="eastAsia" w:ascii="宋体" w:hAnsi="宋体" w:eastAsia="宋体" w:cs="宋体"/>
          <w:b/>
          <w:bCs/>
          <w:color w:val="auto"/>
          <w:spacing w:val="-7"/>
          <w:sz w:val="21"/>
          <w:szCs w:val="21"/>
          <w:highlight w:val="none"/>
        </w:rPr>
        <w:t>响应无效</w:t>
      </w:r>
      <w:r>
        <w:rPr>
          <w:rFonts w:hint="eastAsia" w:ascii="宋体" w:hAnsi="宋体" w:eastAsia="宋体" w:cs="宋体"/>
          <w:color w:val="auto"/>
          <w:spacing w:val="-7"/>
          <w:sz w:val="21"/>
          <w:szCs w:val="21"/>
          <w:highlight w:val="none"/>
        </w:rPr>
        <w:t>：</w:t>
      </w:r>
    </w:p>
    <w:p w14:paraId="0883D0AE">
      <w:pPr>
        <w:pStyle w:val="6"/>
        <w:spacing w:before="184" w:line="360" w:lineRule="auto"/>
        <w:ind w:left="574" w:hang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w:t>
      </w:r>
      <w:r>
        <w:rPr>
          <w:rFonts w:hint="eastAsia" w:ascii="宋体" w:hAnsi="宋体" w:eastAsia="宋体" w:cs="宋体"/>
          <w:color w:val="auto"/>
          <w:spacing w:val="58"/>
          <w:sz w:val="21"/>
          <w:szCs w:val="21"/>
          <w:highlight w:val="none"/>
        </w:rPr>
        <w:t xml:space="preserve"> </w:t>
      </w:r>
      <w:r>
        <w:rPr>
          <w:rFonts w:hint="eastAsia" w:ascii="宋体" w:hAnsi="宋体" w:eastAsia="宋体" w:cs="宋体"/>
          <w:color w:val="auto"/>
          <w:sz w:val="21"/>
          <w:szCs w:val="21"/>
          <w:highlight w:val="none"/>
        </w:rPr>
        <w:t>本项目（包）预留部分采购项目预算专门面向中小企业采</w:t>
      </w:r>
      <w:r>
        <w:rPr>
          <w:rFonts w:hint="eastAsia" w:ascii="宋体" w:hAnsi="宋体" w:eastAsia="宋体" w:cs="宋体"/>
          <w:color w:val="auto"/>
          <w:spacing w:val="-1"/>
          <w:sz w:val="21"/>
          <w:szCs w:val="21"/>
          <w:highlight w:val="none"/>
        </w:rPr>
        <w:t>购，且要求获得采购</w:t>
      </w:r>
      <w:r>
        <w:rPr>
          <w:rFonts w:hint="eastAsia" w:ascii="宋体" w:hAnsi="宋体" w:eastAsia="宋体" w:cs="宋体"/>
          <w:color w:val="auto"/>
          <w:sz w:val="21"/>
          <w:szCs w:val="21"/>
          <w:highlight w:val="none"/>
        </w:rPr>
        <w:t>合同的供应商将采购项目中的一定比例分包给一家或者多家中</w:t>
      </w:r>
      <w:r>
        <w:rPr>
          <w:rFonts w:hint="eastAsia" w:ascii="宋体" w:hAnsi="宋体" w:eastAsia="宋体" w:cs="宋体"/>
          <w:color w:val="auto"/>
          <w:spacing w:val="-1"/>
          <w:sz w:val="21"/>
          <w:szCs w:val="21"/>
          <w:highlight w:val="none"/>
        </w:rPr>
        <w:t>小企业的；</w:t>
      </w:r>
    </w:p>
    <w:p w14:paraId="3296BAC5">
      <w:pPr>
        <w:pStyle w:val="6"/>
        <w:spacing w:before="15" w:line="360" w:lineRule="auto"/>
        <w:ind w:left="59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
          <w:sz w:val="21"/>
          <w:szCs w:val="21"/>
          <w:highlight w:val="none"/>
        </w:rPr>
        <w:t>供应商通过分包方式满足中小企业政策要求的。</w:t>
      </w:r>
    </w:p>
    <w:p w14:paraId="5E86F13D">
      <w:pPr>
        <w:spacing w:line="360" w:lineRule="auto"/>
        <w:rPr>
          <w:rFonts w:hint="eastAsia" w:ascii="宋体" w:hAnsi="宋体" w:eastAsia="宋体" w:cs="宋体"/>
          <w:color w:val="auto"/>
          <w:sz w:val="24"/>
          <w:szCs w:val="24"/>
          <w:highlight w:val="none"/>
        </w:rPr>
        <w:sectPr>
          <w:headerReference r:id="rId31" w:type="default"/>
          <w:footerReference r:id="rId32" w:type="default"/>
          <w:pgSz w:w="11907" w:h="16840"/>
          <w:pgMar w:top="1149" w:right="1133" w:bottom="1057" w:left="1696" w:header="875" w:footer="886" w:gutter="0"/>
          <w:pgNumType w:fmt="decimal"/>
          <w:cols w:space="720" w:num="1"/>
        </w:sectPr>
      </w:pPr>
    </w:p>
    <w:p w14:paraId="5AE86556">
      <w:pPr>
        <w:spacing w:before="328" w:line="360" w:lineRule="auto"/>
        <w:ind w:left="3287"/>
        <w:rPr>
          <w:rFonts w:hint="eastAsia" w:ascii="宋体" w:hAnsi="宋体" w:eastAsia="宋体" w:cs="宋体"/>
          <w:color w:val="auto"/>
          <w:sz w:val="35"/>
          <w:szCs w:val="35"/>
          <w:highlight w:val="none"/>
        </w:rPr>
      </w:pPr>
      <w:r>
        <w:rPr>
          <w:rFonts w:hint="eastAsia" w:ascii="宋体" w:hAnsi="宋体" w:eastAsia="宋体" w:cs="宋体"/>
          <w:b/>
          <w:bCs/>
          <w:color w:val="auto"/>
          <w:spacing w:val="9"/>
          <w:sz w:val="35"/>
          <w:szCs w:val="35"/>
          <w:highlight w:val="none"/>
        </w:rPr>
        <w:t>拟分包情况说明</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不适用）</w:t>
      </w:r>
    </w:p>
    <w:p w14:paraId="3A47767A">
      <w:pPr>
        <w:spacing w:before="251" w:line="360"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致</w:t>
      </w:r>
      <w:r>
        <w:rPr>
          <w:rFonts w:hint="eastAsia" w:ascii="宋体" w:hAnsi="宋体" w:eastAsia="宋体" w:cs="宋体"/>
          <w:color w:val="auto"/>
          <w:spacing w:val="-56"/>
          <w:w w:val="84"/>
          <w:sz w:val="21"/>
          <w:szCs w:val="21"/>
          <w:highlight w:val="none"/>
        </w:rPr>
        <w:t>：</w:t>
      </w:r>
      <w:r>
        <w:rPr>
          <w:rFonts w:hint="eastAsia" w:ascii="宋体" w:hAnsi="宋体" w:eastAsia="宋体" w:cs="宋体"/>
          <w:color w:val="auto"/>
          <w:spacing w:val="-56"/>
          <w:w w:val="84"/>
          <w:sz w:val="21"/>
          <w:szCs w:val="21"/>
          <w:highlight w:val="none"/>
          <w:u w:val="single" w:color="auto"/>
        </w:rPr>
        <w:t>（</w:t>
      </w:r>
      <w:r>
        <w:rPr>
          <w:rFonts w:hint="eastAsia" w:ascii="宋体" w:hAnsi="宋体" w:eastAsia="宋体" w:cs="宋体"/>
          <w:color w:val="auto"/>
          <w:spacing w:val="5"/>
          <w:sz w:val="21"/>
          <w:szCs w:val="21"/>
          <w:highlight w:val="none"/>
          <w:u w:val="single" w:color="auto"/>
        </w:rPr>
        <w:t>采购人或采购代理机构）</w:t>
      </w:r>
    </w:p>
    <w:p w14:paraId="0304B254">
      <w:pPr>
        <w:tabs>
          <w:tab w:val="left" w:pos="9320"/>
        </w:tabs>
        <w:spacing w:before="187" w:line="360" w:lineRule="auto"/>
        <w:ind w:left="10" w:firstLine="482"/>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我单位参加贵单位组织采购的项目编号为</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pacing w:val="-1"/>
          <w:sz w:val="21"/>
          <w:szCs w:val="21"/>
          <w:highlight w:val="none"/>
        </w:rPr>
        <w:t>的</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
          <w:sz w:val="21"/>
          <w:szCs w:val="21"/>
          <w:highlight w:val="none"/>
        </w:rPr>
        <w:t>项</w:t>
      </w:r>
      <w:r>
        <w:rPr>
          <w:rFonts w:hint="eastAsia" w:ascii="宋体" w:hAnsi="宋体" w:eastAsia="宋体" w:cs="宋体"/>
          <w:color w:val="auto"/>
          <w:spacing w:val="-2"/>
          <w:sz w:val="21"/>
          <w:szCs w:val="21"/>
          <w:highlight w:val="none"/>
        </w:rPr>
        <w:t>目（填写采购项目名称）</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中</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包（填写包号）的磋商。拟签订分包合同的单位情况如下表所示，我单位承诺</w:t>
      </w:r>
      <w:r>
        <w:rPr>
          <w:rFonts w:hint="eastAsia" w:ascii="宋体" w:hAnsi="宋体" w:eastAsia="宋体" w:cs="宋体"/>
          <w:color w:val="auto"/>
          <w:spacing w:val="-1"/>
          <w:sz w:val="21"/>
          <w:szCs w:val="21"/>
          <w:highlight w:val="none"/>
          <w:lang w:val="en-US" w:eastAsia="zh-CN"/>
        </w:rPr>
        <w:t>一</w:t>
      </w:r>
      <w:r>
        <w:rPr>
          <w:rFonts w:hint="eastAsia" w:ascii="宋体" w:hAnsi="宋体" w:eastAsia="宋体" w:cs="宋体"/>
          <w:color w:val="auto"/>
          <w:spacing w:val="-1"/>
          <w:sz w:val="21"/>
          <w:szCs w:val="21"/>
          <w:highlight w:val="none"/>
        </w:rPr>
        <w:t>旦在该项目中获得采购合同将按下表所列情况</w:t>
      </w:r>
      <w:r>
        <w:rPr>
          <w:rFonts w:hint="eastAsia" w:ascii="宋体" w:hAnsi="宋体" w:eastAsia="宋体" w:cs="宋体"/>
          <w:color w:val="auto"/>
          <w:spacing w:val="-2"/>
          <w:sz w:val="21"/>
          <w:szCs w:val="21"/>
          <w:highlight w:val="none"/>
        </w:rPr>
        <w:t>进行分包，同时承诺分包承担主体不再次分包。</w:t>
      </w:r>
    </w:p>
    <w:tbl>
      <w:tblPr>
        <w:tblStyle w:val="18"/>
        <w:tblW w:w="9004"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1285"/>
        <w:gridCol w:w="1511"/>
        <w:gridCol w:w="1124"/>
        <w:gridCol w:w="1559"/>
        <w:gridCol w:w="1496"/>
        <w:gridCol w:w="1567"/>
      </w:tblGrid>
      <w:tr w14:paraId="0A227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62" w:type="dxa"/>
            <w:textDirection w:val="tbRlV"/>
            <w:vAlign w:val="top"/>
          </w:tcPr>
          <w:p w14:paraId="3E18495F">
            <w:pPr>
              <w:spacing w:before="107" w:line="360" w:lineRule="auto"/>
              <w:ind w:left="217"/>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序 号</w:t>
            </w:r>
          </w:p>
        </w:tc>
        <w:tc>
          <w:tcPr>
            <w:tcW w:w="1285" w:type="dxa"/>
            <w:vAlign w:val="top"/>
          </w:tcPr>
          <w:p w14:paraId="32503156">
            <w:pPr>
              <w:spacing w:before="216" w:line="360" w:lineRule="auto"/>
              <w:ind w:left="171" w:right="162" w:hanging="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分包承担</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4"/>
                <w:sz w:val="21"/>
                <w:szCs w:val="21"/>
                <w:highlight w:val="none"/>
              </w:rPr>
              <w:t>主体名称</w:t>
            </w:r>
          </w:p>
        </w:tc>
        <w:tc>
          <w:tcPr>
            <w:tcW w:w="1511" w:type="dxa"/>
            <w:vAlign w:val="top"/>
          </w:tcPr>
          <w:p w14:paraId="31EB36B2">
            <w:pPr>
              <w:spacing w:before="43" w:line="360" w:lineRule="auto"/>
              <w:ind w:left="266" w:right="268" w:firstLine="10"/>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分包承担</w:t>
            </w:r>
            <w:r>
              <w:rPr>
                <w:rFonts w:hint="eastAsia" w:ascii="宋体" w:hAnsi="宋体" w:eastAsia="宋体" w:cs="宋体"/>
                <w:color w:val="auto"/>
                <w:spacing w:val="1"/>
                <w:sz w:val="21"/>
                <w:szCs w:val="21"/>
                <w:highlight w:val="none"/>
              </w:rPr>
              <w:t xml:space="preserve"> 主体类型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（选择）</w:t>
            </w:r>
          </w:p>
        </w:tc>
        <w:tc>
          <w:tcPr>
            <w:tcW w:w="1124" w:type="dxa"/>
            <w:vAlign w:val="top"/>
          </w:tcPr>
          <w:p w14:paraId="4310AB16">
            <w:pPr>
              <w:pStyle w:val="19"/>
              <w:spacing w:line="360" w:lineRule="auto"/>
              <w:rPr>
                <w:rFonts w:hint="eastAsia" w:ascii="宋体" w:hAnsi="宋体" w:eastAsia="宋体" w:cs="宋体"/>
                <w:color w:val="auto"/>
                <w:sz w:val="21"/>
                <w:szCs w:val="21"/>
                <w:highlight w:val="none"/>
              </w:rPr>
            </w:pPr>
          </w:p>
          <w:p w14:paraId="6C2DECF3">
            <w:pPr>
              <w:spacing w:before="102" w:line="360" w:lineRule="auto"/>
              <w:ind w:left="8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资质等级</w:t>
            </w:r>
          </w:p>
        </w:tc>
        <w:tc>
          <w:tcPr>
            <w:tcW w:w="1559" w:type="dxa"/>
            <w:vAlign w:val="top"/>
          </w:tcPr>
          <w:p w14:paraId="4273A277">
            <w:pPr>
              <w:spacing w:before="216" w:line="360" w:lineRule="auto"/>
              <w:ind w:left="302" w:right="295" w:firstLine="1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拟分包</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合同内容</w:t>
            </w:r>
          </w:p>
        </w:tc>
        <w:tc>
          <w:tcPr>
            <w:tcW w:w="1496" w:type="dxa"/>
            <w:vAlign w:val="top"/>
          </w:tcPr>
          <w:p w14:paraId="3AC2FB92">
            <w:pPr>
              <w:spacing w:before="43" w:line="360" w:lineRule="auto"/>
              <w:ind w:left="39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拟分包</w:t>
            </w:r>
          </w:p>
          <w:p w14:paraId="08F4F6F4">
            <w:pPr>
              <w:spacing w:before="4" w:line="360" w:lineRule="auto"/>
              <w:ind w:left="20" w:right="19" w:firstLine="24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合同金额</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（人民币元）</w:t>
            </w:r>
          </w:p>
        </w:tc>
        <w:tc>
          <w:tcPr>
            <w:tcW w:w="1567" w:type="dxa"/>
            <w:vAlign w:val="top"/>
          </w:tcPr>
          <w:p w14:paraId="4E40F995">
            <w:pPr>
              <w:spacing w:before="44" w:line="360" w:lineRule="auto"/>
              <w:ind w:left="219"/>
              <w:rPr>
                <w:rFonts w:hint="eastAsia" w:ascii="宋体" w:hAnsi="宋体" w:eastAsia="宋体" w:cs="宋体"/>
                <w:color w:val="auto"/>
                <w:sz w:val="21"/>
                <w:szCs w:val="21"/>
                <w:highlight w:val="none"/>
              </w:rPr>
            </w:pPr>
            <w:r>
              <w:rPr>
                <w:rFonts w:hint="eastAsia" w:ascii="宋体" w:hAnsi="宋体" w:eastAsia="宋体" w:cs="宋体"/>
                <w:color w:val="auto"/>
                <w:spacing w:val="-7"/>
                <w:w w:val="99"/>
                <w:sz w:val="21"/>
                <w:szCs w:val="21"/>
                <w:highlight w:val="none"/>
              </w:rPr>
              <w:t>占该采购包</w:t>
            </w:r>
          </w:p>
          <w:p w14:paraId="6B639244">
            <w:pPr>
              <w:spacing w:before="2" w:line="360" w:lineRule="auto"/>
              <w:ind w:left="184"/>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合同金额的</w:t>
            </w:r>
          </w:p>
          <w:p w14:paraId="5391CFF3">
            <w:pPr>
              <w:pStyle w:val="19"/>
              <w:spacing w:before="2" w:line="360" w:lineRule="auto"/>
              <w:ind w:left="21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比例（%）</w:t>
            </w:r>
          </w:p>
        </w:tc>
      </w:tr>
      <w:tr w14:paraId="3ACD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vAlign w:val="top"/>
          </w:tcPr>
          <w:p w14:paraId="5FC504B1">
            <w:pPr>
              <w:pStyle w:val="19"/>
              <w:spacing w:line="360" w:lineRule="auto"/>
              <w:rPr>
                <w:rFonts w:hint="eastAsia" w:ascii="宋体" w:hAnsi="宋体" w:eastAsia="宋体" w:cs="宋体"/>
                <w:color w:val="auto"/>
                <w:sz w:val="21"/>
                <w:szCs w:val="21"/>
                <w:highlight w:val="none"/>
              </w:rPr>
            </w:pPr>
          </w:p>
          <w:p w14:paraId="23733351">
            <w:pPr>
              <w:pStyle w:val="19"/>
              <w:spacing w:before="69" w:line="360" w:lineRule="auto"/>
              <w:ind w:left="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85" w:type="dxa"/>
            <w:vAlign w:val="top"/>
          </w:tcPr>
          <w:p w14:paraId="193BBDEA">
            <w:pPr>
              <w:pStyle w:val="19"/>
              <w:spacing w:line="360" w:lineRule="auto"/>
              <w:rPr>
                <w:rFonts w:hint="eastAsia" w:ascii="宋体" w:hAnsi="宋体" w:eastAsia="宋体" w:cs="宋体"/>
                <w:color w:val="auto"/>
                <w:sz w:val="21"/>
                <w:szCs w:val="21"/>
                <w:highlight w:val="none"/>
              </w:rPr>
            </w:pPr>
          </w:p>
        </w:tc>
        <w:tc>
          <w:tcPr>
            <w:tcW w:w="1511" w:type="dxa"/>
            <w:vAlign w:val="top"/>
          </w:tcPr>
          <w:p w14:paraId="30DAFD1B">
            <w:pPr>
              <w:pStyle w:val="19"/>
              <w:spacing w:before="41" w:line="360" w:lineRule="auto"/>
              <w:ind w:left="135"/>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□中型企业</w:t>
            </w:r>
          </w:p>
          <w:p w14:paraId="74CBA470">
            <w:pPr>
              <w:pStyle w:val="19"/>
              <w:spacing w:before="2" w:line="360" w:lineRule="auto"/>
              <w:ind w:left="235" w:leftChars="0" w:right="27" w:rightChars="0" w:hanging="15" w:firstLineChars="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□小微企业</w:t>
            </w:r>
            <w:r>
              <w:rPr>
                <w:rFonts w:hint="eastAsia" w:ascii="宋体" w:hAnsi="宋体" w:eastAsia="宋体" w:cs="宋体"/>
                <w:color w:val="auto"/>
                <w:spacing w:val="19"/>
                <w:sz w:val="21"/>
                <w:szCs w:val="21"/>
                <w:highlight w:val="none"/>
              </w:rPr>
              <w:t>□其他</w:t>
            </w:r>
          </w:p>
        </w:tc>
        <w:tc>
          <w:tcPr>
            <w:tcW w:w="1124" w:type="dxa"/>
            <w:vAlign w:val="top"/>
          </w:tcPr>
          <w:p w14:paraId="076881BB">
            <w:pPr>
              <w:pStyle w:val="19"/>
              <w:spacing w:line="360" w:lineRule="auto"/>
              <w:rPr>
                <w:rFonts w:hint="eastAsia" w:ascii="宋体" w:hAnsi="宋体" w:eastAsia="宋体" w:cs="宋体"/>
                <w:color w:val="auto"/>
                <w:sz w:val="21"/>
                <w:szCs w:val="21"/>
                <w:highlight w:val="none"/>
              </w:rPr>
            </w:pPr>
          </w:p>
        </w:tc>
        <w:tc>
          <w:tcPr>
            <w:tcW w:w="1559" w:type="dxa"/>
            <w:vAlign w:val="top"/>
          </w:tcPr>
          <w:p w14:paraId="5826D790">
            <w:pPr>
              <w:pStyle w:val="19"/>
              <w:spacing w:line="360" w:lineRule="auto"/>
              <w:rPr>
                <w:rFonts w:hint="eastAsia" w:ascii="宋体" w:hAnsi="宋体" w:eastAsia="宋体" w:cs="宋体"/>
                <w:color w:val="auto"/>
                <w:sz w:val="21"/>
                <w:szCs w:val="21"/>
                <w:highlight w:val="none"/>
              </w:rPr>
            </w:pPr>
          </w:p>
        </w:tc>
        <w:tc>
          <w:tcPr>
            <w:tcW w:w="1496" w:type="dxa"/>
            <w:vAlign w:val="top"/>
          </w:tcPr>
          <w:p w14:paraId="0AAF7193">
            <w:pPr>
              <w:pStyle w:val="19"/>
              <w:spacing w:line="360" w:lineRule="auto"/>
              <w:rPr>
                <w:rFonts w:hint="eastAsia" w:ascii="宋体" w:hAnsi="宋体" w:eastAsia="宋体" w:cs="宋体"/>
                <w:color w:val="auto"/>
                <w:sz w:val="21"/>
                <w:szCs w:val="21"/>
                <w:highlight w:val="none"/>
              </w:rPr>
            </w:pPr>
          </w:p>
        </w:tc>
        <w:tc>
          <w:tcPr>
            <w:tcW w:w="1567" w:type="dxa"/>
            <w:vAlign w:val="top"/>
          </w:tcPr>
          <w:p w14:paraId="3DB1E536">
            <w:pPr>
              <w:pStyle w:val="19"/>
              <w:spacing w:line="360" w:lineRule="auto"/>
              <w:rPr>
                <w:rFonts w:hint="eastAsia" w:ascii="宋体" w:hAnsi="宋体" w:eastAsia="宋体" w:cs="宋体"/>
                <w:color w:val="auto"/>
                <w:sz w:val="21"/>
                <w:szCs w:val="21"/>
                <w:highlight w:val="none"/>
              </w:rPr>
            </w:pPr>
          </w:p>
        </w:tc>
      </w:tr>
      <w:tr w14:paraId="56A26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462" w:type="dxa"/>
            <w:vAlign w:val="top"/>
          </w:tcPr>
          <w:p w14:paraId="31729D43">
            <w:pPr>
              <w:pStyle w:val="19"/>
              <w:spacing w:line="360" w:lineRule="auto"/>
              <w:rPr>
                <w:rFonts w:hint="eastAsia" w:ascii="宋体" w:hAnsi="宋体" w:eastAsia="宋体" w:cs="宋体"/>
                <w:color w:val="auto"/>
                <w:sz w:val="21"/>
                <w:szCs w:val="21"/>
                <w:highlight w:val="none"/>
              </w:rPr>
            </w:pPr>
          </w:p>
          <w:p w14:paraId="2724F579">
            <w:pPr>
              <w:pStyle w:val="19"/>
              <w:spacing w:before="69" w:line="360" w:lineRule="auto"/>
              <w:ind w:left="16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w:t>
            </w:r>
          </w:p>
        </w:tc>
        <w:tc>
          <w:tcPr>
            <w:tcW w:w="1285" w:type="dxa"/>
            <w:vAlign w:val="top"/>
          </w:tcPr>
          <w:p w14:paraId="109DA060">
            <w:pPr>
              <w:pStyle w:val="19"/>
              <w:spacing w:line="360" w:lineRule="auto"/>
              <w:rPr>
                <w:rFonts w:hint="eastAsia" w:ascii="宋体" w:hAnsi="宋体" w:eastAsia="宋体" w:cs="宋体"/>
                <w:color w:val="auto"/>
                <w:sz w:val="21"/>
                <w:szCs w:val="21"/>
                <w:highlight w:val="none"/>
              </w:rPr>
            </w:pPr>
          </w:p>
        </w:tc>
        <w:tc>
          <w:tcPr>
            <w:tcW w:w="1511" w:type="dxa"/>
            <w:vAlign w:val="top"/>
          </w:tcPr>
          <w:p w14:paraId="593C2BB3">
            <w:pPr>
              <w:pStyle w:val="19"/>
              <w:spacing w:before="42" w:line="360" w:lineRule="auto"/>
              <w:ind w:left="135"/>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□中型企业</w:t>
            </w:r>
          </w:p>
          <w:p w14:paraId="6566B68F">
            <w:pPr>
              <w:pStyle w:val="19"/>
              <w:tabs>
                <w:tab w:val="left" w:pos="1480"/>
              </w:tabs>
              <w:spacing w:before="4" w:line="360" w:lineRule="auto"/>
              <w:ind w:left="220" w:leftChars="0" w:right="27" w:righ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□小微企业</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sz w:val="21"/>
                <w:szCs w:val="21"/>
                <w:highlight w:val="none"/>
                <w:lang w:eastAsia="zh-CN"/>
              </w:rPr>
              <w:t>□</w:t>
            </w:r>
            <w:r>
              <w:rPr>
                <w:rFonts w:hint="eastAsia" w:ascii="宋体" w:hAnsi="宋体" w:eastAsia="宋体" w:cs="宋体"/>
                <w:color w:val="auto"/>
                <w:spacing w:val="19"/>
                <w:sz w:val="21"/>
                <w:szCs w:val="21"/>
                <w:highlight w:val="none"/>
              </w:rPr>
              <w:t>其他</w:t>
            </w:r>
          </w:p>
        </w:tc>
        <w:tc>
          <w:tcPr>
            <w:tcW w:w="1124" w:type="dxa"/>
            <w:vAlign w:val="top"/>
          </w:tcPr>
          <w:p w14:paraId="655D58A5">
            <w:pPr>
              <w:pStyle w:val="19"/>
              <w:spacing w:line="360" w:lineRule="auto"/>
              <w:rPr>
                <w:rFonts w:hint="eastAsia" w:ascii="宋体" w:hAnsi="宋体" w:eastAsia="宋体" w:cs="宋体"/>
                <w:color w:val="auto"/>
                <w:sz w:val="21"/>
                <w:szCs w:val="21"/>
                <w:highlight w:val="none"/>
              </w:rPr>
            </w:pPr>
          </w:p>
        </w:tc>
        <w:tc>
          <w:tcPr>
            <w:tcW w:w="1559" w:type="dxa"/>
            <w:vAlign w:val="top"/>
          </w:tcPr>
          <w:p w14:paraId="25D34DC0">
            <w:pPr>
              <w:pStyle w:val="19"/>
              <w:spacing w:line="360" w:lineRule="auto"/>
              <w:rPr>
                <w:rFonts w:hint="eastAsia" w:ascii="宋体" w:hAnsi="宋体" w:eastAsia="宋体" w:cs="宋体"/>
                <w:color w:val="auto"/>
                <w:sz w:val="21"/>
                <w:szCs w:val="21"/>
                <w:highlight w:val="none"/>
              </w:rPr>
            </w:pPr>
          </w:p>
        </w:tc>
        <w:tc>
          <w:tcPr>
            <w:tcW w:w="1496" w:type="dxa"/>
            <w:vAlign w:val="top"/>
          </w:tcPr>
          <w:p w14:paraId="66D1303C">
            <w:pPr>
              <w:pStyle w:val="19"/>
              <w:spacing w:line="360" w:lineRule="auto"/>
              <w:rPr>
                <w:rFonts w:hint="eastAsia" w:ascii="宋体" w:hAnsi="宋体" w:eastAsia="宋体" w:cs="宋体"/>
                <w:color w:val="auto"/>
                <w:sz w:val="21"/>
                <w:szCs w:val="21"/>
                <w:highlight w:val="none"/>
              </w:rPr>
            </w:pPr>
          </w:p>
        </w:tc>
        <w:tc>
          <w:tcPr>
            <w:tcW w:w="1567" w:type="dxa"/>
            <w:vAlign w:val="top"/>
          </w:tcPr>
          <w:p w14:paraId="322AAA05">
            <w:pPr>
              <w:pStyle w:val="19"/>
              <w:spacing w:line="360" w:lineRule="auto"/>
              <w:rPr>
                <w:rFonts w:hint="eastAsia" w:ascii="宋体" w:hAnsi="宋体" w:eastAsia="宋体" w:cs="宋体"/>
                <w:color w:val="auto"/>
                <w:sz w:val="21"/>
                <w:szCs w:val="21"/>
                <w:highlight w:val="none"/>
              </w:rPr>
            </w:pPr>
          </w:p>
        </w:tc>
      </w:tr>
      <w:tr w14:paraId="3C57F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62" w:type="dxa"/>
            <w:vAlign w:val="top"/>
          </w:tcPr>
          <w:p w14:paraId="5ACEF20F">
            <w:pPr>
              <w:pStyle w:val="19"/>
              <w:spacing w:line="360" w:lineRule="auto"/>
              <w:rPr>
                <w:rFonts w:hint="eastAsia" w:ascii="宋体" w:hAnsi="宋体" w:eastAsia="宋体" w:cs="宋体"/>
                <w:color w:val="auto"/>
                <w:sz w:val="21"/>
                <w:szCs w:val="21"/>
                <w:highlight w:val="none"/>
              </w:rPr>
            </w:pPr>
          </w:p>
          <w:p w14:paraId="51C87629">
            <w:pPr>
              <w:pStyle w:val="19"/>
              <w:spacing w:before="69" w:line="360" w:lineRule="auto"/>
              <w:ind w:left="135"/>
              <w:rPr>
                <w:rFonts w:hint="eastAsia"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rPr>
              <w:t>…</w:t>
            </w:r>
          </w:p>
        </w:tc>
        <w:tc>
          <w:tcPr>
            <w:tcW w:w="1285" w:type="dxa"/>
            <w:vAlign w:val="top"/>
          </w:tcPr>
          <w:p w14:paraId="70327EE2">
            <w:pPr>
              <w:pStyle w:val="19"/>
              <w:spacing w:line="360" w:lineRule="auto"/>
              <w:rPr>
                <w:rFonts w:hint="eastAsia" w:ascii="宋体" w:hAnsi="宋体" w:eastAsia="宋体" w:cs="宋体"/>
                <w:color w:val="auto"/>
                <w:sz w:val="21"/>
                <w:szCs w:val="21"/>
                <w:highlight w:val="none"/>
              </w:rPr>
            </w:pPr>
          </w:p>
        </w:tc>
        <w:tc>
          <w:tcPr>
            <w:tcW w:w="1511" w:type="dxa"/>
            <w:vAlign w:val="top"/>
          </w:tcPr>
          <w:p w14:paraId="4F4580C3">
            <w:pPr>
              <w:pStyle w:val="19"/>
              <w:spacing w:line="360" w:lineRule="auto"/>
              <w:rPr>
                <w:rFonts w:hint="eastAsia" w:ascii="宋体" w:hAnsi="宋体" w:eastAsia="宋体" w:cs="宋体"/>
                <w:color w:val="auto"/>
                <w:sz w:val="21"/>
                <w:szCs w:val="21"/>
                <w:highlight w:val="none"/>
              </w:rPr>
            </w:pPr>
          </w:p>
        </w:tc>
        <w:tc>
          <w:tcPr>
            <w:tcW w:w="1124" w:type="dxa"/>
            <w:vAlign w:val="top"/>
          </w:tcPr>
          <w:p w14:paraId="7A7B5801">
            <w:pPr>
              <w:pStyle w:val="19"/>
              <w:spacing w:line="360" w:lineRule="auto"/>
              <w:rPr>
                <w:rFonts w:hint="eastAsia" w:ascii="宋体" w:hAnsi="宋体" w:eastAsia="宋体" w:cs="宋体"/>
                <w:color w:val="auto"/>
                <w:sz w:val="21"/>
                <w:szCs w:val="21"/>
                <w:highlight w:val="none"/>
              </w:rPr>
            </w:pPr>
          </w:p>
        </w:tc>
        <w:tc>
          <w:tcPr>
            <w:tcW w:w="1559" w:type="dxa"/>
            <w:vAlign w:val="top"/>
          </w:tcPr>
          <w:p w14:paraId="091C0968">
            <w:pPr>
              <w:pStyle w:val="19"/>
              <w:spacing w:line="360" w:lineRule="auto"/>
              <w:rPr>
                <w:rFonts w:hint="eastAsia" w:ascii="宋体" w:hAnsi="宋体" w:eastAsia="宋体" w:cs="宋体"/>
                <w:color w:val="auto"/>
                <w:sz w:val="21"/>
                <w:szCs w:val="21"/>
                <w:highlight w:val="none"/>
              </w:rPr>
            </w:pPr>
          </w:p>
        </w:tc>
        <w:tc>
          <w:tcPr>
            <w:tcW w:w="1496" w:type="dxa"/>
            <w:vAlign w:val="top"/>
          </w:tcPr>
          <w:p w14:paraId="2218F0BA">
            <w:pPr>
              <w:pStyle w:val="19"/>
              <w:spacing w:line="360" w:lineRule="auto"/>
              <w:rPr>
                <w:rFonts w:hint="eastAsia" w:ascii="宋体" w:hAnsi="宋体" w:eastAsia="宋体" w:cs="宋体"/>
                <w:color w:val="auto"/>
                <w:sz w:val="21"/>
                <w:szCs w:val="21"/>
                <w:highlight w:val="none"/>
              </w:rPr>
            </w:pPr>
          </w:p>
        </w:tc>
        <w:tc>
          <w:tcPr>
            <w:tcW w:w="1567" w:type="dxa"/>
            <w:vAlign w:val="top"/>
          </w:tcPr>
          <w:p w14:paraId="4A145155">
            <w:pPr>
              <w:pStyle w:val="19"/>
              <w:spacing w:line="360" w:lineRule="auto"/>
              <w:rPr>
                <w:rFonts w:hint="eastAsia" w:ascii="宋体" w:hAnsi="宋体" w:eastAsia="宋体" w:cs="宋体"/>
                <w:color w:val="auto"/>
                <w:sz w:val="21"/>
                <w:szCs w:val="21"/>
                <w:highlight w:val="none"/>
              </w:rPr>
            </w:pPr>
          </w:p>
        </w:tc>
      </w:tr>
      <w:tr w14:paraId="2C08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941" w:type="dxa"/>
            <w:gridSpan w:val="5"/>
            <w:vAlign w:val="top"/>
          </w:tcPr>
          <w:p w14:paraId="228C1BFF">
            <w:pPr>
              <w:spacing w:before="180" w:line="360" w:lineRule="auto"/>
              <w:ind w:left="516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合计：</w:t>
            </w:r>
          </w:p>
        </w:tc>
        <w:tc>
          <w:tcPr>
            <w:tcW w:w="1496" w:type="dxa"/>
            <w:vAlign w:val="top"/>
          </w:tcPr>
          <w:p w14:paraId="7672C399">
            <w:pPr>
              <w:pStyle w:val="19"/>
              <w:spacing w:line="360" w:lineRule="auto"/>
              <w:rPr>
                <w:rFonts w:hint="eastAsia" w:ascii="宋体" w:hAnsi="宋体" w:eastAsia="宋体" w:cs="宋体"/>
                <w:color w:val="auto"/>
                <w:sz w:val="21"/>
                <w:szCs w:val="21"/>
                <w:highlight w:val="none"/>
              </w:rPr>
            </w:pPr>
          </w:p>
        </w:tc>
        <w:tc>
          <w:tcPr>
            <w:tcW w:w="1567" w:type="dxa"/>
            <w:vAlign w:val="top"/>
          </w:tcPr>
          <w:p w14:paraId="63317D43">
            <w:pPr>
              <w:pStyle w:val="19"/>
              <w:spacing w:line="360" w:lineRule="auto"/>
              <w:rPr>
                <w:rFonts w:hint="eastAsia" w:ascii="宋体" w:hAnsi="宋体" w:eastAsia="宋体" w:cs="宋体"/>
                <w:color w:val="auto"/>
                <w:sz w:val="21"/>
                <w:szCs w:val="21"/>
                <w:highlight w:val="none"/>
              </w:rPr>
            </w:pPr>
          </w:p>
        </w:tc>
      </w:tr>
    </w:tbl>
    <w:p w14:paraId="2E2C33D1">
      <w:pPr>
        <w:pStyle w:val="6"/>
        <w:spacing w:line="360" w:lineRule="auto"/>
        <w:rPr>
          <w:rFonts w:hint="eastAsia" w:ascii="宋体" w:hAnsi="宋体" w:eastAsia="宋体" w:cs="宋体"/>
          <w:color w:val="auto"/>
          <w:sz w:val="21"/>
          <w:szCs w:val="21"/>
          <w:highlight w:val="none"/>
        </w:rPr>
      </w:pPr>
    </w:p>
    <w:p w14:paraId="0AED8103">
      <w:pPr>
        <w:spacing w:before="103" w:line="360" w:lineRule="auto"/>
        <w:ind w:left="6100" w:leftChars="0" w:right="190" w:hanging="1067" w:firstLineChars="0"/>
        <w:rPr>
          <w:rFonts w:hint="eastAsia" w:ascii="宋体" w:hAnsi="宋体" w:eastAsia="宋体" w:cs="宋体"/>
          <w:color w:val="auto"/>
          <w:spacing w:val="1"/>
          <w:sz w:val="21"/>
          <w:szCs w:val="21"/>
          <w:highlight w:val="none"/>
          <w:u w:val="single" w:color="auto"/>
        </w:rPr>
      </w:pPr>
      <w:r>
        <w:rPr>
          <w:rFonts w:hint="eastAsia" w:ascii="宋体" w:hAnsi="宋体" w:eastAsia="宋体" w:cs="宋体"/>
          <w:color w:val="auto"/>
          <w:spacing w:val="-1"/>
          <w:sz w:val="21"/>
          <w:szCs w:val="21"/>
          <w:highlight w:val="none"/>
        </w:rPr>
        <w:t>供应商名称（加盖公章</w:t>
      </w:r>
      <w:r>
        <w:rPr>
          <w:rFonts w:hint="eastAsia" w:ascii="宋体" w:hAnsi="宋体" w:eastAsia="宋体" w:cs="宋体"/>
          <w:color w:val="auto"/>
          <w:spacing w:val="-59"/>
          <w:sz w:val="21"/>
          <w:szCs w:val="21"/>
          <w:highlight w:val="none"/>
        </w:rPr>
        <w:t>）：</w:t>
      </w:r>
      <w:r>
        <w:rPr>
          <w:rFonts w:hint="eastAsia" w:ascii="宋体" w:hAnsi="宋体" w:eastAsia="宋体" w:cs="宋体"/>
          <w:color w:val="auto"/>
          <w:spacing w:val="1"/>
          <w:sz w:val="21"/>
          <w:szCs w:val="21"/>
          <w:highlight w:val="none"/>
          <w:u w:val="single" w:color="auto"/>
        </w:rPr>
        <w:t xml:space="preserve">        </w:t>
      </w:r>
    </w:p>
    <w:p w14:paraId="0A8D1158">
      <w:pPr>
        <w:spacing w:before="103" w:line="360" w:lineRule="auto"/>
        <w:ind w:left="6100" w:leftChars="0" w:right="190" w:hanging="1067" w:firstLineChars="0"/>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日期：</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22"/>
          <w:sz w:val="21"/>
          <w:szCs w:val="21"/>
          <w:highlight w:val="none"/>
        </w:rPr>
        <w:t>年</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22"/>
          <w:sz w:val="21"/>
          <w:szCs w:val="21"/>
          <w:highlight w:val="none"/>
        </w:rPr>
        <w:t>月</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22"/>
          <w:sz w:val="21"/>
          <w:szCs w:val="21"/>
          <w:highlight w:val="none"/>
        </w:rPr>
        <w:t>日</w:t>
      </w:r>
    </w:p>
    <w:p w14:paraId="411F986B">
      <w:pPr>
        <w:pStyle w:val="6"/>
        <w:spacing w:line="360" w:lineRule="auto"/>
        <w:rPr>
          <w:rFonts w:hint="eastAsia" w:ascii="宋体" w:hAnsi="宋体" w:eastAsia="宋体" w:cs="宋体"/>
          <w:color w:val="auto"/>
          <w:sz w:val="21"/>
          <w:szCs w:val="21"/>
          <w:highlight w:val="none"/>
        </w:rPr>
      </w:pPr>
    </w:p>
    <w:p w14:paraId="4A410451">
      <w:pPr>
        <w:spacing w:before="103" w:line="360" w:lineRule="auto"/>
        <w:ind w:left="15"/>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注：</w:t>
      </w:r>
    </w:p>
    <w:p w14:paraId="780A472B">
      <w:pPr>
        <w:pStyle w:val="6"/>
        <w:spacing w:before="175" w:line="360" w:lineRule="auto"/>
        <w:ind w:left="8" w:right="245" w:hanging="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 1）当供应商属于本部分说明中第（ 1</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8"/>
          <w:sz w:val="21"/>
          <w:szCs w:val="21"/>
          <w:highlight w:val="none"/>
        </w:rPr>
        <w:t>）类情形</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8"/>
          <w:sz w:val="21"/>
          <w:szCs w:val="21"/>
          <w:highlight w:val="none"/>
        </w:rPr>
        <w:t>，如未提供《拟分包情况说明》，或提</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供了《拟分包情况说明》但未填写分包承担主体名称</w:t>
      </w:r>
      <w:r>
        <w:rPr>
          <w:rFonts w:hint="eastAsia" w:ascii="宋体" w:hAnsi="宋体" w:eastAsia="宋体" w:cs="宋体"/>
          <w:color w:val="auto"/>
          <w:spacing w:val="-2"/>
          <w:sz w:val="21"/>
          <w:szCs w:val="21"/>
          <w:highlight w:val="none"/>
        </w:rPr>
        <w:t>、拟分包合同内容、拟分包合同金</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额，其</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11414BB2">
      <w:pPr>
        <w:pStyle w:val="6"/>
        <w:spacing w:before="181" w:line="360" w:lineRule="auto"/>
        <w:ind w:left="8" w:right="245" w:hanging="9"/>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（2）当供应商属于本部分说明中第（</w:t>
      </w:r>
      <w:r>
        <w:rPr>
          <w:rFonts w:hint="eastAsia" w:ascii="宋体" w:hAnsi="宋体" w:eastAsia="宋体" w:cs="宋体"/>
          <w:color w:val="auto"/>
          <w:spacing w:val="-9"/>
          <w:sz w:val="21"/>
          <w:szCs w:val="21"/>
          <w:highlight w:val="none"/>
        </w:rPr>
        <w:t>2）类情形</w:t>
      </w:r>
      <w:r>
        <w:rPr>
          <w:rFonts w:hint="eastAsia" w:ascii="宋体" w:hAnsi="宋体" w:eastAsia="宋体" w:cs="宋体"/>
          <w:color w:val="auto"/>
          <w:spacing w:val="-29"/>
          <w:sz w:val="21"/>
          <w:szCs w:val="21"/>
          <w:highlight w:val="none"/>
        </w:rPr>
        <w:t xml:space="preserve"> </w:t>
      </w:r>
      <w:r>
        <w:rPr>
          <w:rFonts w:hint="eastAsia" w:ascii="宋体" w:hAnsi="宋体" w:eastAsia="宋体" w:cs="宋体"/>
          <w:color w:val="auto"/>
          <w:spacing w:val="-9"/>
          <w:sz w:val="21"/>
          <w:szCs w:val="21"/>
          <w:highlight w:val="none"/>
        </w:rPr>
        <w:t>，如未提供《拟分包情况说明》，或提</w:t>
      </w:r>
      <w:r>
        <w:rPr>
          <w:rFonts w:hint="eastAsia" w:ascii="宋体" w:hAnsi="宋体" w:eastAsia="宋体" w:cs="宋体"/>
          <w:color w:val="auto"/>
          <w:spacing w:val="-1"/>
          <w:sz w:val="21"/>
          <w:szCs w:val="21"/>
          <w:highlight w:val="none"/>
        </w:rPr>
        <w:t>供了《拟分包情况说明》但未填写分包承担主体名称</w:t>
      </w:r>
      <w:r>
        <w:rPr>
          <w:rFonts w:hint="eastAsia" w:ascii="宋体" w:hAnsi="宋体" w:eastAsia="宋体" w:cs="宋体"/>
          <w:color w:val="auto"/>
          <w:spacing w:val="-2"/>
          <w:sz w:val="21"/>
          <w:szCs w:val="21"/>
          <w:highlight w:val="none"/>
        </w:rPr>
        <w:t>、分包承担主体类型、拟分包合同</w:t>
      </w:r>
      <w:r>
        <w:rPr>
          <w:rFonts w:hint="eastAsia" w:ascii="宋体" w:hAnsi="宋体" w:eastAsia="宋体" w:cs="宋体"/>
          <w:color w:val="auto"/>
          <w:spacing w:val="-1"/>
          <w:sz w:val="21"/>
          <w:szCs w:val="21"/>
          <w:highlight w:val="none"/>
        </w:rPr>
        <w:t>内容、拟分包合同金额，其</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070A6FE0">
      <w:pPr>
        <w:pStyle w:val="6"/>
        <w:spacing w:before="180"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（3）如本采购文件《供应商须知资料表》载明本</w:t>
      </w:r>
      <w:r>
        <w:rPr>
          <w:rFonts w:hint="eastAsia" w:ascii="宋体" w:hAnsi="宋体" w:eastAsia="宋体" w:cs="宋体"/>
          <w:color w:val="auto"/>
          <w:sz w:val="21"/>
          <w:szCs w:val="21"/>
          <w:highlight w:val="none"/>
        </w:rPr>
        <w:t>项目分包承担主体应具备的相应资质</w:t>
      </w:r>
      <w:r>
        <w:rPr>
          <w:rFonts w:hint="eastAsia" w:ascii="宋体" w:hAnsi="宋体" w:eastAsia="宋体" w:cs="宋体"/>
          <w:color w:val="auto"/>
          <w:spacing w:val="-1"/>
          <w:sz w:val="21"/>
          <w:szCs w:val="21"/>
          <w:highlight w:val="none"/>
        </w:rPr>
        <w:t>条件，则供应商须在本表中列明分包承担主体的</w:t>
      </w:r>
      <w:r>
        <w:rPr>
          <w:rFonts w:hint="eastAsia" w:ascii="宋体" w:hAnsi="宋体" w:eastAsia="宋体" w:cs="宋体"/>
          <w:color w:val="auto"/>
          <w:spacing w:val="-2"/>
          <w:sz w:val="21"/>
          <w:szCs w:val="21"/>
          <w:highlight w:val="none"/>
        </w:rPr>
        <w:t>资质等级，并后附资质证书电子件，否</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则</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3951D28A">
      <w:pPr>
        <w:spacing w:line="360" w:lineRule="auto"/>
        <w:rPr>
          <w:rFonts w:hint="eastAsia" w:ascii="宋体" w:hAnsi="宋体" w:eastAsia="宋体" w:cs="宋体"/>
          <w:color w:val="auto"/>
          <w:sz w:val="21"/>
          <w:szCs w:val="21"/>
          <w:highlight w:val="none"/>
        </w:rPr>
        <w:sectPr>
          <w:headerReference r:id="rId33" w:type="default"/>
          <w:footerReference r:id="rId34" w:type="default"/>
          <w:pgSz w:w="11907" w:h="16840"/>
          <w:pgMar w:top="1149" w:right="1133" w:bottom="1060" w:left="1701" w:header="875" w:footer="886" w:gutter="0"/>
          <w:pgNumType w:fmt="decimal"/>
          <w:cols w:space="720" w:num="1"/>
        </w:sectPr>
      </w:pPr>
    </w:p>
    <w:p w14:paraId="40513487">
      <w:pPr>
        <w:spacing w:before="328" w:line="360" w:lineRule="auto"/>
        <w:ind w:left="3464"/>
        <w:rPr>
          <w:rFonts w:hint="eastAsia" w:ascii="宋体" w:hAnsi="宋体" w:eastAsia="宋体" w:cs="宋体"/>
          <w:color w:val="auto"/>
          <w:sz w:val="35"/>
          <w:szCs w:val="35"/>
          <w:highlight w:val="none"/>
        </w:rPr>
      </w:pPr>
      <w:r>
        <w:rPr>
          <w:rFonts w:hint="eastAsia" w:ascii="宋体" w:hAnsi="宋体" w:eastAsia="宋体" w:cs="宋体"/>
          <w:b/>
          <w:bCs/>
          <w:color w:val="auto"/>
          <w:spacing w:val="9"/>
          <w:sz w:val="35"/>
          <w:szCs w:val="35"/>
          <w:highlight w:val="none"/>
        </w:rPr>
        <w:t>分包意向协议</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不适用）</w:t>
      </w:r>
    </w:p>
    <w:p w14:paraId="4AD45D35">
      <w:pPr>
        <w:spacing w:before="248" w:line="360" w:lineRule="auto"/>
        <w:ind w:left="51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甲方（供应商</w:t>
      </w:r>
      <w:r>
        <w:rPr>
          <w:rFonts w:hint="eastAsia" w:ascii="宋体" w:hAnsi="宋体" w:eastAsia="宋体" w:cs="宋体"/>
          <w:color w:val="auto"/>
          <w:spacing w:val="-61"/>
          <w:sz w:val="21"/>
          <w:szCs w:val="21"/>
          <w:highlight w:val="none"/>
        </w:rPr>
        <w:t>）：</w:t>
      </w:r>
      <w:r>
        <w:rPr>
          <w:rFonts w:hint="eastAsia" w:ascii="宋体" w:hAnsi="宋体" w:eastAsia="宋体" w:cs="宋体"/>
          <w:color w:val="auto"/>
          <w:sz w:val="21"/>
          <w:szCs w:val="21"/>
          <w:highlight w:val="none"/>
          <w:u w:val="single" w:color="auto"/>
        </w:rPr>
        <w:t xml:space="preserve">           </w:t>
      </w:r>
    </w:p>
    <w:p w14:paraId="4E01A46B">
      <w:pPr>
        <w:spacing w:before="186" w:line="360" w:lineRule="auto"/>
        <w:ind w:left="50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乙方（拟分包单位</w:t>
      </w:r>
      <w:r>
        <w:rPr>
          <w:rFonts w:hint="eastAsia" w:ascii="宋体" w:hAnsi="宋体" w:eastAsia="宋体" w:cs="宋体"/>
          <w:color w:val="auto"/>
          <w:spacing w:val="-59"/>
          <w:sz w:val="21"/>
          <w:szCs w:val="21"/>
          <w:highlight w:val="none"/>
        </w:rPr>
        <w:t>）：</w:t>
      </w:r>
      <w:r>
        <w:rPr>
          <w:rFonts w:hint="eastAsia" w:ascii="宋体" w:hAnsi="宋体" w:eastAsia="宋体" w:cs="宋体"/>
          <w:color w:val="auto"/>
          <w:sz w:val="21"/>
          <w:szCs w:val="21"/>
          <w:highlight w:val="none"/>
          <w:u w:val="single" w:color="auto"/>
        </w:rPr>
        <w:t xml:space="preserve">           </w:t>
      </w:r>
    </w:p>
    <w:p w14:paraId="5BFF48BD">
      <w:pPr>
        <w:pStyle w:val="6"/>
        <w:spacing w:before="184" w:line="360" w:lineRule="auto"/>
        <w:ind w:left="34" w:right="4" w:firstLine="4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甲方承诺，一旦在</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（采购项目名称</w:t>
      </w:r>
      <w:r>
        <w:rPr>
          <w:rFonts w:hint="eastAsia" w:ascii="宋体" w:hAnsi="宋体" w:eastAsia="宋体" w:cs="宋体"/>
          <w:color w:val="auto"/>
          <w:spacing w:val="-55"/>
          <w:w w:val="99"/>
          <w:sz w:val="21"/>
          <w:szCs w:val="21"/>
          <w:highlight w:val="none"/>
        </w:rPr>
        <w:t>）（</w:t>
      </w:r>
      <w:r>
        <w:rPr>
          <w:rFonts w:hint="eastAsia" w:ascii="宋体" w:hAnsi="宋体" w:eastAsia="宋体" w:cs="宋体"/>
          <w:color w:val="auto"/>
          <w:spacing w:val="1"/>
          <w:sz w:val="21"/>
          <w:szCs w:val="21"/>
          <w:highlight w:val="none"/>
        </w:rPr>
        <w:t>项目编号/包号为</w:t>
      </w:r>
      <w:r>
        <w:rPr>
          <w:rFonts w:hint="eastAsia" w:ascii="宋体" w:hAnsi="宋体" w:eastAsia="宋体" w:cs="宋体"/>
          <w:color w:val="auto"/>
          <w:spacing w:val="-55"/>
          <w:w w:val="99"/>
          <w:sz w:val="21"/>
          <w:szCs w:val="21"/>
          <w:highlight w:val="none"/>
        </w:rPr>
        <w:t>：</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55"/>
          <w:w w:val="99"/>
          <w:sz w:val="21"/>
          <w:szCs w:val="21"/>
          <w:highlight w:val="none"/>
        </w:rPr>
        <w:t>）</w:t>
      </w:r>
      <w:r>
        <w:rPr>
          <w:rFonts w:hint="eastAsia" w:ascii="宋体" w:hAnsi="宋体" w:eastAsia="宋体" w:cs="宋体"/>
          <w:color w:val="auto"/>
          <w:spacing w:val="1"/>
          <w:sz w:val="21"/>
          <w:szCs w:val="21"/>
          <w:highlight w:val="none"/>
        </w:rPr>
        <w:t>采购项目</w:t>
      </w:r>
      <w:r>
        <w:rPr>
          <w:rFonts w:hint="eastAsia" w:ascii="宋体" w:hAnsi="宋体" w:eastAsia="宋体" w:cs="宋体"/>
          <w:color w:val="auto"/>
          <w:spacing w:val="-1"/>
          <w:sz w:val="21"/>
          <w:szCs w:val="21"/>
          <w:highlight w:val="none"/>
        </w:rPr>
        <w:t>中获得采购合同，将按照下述约定将合同项下部分内容分包给乙方：</w:t>
      </w:r>
    </w:p>
    <w:p w14:paraId="7377FE53">
      <w:pPr>
        <w:pStyle w:val="6"/>
        <w:spacing w:before="15" w:line="360" w:lineRule="auto"/>
        <w:ind w:left="5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1.分包内容：</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rPr>
        <w:t>。</w:t>
      </w:r>
    </w:p>
    <w:p w14:paraId="19C462C5">
      <w:pPr>
        <w:pStyle w:val="6"/>
        <w:spacing w:before="177" w:line="360" w:lineRule="auto"/>
        <w:ind w:left="503" w:right="43" w:rightChars="0" w:hang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2.分包金额：</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z w:val="21"/>
          <w:szCs w:val="21"/>
          <w:highlight w:val="none"/>
        </w:rPr>
        <w:t>，该金额占该采购包合同金额的比例</w:t>
      </w:r>
      <w:r>
        <w:rPr>
          <w:rFonts w:hint="eastAsia" w:ascii="宋体" w:hAnsi="宋体" w:eastAsia="宋体" w:cs="宋体"/>
          <w:color w:val="auto"/>
          <w:spacing w:val="-1"/>
          <w:sz w:val="21"/>
          <w:szCs w:val="21"/>
          <w:highlight w:val="none"/>
        </w:rPr>
        <w:t>为</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乙方承诺将在上述情况下与甲方签订分包合同。</w:t>
      </w:r>
    </w:p>
    <w:p w14:paraId="11957137">
      <w:pPr>
        <w:spacing w:before="13" w:line="360" w:lineRule="auto"/>
        <w:ind w:left="11" w:right="4" w:firstLine="47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本协议自各方盖章之日起生效，如甲方未在</w:t>
      </w:r>
      <w:r>
        <w:rPr>
          <w:rFonts w:hint="eastAsia" w:ascii="宋体" w:hAnsi="宋体" w:eastAsia="宋体" w:cs="宋体"/>
          <w:color w:val="auto"/>
          <w:spacing w:val="-2"/>
          <w:sz w:val="21"/>
          <w:szCs w:val="21"/>
          <w:highlight w:val="none"/>
        </w:rPr>
        <w:t>该项目（采购包）成交，本协议自动终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止。</w:t>
      </w:r>
    </w:p>
    <w:p w14:paraId="5BAF1630">
      <w:pPr>
        <w:pStyle w:val="6"/>
        <w:spacing w:line="360" w:lineRule="auto"/>
        <w:rPr>
          <w:rFonts w:hint="eastAsia" w:ascii="宋体" w:hAnsi="宋体" w:eastAsia="宋体" w:cs="宋体"/>
          <w:color w:val="auto"/>
          <w:sz w:val="21"/>
          <w:szCs w:val="21"/>
          <w:highlight w:val="none"/>
        </w:rPr>
      </w:pPr>
    </w:p>
    <w:p w14:paraId="3CBBD883">
      <w:pPr>
        <w:spacing w:before="104" w:line="360" w:lineRule="auto"/>
        <w:ind w:left="50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甲方（盖章</w:t>
      </w:r>
      <w:r>
        <w:rPr>
          <w:rFonts w:hint="eastAsia" w:ascii="宋体" w:hAnsi="宋体" w:eastAsia="宋体" w:cs="宋体"/>
          <w:color w:val="auto"/>
          <w:spacing w:val="-60"/>
          <w:sz w:val="21"/>
          <w:szCs w:val="21"/>
          <w:highlight w:val="none"/>
        </w:rPr>
        <w:t>）：</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6"/>
          <w:sz w:val="21"/>
          <w:szCs w:val="21"/>
          <w:highlight w:val="none"/>
        </w:rPr>
        <w:t>乙方（盖章</w:t>
      </w:r>
      <w:r>
        <w:rPr>
          <w:rFonts w:hint="eastAsia" w:ascii="宋体" w:hAnsi="宋体" w:eastAsia="宋体" w:cs="宋体"/>
          <w:color w:val="auto"/>
          <w:spacing w:val="-60"/>
          <w:sz w:val="21"/>
          <w:szCs w:val="21"/>
          <w:highlight w:val="none"/>
        </w:rPr>
        <w:t>）：</w:t>
      </w:r>
      <w:r>
        <w:rPr>
          <w:rFonts w:hint="eastAsia" w:ascii="宋体" w:hAnsi="宋体" w:eastAsia="宋体" w:cs="宋体"/>
          <w:color w:val="auto"/>
          <w:sz w:val="21"/>
          <w:szCs w:val="21"/>
          <w:highlight w:val="none"/>
          <w:u w:val="single" w:color="auto"/>
        </w:rPr>
        <w:t xml:space="preserve">           </w:t>
      </w:r>
    </w:p>
    <w:p w14:paraId="50FFAB51">
      <w:pPr>
        <w:pStyle w:val="6"/>
        <w:spacing w:line="360" w:lineRule="auto"/>
        <w:rPr>
          <w:rFonts w:hint="eastAsia" w:ascii="宋体" w:hAnsi="宋体" w:eastAsia="宋体" w:cs="宋体"/>
          <w:color w:val="auto"/>
          <w:sz w:val="21"/>
          <w:szCs w:val="21"/>
          <w:highlight w:val="none"/>
        </w:rPr>
      </w:pPr>
    </w:p>
    <w:p w14:paraId="71FEFB5A">
      <w:pPr>
        <w:pStyle w:val="6"/>
        <w:spacing w:line="360" w:lineRule="auto"/>
        <w:rPr>
          <w:rFonts w:hint="eastAsia" w:ascii="宋体" w:hAnsi="宋体" w:eastAsia="宋体" w:cs="宋体"/>
          <w:color w:val="auto"/>
          <w:sz w:val="21"/>
          <w:szCs w:val="21"/>
          <w:highlight w:val="none"/>
        </w:rPr>
      </w:pPr>
    </w:p>
    <w:p w14:paraId="28854C2C">
      <w:pPr>
        <w:spacing w:before="103" w:line="360" w:lineRule="auto"/>
        <w:ind w:left="5173"/>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日期：</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13"/>
          <w:sz w:val="21"/>
          <w:szCs w:val="21"/>
          <w:highlight w:val="none"/>
        </w:rPr>
        <w:t>年</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13"/>
          <w:sz w:val="21"/>
          <w:szCs w:val="21"/>
          <w:highlight w:val="none"/>
        </w:rPr>
        <w:t>月</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13"/>
          <w:sz w:val="21"/>
          <w:szCs w:val="21"/>
          <w:highlight w:val="none"/>
        </w:rPr>
        <w:t>日</w:t>
      </w:r>
    </w:p>
    <w:p w14:paraId="79F640F6">
      <w:pPr>
        <w:pStyle w:val="6"/>
        <w:spacing w:line="360" w:lineRule="auto"/>
        <w:rPr>
          <w:rFonts w:hint="eastAsia" w:ascii="宋体" w:hAnsi="宋体" w:eastAsia="宋体" w:cs="宋体"/>
          <w:color w:val="auto"/>
          <w:sz w:val="21"/>
          <w:szCs w:val="21"/>
          <w:highlight w:val="none"/>
        </w:rPr>
      </w:pPr>
    </w:p>
    <w:p w14:paraId="6A04445B">
      <w:pPr>
        <w:pStyle w:val="6"/>
        <w:spacing w:line="360" w:lineRule="auto"/>
        <w:rPr>
          <w:rFonts w:hint="eastAsia" w:ascii="宋体" w:hAnsi="宋体" w:eastAsia="宋体" w:cs="宋体"/>
          <w:color w:val="auto"/>
          <w:sz w:val="21"/>
          <w:szCs w:val="21"/>
          <w:highlight w:val="none"/>
        </w:rPr>
      </w:pPr>
    </w:p>
    <w:p w14:paraId="374F18B4">
      <w:pPr>
        <w:spacing w:before="103" w:line="360" w:lineRule="auto"/>
        <w:ind w:left="15"/>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注：</w:t>
      </w:r>
    </w:p>
    <w:p w14:paraId="149B58EB">
      <w:pPr>
        <w:pStyle w:val="6"/>
        <w:spacing w:before="176" w:line="360" w:lineRule="auto"/>
        <w:ind w:left="8" w:hanging="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 1</w:t>
      </w:r>
      <w:r>
        <w:rPr>
          <w:rFonts w:hint="eastAsia" w:ascii="宋体" w:hAnsi="宋体" w:eastAsia="宋体" w:cs="宋体"/>
          <w:color w:val="auto"/>
          <w:spacing w:val="-6"/>
          <w:sz w:val="21"/>
          <w:szCs w:val="21"/>
          <w:highlight w:val="none"/>
        </w:rPr>
        <w:t>）当供应商属于本部分说明中第（ 2</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6"/>
          <w:sz w:val="21"/>
          <w:szCs w:val="21"/>
          <w:highlight w:val="none"/>
        </w:rPr>
        <w:t>）类情形，必须提供，否则</w:t>
      </w:r>
      <w:r>
        <w:rPr>
          <w:rFonts w:hint="eastAsia" w:ascii="宋体" w:hAnsi="宋体" w:eastAsia="宋体" w:cs="宋体"/>
          <w:b/>
          <w:bCs/>
          <w:color w:val="auto"/>
          <w:spacing w:val="-6"/>
          <w:sz w:val="21"/>
          <w:szCs w:val="21"/>
          <w:highlight w:val="none"/>
        </w:rPr>
        <w:t>响应</w:t>
      </w:r>
      <w:r>
        <w:rPr>
          <w:rFonts w:hint="eastAsia" w:ascii="宋体" w:hAnsi="宋体" w:eastAsia="宋体" w:cs="宋体"/>
          <w:b/>
          <w:bCs/>
          <w:color w:val="auto"/>
          <w:spacing w:val="-7"/>
          <w:sz w:val="21"/>
          <w:szCs w:val="21"/>
          <w:highlight w:val="none"/>
        </w:rPr>
        <w:t>无效；</w:t>
      </w:r>
      <w:r>
        <w:rPr>
          <w:rFonts w:hint="eastAsia" w:ascii="宋体" w:hAnsi="宋体" w:eastAsia="宋体" w:cs="宋体"/>
          <w:color w:val="auto"/>
          <w:spacing w:val="-7"/>
          <w:sz w:val="21"/>
          <w:szCs w:val="21"/>
          <w:highlight w:val="none"/>
        </w:rPr>
        <w:t>其他情</w:t>
      </w:r>
      <w:r>
        <w:rPr>
          <w:rFonts w:hint="eastAsia" w:ascii="宋体" w:hAnsi="宋体" w:eastAsia="宋体" w:cs="宋体"/>
          <w:color w:val="auto"/>
          <w:spacing w:val="-4"/>
          <w:sz w:val="21"/>
          <w:szCs w:val="21"/>
          <w:highlight w:val="none"/>
        </w:rPr>
        <w:t>形</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无须提供；</w:t>
      </w:r>
    </w:p>
    <w:p w14:paraId="0CBC54E5">
      <w:pPr>
        <w:pStyle w:val="6"/>
        <w:spacing w:before="176" w:line="360" w:lineRule="auto"/>
        <w:ind w:left="8" w:right="2" w:hanging="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 2</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7"/>
          <w:sz w:val="21"/>
          <w:szCs w:val="21"/>
          <w:highlight w:val="none"/>
        </w:rPr>
        <w:t>）供应商须与所有拟分包单位分别签订《分包意向协议》，每单</w:t>
      </w:r>
      <w:r>
        <w:rPr>
          <w:rFonts w:hint="eastAsia" w:ascii="宋体" w:hAnsi="宋体" w:eastAsia="宋体" w:cs="宋体"/>
          <w:color w:val="auto"/>
          <w:spacing w:val="-8"/>
          <w:sz w:val="21"/>
          <w:szCs w:val="21"/>
          <w:highlight w:val="none"/>
        </w:rPr>
        <w:t>位签订一份，并在响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应文件中提交全部协议原件的电子件</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2"/>
          <w:sz w:val="21"/>
          <w:szCs w:val="21"/>
          <w:highlight w:val="none"/>
        </w:rPr>
        <w:t>，否则</w:t>
      </w:r>
      <w:r>
        <w:rPr>
          <w:rFonts w:hint="eastAsia" w:ascii="宋体" w:hAnsi="宋体" w:eastAsia="宋体" w:cs="宋体"/>
          <w:b/>
          <w:bCs/>
          <w:color w:val="auto"/>
          <w:spacing w:val="-2"/>
          <w:sz w:val="21"/>
          <w:szCs w:val="21"/>
          <w:highlight w:val="none"/>
        </w:rPr>
        <w:t>响应无效</w:t>
      </w:r>
      <w:r>
        <w:rPr>
          <w:rFonts w:hint="eastAsia" w:ascii="宋体" w:hAnsi="宋体" w:eastAsia="宋体" w:cs="宋体"/>
          <w:color w:val="auto"/>
          <w:spacing w:val="-2"/>
          <w:sz w:val="21"/>
          <w:szCs w:val="21"/>
          <w:highlight w:val="none"/>
        </w:rPr>
        <w:t>。</w:t>
      </w:r>
    </w:p>
    <w:p w14:paraId="5C30B707">
      <w:pPr>
        <w:spacing w:line="360" w:lineRule="auto"/>
        <w:rPr>
          <w:rFonts w:hint="eastAsia" w:ascii="宋体" w:hAnsi="宋体" w:eastAsia="宋体" w:cs="宋体"/>
          <w:color w:val="auto"/>
          <w:sz w:val="21"/>
          <w:szCs w:val="21"/>
          <w:highlight w:val="none"/>
        </w:rPr>
        <w:sectPr>
          <w:headerReference r:id="rId35" w:type="default"/>
          <w:footerReference r:id="rId36" w:type="default"/>
          <w:pgSz w:w="11907" w:h="16840"/>
          <w:pgMar w:top="1149" w:right="1128" w:bottom="1060" w:left="1696" w:header="875" w:footer="886" w:gutter="0"/>
          <w:pgNumType w:fmt="decimal"/>
          <w:cols w:space="720" w:num="1"/>
        </w:sectPr>
      </w:pPr>
    </w:p>
    <w:p w14:paraId="7A25E285">
      <w:pPr>
        <w:pStyle w:val="6"/>
        <w:spacing w:before="307" w:line="360" w:lineRule="auto"/>
        <w:ind w:left="18"/>
        <w:outlineLvl w:val="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2-2</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1"/>
          <w:sz w:val="24"/>
          <w:szCs w:val="24"/>
          <w:highlight w:val="none"/>
        </w:rPr>
        <w:t>其它落实政府采购政策的资格要求（如有）</w:t>
      </w:r>
    </w:p>
    <w:p w14:paraId="04AC9CB5">
      <w:pPr>
        <w:spacing w:before="287" w:line="219" w:lineRule="auto"/>
        <w:ind w:left="38"/>
        <w:rPr>
          <w:rFonts w:ascii="Times New Roman" w:hAnsi="Times New Roman" w:eastAsia="Times New Roman" w:cs="Times New Roman"/>
          <w:color w:val="auto"/>
          <w:spacing w:val="-1"/>
          <w:sz w:val="24"/>
          <w:szCs w:val="24"/>
          <w:highlight w:val="none"/>
        </w:rPr>
      </w:pPr>
    </w:p>
    <w:p w14:paraId="5AA8B313">
      <w:pPr>
        <w:spacing w:before="287" w:line="219" w:lineRule="auto"/>
        <w:ind w:left="38"/>
        <w:rPr>
          <w:rFonts w:ascii="Times New Roman" w:hAnsi="Times New Roman" w:eastAsia="Times New Roman" w:cs="Times New Roman"/>
          <w:color w:val="auto"/>
          <w:spacing w:val="-1"/>
          <w:sz w:val="24"/>
          <w:szCs w:val="24"/>
          <w:highlight w:val="none"/>
        </w:rPr>
      </w:pPr>
    </w:p>
    <w:p w14:paraId="19535135">
      <w:pPr>
        <w:spacing w:before="287" w:line="219" w:lineRule="auto"/>
        <w:ind w:left="38"/>
        <w:rPr>
          <w:rFonts w:ascii="Times New Roman" w:hAnsi="Times New Roman" w:eastAsia="Times New Roman" w:cs="Times New Roman"/>
          <w:color w:val="auto"/>
          <w:spacing w:val="-1"/>
          <w:sz w:val="24"/>
          <w:szCs w:val="24"/>
          <w:highlight w:val="none"/>
        </w:rPr>
      </w:pPr>
    </w:p>
    <w:p w14:paraId="7D839C4C">
      <w:pPr>
        <w:spacing w:before="287" w:line="219" w:lineRule="auto"/>
        <w:ind w:left="38"/>
        <w:rPr>
          <w:rFonts w:ascii="Times New Roman" w:hAnsi="Times New Roman" w:eastAsia="Times New Roman" w:cs="Times New Roman"/>
          <w:color w:val="auto"/>
          <w:spacing w:val="-1"/>
          <w:sz w:val="24"/>
          <w:szCs w:val="24"/>
          <w:highlight w:val="none"/>
        </w:rPr>
      </w:pPr>
    </w:p>
    <w:p w14:paraId="2FDAAF5D">
      <w:pPr>
        <w:spacing w:before="287" w:line="219" w:lineRule="auto"/>
        <w:ind w:left="38"/>
        <w:rPr>
          <w:rFonts w:ascii="Times New Roman" w:hAnsi="Times New Roman" w:eastAsia="Times New Roman" w:cs="Times New Roman"/>
          <w:color w:val="auto"/>
          <w:spacing w:val="-1"/>
          <w:sz w:val="24"/>
          <w:szCs w:val="24"/>
          <w:highlight w:val="none"/>
        </w:rPr>
      </w:pPr>
    </w:p>
    <w:p w14:paraId="1D6E953D">
      <w:pPr>
        <w:spacing w:before="287" w:line="219" w:lineRule="auto"/>
        <w:ind w:left="38"/>
        <w:rPr>
          <w:rFonts w:ascii="Times New Roman" w:hAnsi="Times New Roman" w:eastAsia="Times New Roman" w:cs="Times New Roman"/>
          <w:color w:val="auto"/>
          <w:spacing w:val="-1"/>
          <w:sz w:val="24"/>
          <w:szCs w:val="24"/>
          <w:highlight w:val="none"/>
        </w:rPr>
      </w:pPr>
    </w:p>
    <w:p w14:paraId="74B229F7">
      <w:pPr>
        <w:spacing w:before="287" w:line="219" w:lineRule="auto"/>
        <w:ind w:left="38"/>
        <w:rPr>
          <w:rFonts w:ascii="Times New Roman" w:hAnsi="Times New Roman" w:eastAsia="Times New Roman" w:cs="Times New Roman"/>
          <w:color w:val="auto"/>
          <w:spacing w:val="-1"/>
          <w:sz w:val="24"/>
          <w:szCs w:val="24"/>
          <w:highlight w:val="none"/>
        </w:rPr>
      </w:pPr>
    </w:p>
    <w:p w14:paraId="5E55AB16">
      <w:pPr>
        <w:spacing w:before="287" w:line="219" w:lineRule="auto"/>
        <w:ind w:left="38"/>
        <w:rPr>
          <w:rFonts w:ascii="Times New Roman" w:hAnsi="Times New Roman" w:eastAsia="Times New Roman" w:cs="Times New Roman"/>
          <w:color w:val="auto"/>
          <w:spacing w:val="-1"/>
          <w:sz w:val="24"/>
          <w:szCs w:val="24"/>
          <w:highlight w:val="none"/>
        </w:rPr>
      </w:pPr>
    </w:p>
    <w:p w14:paraId="34C274D8">
      <w:pPr>
        <w:spacing w:before="287" w:line="219" w:lineRule="auto"/>
        <w:ind w:left="38"/>
        <w:rPr>
          <w:rFonts w:ascii="Times New Roman" w:hAnsi="Times New Roman" w:eastAsia="Times New Roman" w:cs="Times New Roman"/>
          <w:color w:val="auto"/>
          <w:spacing w:val="-1"/>
          <w:sz w:val="24"/>
          <w:szCs w:val="24"/>
          <w:highlight w:val="none"/>
        </w:rPr>
      </w:pPr>
    </w:p>
    <w:p w14:paraId="0296DAE9">
      <w:pPr>
        <w:spacing w:before="287" w:line="219" w:lineRule="auto"/>
        <w:ind w:left="38"/>
        <w:rPr>
          <w:rFonts w:ascii="Times New Roman" w:hAnsi="Times New Roman" w:eastAsia="Times New Roman" w:cs="Times New Roman"/>
          <w:color w:val="auto"/>
          <w:spacing w:val="-1"/>
          <w:sz w:val="24"/>
          <w:szCs w:val="24"/>
          <w:highlight w:val="none"/>
        </w:rPr>
      </w:pPr>
    </w:p>
    <w:p w14:paraId="13F1AEC9">
      <w:pPr>
        <w:spacing w:before="287" w:line="219" w:lineRule="auto"/>
        <w:ind w:left="38"/>
        <w:rPr>
          <w:rFonts w:ascii="Times New Roman" w:hAnsi="Times New Roman" w:eastAsia="Times New Roman" w:cs="Times New Roman"/>
          <w:color w:val="auto"/>
          <w:spacing w:val="-1"/>
          <w:sz w:val="24"/>
          <w:szCs w:val="24"/>
          <w:highlight w:val="none"/>
        </w:rPr>
      </w:pPr>
    </w:p>
    <w:p w14:paraId="24C6537C">
      <w:pPr>
        <w:spacing w:before="287" w:line="219" w:lineRule="auto"/>
        <w:ind w:left="38"/>
        <w:rPr>
          <w:rFonts w:ascii="Times New Roman" w:hAnsi="Times New Roman" w:eastAsia="Times New Roman" w:cs="Times New Roman"/>
          <w:color w:val="auto"/>
          <w:spacing w:val="-1"/>
          <w:sz w:val="24"/>
          <w:szCs w:val="24"/>
          <w:highlight w:val="none"/>
        </w:rPr>
      </w:pPr>
    </w:p>
    <w:p w14:paraId="6C102C45">
      <w:pPr>
        <w:spacing w:before="287" w:line="219" w:lineRule="auto"/>
        <w:ind w:left="38"/>
        <w:rPr>
          <w:rFonts w:ascii="Times New Roman" w:hAnsi="Times New Roman" w:eastAsia="Times New Roman" w:cs="Times New Roman"/>
          <w:color w:val="auto"/>
          <w:spacing w:val="-1"/>
          <w:sz w:val="24"/>
          <w:szCs w:val="24"/>
          <w:highlight w:val="none"/>
        </w:rPr>
      </w:pPr>
    </w:p>
    <w:p w14:paraId="59B0A8BA">
      <w:pPr>
        <w:spacing w:before="287" w:line="219" w:lineRule="auto"/>
        <w:ind w:left="38"/>
        <w:rPr>
          <w:rFonts w:ascii="Times New Roman" w:hAnsi="Times New Roman" w:eastAsia="Times New Roman" w:cs="Times New Roman"/>
          <w:color w:val="auto"/>
          <w:spacing w:val="-1"/>
          <w:sz w:val="24"/>
          <w:szCs w:val="24"/>
          <w:highlight w:val="none"/>
        </w:rPr>
      </w:pPr>
    </w:p>
    <w:p w14:paraId="02206DB4">
      <w:pPr>
        <w:spacing w:before="287" w:line="219" w:lineRule="auto"/>
        <w:ind w:left="38"/>
        <w:rPr>
          <w:rFonts w:ascii="Times New Roman" w:hAnsi="Times New Roman" w:eastAsia="Times New Roman" w:cs="Times New Roman"/>
          <w:color w:val="auto"/>
          <w:spacing w:val="-1"/>
          <w:sz w:val="24"/>
          <w:szCs w:val="24"/>
          <w:highlight w:val="none"/>
        </w:rPr>
      </w:pPr>
    </w:p>
    <w:p w14:paraId="3C1CF850">
      <w:pPr>
        <w:spacing w:before="287" w:line="219" w:lineRule="auto"/>
        <w:ind w:left="38"/>
        <w:rPr>
          <w:rFonts w:ascii="Times New Roman" w:hAnsi="Times New Roman" w:eastAsia="Times New Roman" w:cs="Times New Roman"/>
          <w:color w:val="auto"/>
          <w:spacing w:val="-1"/>
          <w:sz w:val="24"/>
          <w:szCs w:val="24"/>
          <w:highlight w:val="none"/>
        </w:rPr>
      </w:pPr>
    </w:p>
    <w:p w14:paraId="4EFAA915">
      <w:pPr>
        <w:spacing w:before="287" w:line="219" w:lineRule="auto"/>
        <w:ind w:left="38"/>
        <w:rPr>
          <w:rFonts w:ascii="Times New Roman" w:hAnsi="Times New Roman" w:eastAsia="Times New Roman" w:cs="Times New Roman"/>
          <w:color w:val="auto"/>
          <w:spacing w:val="-1"/>
          <w:sz w:val="24"/>
          <w:szCs w:val="24"/>
          <w:highlight w:val="none"/>
        </w:rPr>
      </w:pPr>
    </w:p>
    <w:p w14:paraId="0426C93B">
      <w:pPr>
        <w:spacing w:before="287" w:line="219" w:lineRule="auto"/>
        <w:ind w:left="38"/>
        <w:rPr>
          <w:rFonts w:ascii="Times New Roman" w:hAnsi="Times New Roman" w:eastAsia="Times New Roman" w:cs="Times New Roman"/>
          <w:color w:val="auto"/>
          <w:spacing w:val="-1"/>
          <w:sz w:val="24"/>
          <w:szCs w:val="24"/>
          <w:highlight w:val="none"/>
        </w:rPr>
      </w:pPr>
    </w:p>
    <w:p w14:paraId="7DAF845F">
      <w:pPr>
        <w:spacing w:before="287" w:line="219" w:lineRule="auto"/>
        <w:ind w:left="38"/>
        <w:rPr>
          <w:rFonts w:ascii="Times New Roman" w:hAnsi="Times New Roman" w:eastAsia="Times New Roman" w:cs="Times New Roman"/>
          <w:color w:val="auto"/>
          <w:spacing w:val="-1"/>
          <w:sz w:val="24"/>
          <w:szCs w:val="24"/>
          <w:highlight w:val="none"/>
        </w:rPr>
      </w:pPr>
    </w:p>
    <w:p w14:paraId="06656D9F">
      <w:pPr>
        <w:spacing w:before="287" w:line="219" w:lineRule="auto"/>
        <w:ind w:left="38"/>
        <w:rPr>
          <w:rFonts w:ascii="Times New Roman" w:hAnsi="Times New Roman" w:eastAsia="Times New Roman" w:cs="Times New Roman"/>
          <w:color w:val="auto"/>
          <w:spacing w:val="-1"/>
          <w:sz w:val="24"/>
          <w:szCs w:val="24"/>
          <w:highlight w:val="none"/>
        </w:rPr>
      </w:pPr>
    </w:p>
    <w:p w14:paraId="4FD2B386">
      <w:pPr>
        <w:spacing w:before="287" w:line="219" w:lineRule="auto"/>
        <w:ind w:left="38"/>
        <w:rPr>
          <w:rFonts w:ascii="Times New Roman" w:hAnsi="Times New Roman" w:eastAsia="Times New Roman" w:cs="Times New Roman"/>
          <w:color w:val="auto"/>
          <w:spacing w:val="-1"/>
          <w:sz w:val="24"/>
          <w:szCs w:val="24"/>
          <w:highlight w:val="none"/>
        </w:rPr>
      </w:pPr>
    </w:p>
    <w:p w14:paraId="0F8AB511">
      <w:pPr>
        <w:spacing w:before="287" w:line="219" w:lineRule="auto"/>
        <w:ind w:left="38"/>
        <w:rPr>
          <w:rFonts w:ascii="Times New Roman" w:hAnsi="Times New Roman" w:eastAsia="Times New Roman" w:cs="Times New Roman"/>
          <w:color w:val="auto"/>
          <w:spacing w:val="-1"/>
          <w:sz w:val="24"/>
          <w:szCs w:val="24"/>
          <w:highlight w:val="none"/>
        </w:rPr>
      </w:pPr>
    </w:p>
    <w:p w14:paraId="7EBC2CC9">
      <w:pPr>
        <w:spacing w:before="287" w:line="219" w:lineRule="auto"/>
        <w:ind w:left="38"/>
        <w:rPr>
          <w:rFonts w:ascii="Times New Roman" w:hAnsi="Times New Roman" w:eastAsia="Times New Roman" w:cs="Times New Roman"/>
          <w:color w:val="auto"/>
          <w:spacing w:val="-1"/>
          <w:sz w:val="24"/>
          <w:szCs w:val="24"/>
          <w:highlight w:val="none"/>
        </w:rPr>
      </w:pPr>
    </w:p>
    <w:p w14:paraId="733D2361">
      <w:pPr>
        <w:spacing w:before="287" w:line="219" w:lineRule="auto"/>
        <w:ind w:left="38"/>
        <w:rPr>
          <w:rFonts w:ascii="Times New Roman" w:hAnsi="Times New Roman" w:eastAsia="Times New Roman" w:cs="Times New Roman"/>
          <w:color w:val="auto"/>
          <w:spacing w:val="-1"/>
          <w:sz w:val="24"/>
          <w:szCs w:val="24"/>
          <w:highlight w:val="none"/>
        </w:rPr>
      </w:pPr>
    </w:p>
    <w:p w14:paraId="4CFC9486">
      <w:pPr>
        <w:spacing w:before="287" w:line="219" w:lineRule="auto"/>
        <w:ind w:left="38"/>
        <w:rPr>
          <w:rFonts w:ascii="Times New Roman" w:hAnsi="Times New Roman" w:eastAsia="Times New Roman" w:cs="Times New Roman"/>
          <w:color w:val="auto"/>
          <w:spacing w:val="-1"/>
          <w:sz w:val="24"/>
          <w:szCs w:val="24"/>
          <w:highlight w:val="none"/>
        </w:rPr>
      </w:pPr>
    </w:p>
    <w:p w14:paraId="5A349E4C">
      <w:pPr>
        <w:spacing w:before="287" w:line="219" w:lineRule="auto"/>
        <w:ind w:left="38"/>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  </w:t>
      </w:r>
      <w:r>
        <w:rPr>
          <w:rFonts w:ascii="宋体" w:hAnsi="宋体" w:eastAsia="宋体" w:cs="宋体"/>
          <w:color w:val="auto"/>
          <w:spacing w:val="-1"/>
          <w:sz w:val="24"/>
          <w:szCs w:val="24"/>
          <w:highlight w:val="none"/>
        </w:rPr>
        <w:t>本项目的特定资格要求</w:t>
      </w:r>
    </w:p>
    <w:p w14:paraId="25BA6E2F">
      <w:pPr>
        <w:spacing w:before="146" w:line="220" w:lineRule="auto"/>
        <w:ind w:left="38"/>
        <w:outlineLvl w:val="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2</w:t>
      </w:r>
      <w:r>
        <w:rPr>
          <w:rFonts w:hint="eastAsia" w:ascii="宋体" w:hAnsi="宋体" w:eastAsia="宋体" w:cs="宋体"/>
          <w:color w:val="auto"/>
          <w:spacing w:val="-1"/>
          <w:sz w:val="21"/>
          <w:szCs w:val="21"/>
          <w:highlight w:val="none"/>
        </w:rPr>
        <w:t>其他特定资格要求</w:t>
      </w:r>
    </w:p>
    <w:p w14:paraId="5D6EDE90">
      <w:pPr>
        <w:pStyle w:val="6"/>
        <w:spacing w:line="257" w:lineRule="auto"/>
        <w:rPr>
          <w:rFonts w:hint="eastAsia" w:ascii="宋体" w:hAnsi="宋体" w:eastAsia="宋体" w:cs="宋体"/>
          <w:color w:val="auto"/>
          <w:sz w:val="21"/>
          <w:szCs w:val="21"/>
          <w:highlight w:val="none"/>
        </w:rPr>
      </w:pPr>
    </w:p>
    <w:p w14:paraId="2AA697CA">
      <w:pPr>
        <w:pStyle w:val="6"/>
        <w:spacing w:line="257" w:lineRule="auto"/>
        <w:rPr>
          <w:rFonts w:hint="eastAsia" w:ascii="宋体" w:hAnsi="宋体" w:eastAsia="宋体" w:cs="宋体"/>
          <w:color w:val="auto"/>
          <w:sz w:val="21"/>
          <w:szCs w:val="21"/>
          <w:highlight w:val="none"/>
        </w:rPr>
      </w:pPr>
    </w:p>
    <w:p w14:paraId="5661B634">
      <w:pPr>
        <w:keepNext w:val="0"/>
        <w:keepLines w:val="0"/>
        <w:pageBreakBefore w:val="0"/>
        <w:widowControl/>
        <w:numPr>
          <w:ilvl w:val="0"/>
          <w:numId w:val="5"/>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在中华人民共和国境内注册，具有独立的法人资格，具备有效法人营业执照；（复印件加盖单位公章）</w:t>
      </w:r>
    </w:p>
    <w:p w14:paraId="21AC5532">
      <w:pPr>
        <w:keepNext w:val="0"/>
        <w:keepLines w:val="0"/>
        <w:pageBreakBefore w:val="0"/>
        <w:widowControl/>
        <w:numPr>
          <w:ilvl w:val="0"/>
          <w:numId w:val="5"/>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供应商须具备公路工程施工总承包三级（含）以上资质或市政公用工程施工总承包三级（含）以上（复印件加盖单位公章）</w:t>
      </w:r>
    </w:p>
    <w:p w14:paraId="0CC08BC7">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(3)</w:t>
      </w:r>
      <w:r>
        <w:rPr>
          <w:rFonts w:hint="eastAsia" w:ascii="宋体" w:hAnsi="宋体" w:eastAsia="宋体" w:cs="宋体"/>
          <w:snapToGrid w:val="0"/>
          <w:color w:val="auto"/>
          <w:spacing w:val="2"/>
          <w:kern w:val="0"/>
          <w:sz w:val="21"/>
          <w:szCs w:val="21"/>
          <w:highlight w:val="none"/>
          <w:lang w:val="en-US" w:eastAsia="zh-CN" w:bidi="ar-SA"/>
        </w:rPr>
        <w:t xml:space="preserve"> 具备在有效期内的安全生产许可证；（复印件加盖单位公章）</w:t>
      </w:r>
    </w:p>
    <w:p w14:paraId="02BB158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(4)</w:t>
      </w:r>
      <w:r>
        <w:rPr>
          <w:rFonts w:hint="eastAsia" w:ascii="宋体" w:hAnsi="宋体" w:eastAsia="宋体" w:cs="宋体"/>
          <w:snapToGrid w:val="0"/>
          <w:color w:val="auto"/>
          <w:spacing w:val="2"/>
          <w:kern w:val="0"/>
          <w:sz w:val="21"/>
          <w:szCs w:val="21"/>
          <w:highlight w:val="none"/>
          <w:lang w:val="en-US" w:eastAsia="zh-CN" w:bidi="ar-SA"/>
        </w:rPr>
        <w:t xml:space="preserve"> 拟派项目经理需具有</w:t>
      </w:r>
      <w:r>
        <w:rPr>
          <w:rFonts w:hint="eastAsia" w:ascii="宋体" w:hAnsi="宋体" w:eastAsia="宋体" w:cs="宋体"/>
          <w:snapToGrid w:val="0"/>
          <w:color w:val="auto"/>
          <w:spacing w:val="2"/>
          <w:kern w:val="0"/>
          <w:sz w:val="21"/>
          <w:szCs w:val="21"/>
          <w:highlight w:val="none"/>
          <w:lang w:val="en-US" w:eastAsia="en-US" w:bidi="ar-SA"/>
        </w:rPr>
        <w:t>公路工程或市政公用工程专业二级（含）以上</w:t>
      </w:r>
      <w:r>
        <w:rPr>
          <w:rFonts w:hint="eastAsia" w:ascii="宋体" w:hAnsi="宋体" w:eastAsia="宋体" w:cs="宋体"/>
          <w:snapToGrid w:val="0"/>
          <w:color w:val="auto"/>
          <w:spacing w:val="2"/>
          <w:kern w:val="0"/>
          <w:sz w:val="21"/>
          <w:szCs w:val="21"/>
          <w:highlight w:val="none"/>
          <w:lang w:val="en-US" w:eastAsia="zh-CN" w:bidi="ar-SA"/>
        </w:rPr>
        <w:t>以上注册建造师执业资格和有效的安全生产考核合格证书（B 本），且在确认成交时不得担任其他在施建设项目的项目经理；（复印件加盖单位公章，承诺格式自拟）</w:t>
      </w:r>
    </w:p>
    <w:p w14:paraId="5850CEB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(5)</w:t>
      </w:r>
      <w:r>
        <w:rPr>
          <w:rFonts w:hint="eastAsia" w:ascii="宋体" w:hAnsi="宋体" w:eastAsia="宋体" w:cs="宋体"/>
          <w:snapToGrid w:val="0"/>
          <w:color w:val="auto"/>
          <w:spacing w:val="2"/>
          <w:kern w:val="0"/>
          <w:sz w:val="21"/>
          <w:szCs w:val="21"/>
          <w:highlight w:val="none"/>
          <w:lang w:val="en-US" w:eastAsia="zh-CN" w:bidi="ar-SA"/>
        </w:rPr>
        <w:t xml:space="preserve"> 外地企业参与本项目采购需提交有效的《外省市建筑企业来京施工备案表》；（如有，复印件加盖单位公章）</w:t>
      </w:r>
    </w:p>
    <w:p w14:paraId="31565F2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(6)</w:t>
      </w:r>
      <w:r>
        <w:rPr>
          <w:rFonts w:hint="eastAsia" w:ascii="宋体" w:hAnsi="宋体" w:eastAsia="宋体" w:cs="宋体"/>
          <w:snapToGrid w:val="0"/>
          <w:color w:val="auto"/>
          <w:spacing w:val="2"/>
          <w:kern w:val="0"/>
          <w:sz w:val="21"/>
          <w:szCs w:val="21"/>
          <w:highlight w:val="none"/>
          <w:lang w:val="en-US" w:eastAsia="zh-CN" w:bidi="ar-SA"/>
        </w:rPr>
        <w:t xml:space="preserve"> 未被列入信用中国网站(https://www.creditchina.gov.cn/zhuanxiangchaxun/)、中国政府采购网(www.ccgp.gov.cn)渠道信用记录失信被执行人、重大税收违法失信主体、政府采购严重违法失信行为记录名单、拖欠农民工工资失信联合惩戒对象；（截图加盖单位公章）</w:t>
      </w:r>
    </w:p>
    <w:p w14:paraId="1B76B20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(7)</w:t>
      </w:r>
      <w:r>
        <w:rPr>
          <w:rFonts w:hint="eastAsia" w:ascii="宋体" w:hAnsi="宋体" w:eastAsia="宋体" w:cs="宋体"/>
          <w:snapToGrid w:val="0"/>
          <w:color w:val="auto"/>
          <w:spacing w:val="2"/>
          <w:kern w:val="0"/>
          <w:sz w:val="21"/>
          <w:szCs w:val="21"/>
          <w:highlight w:val="none"/>
          <w:lang w:val="en-US" w:eastAsia="zh-CN" w:bidi="ar-SA"/>
        </w:rPr>
        <w:t xml:space="preserve"> 与采购人存在利害关系可能影响招标公正性的单位，不得参加投标。单位负责人为同一人或存在控股、管理关系的不同单位，不得参加本项目投标，否则，相关投标均无效；没有处于被责令停业，财产被接管、冻结，破产状态;在最近三年没有骗取中标和严重违约及重大工程质量问题；（承诺加盖单位公章，格式自拟）</w:t>
      </w:r>
    </w:p>
    <w:p w14:paraId="42BEB244">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359" w:lineRule="auto"/>
        <w:ind w:left="425" w:leftChars="0" w:right="2" w:rightChars="0" w:hanging="425" w:firstLineChars="0"/>
        <w:jc w:val="both"/>
        <w:textAlignment w:val="baseline"/>
        <w:rPr>
          <w:rFonts w:hint="eastAsia" w:ascii="宋体" w:hAnsi="宋体" w:eastAsia="宋体" w:cs="宋体"/>
          <w:snapToGrid w:val="0"/>
          <w:color w:val="auto"/>
          <w:spacing w:val="2"/>
          <w:kern w:val="0"/>
          <w:sz w:val="21"/>
          <w:szCs w:val="21"/>
          <w:highlight w:val="none"/>
          <w:lang w:val="en-US" w:eastAsia="zh-CN" w:bidi="ar-SA"/>
        </w:rPr>
      </w:pPr>
      <w:r>
        <w:rPr>
          <w:rFonts w:hint="default" w:ascii="宋体" w:hAnsi="宋体" w:eastAsia="宋体" w:cs="宋体"/>
          <w:snapToGrid w:val="0"/>
          <w:color w:val="auto"/>
          <w:spacing w:val="2"/>
          <w:kern w:val="0"/>
          <w:sz w:val="21"/>
          <w:szCs w:val="21"/>
          <w:highlight w:val="none"/>
          <w:lang w:val="en-US" w:eastAsia="zh-CN" w:bidi="ar-SA"/>
        </w:rPr>
        <w:t>(8)</w:t>
      </w:r>
      <w:r>
        <w:rPr>
          <w:rFonts w:hint="eastAsia" w:ascii="宋体" w:hAnsi="宋体" w:eastAsia="宋体" w:cs="宋体"/>
          <w:snapToGrid w:val="0"/>
          <w:color w:val="auto"/>
          <w:spacing w:val="2"/>
          <w:kern w:val="0"/>
          <w:sz w:val="21"/>
          <w:szCs w:val="21"/>
          <w:highlight w:val="none"/>
          <w:lang w:val="en-US" w:eastAsia="zh-CN" w:bidi="ar-SA"/>
        </w:rPr>
        <w:t xml:space="preserve"> 在近三年内投标人、法定代表人、项目负责人在中国裁判文书网(网址:http://wenshu.court.gov.cn)网站中查询记录显示有行贿犯罪的，不得参与本项目的竞争性磋商活动。</w:t>
      </w:r>
      <w:r>
        <w:rPr>
          <w:rFonts w:hint="eastAsia" w:ascii="宋体" w:hAnsi="宋体" w:eastAsia="宋体" w:cs="宋体"/>
          <w:snapToGrid w:val="0"/>
          <w:color w:val="auto"/>
          <w:spacing w:val="2"/>
          <w:kern w:val="0"/>
          <w:sz w:val="21"/>
          <w:szCs w:val="21"/>
          <w:highlight w:val="none"/>
          <w:lang w:val="en-US" w:eastAsia="en-US" w:bidi="ar-SA"/>
        </w:rPr>
        <w:t xml:space="preserve"> </w:t>
      </w:r>
      <w:r>
        <w:rPr>
          <w:rFonts w:hint="eastAsia" w:ascii="宋体" w:hAnsi="宋体" w:eastAsia="宋体" w:cs="宋体"/>
          <w:snapToGrid w:val="0"/>
          <w:color w:val="auto"/>
          <w:spacing w:val="2"/>
          <w:kern w:val="0"/>
          <w:sz w:val="21"/>
          <w:szCs w:val="21"/>
          <w:highlight w:val="none"/>
          <w:lang w:val="en-US" w:eastAsia="zh-CN" w:bidi="ar-SA"/>
        </w:rPr>
        <w:t>（截图加盖单位公章）</w:t>
      </w:r>
    </w:p>
    <w:p w14:paraId="053910CC">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56112FB">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0FE9BD21">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7E1B9488">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032F36EF">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DF81252">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545B927D">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4CA391DE">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72600FA">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547A93D6">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03E8DA7A">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2EF718B4">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385F5154">
      <w:pPr>
        <w:spacing w:line="312" w:lineRule="auto"/>
        <w:rPr>
          <w:rFonts w:hint="eastAsia" w:ascii="Arial" w:hAnsi="Arial" w:eastAsia="宋体" w:cs="Arial"/>
          <w:snapToGrid w:val="0"/>
          <w:color w:val="auto"/>
          <w:spacing w:val="2"/>
          <w:kern w:val="0"/>
          <w:sz w:val="24"/>
          <w:szCs w:val="24"/>
          <w:highlight w:val="none"/>
          <w:lang w:val="en-US" w:eastAsia="zh-CN" w:bidi="ar-SA"/>
        </w:rPr>
      </w:pPr>
    </w:p>
    <w:p w14:paraId="6608A8E5">
      <w:pPr>
        <w:spacing w:before="287" w:line="219" w:lineRule="auto"/>
        <w:ind w:left="32"/>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    </w:t>
      </w:r>
      <w:r>
        <w:rPr>
          <w:rFonts w:ascii="宋体" w:hAnsi="宋体" w:eastAsia="宋体" w:cs="宋体"/>
          <w:color w:val="auto"/>
          <w:spacing w:val="-1"/>
          <w:sz w:val="24"/>
          <w:szCs w:val="24"/>
          <w:highlight w:val="none"/>
        </w:rPr>
        <w:t>磋商保证金凭证</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交款单据电子件（复印件加盖公章）</w:t>
      </w:r>
    </w:p>
    <w:p w14:paraId="594209A6">
      <w:pPr>
        <w:spacing w:line="219" w:lineRule="auto"/>
        <w:rPr>
          <w:rFonts w:ascii="宋体" w:hAnsi="宋体" w:eastAsia="宋体" w:cs="宋体"/>
          <w:color w:val="auto"/>
          <w:sz w:val="24"/>
          <w:szCs w:val="24"/>
          <w:highlight w:val="none"/>
        </w:rPr>
        <w:sectPr>
          <w:footerReference r:id="rId37" w:type="default"/>
          <w:pgSz w:w="11907" w:h="16840"/>
          <w:pgMar w:top="1167" w:right="1105" w:bottom="1011" w:left="1672" w:header="830" w:footer="851" w:gutter="0"/>
          <w:pgNumType w:fmt="decimal"/>
          <w:cols w:space="720" w:num="1"/>
        </w:sectPr>
      </w:pPr>
    </w:p>
    <w:p w14:paraId="7C54843F">
      <w:pPr>
        <w:spacing w:before="287" w:line="219" w:lineRule="auto"/>
        <w:ind w:left="40"/>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5"/>
          <w:sz w:val="24"/>
          <w:szCs w:val="24"/>
          <w:highlight w:val="none"/>
        </w:rPr>
        <w:t>5</w:t>
      </w:r>
      <w:r>
        <w:rPr>
          <w:rFonts w:ascii="Times New Roman" w:hAnsi="Times New Roman" w:eastAsia="Times New Roman" w:cs="Times New Roman"/>
          <w:color w:val="auto"/>
          <w:spacing w:val="7"/>
          <w:sz w:val="24"/>
          <w:szCs w:val="24"/>
          <w:highlight w:val="none"/>
        </w:rPr>
        <w:t xml:space="preserve">    </w:t>
      </w:r>
      <w:r>
        <w:rPr>
          <w:rFonts w:ascii="宋体" w:hAnsi="宋体" w:eastAsia="宋体" w:cs="宋体"/>
          <w:color w:val="auto"/>
          <w:spacing w:val="-5"/>
          <w:sz w:val="24"/>
          <w:szCs w:val="24"/>
          <w:highlight w:val="none"/>
        </w:rPr>
        <w:t>响应书（实质性格式）</w:t>
      </w:r>
    </w:p>
    <w:p w14:paraId="72FFA23E">
      <w:pPr>
        <w:pStyle w:val="6"/>
        <w:spacing w:line="247" w:lineRule="auto"/>
        <w:rPr>
          <w:color w:val="auto"/>
          <w:highlight w:val="none"/>
        </w:rPr>
      </w:pPr>
    </w:p>
    <w:p w14:paraId="21B6448F">
      <w:pPr>
        <w:pStyle w:val="6"/>
        <w:spacing w:line="247" w:lineRule="auto"/>
        <w:rPr>
          <w:color w:val="auto"/>
          <w:highlight w:val="none"/>
        </w:rPr>
      </w:pPr>
    </w:p>
    <w:p w14:paraId="66E7DB86">
      <w:pPr>
        <w:spacing w:before="117" w:line="219" w:lineRule="auto"/>
        <w:ind w:left="4055"/>
        <w:rPr>
          <w:rFonts w:ascii="宋体" w:hAnsi="宋体" w:eastAsia="宋体" w:cs="宋体"/>
          <w:color w:val="auto"/>
          <w:sz w:val="36"/>
          <w:szCs w:val="36"/>
          <w:highlight w:val="none"/>
        </w:rPr>
      </w:pPr>
      <w:r>
        <w:rPr>
          <w:rFonts w:ascii="宋体" w:hAnsi="宋体" w:eastAsia="宋体" w:cs="宋体"/>
          <w:b/>
          <w:bCs/>
          <w:color w:val="auto"/>
          <w:spacing w:val="-14"/>
          <w:sz w:val="36"/>
          <w:szCs w:val="36"/>
          <w:highlight w:val="none"/>
        </w:rPr>
        <w:t>响应书</w:t>
      </w:r>
    </w:p>
    <w:p w14:paraId="279033A1">
      <w:pPr>
        <w:spacing w:before="254"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致</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56"/>
          <w:w w:val="84"/>
          <w:sz w:val="21"/>
          <w:szCs w:val="21"/>
          <w:highlight w:val="none"/>
          <w:u w:val="single" w:color="auto"/>
        </w:rPr>
        <w:t>（</w:t>
      </w:r>
      <w:r>
        <w:rPr>
          <w:rFonts w:hint="eastAsia" w:ascii="宋体" w:hAnsi="宋体" w:eastAsia="宋体" w:cs="宋体"/>
          <w:color w:val="auto"/>
          <w:spacing w:val="5"/>
          <w:sz w:val="21"/>
          <w:szCs w:val="21"/>
          <w:highlight w:val="none"/>
          <w:u w:val="single" w:color="auto"/>
        </w:rPr>
        <w:t>采购人或采购代理机构）</w:t>
      </w:r>
    </w:p>
    <w:p w14:paraId="74269B6F">
      <w:pPr>
        <w:pStyle w:val="6"/>
        <w:spacing w:line="360" w:lineRule="auto"/>
        <w:rPr>
          <w:rFonts w:hint="eastAsia" w:ascii="宋体" w:hAnsi="宋体" w:eastAsia="宋体" w:cs="宋体"/>
          <w:color w:val="auto"/>
          <w:sz w:val="21"/>
          <w:szCs w:val="21"/>
          <w:highlight w:val="none"/>
        </w:rPr>
      </w:pPr>
    </w:p>
    <w:p w14:paraId="288C5739">
      <w:pPr>
        <w:pStyle w:val="6"/>
        <w:spacing w:line="360" w:lineRule="auto"/>
        <w:rPr>
          <w:rFonts w:hint="eastAsia" w:ascii="宋体" w:hAnsi="宋体" w:eastAsia="宋体" w:cs="宋体"/>
          <w:color w:val="auto"/>
          <w:sz w:val="21"/>
          <w:szCs w:val="21"/>
          <w:highlight w:val="none"/>
        </w:rPr>
      </w:pPr>
    </w:p>
    <w:p w14:paraId="70DA0A6A">
      <w:pPr>
        <w:spacing w:before="78" w:line="360" w:lineRule="auto"/>
        <w:ind w:left="36" w:right="28" w:firstLine="41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我方参加你方就______（项目名称，项目编号/包</w:t>
      </w:r>
      <w:r>
        <w:rPr>
          <w:rFonts w:hint="eastAsia" w:ascii="宋体" w:hAnsi="宋体" w:eastAsia="宋体" w:cs="宋体"/>
          <w:color w:val="auto"/>
          <w:spacing w:val="-2"/>
          <w:sz w:val="21"/>
          <w:szCs w:val="21"/>
          <w:highlight w:val="none"/>
        </w:rPr>
        <w:t>号）组织的采购活动，并对此项目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进行磋商。</w:t>
      </w:r>
    </w:p>
    <w:p w14:paraId="3E9B7435">
      <w:pPr>
        <w:spacing w:before="19" w:line="360" w:lineRule="auto"/>
        <w:ind w:left="46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  我方已详细审查全部竞争性磋商文件，自愿参与磋商并承诺如下：</w:t>
      </w:r>
    </w:p>
    <w:p w14:paraId="007016BB">
      <w:pPr>
        <w:spacing w:before="182" w:line="360" w:lineRule="auto"/>
        <w:ind w:left="47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（1）本响应有效期为自响应文件提交截止之日起_</w:t>
      </w:r>
      <w:r>
        <w:rPr>
          <w:rFonts w:hint="eastAsia" w:ascii="宋体" w:hAnsi="宋体" w:eastAsia="宋体" w:cs="宋体"/>
          <w:color w:val="auto"/>
          <w:spacing w:val="-2"/>
          <w:sz w:val="21"/>
          <w:szCs w:val="21"/>
          <w:highlight w:val="none"/>
        </w:rPr>
        <w:t>_____个日历日。</w:t>
      </w:r>
    </w:p>
    <w:p w14:paraId="0130EF8B">
      <w:pPr>
        <w:spacing w:before="191" w:line="360" w:lineRule="auto"/>
        <w:ind w:left="399" w:right="42" w:firstLine="7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（2）除合同条款及采购需求偏离表列出的偏离外，我方响应竞争性磋商文件</w:t>
      </w:r>
      <w:r>
        <w:rPr>
          <w:rFonts w:hint="eastAsia" w:ascii="宋体" w:hAnsi="宋体" w:eastAsia="宋体" w:cs="宋体"/>
          <w:color w:val="auto"/>
          <w:spacing w:val="-5"/>
          <w:sz w:val="21"/>
          <w:szCs w:val="21"/>
          <w:highlight w:val="none"/>
        </w:rPr>
        <w:t>的全部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1"/>
          <w:sz w:val="21"/>
          <w:szCs w:val="21"/>
          <w:highlight w:val="none"/>
        </w:rPr>
        <w:t>要求。</w:t>
      </w:r>
    </w:p>
    <w:p w14:paraId="189E53E8">
      <w:pPr>
        <w:spacing w:before="179" w:line="360" w:lineRule="auto"/>
        <w:ind w:left="46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（3）我方已提供的全部文件资料是真实、准确的，并</w:t>
      </w:r>
      <w:r>
        <w:rPr>
          <w:rFonts w:hint="eastAsia" w:ascii="宋体" w:hAnsi="宋体" w:eastAsia="宋体" w:cs="宋体"/>
          <w:color w:val="auto"/>
          <w:spacing w:val="-2"/>
          <w:sz w:val="21"/>
          <w:szCs w:val="21"/>
          <w:highlight w:val="none"/>
        </w:rPr>
        <w:t>对此承担一切法律后果。</w:t>
      </w:r>
    </w:p>
    <w:p w14:paraId="6CB21D2D">
      <w:pPr>
        <w:spacing w:before="183" w:line="360" w:lineRule="auto"/>
        <w:ind w:left="37" w:right="42" w:firstLine="42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（4）如我方成交，我方将在法律规定的期限内与你方签订合同，按照竞争性磋商文</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1"/>
          <w:sz w:val="21"/>
          <w:szCs w:val="21"/>
          <w:highlight w:val="none"/>
        </w:rPr>
        <w:t>件要求提交履约保证金，并在合同约定的期限内完成</w:t>
      </w:r>
      <w:r>
        <w:rPr>
          <w:rFonts w:hint="eastAsia" w:ascii="宋体" w:hAnsi="宋体" w:eastAsia="宋体" w:cs="宋体"/>
          <w:color w:val="auto"/>
          <w:spacing w:val="-2"/>
          <w:sz w:val="21"/>
          <w:szCs w:val="21"/>
          <w:highlight w:val="none"/>
        </w:rPr>
        <w:t>合同规定的全部义务。</w:t>
      </w:r>
    </w:p>
    <w:p w14:paraId="257B72F9">
      <w:pPr>
        <w:spacing w:before="182" w:line="360" w:lineRule="auto"/>
        <w:ind w:left="454"/>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2.  其他补充条款（如有</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rPr>
        <w:t>______。</w:t>
      </w:r>
    </w:p>
    <w:p w14:paraId="409D6CA7">
      <w:pPr>
        <w:spacing w:before="191" w:line="360" w:lineRule="auto"/>
        <w:ind w:left="523"/>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与本磋商有关的一切正式往来信函请寄：</w:t>
      </w:r>
    </w:p>
    <w:p w14:paraId="48CD0E63">
      <w:pPr>
        <w:pStyle w:val="6"/>
        <w:spacing w:line="360" w:lineRule="auto"/>
        <w:rPr>
          <w:rFonts w:hint="eastAsia" w:ascii="宋体" w:hAnsi="宋体" w:eastAsia="宋体" w:cs="宋体"/>
          <w:color w:val="auto"/>
          <w:sz w:val="21"/>
          <w:szCs w:val="21"/>
          <w:highlight w:val="none"/>
        </w:rPr>
      </w:pPr>
    </w:p>
    <w:p w14:paraId="14AFE381">
      <w:pPr>
        <w:pStyle w:val="6"/>
        <w:spacing w:line="360" w:lineRule="auto"/>
        <w:rPr>
          <w:rFonts w:hint="eastAsia" w:ascii="宋体" w:hAnsi="宋体" w:eastAsia="宋体" w:cs="宋体"/>
          <w:color w:val="auto"/>
          <w:sz w:val="21"/>
          <w:szCs w:val="21"/>
          <w:highlight w:val="none"/>
        </w:rPr>
      </w:pPr>
    </w:p>
    <w:p w14:paraId="5A53D6AB">
      <w:pPr>
        <w:spacing w:before="78" w:line="360" w:lineRule="auto"/>
        <w:ind w:left="45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地址_________________________            传   真________________</w:t>
      </w:r>
      <w:r>
        <w:rPr>
          <w:rFonts w:hint="eastAsia" w:ascii="宋体" w:hAnsi="宋体" w:eastAsia="宋体" w:cs="宋体"/>
          <w:color w:val="auto"/>
          <w:spacing w:val="-1"/>
          <w:sz w:val="21"/>
          <w:szCs w:val="21"/>
          <w:highlight w:val="none"/>
        </w:rPr>
        <w:t>_________</w:t>
      </w:r>
    </w:p>
    <w:p w14:paraId="14E9843F">
      <w:pPr>
        <w:spacing w:before="191" w:line="360" w:lineRule="auto"/>
        <w:ind w:left="48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电话_________________________    </w:t>
      </w:r>
      <w:r>
        <w:rPr>
          <w:rFonts w:hint="eastAsia" w:ascii="宋体" w:hAnsi="宋体" w:eastAsia="宋体" w:cs="宋体"/>
          <w:color w:val="auto"/>
          <w:spacing w:val="-1"/>
          <w:sz w:val="21"/>
          <w:szCs w:val="21"/>
          <w:highlight w:val="none"/>
        </w:rPr>
        <w:t xml:space="preserve">        电子函件_________________________</w:t>
      </w:r>
    </w:p>
    <w:p w14:paraId="79271FB8">
      <w:pPr>
        <w:pStyle w:val="6"/>
        <w:spacing w:line="360" w:lineRule="auto"/>
        <w:rPr>
          <w:rFonts w:hint="eastAsia" w:ascii="宋体" w:hAnsi="宋体" w:eastAsia="宋体" w:cs="宋体"/>
          <w:color w:val="auto"/>
          <w:sz w:val="21"/>
          <w:szCs w:val="21"/>
          <w:highlight w:val="none"/>
        </w:rPr>
      </w:pPr>
    </w:p>
    <w:p w14:paraId="1420ABBA">
      <w:pPr>
        <w:pStyle w:val="6"/>
        <w:spacing w:line="360" w:lineRule="auto"/>
        <w:rPr>
          <w:rFonts w:hint="eastAsia" w:ascii="宋体" w:hAnsi="宋体" w:eastAsia="宋体" w:cs="宋体"/>
          <w:color w:val="auto"/>
          <w:sz w:val="21"/>
          <w:szCs w:val="21"/>
          <w:highlight w:val="none"/>
        </w:rPr>
      </w:pPr>
    </w:p>
    <w:p w14:paraId="2C156FC5">
      <w:pPr>
        <w:pStyle w:val="6"/>
        <w:spacing w:line="360" w:lineRule="auto"/>
        <w:rPr>
          <w:rFonts w:hint="eastAsia" w:ascii="宋体" w:hAnsi="宋体" w:eastAsia="宋体" w:cs="宋体"/>
          <w:color w:val="auto"/>
          <w:sz w:val="21"/>
          <w:szCs w:val="21"/>
          <w:highlight w:val="none"/>
        </w:rPr>
      </w:pPr>
    </w:p>
    <w:p w14:paraId="3031884D">
      <w:pPr>
        <w:pStyle w:val="6"/>
        <w:spacing w:line="360" w:lineRule="auto"/>
        <w:rPr>
          <w:rFonts w:hint="eastAsia" w:ascii="宋体" w:hAnsi="宋体" w:eastAsia="宋体" w:cs="宋体"/>
          <w:color w:val="auto"/>
          <w:sz w:val="21"/>
          <w:szCs w:val="21"/>
          <w:highlight w:val="none"/>
        </w:rPr>
      </w:pPr>
    </w:p>
    <w:p w14:paraId="181D4ACF">
      <w:pPr>
        <w:pStyle w:val="6"/>
        <w:spacing w:line="360" w:lineRule="auto"/>
        <w:rPr>
          <w:rFonts w:hint="eastAsia" w:ascii="宋体" w:hAnsi="宋体" w:eastAsia="宋体" w:cs="宋体"/>
          <w:color w:val="auto"/>
          <w:sz w:val="21"/>
          <w:szCs w:val="21"/>
          <w:highlight w:val="none"/>
        </w:rPr>
      </w:pPr>
    </w:p>
    <w:p w14:paraId="7CC9179E">
      <w:pPr>
        <w:spacing w:before="79" w:line="360" w:lineRule="auto"/>
        <w:ind w:left="39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7246010A">
      <w:pPr>
        <w:spacing w:before="216" w:line="360" w:lineRule="auto"/>
        <w:ind w:left="43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68614FE1">
      <w:pPr>
        <w:spacing w:line="360" w:lineRule="auto"/>
        <w:rPr>
          <w:rFonts w:hint="eastAsia" w:ascii="宋体" w:hAnsi="宋体" w:eastAsia="宋体" w:cs="宋体"/>
          <w:color w:val="auto"/>
          <w:sz w:val="21"/>
          <w:szCs w:val="21"/>
          <w:highlight w:val="none"/>
        </w:rPr>
        <w:sectPr>
          <w:footerReference r:id="rId38" w:type="default"/>
          <w:pgSz w:w="11907" w:h="16840"/>
          <w:pgMar w:top="1167" w:right="1105" w:bottom="1011" w:left="1672" w:header="830" w:footer="851" w:gutter="0"/>
          <w:pgNumType w:fmt="decimal"/>
          <w:cols w:space="720" w:num="1"/>
        </w:sectPr>
      </w:pPr>
    </w:p>
    <w:p w14:paraId="3449376E">
      <w:pPr>
        <w:spacing w:before="287" w:line="219" w:lineRule="auto"/>
        <w:ind w:left="39"/>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6    </w:t>
      </w:r>
      <w:r>
        <w:rPr>
          <w:rFonts w:ascii="宋体" w:hAnsi="宋体" w:eastAsia="宋体" w:cs="宋体"/>
          <w:color w:val="auto"/>
          <w:spacing w:val="-2"/>
          <w:sz w:val="24"/>
          <w:szCs w:val="24"/>
          <w:highlight w:val="none"/>
        </w:rPr>
        <w:t>授权委托书（实质性格式）</w:t>
      </w:r>
    </w:p>
    <w:p w14:paraId="33631379">
      <w:pPr>
        <w:spacing w:before="200" w:line="219" w:lineRule="auto"/>
        <w:ind w:left="3673"/>
        <w:rPr>
          <w:rFonts w:ascii="宋体" w:hAnsi="宋体" w:eastAsia="宋体" w:cs="宋体"/>
          <w:color w:val="auto"/>
          <w:sz w:val="36"/>
          <w:szCs w:val="36"/>
          <w:highlight w:val="none"/>
        </w:rPr>
      </w:pPr>
      <w:r>
        <w:rPr>
          <w:rFonts w:ascii="宋体" w:hAnsi="宋体" w:eastAsia="宋体" w:cs="宋体"/>
          <w:b/>
          <w:bCs/>
          <w:color w:val="auto"/>
          <w:spacing w:val="-6"/>
          <w:sz w:val="36"/>
          <w:szCs w:val="36"/>
          <w:highlight w:val="none"/>
        </w:rPr>
        <w:t>授权委托书</w:t>
      </w:r>
    </w:p>
    <w:p w14:paraId="181E195C">
      <w:pPr>
        <w:spacing w:before="255" w:line="360" w:lineRule="auto"/>
        <w:ind w:left="38" w:firstLine="420"/>
        <w:jc w:val="both"/>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本人____（姓名）系____（供应商名称）的法定代表人（单位负责人</w:t>
      </w:r>
      <w:r>
        <w:rPr>
          <w:rFonts w:hint="eastAsia" w:ascii="宋体" w:hAnsi="宋体" w:eastAsia="宋体" w:cs="宋体"/>
          <w:color w:val="auto"/>
          <w:spacing w:val="-29"/>
          <w:sz w:val="21"/>
          <w:szCs w:val="21"/>
          <w:highlight w:val="none"/>
        </w:rPr>
        <w:t>），</w:t>
      </w:r>
      <w:r>
        <w:rPr>
          <w:rFonts w:hint="eastAsia" w:ascii="宋体" w:hAnsi="宋体" w:eastAsia="宋体" w:cs="宋体"/>
          <w:color w:val="auto"/>
          <w:spacing w:val="-7"/>
          <w:sz w:val="21"/>
          <w:szCs w:val="21"/>
          <w:highlight w:val="none"/>
        </w:rPr>
        <w:t>现委</w:t>
      </w:r>
      <w:r>
        <w:rPr>
          <w:rFonts w:hint="eastAsia" w:ascii="宋体" w:hAnsi="宋体" w:eastAsia="宋体" w:cs="宋体"/>
          <w:color w:val="auto"/>
          <w:spacing w:val="-8"/>
          <w:sz w:val="21"/>
          <w:szCs w:val="21"/>
          <w:highlight w:val="none"/>
        </w:rPr>
        <w:t>托_____</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（姓名）为我方代理人。代理人根据授权，以我方名义签署、澄清确认、</w:t>
      </w:r>
      <w:r>
        <w:rPr>
          <w:rFonts w:hint="eastAsia" w:ascii="宋体" w:hAnsi="宋体" w:eastAsia="宋体" w:cs="宋体"/>
          <w:color w:val="auto"/>
          <w:spacing w:val="3"/>
          <w:sz w:val="21"/>
          <w:szCs w:val="21"/>
          <w:highlight w:val="none"/>
        </w:rPr>
        <w:t>提交、撤回、</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修改____（项目名称）响应文件和处理有关事宜，其法</w:t>
      </w:r>
      <w:r>
        <w:rPr>
          <w:rFonts w:hint="eastAsia" w:ascii="宋体" w:hAnsi="宋体" w:eastAsia="宋体" w:cs="宋体"/>
          <w:color w:val="auto"/>
          <w:spacing w:val="-2"/>
          <w:sz w:val="21"/>
          <w:szCs w:val="21"/>
          <w:highlight w:val="none"/>
        </w:rPr>
        <w:t>律后果由我方承担。</w:t>
      </w:r>
    </w:p>
    <w:p w14:paraId="46A5C725">
      <w:pPr>
        <w:spacing w:before="7" w:line="360" w:lineRule="auto"/>
        <w:ind w:left="45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委托期限：自本授权委托书签署之日起至响应有效期届满之日止。</w:t>
      </w:r>
    </w:p>
    <w:p w14:paraId="3DDD4DEA">
      <w:pPr>
        <w:spacing w:before="181" w:line="360" w:lineRule="auto"/>
        <w:ind w:left="45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代理人无转委托权。</w:t>
      </w:r>
    </w:p>
    <w:p w14:paraId="60E4D7A0">
      <w:pPr>
        <w:pStyle w:val="6"/>
        <w:spacing w:line="360" w:lineRule="auto"/>
        <w:rPr>
          <w:rFonts w:hint="eastAsia" w:ascii="宋体" w:hAnsi="宋体" w:eastAsia="宋体" w:cs="宋体"/>
          <w:color w:val="auto"/>
          <w:sz w:val="21"/>
          <w:szCs w:val="21"/>
          <w:highlight w:val="none"/>
        </w:rPr>
      </w:pPr>
    </w:p>
    <w:p w14:paraId="245E52E8">
      <w:pPr>
        <w:pStyle w:val="6"/>
        <w:spacing w:line="360" w:lineRule="auto"/>
        <w:rPr>
          <w:rFonts w:hint="eastAsia" w:ascii="宋体" w:hAnsi="宋体" w:eastAsia="宋体" w:cs="宋体"/>
          <w:color w:val="auto"/>
          <w:sz w:val="21"/>
          <w:szCs w:val="21"/>
          <w:highlight w:val="none"/>
        </w:rPr>
      </w:pPr>
    </w:p>
    <w:p w14:paraId="1EC3D3FF">
      <w:pPr>
        <w:spacing w:before="79"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6"/>
          <w:sz w:val="21"/>
          <w:szCs w:val="21"/>
          <w:highlight w:val="none"/>
        </w:rPr>
        <w:t>______________</w:t>
      </w:r>
    </w:p>
    <w:p w14:paraId="7F5EA503">
      <w:pPr>
        <w:spacing w:before="191" w:line="360" w:lineRule="auto"/>
        <w:ind w:left="3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法定代表人（单位负责人</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7"/>
          <w:sz w:val="21"/>
          <w:szCs w:val="21"/>
          <w:highlight w:val="none"/>
        </w:rPr>
        <w:t>签字或签章</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7"/>
          <w:sz w:val="21"/>
          <w:szCs w:val="21"/>
          <w:highlight w:val="none"/>
        </w:rPr>
        <w:t>_______</w:t>
      </w:r>
      <w:r>
        <w:rPr>
          <w:rFonts w:hint="eastAsia" w:ascii="宋体" w:hAnsi="宋体" w:eastAsia="宋体" w:cs="宋体"/>
          <w:color w:val="auto"/>
          <w:spacing w:val="-8"/>
          <w:sz w:val="21"/>
          <w:szCs w:val="21"/>
          <w:highlight w:val="none"/>
        </w:rPr>
        <w:t>_______</w:t>
      </w:r>
    </w:p>
    <w:p w14:paraId="0936A903">
      <w:pPr>
        <w:spacing w:before="191" w:line="360" w:lineRule="auto"/>
        <w:ind w:left="37"/>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委托代理人（签字或签章</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5"/>
          <w:sz w:val="21"/>
          <w:szCs w:val="21"/>
          <w:highlight w:val="none"/>
        </w:rPr>
        <w:t>_________</w:t>
      </w:r>
      <w:r>
        <w:rPr>
          <w:rFonts w:hint="eastAsia" w:ascii="宋体" w:hAnsi="宋体" w:eastAsia="宋体" w:cs="宋体"/>
          <w:color w:val="auto"/>
          <w:spacing w:val="-6"/>
          <w:sz w:val="21"/>
          <w:szCs w:val="21"/>
          <w:highlight w:val="none"/>
        </w:rPr>
        <w:t>_____</w:t>
      </w:r>
    </w:p>
    <w:p w14:paraId="310DEBBE">
      <w:pPr>
        <w:spacing w:before="192" w:line="360" w:lineRule="auto"/>
        <w:ind w:left="7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28BFB0F4">
      <w:pPr>
        <w:pStyle w:val="6"/>
        <w:spacing w:line="360" w:lineRule="auto"/>
        <w:rPr>
          <w:rFonts w:hint="eastAsia" w:ascii="宋体" w:hAnsi="宋体" w:eastAsia="宋体" w:cs="宋体"/>
          <w:color w:val="auto"/>
          <w:sz w:val="21"/>
          <w:szCs w:val="21"/>
          <w:highlight w:val="none"/>
        </w:rPr>
      </w:pPr>
    </w:p>
    <w:p w14:paraId="31519C7E">
      <w:pPr>
        <w:pStyle w:val="6"/>
        <w:spacing w:line="360" w:lineRule="auto"/>
        <w:rPr>
          <w:rFonts w:hint="eastAsia" w:ascii="宋体" w:hAnsi="宋体" w:eastAsia="宋体" w:cs="宋体"/>
          <w:color w:val="auto"/>
          <w:sz w:val="21"/>
          <w:szCs w:val="21"/>
          <w:highlight w:val="none"/>
        </w:rPr>
      </w:pPr>
    </w:p>
    <w:p w14:paraId="45705642">
      <w:pPr>
        <w:spacing w:before="78" w:line="360" w:lineRule="auto"/>
        <w:ind w:left="5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附：法定代表人（单位负责人）及委托代理人身份证明文件电子件：</w:t>
      </w:r>
    </w:p>
    <w:p w14:paraId="5C461603">
      <w:pPr>
        <w:pStyle w:val="6"/>
        <w:spacing w:line="360" w:lineRule="auto"/>
        <w:rPr>
          <w:rFonts w:hint="eastAsia" w:ascii="宋体" w:hAnsi="宋体" w:eastAsia="宋体" w:cs="宋体"/>
          <w:color w:val="auto"/>
          <w:sz w:val="21"/>
          <w:szCs w:val="21"/>
          <w:highlight w:val="none"/>
        </w:rPr>
      </w:pPr>
    </w:p>
    <w:p w14:paraId="3DB66C45">
      <w:pPr>
        <w:pStyle w:val="6"/>
        <w:spacing w:line="360" w:lineRule="auto"/>
        <w:rPr>
          <w:rFonts w:hint="eastAsia" w:ascii="宋体" w:hAnsi="宋体" w:eastAsia="宋体" w:cs="宋体"/>
          <w:color w:val="auto"/>
          <w:sz w:val="21"/>
          <w:szCs w:val="21"/>
          <w:highlight w:val="none"/>
        </w:rPr>
      </w:pPr>
    </w:p>
    <w:p w14:paraId="3FA230B7">
      <w:pPr>
        <w:pStyle w:val="6"/>
        <w:spacing w:line="360" w:lineRule="auto"/>
        <w:rPr>
          <w:rFonts w:hint="eastAsia" w:ascii="宋体" w:hAnsi="宋体" w:eastAsia="宋体" w:cs="宋体"/>
          <w:color w:val="auto"/>
          <w:sz w:val="21"/>
          <w:szCs w:val="21"/>
          <w:highlight w:val="none"/>
        </w:rPr>
      </w:pPr>
    </w:p>
    <w:p w14:paraId="660DED1C">
      <w:pPr>
        <w:pStyle w:val="6"/>
        <w:spacing w:line="360" w:lineRule="auto"/>
        <w:rPr>
          <w:rFonts w:hint="eastAsia" w:ascii="宋体" w:hAnsi="宋体" w:eastAsia="宋体" w:cs="宋体"/>
          <w:color w:val="auto"/>
          <w:sz w:val="21"/>
          <w:szCs w:val="21"/>
          <w:highlight w:val="none"/>
        </w:rPr>
      </w:pPr>
    </w:p>
    <w:p w14:paraId="7A40A58F">
      <w:pPr>
        <w:pStyle w:val="6"/>
        <w:spacing w:line="360" w:lineRule="auto"/>
        <w:rPr>
          <w:rFonts w:hint="eastAsia" w:ascii="宋体" w:hAnsi="宋体" w:eastAsia="宋体" w:cs="宋体"/>
          <w:color w:val="auto"/>
          <w:sz w:val="21"/>
          <w:szCs w:val="21"/>
          <w:highlight w:val="none"/>
        </w:rPr>
      </w:pPr>
    </w:p>
    <w:p w14:paraId="58C16DC5">
      <w:pPr>
        <w:pStyle w:val="6"/>
        <w:spacing w:line="360" w:lineRule="auto"/>
        <w:rPr>
          <w:rFonts w:hint="eastAsia" w:ascii="宋体" w:hAnsi="宋体" w:eastAsia="宋体" w:cs="宋体"/>
          <w:color w:val="auto"/>
          <w:sz w:val="21"/>
          <w:szCs w:val="21"/>
          <w:highlight w:val="none"/>
        </w:rPr>
      </w:pPr>
    </w:p>
    <w:p w14:paraId="6488AC2A">
      <w:pPr>
        <w:pStyle w:val="6"/>
        <w:spacing w:line="360" w:lineRule="auto"/>
        <w:rPr>
          <w:rFonts w:hint="eastAsia" w:ascii="宋体" w:hAnsi="宋体" w:eastAsia="宋体" w:cs="宋体"/>
          <w:color w:val="auto"/>
          <w:sz w:val="21"/>
          <w:szCs w:val="21"/>
          <w:highlight w:val="none"/>
        </w:rPr>
      </w:pPr>
    </w:p>
    <w:p w14:paraId="36F931F8">
      <w:pPr>
        <w:spacing w:before="78" w:line="360" w:lineRule="auto"/>
        <w:ind w:left="41"/>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说明：</w:t>
      </w:r>
    </w:p>
    <w:p w14:paraId="58E22ECE">
      <w:pPr>
        <w:spacing w:before="183" w:line="240" w:lineRule="auto"/>
        <w:ind w:left="40" w:right="216" w:firstLine="1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1.若供应商为事业单位或其他组织或分支机构，则法定代表人（单位负责人）处的签署</w:t>
      </w:r>
      <w:r>
        <w:rPr>
          <w:rFonts w:hint="eastAsia" w:ascii="宋体" w:hAnsi="宋体" w:eastAsia="宋体" w:cs="宋体"/>
          <w:color w:val="auto"/>
          <w:spacing w:val="-5"/>
          <w:sz w:val="21"/>
          <w:szCs w:val="21"/>
          <w:highlight w:val="none"/>
        </w:rPr>
        <w:t>人可为单位负责人。</w:t>
      </w:r>
    </w:p>
    <w:p w14:paraId="31FF732E">
      <w:pPr>
        <w:spacing w:before="181" w:line="240" w:lineRule="auto"/>
        <w:ind w:left="37" w:right="216" w:hanging="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2.若响应文件中签字之处均为法定代表人（单位负责人）本人签署，则</w:t>
      </w:r>
      <w:r>
        <w:rPr>
          <w:rFonts w:hint="eastAsia" w:ascii="宋体" w:hAnsi="宋体" w:eastAsia="宋体" w:cs="宋体"/>
          <w:color w:val="auto"/>
          <w:spacing w:val="-1"/>
          <w:sz w:val="21"/>
          <w:szCs w:val="21"/>
          <w:highlight w:val="none"/>
        </w:rPr>
        <w:t>可不提供本《授</w:t>
      </w:r>
      <w:r>
        <w:rPr>
          <w:rFonts w:hint="eastAsia" w:ascii="宋体" w:hAnsi="宋体" w:eastAsia="宋体" w:cs="宋体"/>
          <w:color w:val="auto"/>
          <w:spacing w:val="-7"/>
          <w:sz w:val="21"/>
          <w:szCs w:val="21"/>
          <w:highlight w:val="none"/>
        </w:rPr>
        <w:t>权委托书》，但须提供《法定代表人（单位负责人）身份证明》；否则，不需要提供</w:t>
      </w:r>
      <w:r>
        <w:rPr>
          <w:rFonts w:hint="eastAsia" w:ascii="宋体" w:hAnsi="宋体" w:eastAsia="宋体" w:cs="宋体"/>
          <w:color w:val="auto"/>
          <w:spacing w:val="-8"/>
          <w:sz w:val="21"/>
          <w:szCs w:val="21"/>
          <w:highlight w:val="none"/>
        </w:rPr>
        <w:t>《法定代表人（单位负责人）身份证明》。</w:t>
      </w:r>
    </w:p>
    <w:p w14:paraId="79638B7F">
      <w:pPr>
        <w:spacing w:before="181" w:line="24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3.供应商为自然人的情形，可不提供本《授权委托书》。</w:t>
      </w:r>
    </w:p>
    <w:p w14:paraId="47E2A755">
      <w:pPr>
        <w:spacing w:before="181" w:line="240" w:lineRule="auto"/>
        <w:ind w:left="38" w:right="216" w:hanging="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4.供应商应随本《授权委托书》同时提供法定代表人（单位负责人）及委托</w:t>
      </w:r>
      <w:r>
        <w:rPr>
          <w:rFonts w:hint="eastAsia" w:ascii="宋体" w:hAnsi="宋体" w:eastAsia="宋体" w:cs="宋体"/>
          <w:color w:val="auto"/>
          <w:spacing w:val="-1"/>
          <w:sz w:val="21"/>
          <w:szCs w:val="21"/>
          <w:highlight w:val="none"/>
        </w:rPr>
        <w:t>代理人的有</w:t>
      </w:r>
      <w:r>
        <w:rPr>
          <w:rFonts w:hint="eastAsia" w:ascii="宋体" w:hAnsi="宋体" w:eastAsia="宋体" w:cs="宋体"/>
          <w:color w:val="auto"/>
          <w:sz w:val="21"/>
          <w:szCs w:val="21"/>
          <w:highlight w:val="none"/>
        </w:rPr>
        <w:t xml:space="preserve"> 效的身份证或护照等身份证明文件电子件。提供身</w:t>
      </w:r>
      <w:r>
        <w:rPr>
          <w:rFonts w:hint="eastAsia" w:ascii="宋体" w:hAnsi="宋体" w:eastAsia="宋体" w:cs="宋体"/>
          <w:color w:val="auto"/>
          <w:spacing w:val="-1"/>
          <w:sz w:val="21"/>
          <w:szCs w:val="21"/>
          <w:highlight w:val="none"/>
        </w:rPr>
        <w:t>份证的，应同时提供身份证</w:t>
      </w:r>
      <w:r>
        <w:rPr>
          <w:rFonts w:hint="eastAsia" w:ascii="宋体" w:hAnsi="宋体" w:eastAsia="宋体" w:cs="宋体"/>
          <w:b/>
          <w:bCs/>
          <w:color w:val="auto"/>
          <w:spacing w:val="-1"/>
          <w:sz w:val="21"/>
          <w:szCs w:val="21"/>
          <w:highlight w:val="none"/>
        </w:rPr>
        <w:t>双面</w:t>
      </w:r>
      <w:r>
        <w:rPr>
          <w:rFonts w:hint="eastAsia" w:ascii="宋体" w:hAnsi="宋体" w:eastAsia="宋体" w:cs="宋体"/>
          <w:color w:val="auto"/>
          <w:spacing w:val="-1"/>
          <w:sz w:val="21"/>
          <w:szCs w:val="21"/>
          <w:highlight w:val="none"/>
        </w:rPr>
        <w:t>电</w:t>
      </w:r>
      <w:r>
        <w:rPr>
          <w:rFonts w:hint="eastAsia" w:ascii="宋体" w:hAnsi="宋体" w:eastAsia="宋体" w:cs="宋体"/>
          <w:color w:val="auto"/>
          <w:spacing w:val="-11"/>
          <w:sz w:val="21"/>
          <w:szCs w:val="21"/>
          <w:highlight w:val="none"/>
        </w:rPr>
        <w:t>子件。</w:t>
      </w:r>
    </w:p>
    <w:p w14:paraId="4FB3DE68">
      <w:pPr>
        <w:spacing w:line="360" w:lineRule="auto"/>
        <w:rPr>
          <w:rFonts w:hint="eastAsia" w:ascii="宋体" w:hAnsi="宋体" w:eastAsia="宋体" w:cs="宋体"/>
          <w:color w:val="auto"/>
          <w:sz w:val="21"/>
          <w:szCs w:val="21"/>
          <w:highlight w:val="none"/>
        </w:rPr>
        <w:sectPr>
          <w:headerReference r:id="rId39" w:type="default"/>
          <w:footerReference r:id="rId40" w:type="default"/>
          <w:pgSz w:w="11907" w:h="16840"/>
          <w:pgMar w:top="1167" w:right="929" w:bottom="1011" w:left="1672" w:header="830" w:footer="851" w:gutter="0"/>
          <w:pgNumType w:fmt="decimal"/>
          <w:cols w:space="720" w:num="1"/>
        </w:sectPr>
      </w:pPr>
    </w:p>
    <w:p w14:paraId="5B218261">
      <w:pPr>
        <w:spacing w:before="305" w:line="220" w:lineRule="auto"/>
        <w:ind w:left="1688"/>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法定代表人（单位负责人）身份证明</w:t>
      </w:r>
    </w:p>
    <w:p w14:paraId="12FEA2B1">
      <w:pPr>
        <w:pStyle w:val="6"/>
        <w:spacing w:line="372" w:lineRule="auto"/>
        <w:rPr>
          <w:color w:val="auto"/>
          <w:highlight w:val="none"/>
        </w:rPr>
      </w:pPr>
    </w:p>
    <w:p w14:paraId="39247885">
      <w:pPr>
        <w:spacing w:before="78" w:line="219"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致</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31"/>
          <w:sz w:val="21"/>
          <w:szCs w:val="21"/>
          <w:highlight w:val="none"/>
          <w:u w:val="single"/>
        </w:rPr>
        <w:t>（</w:t>
      </w:r>
      <w:r>
        <w:rPr>
          <w:rFonts w:hint="eastAsia" w:ascii="宋体" w:hAnsi="宋体" w:eastAsia="宋体" w:cs="宋体"/>
          <w:color w:val="auto"/>
          <w:spacing w:val="5"/>
          <w:sz w:val="21"/>
          <w:szCs w:val="21"/>
          <w:highlight w:val="none"/>
          <w:u w:val="single"/>
        </w:rPr>
        <w:t>采购人或采购代理机构）</w:t>
      </w:r>
    </w:p>
    <w:p w14:paraId="201A1323">
      <w:pPr>
        <w:pStyle w:val="6"/>
        <w:spacing w:line="246" w:lineRule="auto"/>
        <w:rPr>
          <w:rFonts w:hint="eastAsia" w:ascii="宋体" w:hAnsi="宋体" w:eastAsia="宋体" w:cs="宋体"/>
          <w:color w:val="auto"/>
          <w:sz w:val="21"/>
          <w:szCs w:val="21"/>
          <w:highlight w:val="none"/>
        </w:rPr>
      </w:pPr>
    </w:p>
    <w:p w14:paraId="0D91AE7A">
      <w:pPr>
        <w:spacing w:before="78" w:line="220" w:lineRule="auto"/>
        <w:ind w:left="522"/>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兹证明，</w:t>
      </w:r>
    </w:p>
    <w:p w14:paraId="474F0683">
      <w:pPr>
        <w:spacing w:before="169" w:line="198" w:lineRule="auto"/>
        <w:ind w:left="3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pict>
          <v:shape id="_x0000_s1029" o:spid="_x0000_s1029" o:spt="202" type="#_x0000_t202" style="position:absolute;left:0pt;margin-left:216.35pt;margin-top:19.85pt;height:2.5pt;width:26.2pt;z-index:251664384;mso-width-relative:page;mso-height-relative:page;" filled="f" stroked="f" coordsize="21600,21600">
            <v:path/>
            <v:fill on="f" focussize="0,0"/>
            <v:stroke on="f"/>
            <v:imagedata o:title=""/>
            <o:lock v:ext="edit" aspectratio="f"/>
            <v:textbox inset="0mm,0mm,0mm,0mm">
              <w:txbxContent>
                <w:p w14:paraId="205DB547">
                  <w:pPr>
                    <w:spacing w:before="20" w:line="9" w:lineRule="exact"/>
                    <w:ind w:left="20"/>
                    <w:rPr>
                      <w:rFonts w:ascii="Times New Roman" w:hAnsi="Times New Roman" w:eastAsia="Times New Roman" w:cs="Times New Roman"/>
                      <w:sz w:val="24"/>
                      <w:szCs w:val="24"/>
                    </w:rPr>
                  </w:pPr>
                  <w:r>
                    <w:rPr>
                      <w:rFonts w:ascii="Times New Roman" w:hAnsi="Times New Roman" w:eastAsia="Times New Roman" w:cs="Times New Roman"/>
                      <w:position w:val="5"/>
                      <w:sz w:val="24"/>
                      <w:szCs w:val="24"/>
                    </w:rPr>
                    <w:t>____</w:t>
                  </w:r>
                </w:p>
              </w:txbxContent>
            </v:textbox>
          </v:shape>
        </w:pict>
      </w:r>
      <w:r>
        <w:rPr>
          <w:rFonts w:hint="eastAsia" w:ascii="宋体" w:hAnsi="宋体" w:eastAsia="宋体" w:cs="宋体"/>
          <w:color w:val="auto"/>
          <w:spacing w:val="-2"/>
          <w:sz w:val="21"/>
          <w:szCs w:val="21"/>
          <w:highlight w:val="none"/>
        </w:rPr>
        <w:t>姓名：____性别：____年龄：____职务：</w:t>
      </w:r>
    </w:p>
    <w:p w14:paraId="7AF61B2E">
      <w:pPr>
        <w:pStyle w:val="6"/>
        <w:spacing w:line="285" w:lineRule="auto"/>
        <w:rPr>
          <w:rFonts w:hint="eastAsia" w:ascii="宋体" w:hAnsi="宋体" w:eastAsia="宋体" w:cs="宋体"/>
          <w:color w:val="auto"/>
          <w:sz w:val="21"/>
          <w:szCs w:val="21"/>
          <w:highlight w:val="none"/>
        </w:rPr>
      </w:pPr>
    </w:p>
    <w:p w14:paraId="56BDC53B">
      <w:pPr>
        <w:pStyle w:val="6"/>
        <w:spacing w:line="285" w:lineRule="auto"/>
        <w:rPr>
          <w:rFonts w:hint="eastAsia" w:ascii="宋体" w:hAnsi="宋体" w:eastAsia="宋体" w:cs="宋体"/>
          <w:color w:val="auto"/>
          <w:sz w:val="21"/>
          <w:szCs w:val="21"/>
          <w:highlight w:val="none"/>
        </w:rPr>
      </w:pPr>
    </w:p>
    <w:p w14:paraId="20119D88">
      <w:pPr>
        <w:spacing w:before="79" w:line="212" w:lineRule="auto"/>
        <w:ind w:left="43"/>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系__________（供应商名称）的法定代表人（单位负责人）。</w:t>
      </w:r>
    </w:p>
    <w:p w14:paraId="22E3984C">
      <w:pPr>
        <w:pStyle w:val="6"/>
        <w:spacing w:line="245" w:lineRule="auto"/>
        <w:rPr>
          <w:rFonts w:hint="eastAsia" w:ascii="宋体" w:hAnsi="宋体" w:eastAsia="宋体" w:cs="宋体"/>
          <w:color w:val="auto"/>
          <w:sz w:val="21"/>
          <w:szCs w:val="21"/>
          <w:highlight w:val="none"/>
        </w:rPr>
      </w:pPr>
    </w:p>
    <w:p w14:paraId="1ACC9A5F">
      <w:pPr>
        <w:pStyle w:val="6"/>
        <w:spacing w:line="245" w:lineRule="auto"/>
        <w:rPr>
          <w:rFonts w:hint="eastAsia" w:ascii="宋体" w:hAnsi="宋体" w:eastAsia="宋体" w:cs="宋体"/>
          <w:color w:val="auto"/>
          <w:sz w:val="21"/>
          <w:szCs w:val="21"/>
          <w:highlight w:val="none"/>
        </w:rPr>
      </w:pPr>
    </w:p>
    <w:p w14:paraId="52641B99">
      <w:pPr>
        <w:pStyle w:val="6"/>
        <w:spacing w:line="245" w:lineRule="auto"/>
        <w:rPr>
          <w:rFonts w:hint="eastAsia" w:ascii="宋体" w:hAnsi="宋体" w:eastAsia="宋体" w:cs="宋体"/>
          <w:color w:val="auto"/>
          <w:sz w:val="21"/>
          <w:szCs w:val="21"/>
          <w:highlight w:val="none"/>
        </w:rPr>
      </w:pPr>
    </w:p>
    <w:p w14:paraId="7CA88F2A">
      <w:pPr>
        <w:pStyle w:val="6"/>
        <w:spacing w:line="245" w:lineRule="auto"/>
        <w:rPr>
          <w:rFonts w:hint="eastAsia" w:ascii="宋体" w:hAnsi="宋体" w:eastAsia="宋体" w:cs="宋体"/>
          <w:color w:val="auto"/>
          <w:sz w:val="21"/>
          <w:szCs w:val="21"/>
          <w:highlight w:val="none"/>
        </w:rPr>
      </w:pPr>
    </w:p>
    <w:p w14:paraId="720E172F">
      <w:pPr>
        <w:spacing w:before="79" w:line="219" w:lineRule="auto"/>
        <w:ind w:left="5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附：法定代表人（单位负责人）身份证或护照等身份证明文件电子件：</w:t>
      </w:r>
    </w:p>
    <w:p w14:paraId="25B365E8">
      <w:pPr>
        <w:pStyle w:val="6"/>
        <w:spacing w:line="294" w:lineRule="auto"/>
        <w:rPr>
          <w:rFonts w:hint="eastAsia" w:ascii="宋体" w:hAnsi="宋体" w:eastAsia="宋体" w:cs="宋体"/>
          <w:color w:val="auto"/>
          <w:sz w:val="21"/>
          <w:szCs w:val="21"/>
          <w:highlight w:val="none"/>
        </w:rPr>
      </w:pPr>
    </w:p>
    <w:p w14:paraId="30B36071">
      <w:pPr>
        <w:pStyle w:val="6"/>
        <w:spacing w:line="294" w:lineRule="auto"/>
        <w:rPr>
          <w:rFonts w:hint="eastAsia" w:ascii="宋体" w:hAnsi="宋体" w:eastAsia="宋体" w:cs="宋体"/>
          <w:color w:val="auto"/>
          <w:sz w:val="21"/>
          <w:szCs w:val="21"/>
          <w:highlight w:val="none"/>
        </w:rPr>
      </w:pPr>
    </w:p>
    <w:p w14:paraId="2E32038B">
      <w:pPr>
        <w:pStyle w:val="6"/>
        <w:spacing w:line="294" w:lineRule="auto"/>
        <w:rPr>
          <w:rFonts w:hint="eastAsia" w:ascii="宋体" w:hAnsi="宋体" w:eastAsia="宋体" w:cs="宋体"/>
          <w:color w:val="auto"/>
          <w:sz w:val="21"/>
          <w:szCs w:val="21"/>
          <w:highlight w:val="none"/>
        </w:rPr>
      </w:pPr>
    </w:p>
    <w:p w14:paraId="24EEE3E6">
      <w:pPr>
        <w:pStyle w:val="6"/>
        <w:spacing w:line="294" w:lineRule="auto"/>
        <w:rPr>
          <w:rFonts w:hint="eastAsia" w:ascii="宋体" w:hAnsi="宋体" w:eastAsia="宋体" w:cs="宋体"/>
          <w:color w:val="auto"/>
          <w:sz w:val="21"/>
          <w:szCs w:val="21"/>
          <w:highlight w:val="none"/>
        </w:rPr>
      </w:pPr>
    </w:p>
    <w:p w14:paraId="1AB2E621">
      <w:pPr>
        <w:pStyle w:val="6"/>
        <w:spacing w:line="294" w:lineRule="auto"/>
        <w:rPr>
          <w:rFonts w:hint="eastAsia" w:ascii="宋体" w:hAnsi="宋体" w:eastAsia="宋体" w:cs="宋体"/>
          <w:color w:val="auto"/>
          <w:sz w:val="21"/>
          <w:szCs w:val="21"/>
          <w:highlight w:val="none"/>
        </w:rPr>
      </w:pPr>
    </w:p>
    <w:p w14:paraId="3218E1CC">
      <w:pPr>
        <w:pStyle w:val="6"/>
        <w:spacing w:line="294" w:lineRule="auto"/>
        <w:rPr>
          <w:rFonts w:hint="eastAsia" w:ascii="宋体" w:hAnsi="宋体" w:eastAsia="宋体" w:cs="宋体"/>
          <w:color w:val="auto"/>
          <w:sz w:val="21"/>
          <w:szCs w:val="21"/>
          <w:highlight w:val="none"/>
        </w:rPr>
      </w:pPr>
    </w:p>
    <w:p w14:paraId="21A24A56">
      <w:pPr>
        <w:pStyle w:val="6"/>
        <w:spacing w:line="294" w:lineRule="auto"/>
        <w:rPr>
          <w:rFonts w:hint="eastAsia" w:ascii="宋体" w:hAnsi="宋体" w:eastAsia="宋体" w:cs="宋体"/>
          <w:color w:val="auto"/>
          <w:sz w:val="21"/>
          <w:szCs w:val="21"/>
          <w:highlight w:val="none"/>
        </w:rPr>
      </w:pPr>
    </w:p>
    <w:p w14:paraId="1FFC0AC6">
      <w:pPr>
        <w:spacing w:before="79" w:line="212"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6C1D2F1F">
      <w:pPr>
        <w:spacing w:before="191" w:line="191" w:lineRule="auto"/>
        <w:ind w:left="39"/>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法定代表人（单位负责人</w:t>
      </w:r>
      <w:r>
        <w:rPr>
          <w:rFonts w:hint="eastAsia" w:ascii="宋体" w:hAnsi="宋体" w:eastAsia="宋体" w:cs="宋体"/>
          <w:color w:val="auto"/>
          <w:spacing w:val="-18"/>
          <w:sz w:val="21"/>
          <w:szCs w:val="21"/>
          <w:highlight w:val="none"/>
        </w:rPr>
        <w:t>）（</w:t>
      </w:r>
      <w:r>
        <w:rPr>
          <w:rFonts w:hint="eastAsia" w:ascii="宋体" w:hAnsi="宋体" w:eastAsia="宋体" w:cs="宋体"/>
          <w:color w:val="auto"/>
          <w:spacing w:val="-16"/>
          <w:sz w:val="21"/>
          <w:szCs w:val="21"/>
          <w:highlight w:val="none"/>
        </w:rPr>
        <w:t>签字或签章</w:t>
      </w:r>
      <w:r>
        <w:rPr>
          <w:rFonts w:hint="eastAsia" w:ascii="宋体" w:hAnsi="宋体" w:eastAsia="宋体" w:cs="宋体"/>
          <w:color w:val="auto"/>
          <w:spacing w:val="-18"/>
          <w:sz w:val="21"/>
          <w:szCs w:val="21"/>
          <w:highlight w:val="none"/>
        </w:rPr>
        <w:t>）：</w:t>
      </w:r>
    </w:p>
    <w:p w14:paraId="1F5DF27C">
      <w:pPr>
        <w:spacing w:line="10" w:lineRule="exact"/>
        <w:ind w:left="4515"/>
        <w:rPr>
          <w:rFonts w:hint="eastAsia" w:ascii="宋体" w:hAnsi="宋体" w:eastAsia="宋体" w:cs="宋体"/>
          <w:color w:val="auto"/>
          <w:sz w:val="21"/>
          <w:szCs w:val="21"/>
          <w:highlight w:val="none"/>
        </w:rPr>
      </w:pPr>
      <w:r>
        <w:rPr>
          <w:rFonts w:hint="eastAsia" w:ascii="宋体" w:hAnsi="宋体" w:eastAsia="宋体" w:cs="宋体"/>
          <w:color w:val="auto"/>
          <w:position w:val="5"/>
          <w:sz w:val="21"/>
          <w:szCs w:val="21"/>
          <w:highlight w:val="none"/>
        </w:rPr>
        <w:t>______</w:t>
      </w:r>
    </w:p>
    <w:p w14:paraId="2E1039F7">
      <w:pPr>
        <w:spacing w:before="209" w:line="212" w:lineRule="auto"/>
        <w:ind w:left="7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52E5ADCD">
      <w:pPr>
        <w:spacing w:line="212" w:lineRule="auto"/>
        <w:rPr>
          <w:rFonts w:ascii="宋体" w:hAnsi="宋体" w:eastAsia="宋体" w:cs="宋体"/>
          <w:color w:val="auto"/>
          <w:sz w:val="24"/>
          <w:szCs w:val="24"/>
          <w:highlight w:val="none"/>
        </w:rPr>
        <w:sectPr>
          <w:headerReference r:id="rId41" w:type="default"/>
          <w:footerReference r:id="rId42" w:type="default"/>
          <w:pgSz w:w="11907" w:h="16840"/>
          <w:pgMar w:top="1167" w:right="1105" w:bottom="1011" w:left="1672" w:header="830" w:footer="851" w:gutter="0"/>
          <w:pgNumType w:fmt="decimal"/>
          <w:cols w:space="720" w:num="1"/>
        </w:sectPr>
      </w:pPr>
    </w:p>
    <w:p w14:paraId="087CBCDA">
      <w:pPr>
        <w:spacing w:before="287" w:line="218" w:lineRule="auto"/>
        <w:ind w:left="37"/>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7</w:t>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4"/>
          <w:sz w:val="24"/>
          <w:szCs w:val="24"/>
          <w:highlight w:val="none"/>
        </w:rPr>
        <w:t>报价函</w:t>
      </w:r>
    </w:p>
    <w:p w14:paraId="0C6652F3">
      <w:pPr>
        <w:spacing w:before="124" w:line="218" w:lineRule="auto"/>
        <w:ind w:left="4034"/>
        <w:rPr>
          <w:rFonts w:ascii="宋体" w:hAnsi="宋体" w:eastAsia="宋体" w:cs="宋体"/>
          <w:color w:val="auto"/>
          <w:sz w:val="36"/>
          <w:szCs w:val="36"/>
          <w:highlight w:val="none"/>
        </w:rPr>
      </w:pPr>
      <w:r>
        <w:rPr>
          <w:rFonts w:ascii="宋体" w:hAnsi="宋体" w:eastAsia="宋体" w:cs="宋体"/>
          <w:b/>
          <w:bCs/>
          <w:color w:val="auto"/>
          <w:spacing w:val="-7"/>
          <w:sz w:val="36"/>
          <w:szCs w:val="36"/>
          <w:highlight w:val="none"/>
        </w:rPr>
        <w:t>报价函</w:t>
      </w:r>
    </w:p>
    <w:p w14:paraId="2245AD3E">
      <w:pPr>
        <w:pStyle w:val="6"/>
        <w:spacing w:line="327" w:lineRule="auto"/>
        <w:rPr>
          <w:color w:val="auto"/>
          <w:highlight w:val="none"/>
        </w:rPr>
      </w:pPr>
    </w:p>
    <w:p w14:paraId="623D17DB">
      <w:pPr>
        <w:spacing w:before="78" w:line="360" w:lineRule="auto"/>
        <w:ind w:left="38"/>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致</w:t>
      </w:r>
      <w:r>
        <w:rPr>
          <w:rFonts w:ascii="宋体" w:hAnsi="宋体" w:eastAsia="宋体" w:cs="宋体"/>
          <w:color w:val="auto"/>
          <w:spacing w:val="-12"/>
          <w:sz w:val="21"/>
          <w:szCs w:val="21"/>
          <w:highlight w:val="none"/>
        </w:rPr>
        <w:t>：</w:t>
      </w:r>
      <w:r>
        <w:rPr>
          <w:rFonts w:ascii="宋体" w:hAnsi="宋体" w:eastAsia="宋体" w:cs="宋体"/>
          <w:color w:val="auto"/>
          <w:spacing w:val="-12"/>
          <w:sz w:val="21"/>
          <w:szCs w:val="21"/>
          <w:highlight w:val="none"/>
          <w:u w:val="single" w:color="auto"/>
        </w:rPr>
        <w:t>（</w:t>
      </w:r>
      <w:r>
        <w:rPr>
          <w:rFonts w:ascii="宋体" w:hAnsi="宋体" w:eastAsia="宋体" w:cs="宋体"/>
          <w:color w:val="auto"/>
          <w:spacing w:val="-16"/>
          <w:sz w:val="21"/>
          <w:szCs w:val="21"/>
          <w:highlight w:val="none"/>
          <w:u w:val="single" w:color="auto"/>
        </w:rPr>
        <w:t>采购人）</w:t>
      </w:r>
    </w:p>
    <w:p w14:paraId="7AEDA108">
      <w:pPr>
        <w:keepNext w:val="0"/>
        <w:keepLines w:val="0"/>
        <w:pageBreakBefore w:val="0"/>
        <w:widowControl/>
        <w:kinsoku w:val="0"/>
        <w:wordWrap/>
        <w:overflowPunct/>
        <w:topLinePunct w:val="0"/>
        <w:autoSpaceDE w:val="0"/>
        <w:autoSpaceDN w:val="0"/>
        <w:bidi w:val="0"/>
        <w:adjustRightInd w:val="0"/>
        <w:snapToGrid w:val="0"/>
        <w:spacing w:before="292" w:line="360" w:lineRule="auto"/>
        <w:ind w:firstLine="408" w:firstLineChars="200"/>
        <w:jc w:val="both"/>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1、根据你方工程项目编号为</w:t>
      </w:r>
      <w:r>
        <w:rPr>
          <w:rFonts w:ascii="宋体" w:hAnsi="宋体" w:eastAsia="宋体" w:cs="宋体"/>
          <w:color w:val="auto"/>
          <w:spacing w:val="-119"/>
          <w:sz w:val="21"/>
          <w:szCs w:val="21"/>
          <w:highlight w:val="none"/>
        </w:rPr>
        <w:t xml:space="preserve"> </w:t>
      </w:r>
      <w:r>
        <w:rPr>
          <w:rFonts w:ascii="宋体" w:hAnsi="宋体" w:eastAsia="宋体" w:cs="宋体"/>
          <w:color w:val="auto"/>
          <w:spacing w:val="-3"/>
          <w:sz w:val="21"/>
          <w:szCs w:val="21"/>
          <w:highlight w:val="none"/>
          <w:u w:val="single" w:color="auto"/>
        </w:rPr>
        <w:t xml:space="preserve">  {项目编号}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的</w:t>
      </w:r>
      <w:r>
        <w:rPr>
          <w:rFonts w:ascii="宋体" w:hAnsi="宋体" w:eastAsia="宋体" w:cs="宋体"/>
          <w:color w:val="auto"/>
          <w:spacing w:val="-3"/>
          <w:sz w:val="21"/>
          <w:szCs w:val="21"/>
          <w:highlight w:val="none"/>
          <w:u w:val="single" w:color="auto"/>
        </w:rPr>
        <w:t xml:space="preserve">   {工程项目名称}  </w:t>
      </w:r>
      <w:r>
        <w:rPr>
          <w:rFonts w:ascii="宋体" w:hAnsi="宋体" w:eastAsia="宋体" w:cs="宋体"/>
          <w:color w:val="auto"/>
          <w:spacing w:val="-108"/>
          <w:sz w:val="21"/>
          <w:szCs w:val="21"/>
          <w:highlight w:val="none"/>
        </w:rPr>
        <w:t xml:space="preserve"> </w:t>
      </w:r>
      <w:r>
        <w:rPr>
          <w:rFonts w:ascii="宋体" w:hAnsi="宋体" w:eastAsia="宋体" w:cs="宋体"/>
          <w:color w:val="auto"/>
          <w:spacing w:val="-3"/>
          <w:sz w:val="21"/>
          <w:szCs w:val="21"/>
          <w:highlight w:val="none"/>
        </w:rPr>
        <w:t>工程磋商，遵</w:t>
      </w:r>
      <w:r>
        <w:rPr>
          <w:rFonts w:ascii="宋体" w:hAnsi="宋体" w:eastAsia="宋体" w:cs="宋体"/>
          <w:color w:val="auto"/>
          <w:spacing w:val="3"/>
          <w:sz w:val="21"/>
          <w:szCs w:val="21"/>
          <w:highlight w:val="none"/>
        </w:rPr>
        <w:t>照有关规定和研究上述磋商须知、合同条款、图纸、工程建设标准及其他有关文件后，</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我方愿以：</w:t>
      </w:r>
      <w:r>
        <w:rPr>
          <w:rFonts w:ascii="宋体" w:hAnsi="宋体" w:eastAsia="宋体" w:cs="宋体"/>
          <w:color w:val="auto"/>
          <w:spacing w:val="-7"/>
          <w:sz w:val="21"/>
          <w:szCs w:val="21"/>
          <w:highlight w:val="none"/>
        </w:rPr>
        <w:t>人民币(大写)</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7"/>
          <w:sz w:val="21"/>
          <w:szCs w:val="21"/>
          <w:highlight w:val="none"/>
        </w:rPr>
        <w:t>（小写</w:t>
      </w:r>
      <w:r>
        <w:rPr>
          <w:rFonts w:ascii="宋体" w:hAnsi="宋体" w:eastAsia="宋体" w:cs="宋体"/>
          <w:color w:val="auto"/>
          <w:spacing w:val="-91"/>
          <w:sz w:val="21"/>
          <w:szCs w:val="21"/>
          <w:highlight w:val="none"/>
        </w:rPr>
        <w:t xml:space="preserve"> </w:t>
      </w:r>
      <w:r>
        <w:rPr>
          <w:rFonts w:ascii="宋体" w:hAnsi="宋体" w:eastAsia="宋体" w:cs="宋体"/>
          <w:color w:val="auto"/>
          <w:spacing w:val="-97"/>
          <w:sz w:val="21"/>
          <w:szCs w:val="21"/>
          <w:highlight w:val="none"/>
          <w:u w:val="single" w:color="auto"/>
        </w:rPr>
        <w:t xml:space="preserve"> </w:t>
      </w:r>
      <w:r>
        <w:rPr>
          <w:rFonts w:ascii="宋体" w:hAnsi="宋体" w:eastAsia="宋体" w:cs="宋体"/>
          <w:color w:val="auto"/>
          <w:spacing w:val="-7"/>
          <w:sz w:val="21"/>
          <w:szCs w:val="21"/>
          <w:highlight w:val="none"/>
          <w:u w:val="single" w:color="auto"/>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2"/>
          <w:sz w:val="21"/>
          <w:szCs w:val="21"/>
          <w:highlight w:val="none"/>
        </w:rPr>
        <w:t xml:space="preserve"> </w:t>
      </w:r>
      <w:r>
        <w:rPr>
          <w:rFonts w:ascii="宋体" w:hAnsi="宋体" w:eastAsia="宋体" w:cs="宋体"/>
          <w:color w:val="auto"/>
          <w:spacing w:val="-7"/>
          <w:sz w:val="21"/>
          <w:szCs w:val="21"/>
          <w:highlight w:val="none"/>
        </w:rPr>
        <w:t>元）的响应报价并按上述合同条款、工程建设标准条件要求承包上述工程的施工、</w:t>
      </w:r>
      <w:r>
        <w:rPr>
          <w:rFonts w:ascii="宋体" w:hAnsi="宋体" w:eastAsia="宋体" w:cs="宋体"/>
          <w:color w:val="auto"/>
          <w:spacing w:val="-8"/>
          <w:sz w:val="21"/>
          <w:szCs w:val="21"/>
          <w:highlight w:val="none"/>
        </w:rPr>
        <w:t>竣工，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并保证使工程质量达到</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rPr>
        <w:t>标准，确保施工现场安全生产标准化管理目标等级达到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
          <w:sz w:val="21"/>
          <w:szCs w:val="21"/>
          <w:highlight w:val="none"/>
        </w:rPr>
        <w:t>等级，同时承担任何质量缺陷保修责任。在我方的上述报价中，包括：</w:t>
      </w:r>
    </w:p>
    <w:p w14:paraId="3D188C80">
      <w:pPr>
        <w:keepNext w:val="0"/>
        <w:keepLines w:val="0"/>
        <w:pageBreakBefore w:val="0"/>
        <w:widowControl/>
        <w:kinsoku w:val="0"/>
        <w:wordWrap/>
        <w:overflowPunct/>
        <w:topLinePunct w:val="0"/>
        <w:autoSpaceDE w:val="0"/>
        <w:autoSpaceDN w:val="0"/>
        <w:bidi w:val="0"/>
        <w:adjustRightInd w:val="0"/>
        <w:snapToGrid w:val="0"/>
        <w:spacing w:before="166" w:line="240" w:lineRule="auto"/>
        <w:ind w:right="471" w:firstLine="448" w:firstLineChars="200"/>
        <w:jc w:val="both"/>
        <w:textAlignment w:val="baseline"/>
        <w:rPr>
          <w:rFonts w:ascii="宋体" w:hAnsi="宋体" w:eastAsia="宋体" w:cs="宋体"/>
          <w:sz w:val="21"/>
          <w:szCs w:val="21"/>
          <w:highlight w:val="none"/>
        </w:rPr>
      </w:pPr>
      <w:r>
        <w:rPr>
          <w:rFonts w:ascii="宋体" w:hAnsi="宋体" w:eastAsia="宋体" w:cs="宋体"/>
          <w:spacing w:val="7"/>
          <w:sz w:val="21"/>
          <w:szCs w:val="21"/>
          <w:highlight w:val="none"/>
        </w:rPr>
        <w:t>安全生产标准化措施费(含税)合计金额</w:t>
      </w:r>
      <w:r>
        <w:rPr>
          <w:rFonts w:ascii="宋体" w:hAnsi="宋体" w:eastAsia="宋体" w:cs="宋体"/>
          <w:spacing w:val="-38"/>
          <w:sz w:val="21"/>
          <w:szCs w:val="21"/>
          <w:highlight w:val="none"/>
        </w:rPr>
        <w:t xml:space="preserve"> </w:t>
      </w:r>
      <w:r>
        <w:rPr>
          <w:rFonts w:ascii="宋体" w:hAnsi="宋体" w:eastAsia="宋体" w:cs="宋体"/>
          <w:sz w:val="21"/>
          <w:szCs w:val="21"/>
          <w:highlight w:val="none"/>
        </w:rPr>
        <w:t>RMB</w:t>
      </w:r>
      <w:r>
        <w:rPr>
          <w:rFonts w:ascii="宋体" w:hAnsi="宋体" w:eastAsia="宋体" w:cs="宋体"/>
          <w:spacing w:val="7"/>
          <w:sz w:val="21"/>
          <w:szCs w:val="21"/>
          <w:highlight w:val="none"/>
        </w:rPr>
        <w:t>¥：</w:t>
      </w:r>
      <w:r>
        <w:rPr>
          <w:rFonts w:ascii="宋体" w:hAnsi="宋体" w:eastAsia="宋体" w:cs="宋体"/>
          <w:spacing w:val="7"/>
          <w:sz w:val="21"/>
          <w:szCs w:val="21"/>
          <w:highlight w:val="none"/>
          <w:u w:val="single" w:color="auto"/>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6"/>
          <w:sz w:val="21"/>
          <w:szCs w:val="21"/>
          <w:highlight w:val="none"/>
        </w:rPr>
        <w:t>元</w:t>
      </w:r>
      <w:r>
        <w:rPr>
          <w:rFonts w:ascii="宋体" w:hAnsi="宋体" w:eastAsia="宋体" w:cs="宋体"/>
          <w:sz w:val="21"/>
          <w:szCs w:val="21"/>
          <w:highlight w:val="none"/>
        </w:rPr>
        <w:t xml:space="preserve"> </w:t>
      </w:r>
    </w:p>
    <w:p w14:paraId="2DFE47D4">
      <w:pPr>
        <w:keepNext w:val="0"/>
        <w:keepLines w:val="0"/>
        <w:pageBreakBefore w:val="0"/>
        <w:widowControl/>
        <w:kinsoku w:val="0"/>
        <w:wordWrap/>
        <w:overflowPunct/>
        <w:topLinePunct w:val="0"/>
        <w:autoSpaceDE w:val="0"/>
        <w:autoSpaceDN w:val="0"/>
        <w:bidi w:val="0"/>
        <w:adjustRightInd w:val="0"/>
        <w:snapToGrid w:val="0"/>
        <w:spacing w:before="166" w:line="240" w:lineRule="auto"/>
        <w:ind w:right="471" w:firstLine="444" w:firstLineChars="200"/>
        <w:jc w:val="both"/>
        <w:textAlignment w:val="baseline"/>
        <w:rPr>
          <w:rFonts w:ascii="宋体" w:hAnsi="宋体" w:eastAsia="宋体" w:cs="宋体"/>
          <w:sz w:val="21"/>
          <w:szCs w:val="21"/>
          <w:highlight w:val="none"/>
        </w:rPr>
      </w:pPr>
      <w:r>
        <w:rPr>
          <w:rFonts w:ascii="宋体" w:hAnsi="宋体" w:eastAsia="宋体" w:cs="宋体"/>
          <w:spacing w:val="6"/>
          <w:sz w:val="21"/>
          <w:szCs w:val="21"/>
          <w:highlight w:val="none"/>
        </w:rPr>
        <w:t>建筑垃圾运输处置费(含税)</w:t>
      </w:r>
      <w:r>
        <w:rPr>
          <w:rFonts w:ascii="宋体" w:hAnsi="宋体" w:eastAsia="宋体" w:cs="宋体"/>
          <w:sz w:val="21"/>
          <w:szCs w:val="21"/>
          <w:highlight w:val="none"/>
        </w:rPr>
        <w:t>RMB</w:t>
      </w:r>
      <w:r>
        <w:rPr>
          <w:rFonts w:ascii="宋体" w:hAnsi="宋体" w:eastAsia="宋体" w:cs="宋体"/>
          <w:spacing w:val="6"/>
          <w:sz w:val="21"/>
          <w:szCs w:val="21"/>
          <w:highlight w:val="none"/>
        </w:rPr>
        <w:t>¥：</w:t>
      </w:r>
      <w:r>
        <w:rPr>
          <w:rFonts w:ascii="宋体" w:hAnsi="宋体" w:eastAsia="宋体" w:cs="宋体"/>
          <w:spacing w:val="6"/>
          <w:sz w:val="21"/>
          <w:szCs w:val="21"/>
          <w:highlight w:val="none"/>
          <w:u w:val="single" w:color="auto"/>
        </w:rPr>
        <w:t xml:space="preserve">                               </w:t>
      </w:r>
      <w:r>
        <w:rPr>
          <w:rFonts w:ascii="宋体" w:hAnsi="宋体" w:eastAsia="宋体" w:cs="宋体"/>
          <w:spacing w:val="-79"/>
          <w:sz w:val="21"/>
          <w:szCs w:val="21"/>
          <w:highlight w:val="none"/>
        </w:rPr>
        <w:t xml:space="preserve"> </w:t>
      </w:r>
      <w:r>
        <w:rPr>
          <w:rFonts w:ascii="宋体" w:hAnsi="宋体" w:eastAsia="宋体" w:cs="宋体"/>
          <w:spacing w:val="6"/>
          <w:sz w:val="21"/>
          <w:szCs w:val="21"/>
          <w:highlight w:val="none"/>
        </w:rPr>
        <w:t>元</w:t>
      </w:r>
      <w:r>
        <w:rPr>
          <w:rFonts w:ascii="宋体" w:hAnsi="宋体" w:eastAsia="宋体" w:cs="宋体"/>
          <w:sz w:val="21"/>
          <w:szCs w:val="21"/>
          <w:highlight w:val="none"/>
        </w:rPr>
        <w:t xml:space="preserve">  </w:t>
      </w:r>
    </w:p>
    <w:p w14:paraId="0134F24B">
      <w:pPr>
        <w:keepNext w:val="0"/>
        <w:keepLines w:val="0"/>
        <w:pageBreakBefore w:val="0"/>
        <w:widowControl/>
        <w:kinsoku w:val="0"/>
        <w:wordWrap/>
        <w:overflowPunct/>
        <w:topLinePunct w:val="0"/>
        <w:autoSpaceDE w:val="0"/>
        <w:autoSpaceDN w:val="0"/>
        <w:bidi w:val="0"/>
        <w:adjustRightInd w:val="0"/>
        <w:snapToGrid w:val="0"/>
        <w:spacing w:before="166" w:line="240" w:lineRule="auto"/>
        <w:ind w:right="471" w:firstLine="452" w:firstLineChars="200"/>
        <w:jc w:val="both"/>
        <w:textAlignment w:val="baseline"/>
        <w:rPr>
          <w:rFonts w:ascii="宋体" w:hAnsi="宋体" w:eastAsia="宋体" w:cs="宋体"/>
          <w:sz w:val="21"/>
          <w:szCs w:val="21"/>
          <w:highlight w:val="none"/>
        </w:rPr>
      </w:pPr>
      <w:r>
        <w:rPr>
          <w:rFonts w:ascii="宋体" w:hAnsi="宋体" w:eastAsia="宋体" w:cs="宋体"/>
          <w:spacing w:val="8"/>
          <w:sz w:val="21"/>
          <w:szCs w:val="21"/>
          <w:highlight w:val="none"/>
        </w:rPr>
        <w:t>赶工增加费(含税)合计金额</w:t>
      </w:r>
      <w:r>
        <w:rPr>
          <w:rFonts w:ascii="宋体" w:hAnsi="宋体" w:eastAsia="宋体" w:cs="宋体"/>
          <w:spacing w:val="-40"/>
          <w:sz w:val="21"/>
          <w:szCs w:val="21"/>
          <w:highlight w:val="none"/>
        </w:rPr>
        <w:t xml:space="preserve"> </w:t>
      </w:r>
      <w:r>
        <w:rPr>
          <w:rFonts w:ascii="宋体" w:hAnsi="宋体" w:eastAsia="宋体" w:cs="宋体"/>
          <w:sz w:val="21"/>
          <w:szCs w:val="21"/>
          <w:highlight w:val="none"/>
        </w:rPr>
        <w:t>RMB</w:t>
      </w:r>
      <w:r>
        <w:rPr>
          <w:rFonts w:ascii="宋体" w:hAnsi="宋体" w:eastAsia="宋体" w:cs="宋体"/>
          <w:spacing w:val="8"/>
          <w:sz w:val="21"/>
          <w:szCs w:val="21"/>
          <w:highlight w:val="none"/>
        </w:rPr>
        <w:t>¥（如有</w:t>
      </w:r>
      <w:r>
        <w:rPr>
          <w:rFonts w:ascii="宋体" w:hAnsi="宋体" w:eastAsia="宋体" w:cs="宋体"/>
          <w:spacing w:val="14"/>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8"/>
          <w:sz w:val="21"/>
          <w:szCs w:val="21"/>
          <w:highlight w:val="none"/>
        </w:rPr>
        <w:t>元</w:t>
      </w:r>
      <w:r>
        <w:rPr>
          <w:rFonts w:ascii="宋体" w:hAnsi="宋体" w:eastAsia="宋体" w:cs="宋体"/>
          <w:sz w:val="21"/>
          <w:szCs w:val="21"/>
          <w:highlight w:val="none"/>
        </w:rPr>
        <w:t xml:space="preserve">  </w:t>
      </w:r>
    </w:p>
    <w:p w14:paraId="1F231EA0">
      <w:pPr>
        <w:keepNext w:val="0"/>
        <w:keepLines w:val="0"/>
        <w:pageBreakBefore w:val="0"/>
        <w:widowControl/>
        <w:kinsoku w:val="0"/>
        <w:wordWrap/>
        <w:overflowPunct/>
        <w:topLinePunct w:val="0"/>
        <w:autoSpaceDE w:val="0"/>
        <w:autoSpaceDN w:val="0"/>
        <w:bidi w:val="0"/>
        <w:adjustRightInd w:val="0"/>
        <w:snapToGrid w:val="0"/>
        <w:spacing w:before="166" w:line="360" w:lineRule="auto"/>
        <w:ind w:right="471" w:firstLine="456" w:firstLineChars="200"/>
        <w:jc w:val="both"/>
        <w:textAlignment w:val="baseline"/>
        <w:rPr>
          <w:rFonts w:ascii="宋体" w:hAnsi="宋体" w:eastAsia="宋体" w:cs="宋体"/>
          <w:sz w:val="21"/>
          <w:szCs w:val="21"/>
          <w:highlight w:val="none"/>
        </w:rPr>
      </w:pPr>
      <w:r>
        <w:rPr>
          <w:rFonts w:ascii="宋体" w:hAnsi="宋体" w:eastAsia="宋体" w:cs="宋体"/>
          <w:spacing w:val="9"/>
          <w:sz w:val="21"/>
          <w:szCs w:val="21"/>
          <w:highlight w:val="none"/>
        </w:rPr>
        <w:t>农民工工伤保险费</w:t>
      </w:r>
      <w:r>
        <w:rPr>
          <w:rFonts w:ascii="宋体" w:hAnsi="宋体" w:eastAsia="宋体" w:cs="宋体"/>
          <w:sz w:val="21"/>
          <w:szCs w:val="21"/>
          <w:highlight w:val="none"/>
        </w:rPr>
        <w:t>RMB</w:t>
      </w:r>
      <w:r>
        <w:rPr>
          <w:rFonts w:ascii="宋体" w:hAnsi="宋体" w:eastAsia="宋体" w:cs="宋体"/>
          <w:spacing w:val="9"/>
          <w:sz w:val="21"/>
          <w:szCs w:val="21"/>
          <w:highlight w:val="none"/>
        </w:rPr>
        <w:t>¥：</w:t>
      </w:r>
      <w:r>
        <w:rPr>
          <w:rFonts w:ascii="宋体" w:hAnsi="宋体" w:eastAsia="宋体" w:cs="宋体"/>
          <w:spacing w:val="9"/>
          <w:sz w:val="21"/>
          <w:szCs w:val="21"/>
          <w:highlight w:val="none"/>
          <w:u w:val="single" w:color="auto"/>
        </w:rPr>
        <w:t xml:space="preserve">                                     </w:t>
      </w:r>
      <w:r>
        <w:rPr>
          <w:rFonts w:ascii="宋体" w:hAnsi="宋体" w:eastAsia="宋体" w:cs="宋体"/>
          <w:spacing w:val="-81"/>
          <w:sz w:val="21"/>
          <w:szCs w:val="21"/>
          <w:highlight w:val="none"/>
        </w:rPr>
        <w:t xml:space="preserve"> </w:t>
      </w:r>
      <w:r>
        <w:rPr>
          <w:rFonts w:ascii="宋体" w:hAnsi="宋体" w:eastAsia="宋体" w:cs="宋体"/>
          <w:spacing w:val="9"/>
          <w:sz w:val="21"/>
          <w:szCs w:val="21"/>
          <w:highlight w:val="none"/>
        </w:rPr>
        <w:t>元</w:t>
      </w:r>
    </w:p>
    <w:p w14:paraId="15D72DED">
      <w:pPr>
        <w:keepNext w:val="0"/>
        <w:keepLines w:val="0"/>
        <w:pageBreakBefore w:val="0"/>
        <w:widowControl/>
        <w:kinsoku w:val="0"/>
        <w:wordWrap/>
        <w:overflowPunct/>
        <w:topLinePunct w:val="0"/>
        <w:autoSpaceDE w:val="0"/>
        <w:autoSpaceDN w:val="0"/>
        <w:bidi w:val="0"/>
        <w:adjustRightInd w:val="0"/>
        <w:snapToGrid w:val="0"/>
        <w:spacing w:before="2" w:line="360" w:lineRule="auto"/>
        <w:ind w:right="577" w:firstLine="472" w:firstLineChars="200"/>
        <w:jc w:val="both"/>
        <w:textAlignment w:val="baseline"/>
        <w:rPr>
          <w:rFonts w:ascii="宋体" w:hAnsi="宋体" w:eastAsia="宋体" w:cs="宋体"/>
          <w:sz w:val="21"/>
          <w:szCs w:val="21"/>
          <w:highlight w:val="none"/>
        </w:rPr>
      </w:pPr>
      <w:r>
        <w:rPr>
          <w:rFonts w:ascii="宋体" w:hAnsi="宋体" w:eastAsia="宋体" w:cs="宋体"/>
          <w:spacing w:val="13"/>
          <w:sz w:val="21"/>
          <w:szCs w:val="21"/>
          <w:highlight w:val="none"/>
        </w:rPr>
        <w:t>暂列金额（不包括计日工部分</w:t>
      </w:r>
      <w:r>
        <w:rPr>
          <w:rFonts w:ascii="宋体" w:hAnsi="宋体" w:eastAsia="宋体" w:cs="宋体"/>
          <w:spacing w:val="-6"/>
          <w:sz w:val="21"/>
          <w:szCs w:val="21"/>
          <w:highlight w:val="none"/>
        </w:rPr>
        <w:t>）（</w:t>
      </w:r>
      <w:r>
        <w:rPr>
          <w:rFonts w:ascii="宋体" w:hAnsi="宋体" w:eastAsia="宋体" w:cs="宋体"/>
          <w:spacing w:val="13"/>
          <w:sz w:val="21"/>
          <w:szCs w:val="21"/>
          <w:highlight w:val="none"/>
        </w:rPr>
        <w:t>含税）合计金</w:t>
      </w:r>
      <w:r>
        <w:rPr>
          <w:rFonts w:ascii="宋体" w:hAnsi="宋体" w:eastAsia="宋体" w:cs="宋体"/>
          <w:spacing w:val="12"/>
          <w:sz w:val="21"/>
          <w:szCs w:val="21"/>
          <w:highlight w:val="none"/>
        </w:rPr>
        <w:t>额</w:t>
      </w:r>
      <w:r>
        <w:rPr>
          <w:rFonts w:ascii="宋体" w:hAnsi="宋体" w:eastAsia="宋体" w:cs="宋体"/>
          <w:sz w:val="21"/>
          <w:szCs w:val="21"/>
          <w:highlight w:val="none"/>
        </w:rPr>
        <w:t>RMB</w:t>
      </w:r>
      <w:r>
        <w:rPr>
          <w:rFonts w:ascii="宋体" w:hAnsi="宋体" w:eastAsia="宋体" w:cs="宋体"/>
          <w:spacing w:val="12"/>
          <w:sz w:val="21"/>
          <w:szCs w:val="21"/>
          <w:highlight w:val="none"/>
        </w:rPr>
        <w:t>¥：</w:t>
      </w:r>
      <w:r>
        <w:rPr>
          <w:rFonts w:ascii="宋体" w:hAnsi="宋体" w:eastAsia="宋体" w:cs="宋体"/>
          <w:spacing w:val="5"/>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12"/>
          <w:sz w:val="21"/>
          <w:szCs w:val="21"/>
          <w:highlight w:val="none"/>
        </w:rPr>
        <w:t>元</w:t>
      </w:r>
      <w:r>
        <w:rPr>
          <w:rFonts w:ascii="宋体" w:hAnsi="宋体" w:eastAsia="宋体" w:cs="宋体"/>
          <w:sz w:val="21"/>
          <w:szCs w:val="21"/>
          <w:highlight w:val="none"/>
        </w:rPr>
        <w:t xml:space="preserve"> </w:t>
      </w:r>
    </w:p>
    <w:p w14:paraId="2D6CDF26">
      <w:pPr>
        <w:keepNext w:val="0"/>
        <w:keepLines w:val="0"/>
        <w:pageBreakBefore w:val="0"/>
        <w:widowControl/>
        <w:kinsoku w:val="0"/>
        <w:wordWrap/>
        <w:overflowPunct/>
        <w:topLinePunct w:val="0"/>
        <w:autoSpaceDE w:val="0"/>
        <w:autoSpaceDN w:val="0"/>
        <w:bidi w:val="0"/>
        <w:adjustRightInd w:val="0"/>
        <w:snapToGrid w:val="0"/>
        <w:spacing w:before="2" w:line="360" w:lineRule="auto"/>
        <w:ind w:right="577" w:firstLine="464" w:firstLineChars="200"/>
        <w:jc w:val="both"/>
        <w:textAlignment w:val="baseline"/>
        <w:rPr>
          <w:rFonts w:ascii="宋体" w:hAnsi="宋体" w:eastAsia="宋体" w:cs="宋体"/>
          <w:sz w:val="21"/>
          <w:szCs w:val="21"/>
          <w:highlight w:val="none"/>
        </w:rPr>
      </w:pPr>
      <w:r>
        <w:rPr>
          <w:rFonts w:ascii="宋体" w:hAnsi="宋体" w:eastAsia="宋体" w:cs="宋体"/>
          <w:spacing w:val="11"/>
          <w:sz w:val="21"/>
          <w:szCs w:val="21"/>
          <w:highlight w:val="none"/>
        </w:rPr>
        <w:t>专业工程暂估价(含税)合计金额</w:t>
      </w:r>
      <w:r>
        <w:rPr>
          <w:rFonts w:ascii="宋体" w:hAnsi="宋体" w:eastAsia="宋体" w:cs="宋体"/>
          <w:sz w:val="21"/>
          <w:szCs w:val="21"/>
          <w:highlight w:val="none"/>
        </w:rPr>
        <w:t>RMB</w:t>
      </w:r>
      <w:r>
        <w:rPr>
          <w:rFonts w:ascii="宋体" w:hAnsi="宋体" w:eastAsia="宋体" w:cs="宋体"/>
          <w:spacing w:val="11"/>
          <w:sz w:val="21"/>
          <w:szCs w:val="21"/>
          <w:highlight w:val="none"/>
        </w:rPr>
        <w:t>¥：</w:t>
      </w:r>
      <w:r>
        <w:rPr>
          <w:rFonts w:ascii="宋体" w:hAnsi="宋体" w:eastAsia="宋体" w:cs="宋体"/>
          <w:spacing w:val="1"/>
          <w:sz w:val="21"/>
          <w:szCs w:val="21"/>
          <w:highlight w:val="none"/>
          <w:u w:val="single" w:color="auto"/>
        </w:rPr>
        <w:t xml:space="preserve">                           </w:t>
      </w:r>
      <w:r>
        <w:rPr>
          <w:rFonts w:ascii="宋体" w:hAnsi="宋体" w:eastAsia="宋体" w:cs="宋体"/>
          <w:spacing w:val="-76"/>
          <w:sz w:val="21"/>
          <w:szCs w:val="21"/>
          <w:highlight w:val="none"/>
        </w:rPr>
        <w:t xml:space="preserve"> </w:t>
      </w:r>
      <w:r>
        <w:rPr>
          <w:rFonts w:ascii="宋体" w:hAnsi="宋体" w:eastAsia="宋体" w:cs="宋体"/>
          <w:spacing w:val="11"/>
          <w:sz w:val="21"/>
          <w:szCs w:val="21"/>
          <w:highlight w:val="none"/>
        </w:rPr>
        <w:t>元</w:t>
      </w:r>
      <w:r>
        <w:rPr>
          <w:rFonts w:ascii="宋体" w:hAnsi="宋体" w:eastAsia="宋体" w:cs="宋体"/>
          <w:sz w:val="21"/>
          <w:szCs w:val="21"/>
          <w:highlight w:val="none"/>
        </w:rPr>
        <w:t xml:space="preserve">  </w:t>
      </w:r>
    </w:p>
    <w:p w14:paraId="788A7F60">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416" w:firstLineChars="200"/>
        <w:jc w:val="both"/>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2、我方已详细审核全部磋商要求，包括修</w:t>
      </w:r>
      <w:r>
        <w:rPr>
          <w:rFonts w:ascii="宋体" w:hAnsi="宋体" w:eastAsia="宋体" w:cs="宋体"/>
          <w:color w:val="auto"/>
          <w:spacing w:val="-2"/>
          <w:sz w:val="21"/>
          <w:szCs w:val="21"/>
          <w:highlight w:val="none"/>
        </w:rPr>
        <w:t>改文件（如有时）及有关附件。</w:t>
      </w:r>
    </w:p>
    <w:p w14:paraId="2EEA8B53">
      <w:pPr>
        <w:keepNext w:val="0"/>
        <w:keepLines w:val="0"/>
        <w:pageBreakBefore w:val="0"/>
        <w:widowControl/>
        <w:kinsoku w:val="0"/>
        <w:wordWrap/>
        <w:overflowPunct/>
        <w:topLinePunct w:val="0"/>
        <w:autoSpaceDE w:val="0"/>
        <w:autoSpaceDN w:val="0"/>
        <w:bidi w:val="0"/>
        <w:adjustRightInd w:val="0"/>
        <w:snapToGrid w:val="0"/>
        <w:spacing w:before="156" w:line="360" w:lineRule="auto"/>
        <w:ind w:right="186" w:firstLine="412" w:firstLineChars="200"/>
        <w:jc w:val="both"/>
        <w:textAlignment w:val="baseline"/>
        <w:rPr>
          <w:rFonts w:ascii="宋体" w:hAnsi="宋体" w:eastAsia="宋体" w:cs="宋体"/>
          <w:color w:val="auto"/>
          <w:spacing w:val="-5"/>
          <w:sz w:val="21"/>
          <w:szCs w:val="21"/>
          <w:highlight w:val="none"/>
        </w:rPr>
      </w:pPr>
      <w:r>
        <w:rPr>
          <w:rFonts w:ascii="宋体" w:hAnsi="宋体" w:eastAsia="宋体" w:cs="宋体"/>
          <w:color w:val="auto"/>
          <w:spacing w:val="-2"/>
          <w:sz w:val="21"/>
          <w:szCs w:val="21"/>
          <w:highlight w:val="none"/>
        </w:rPr>
        <w:t>3、我方承认已标价工程量清单是我方报价函的组成部分,我方确认我方所提交的响</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应报价不低于成本。</w:t>
      </w:r>
    </w:p>
    <w:p w14:paraId="3E61E0A2">
      <w:pPr>
        <w:keepNext w:val="0"/>
        <w:keepLines w:val="0"/>
        <w:pageBreakBefore w:val="0"/>
        <w:widowControl/>
        <w:kinsoku w:val="0"/>
        <w:wordWrap/>
        <w:overflowPunct/>
        <w:topLinePunct w:val="0"/>
        <w:autoSpaceDE w:val="0"/>
        <w:autoSpaceDN w:val="0"/>
        <w:bidi w:val="0"/>
        <w:adjustRightInd w:val="0"/>
        <w:snapToGrid w:val="0"/>
        <w:spacing w:before="156" w:line="360" w:lineRule="auto"/>
        <w:ind w:right="186" w:firstLine="412" w:firstLineChars="200"/>
        <w:jc w:val="both"/>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4、一旦我方成交，我方保证在采购人书面通知/合同约定的开工日期开始本工程的</w:t>
      </w:r>
      <w:r>
        <w:rPr>
          <w:rFonts w:ascii="宋体" w:hAnsi="宋体" w:eastAsia="宋体" w:cs="宋体"/>
          <w:color w:val="auto"/>
          <w:spacing w:val="6"/>
          <w:sz w:val="21"/>
          <w:szCs w:val="21"/>
          <w:highlight w:val="none"/>
        </w:rPr>
        <w:t xml:space="preserve"> </w:t>
      </w:r>
      <w:r>
        <w:rPr>
          <w:rFonts w:ascii="宋体" w:hAnsi="宋体" w:eastAsia="宋体" w:cs="宋体"/>
          <w:color w:val="auto"/>
          <w:spacing w:val="-4"/>
          <w:sz w:val="21"/>
          <w:szCs w:val="21"/>
          <w:highlight w:val="none"/>
        </w:rPr>
        <w:t>施工</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4"/>
          <w:sz w:val="21"/>
          <w:szCs w:val="21"/>
          <w:highlight w:val="none"/>
        </w:rPr>
        <w:t>日历天内完成并移交全部工程。</w:t>
      </w:r>
    </w:p>
    <w:p w14:paraId="31EC96ED">
      <w:pPr>
        <w:keepNext w:val="0"/>
        <w:keepLines w:val="0"/>
        <w:pageBreakBefore w:val="0"/>
        <w:widowControl/>
        <w:kinsoku w:val="0"/>
        <w:wordWrap/>
        <w:overflowPunct/>
        <w:topLinePunct w:val="0"/>
        <w:autoSpaceDE w:val="0"/>
        <w:autoSpaceDN w:val="0"/>
        <w:bidi w:val="0"/>
        <w:adjustRightInd w:val="0"/>
        <w:snapToGrid w:val="0"/>
        <w:spacing w:before="155" w:line="360" w:lineRule="auto"/>
        <w:ind w:right="240" w:firstLine="420" w:firstLineChars="200"/>
        <w:jc w:val="both"/>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5、我方同意所提交的响应文件在磋商须知中规定的自提交响应文</w:t>
      </w:r>
      <w:r>
        <w:rPr>
          <w:rFonts w:ascii="宋体" w:hAnsi="宋体" w:eastAsia="宋体" w:cs="宋体"/>
          <w:color w:val="auto"/>
          <w:spacing w:val="-1"/>
          <w:sz w:val="21"/>
          <w:szCs w:val="21"/>
          <w:highlight w:val="none"/>
        </w:rPr>
        <w:t>件截止之日起，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响应有效期</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3"/>
          <w:sz w:val="21"/>
          <w:szCs w:val="21"/>
          <w:highlight w:val="none"/>
        </w:rPr>
        <w:t>内有效，在此期间内如果成交，我方将受此约束。</w:t>
      </w:r>
    </w:p>
    <w:p w14:paraId="35FE176E">
      <w:pPr>
        <w:keepNext w:val="0"/>
        <w:keepLines w:val="0"/>
        <w:pageBreakBefore w:val="0"/>
        <w:widowControl/>
        <w:kinsoku w:val="0"/>
        <w:wordWrap/>
        <w:overflowPunct/>
        <w:topLinePunct w:val="0"/>
        <w:autoSpaceDE w:val="0"/>
        <w:autoSpaceDN w:val="0"/>
        <w:bidi w:val="0"/>
        <w:adjustRightInd w:val="0"/>
        <w:snapToGrid w:val="0"/>
        <w:spacing w:before="155" w:line="360" w:lineRule="auto"/>
        <w:ind w:right="205" w:firstLine="424" w:firstLineChars="200"/>
        <w:jc w:val="both"/>
        <w:textAlignment w:val="baseline"/>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6、除非另外达成协议并生效，你方的成交通知书和本响应文件将成</w:t>
      </w:r>
      <w:r>
        <w:rPr>
          <w:rFonts w:ascii="宋体" w:hAnsi="宋体" w:eastAsia="宋体" w:cs="宋体"/>
          <w:color w:val="auto"/>
          <w:sz w:val="21"/>
          <w:szCs w:val="21"/>
          <w:highlight w:val="none"/>
        </w:rPr>
        <w:t xml:space="preserve">为约束双方的 </w:t>
      </w:r>
      <w:r>
        <w:rPr>
          <w:rFonts w:ascii="宋体" w:hAnsi="宋体" w:eastAsia="宋体" w:cs="宋体"/>
          <w:color w:val="auto"/>
          <w:spacing w:val="-5"/>
          <w:sz w:val="21"/>
          <w:szCs w:val="21"/>
          <w:highlight w:val="none"/>
        </w:rPr>
        <w:t>合同文件的组成部分。</w:t>
      </w:r>
    </w:p>
    <w:p w14:paraId="4934A6BE">
      <w:pPr>
        <w:spacing w:before="154" w:line="360"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w:t>
      </w:r>
      <w:r>
        <w:rPr>
          <w:rFonts w:ascii="宋体" w:hAnsi="宋体" w:eastAsia="宋体" w:cs="宋体"/>
          <w:color w:val="auto"/>
          <w:sz w:val="21"/>
          <w:szCs w:val="21"/>
          <w:highlight w:val="none"/>
        </w:rPr>
        <w:t>：</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z w:val="21"/>
          <w:szCs w:val="21"/>
          <w:highlight w:val="none"/>
          <w:u w:val="single" w:color="auto"/>
        </w:rPr>
        <w:t>（</w:t>
      </w:r>
      <w:r>
        <w:rPr>
          <w:rFonts w:ascii="宋体" w:hAnsi="宋体" w:eastAsia="宋体" w:cs="宋体"/>
          <w:color w:val="auto"/>
          <w:spacing w:val="-2"/>
          <w:sz w:val="21"/>
          <w:szCs w:val="21"/>
          <w:highlight w:val="none"/>
          <w:u w:val="single" w:color="auto"/>
        </w:rPr>
        <w:t>盖章）</w:t>
      </w:r>
      <w:r>
        <w:rPr>
          <w:rFonts w:ascii="宋体" w:hAnsi="宋体" w:eastAsia="宋体" w:cs="宋体"/>
          <w:color w:val="auto"/>
          <w:sz w:val="21"/>
          <w:szCs w:val="21"/>
          <w:highlight w:val="none"/>
          <w:u w:val="single" w:color="auto"/>
        </w:rPr>
        <w:t xml:space="preserve">  </w:t>
      </w:r>
    </w:p>
    <w:p w14:paraId="26F82B32">
      <w:pPr>
        <w:spacing w:before="156" w:line="360" w:lineRule="auto"/>
        <w:ind w:left="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单位地址：</w:t>
      </w:r>
      <w:r>
        <w:rPr>
          <w:rFonts w:ascii="宋体" w:hAnsi="宋体" w:eastAsia="宋体" w:cs="宋体"/>
          <w:color w:val="auto"/>
          <w:spacing w:val="-2"/>
          <w:sz w:val="21"/>
          <w:szCs w:val="21"/>
          <w:highlight w:val="none"/>
          <w:u w:val="single" w:color="auto"/>
        </w:rPr>
        <w:t xml:space="preserve">                               </w:t>
      </w:r>
    </w:p>
    <w:p w14:paraId="725A7DB0">
      <w:pPr>
        <w:spacing w:before="153" w:line="360" w:lineRule="auto"/>
        <w:ind w:left="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1"/>
          <w:sz w:val="21"/>
          <w:szCs w:val="21"/>
          <w:highlight w:val="none"/>
          <w:u w:val="single" w:color="auto"/>
        </w:rPr>
        <w:t>（签字或盖章）</w:t>
      </w:r>
    </w:p>
    <w:p w14:paraId="48B90C12">
      <w:pPr>
        <w:spacing w:before="156" w:line="360" w:lineRule="auto"/>
        <w:ind w:left="5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邮政编码：</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电话：</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传真：</w:t>
      </w:r>
      <w:r>
        <w:rPr>
          <w:rFonts w:ascii="宋体" w:hAnsi="宋体" w:eastAsia="宋体" w:cs="宋体"/>
          <w:color w:val="auto"/>
          <w:sz w:val="21"/>
          <w:szCs w:val="21"/>
          <w:highlight w:val="none"/>
          <w:u w:val="single" w:color="auto"/>
        </w:rPr>
        <w:t xml:space="preserve">        </w:t>
      </w:r>
    </w:p>
    <w:p w14:paraId="751EE769">
      <w:pPr>
        <w:spacing w:before="155" w:line="360" w:lineRule="auto"/>
        <w:ind w:left="7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日期：</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日</w:t>
      </w:r>
    </w:p>
    <w:p w14:paraId="093CC2AD">
      <w:pPr>
        <w:spacing w:line="360" w:lineRule="auto"/>
        <w:rPr>
          <w:rFonts w:ascii="宋体" w:hAnsi="宋体" w:eastAsia="宋体" w:cs="宋体"/>
          <w:color w:val="auto"/>
          <w:sz w:val="21"/>
          <w:szCs w:val="21"/>
          <w:highlight w:val="none"/>
        </w:rPr>
        <w:sectPr>
          <w:headerReference r:id="rId43" w:type="default"/>
          <w:footerReference r:id="rId44" w:type="default"/>
          <w:pgSz w:w="11907" w:h="16840"/>
          <w:pgMar w:top="1167" w:right="947" w:bottom="1011" w:left="1672" w:header="830" w:footer="851" w:gutter="0"/>
          <w:pgNumType w:fmt="decimal"/>
          <w:cols w:space="720" w:num="1"/>
        </w:sectPr>
      </w:pPr>
    </w:p>
    <w:p w14:paraId="0C3A1F96">
      <w:pPr>
        <w:spacing w:before="287" w:line="218" w:lineRule="auto"/>
        <w:ind w:left="43"/>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8</w:t>
      </w:r>
      <w:r>
        <w:rPr>
          <w:rFonts w:ascii="Times New Roman" w:hAnsi="Times New Roman" w:eastAsia="Times New Roman" w:cs="Times New Roman"/>
          <w:color w:val="auto"/>
          <w:spacing w:val="7"/>
          <w:sz w:val="24"/>
          <w:szCs w:val="24"/>
          <w:highlight w:val="none"/>
        </w:rPr>
        <w:t xml:space="preserve">      </w:t>
      </w:r>
      <w:r>
        <w:rPr>
          <w:rFonts w:ascii="宋体" w:hAnsi="宋体" w:eastAsia="宋体" w:cs="宋体"/>
          <w:color w:val="auto"/>
          <w:spacing w:val="-6"/>
          <w:sz w:val="24"/>
          <w:szCs w:val="24"/>
          <w:highlight w:val="none"/>
        </w:rPr>
        <w:t>已标价工程量清单</w:t>
      </w:r>
    </w:p>
    <w:p w14:paraId="7054DE55">
      <w:pPr>
        <w:spacing w:before="182" w:line="361" w:lineRule="auto"/>
        <w:ind w:left="38" w:right="28" w:firstLine="60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（已标价工程量清单根据采购人提供的工程量清单按照清单计价方式编制，不得</w:t>
      </w:r>
      <w:r>
        <w:rPr>
          <w:rFonts w:ascii="宋体" w:hAnsi="宋体" w:eastAsia="宋体" w:cs="宋体"/>
          <w:color w:val="auto"/>
          <w:spacing w:val="-2"/>
          <w:sz w:val="21"/>
          <w:szCs w:val="21"/>
          <w:highlight w:val="none"/>
        </w:rPr>
        <w:t>缺项、漏项或改变工程量及特征描述。报价表中的总价应与报价函中的响应报价保持一</w:t>
      </w:r>
      <w:r>
        <w:rPr>
          <w:rFonts w:ascii="宋体" w:hAnsi="宋体" w:eastAsia="宋体" w:cs="宋体"/>
          <w:color w:val="auto"/>
          <w:spacing w:val="17"/>
          <w:sz w:val="21"/>
          <w:szCs w:val="21"/>
          <w:highlight w:val="none"/>
        </w:rPr>
        <w:t xml:space="preserve"> </w:t>
      </w:r>
      <w:r>
        <w:rPr>
          <w:rFonts w:ascii="宋体" w:hAnsi="宋体" w:eastAsia="宋体" w:cs="宋体"/>
          <w:color w:val="auto"/>
          <w:spacing w:val="-7"/>
          <w:sz w:val="21"/>
          <w:szCs w:val="21"/>
          <w:highlight w:val="none"/>
        </w:rPr>
        <w:t>致）</w:t>
      </w:r>
    </w:p>
    <w:p w14:paraId="6F35D92C">
      <w:pPr>
        <w:spacing w:line="361" w:lineRule="auto"/>
        <w:rPr>
          <w:rFonts w:ascii="宋体" w:hAnsi="宋体" w:eastAsia="宋体" w:cs="宋体"/>
          <w:color w:val="auto"/>
          <w:sz w:val="24"/>
          <w:szCs w:val="24"/>
          <w:highlight w:val="none"/>
        </w:rPr>
        <w:sectPr>
          <w:headerReference r:id="rId45" w:type="default"/>
          <w:footerReference r:id="rId46" w:type="default"/>
          <w:pgSz w:w="11907" w:h="16840"/>
          <w:pgMar w:top="1167" w:right="1105" w:bottom="1011" w:left="1672" w:header="830" w:footer="851" w:gutter="0"/>
          <w:pgNumType w:fmt="decimal"/>
          <w:cols w:space="720" w:num="1"/>
        </w:sectPr>
      </w:pPr>
    </w:p>
    <w:p w14:paraId="29312FC5">
      <w:pPr>
        <w:spacing w:before="287" w:line="220" w:lineRule="auto"/>
        <w:ind w:left="38"/>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9    </w:t>
      </w:r>
      <w:r>
        <w:rPr>
          <w:rFonts w:ascii="宋体" w:hAnsi="宋体" w:eastAsia="宋体" w:cs="宋体"/>
          <w:color w:val="auto"/>
          <w:spacing w:val="-2"/>
          <w:sz w:val="24"/>
          <w:szCs w:val="24"/>
          <w:highlight w:val="none"/>
        </w:rPr>
        <w:t>合同条款偏离表（实质性格式）</w:t>
      </w:r>
    </w:p>
    <w:p w14:paraId="4CE5BEFC">
      <w:pPr>
        <w:pStyle w:val="6"/>
        <w:spacing w:line="246" w:lineRule="auto"/>
        <w:rPr>
          <w:color w:val="auto"/>
          <w:highlight w:val="none"/>
        </w:rPr>
      </w:pPr>
    </w:p>
    <w:p w14:paraId="3457D4A6">
      <w:pPr>
        <w:pStyle w:val="6"/>
        <w:spacing w:line="247" w:lineRule="auto"/>
        <w:rPr>
          <w:color w:val="auto"/>
          <w:highlight w:val="none"/>
        </w:rPr>
      </w:pPr>
    </w:p>
    <w:p w14:paraId="49D8718D">
      <w:pPr>
        <w:spacing w:before="117" w:line="220" w:lineRule="auto"/>
        <w:ind w:left="2932"/>
        <w:rPr>
          <w:rFonts w:ascii="宋体" w:hAnsi="宋体" w:eastAsia="宋体" w:cs="宋体"/>
          <w:color w:val="auto"/>
          <w:sz w:val="36"/>
          <w:szCs w:val="36"/>
          <w:highlight w:val="none"/>
        </w:rPr>
      </w:pPr>
      <w:r>
        <w:rPr>
          <w:rFonts w:ascii="宋体" w:hAnsi="宋体" w:eastAsia="宋体" w:cs="宋体"/>
          <w:b/>
          <w:bCs/>
          <w:color w:val="auto"/>
          <w:spacing w:val="-5"/>
          <w:sz w:val="36"/>
          <w:szCs w:val="36"/>
          <w:highlight w:val="none"/>
        </w:rPr>
        <w:t>合同条款偏离表</w:t>
      </w:r>
    </w:p>
    <w:p w14:paraId="0EF34986">
      <w:pPr>
        <w:pStyle w:val="6"/>
        <w:spacing w:line="292" w:lineRule="auto"/>
        <w:rPr>
          <w:color w:val="auto"/>
          <w:highlight w:val="none"/>
        </w:rPr>
      </w:pPr>
    </w:p>
    <w:p w14:paraId="731DBFF6">
      <w:pPr>
        <w:pStyle w:val="6"/>
        <w:spacing w:line="293" w:lineRule="auto"/>
        <w:rPr>
          <w:color w:val="auto"/>
          <w:highlight w:val="none"/>
        </w:rPr>
      </w:pPr>
    </w:p>
    <w:p w14:paraId="22947B68">
      <w:pPr>
        <w:spacing w:before="78" w:line="360" w:lineRule="auto"/>
        <w:ind w:left="4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项目编号/包号：_______________          项目名称：___</w:t>
      </w:r>
      <w:r>
        <w:rPr>
          <w:rFonts w:hint="eastAsia" w:ascii="宋体" w:hAnsi="宋体" w:eastAsia="宋体" w:cs="宋体"/>
          <w:color w:val="auto"/>
          <w:spacing w:val="-1"/>
          <w:sz w:val="21"/>
          <w:szCs w:val="21"/>
          <w:highlight w:val="none"/>
        </w:rPr>
        <w:t>____________</w:t>
      </w:r>
    </w:p>
    <w:p w14:paraId="19836C5A">
      <w:pPr>
        <w:spacing w:line="360" w:lineRule="auto"/>
        <w:rPr>
          <w:rFonts w:hint="eastAsia" w:ascii="宋体" w:hAnsi="宋体" w:eastAsia="宋体" w:cs="宋体"/>
          <w:color w:val="auto"/>
          <w:sz w:val="21"/>
          <w:szCs w:val="21"/>
          <w:highlight w:val="none"/>
        </w:rPr>
      </w:pPr>
    </w:p>
    <w:tbl>
      <w:tblPr>
        <w:tblStyle w:val="18"/>
        <w:tblW w:w="9061"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1527"/>
        <w:gridCol w:w="1728"/>
        <w:gridCol w:w="1729"/>
        <w:gridCol w:w="2119"/>
        <w:gridCol w:w="965"/>
      </w:tblGrid>
      <w:tr w14:paraId="30CB0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93" w:type="dxa"/>
            <w:vAlign w:val="top"/>
          </w:tcPr>
          <w:p w14:paraId="40B632E6">
            <w:pPr>
              <w:spacing w:line="360" w:lineRule="auto"/>
              <w:rPr>
                <w:rFonts w:hint="eastAsia" w:ascii="宋体" w:hAnsi="宋体" w:eastAsia="宋体" w:cs="宋体"/>
                <w:color w:val="auto"/>
                <w:sz w:val="21"/>
                <w:szCs w:val="21"/>
                <w:highlight w:val="none"/>
              </w:rPr>
            </w:pPr>
          </w:p>
          <w:p w14:paraId="4AED29FD">
            <w:pPr>
              <w:pStyle w:val="19"/>
              <w:spacing w:before="78" w:line="360" w:lineRule="auto"/>
              <w:ind w:left="25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527" w:type="dxa"/>
            <w:vAlign w:val="top"/>
          </w:tcPr>
          <w:p w14:paraId="2A521281">
            <w:pPr>
              <w:pStyle w:val="19"/>
              <w:spacing w:before="36" w:line="360" w:lineRule="auto"/>
              <w:ind w:left="16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竞争性磋商</w:t>
            </w:r>
          </w:p>
          <w:p w14:paraId="4EA6516C">
            <w:pPr>
              <w:pStyle w:val="19"/>
              <w:spacing w:before="25" w:line="360" w:lineRule="auto"/>
              <w:ind w:left="16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文件条目号</w:t>
            </w:r>
          </w:p>
          <w:p w14:paraId="75577203">
            <w:pPr>
              <w:pStyle w:val="19"/>
              <w:spacing w:before="26" w:line="360" w:lineRule="auto"/>
              <w:ind w:left="291"/>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（页码）</w:t>
            </w:r>
          </w:p>
        </w:tc>
        <w:tc>
          <w:tcPr>
            <w:tcW w:w="1728" w:type="dxa"/>
            <w:vAlign w:val="top"/>
          </w:tcPr>
          <w:p w14:paraId="4F161A93">
            <w:pPr>
              <w:pStyle w:val="19"/>
              <w:spacing w:before="194" w:line="360" w:lineRule="auto"/>
              <w:ind w:left="506" w:right="139" w:hanging="35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竞争性磋商文</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
                <w:sz w:val="21"/>
                <w:szCs w:val="21"/>
                <w:highlight w:val="none"/>
              </w:rPr>
              <w:t>件要求</w:t>
            </w:r>
          </w:p>
        </w:tc>
        <w:tc>
          <w:tcPr>
            <w:tcW w:w="1729" w:type="dxa"/>
            <w:vAlign w:val="top"/>
          </w:tcPr>
          <w:p w14:paraId="16C0CBDD">
            <w:pPr>
              <w:spacing w:line="360" w:lineRule="auto"/>
              <w:rPr>
                <w:rFonts w:hint="eastAsia" w:ascii="宋体" w:hAnsi="宋体" w:eastAsia="宋体" w:cs="宋体"/>
                <w:color w:val="auto"/>
                <w:sz w:val="21"/>
                <w:szCs w:val="21"/>
                <w:highlight w:val="none"/>
              </w:rPr>
            </w:pPr>
          </w:p>
          <w:p w14:paraId="3CA963B6">
            <w:pPr>
              <w:pStyle w:val="19"/>
              <w:spacing w:before="78" w:line="360" w:lineRule="auto"/>
              <w:ind w:left="16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响应文件内容</w:t>
            </w:r>
          </w:p>
        </w:tc>
        <w:tc>
          <w:tcPr>
            <w:tcW w:w="2119" w:type="dxa"/>
            <w:vAlign w:val="top"/>
          </w:tcPr>
          <w:p w14:paraId="0B78FF2B">
            <w:pPr>
              <w:spacing w:line="360" w:lineRule="auto"/>
              <w:rPr>
                <w:rFonts w:hint="eastAsia" w:ascii="宋体" w:hAnsi="宋体" w:eastAsia="宋体" w:cs="宋体"/>
                <w:color w:val="auto"/>
                <w:sz w:val="21"/>
                <w:szCs w:val="21"/>
                <w:highlight w:val="none"/>
              </w:rPr>
            </w:pPr>
          </w:p>
          <w:p w14:paraId="0CB16E3E">
            <w:pPr>
              <w:pStyle w:val="19"/>
              <w:spacing w:before="78" w:line="360" w:lineRule="auto"/>
              <w:ind w:left="58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偏离情况</w:t>
            </w:r>
          </w:p>
        </w:tc>
        <w:tc>
          <w:tcPr>
            <w:tcW w:w="965" w:type="dxa"/>
            <w:vAlign w:val="top"/>
          </w:tcPr>
          <w:p w14:paraId="4EF50CFD">
            <w:pPr>
              <w:spacing w:line="360" w:lineRule="auto"/>
              <w:rPr>
                <w:rFonts w:hint="eastAsia" w:ascii="宋体" w:hAnsi="宋体" w:eastAsia="宋体" w:cs="宋体"/>
                <w:color w:val="auto"/>
                <w:sz w:val="21"/>
                <w:szCs w:val="21"/>
                <w:highlight w:val="none"/>
              </w:rPr>
            </w:pPr>
          </w:p>
          <w:p w14:paraId="47051762">
            <w:pPr>
              <w:pStyle w:val="19"/>
              <w:spacing w:before="78" w:line="360" w:lineRule="auto"/>
              <w:ind w:left="252"/>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说明</w:t>
            </w:r>
          </w:p>
        </w:tc>
      </w:tr>
      <w:tr w14:paraId="45F84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9061" w:type="dxa"/>
            <w:gridSpan w:val="6"/>
            <w:vAlign w:val="top"/>
          </w:tcPr>
          <w:p w14:paraId="62E6F643">
            <w:pPr>
              <w:pStyle w:val="19"/>
              <w:spacing w:before="34" w:line="360" w:lineRule="auto"/>
              <w:ind w:left="111"/>
              <w:rPr>
                <w:rFonts w:hint="eastAsia" w:ascii="宋体" w:hAnsi="宋体" w:eastAsia="宋体" w:cs="宋体"/>
                <w:color w:val="auto"/>
                <w:sz w:val="21"/>
                <w:szCs w:val="21"/>
                <w:highlight w:val="none"/>
              </w:rPr>
            </w:pPr>
            <w:r>
              <w:rPr>
                <w:rFonts w:hint="eastAsia" w:ascii="宋体" w:hAnsi="宋体" w:eastAsia="宋体" w:cs="宋体"/>
                <w:b/>
                <w:bCs/>
                <w:color w:val="auto"/>
                <w:spacing w:val="-2"/>
                <w:sz w:val="21"/>
                <w:szCs w:val="21"/>
                <w:highlight w:val="none"/>
              </w:rPr>
              <w:t>对本项目合同条款的偏离情况（</w:t>
            </w:r>
            <w:r>
              <w:rPr>
                <w:rFonts w:hint="eastAsia" w:ascii="宋体" w:hAnsi="宋体" w:eastAsia="宋体" w:cs="宋体"/>
                <w:color w:val="auto"/>
                <w:spacing w:val="-2"/>
                <w:sz w:val="21"/>
                <w:szCs w:val="21"/>
                <w:highlight w:val="none"/>
              </w:rPr>
              <w:t>应进行选择，未选择</w:t>
            </w:r>
            <w:r>
              <w:rPr>
                <w:rFonts w:hint="eastAsia" w:ascii="宋体" w:hAnsi="宋体" w:eastAsia="宋体" w:cs="宋体"/>
                <w:b/>
                <w:bCs/>
                <w:color w:val="auto"/>
                <w:spacing w:val="-2"/>
                <w:sz w:val="21"/>
                <w:szCs w:val="21"/>
                <w:highlight w:val="none"/>
              </w:rPr>
              <w:t>响应无效</w:t>
            </w:r>
            <w:r>
              <w:rPr>
                <w:rFonts w:hint="eastAsia" w:ascii="宋体" w:hAnsi="宋体" w:eastAsia="宋体" w:cs="宋体"/>
                <w:b/>
                <w:bCs/>
                <w:color w:val="auto"/>
                <w:spacing w:val="-63"/>
                <w:sz w:val="21"/>
                <w:szCs w:val="21"/>
                <w:highlight w:val="none"/>
              </w:rPr>
              <w:t>）：</w:t>
            </w:r>
          </w:p>
          <w:p w14:paraId="00700D1C">
            <w:pPr>
              <w:pStyle w:val="19"/>
              <w:spacing w:before="27" w:line="360" w:lineRule="auto"/>
              <w:ind w:left="111" w:right="175" w:firstLine="8"/>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w:t>
            </w:r>
            <w:r>
              <w:rPr>
                <w:rFonts w:hint="eastAsia" w:ascii="宋体" w:hAnsi="宋体" w:eastAsia="宋体" w:cs="宋体"/>
                <w:b/>
                <w:bCs/>
                <w:color w:val="auto"/>
                <w:spacing w:val="-4"/>
                <w:sz w:val="21"/>
                <w:szCs w:val="21"/>
                <w:highlight w:val="none"/>
              </w:rPr>
              <w:t>无偏离</w:t>
            </w:r>
            <w:r>
              <w:rPr>
                <w:rFonts w:hint="eastAsia" w:ascii="宋体" w:hAnsi="宋体" w:eastAsia="宋体" w:cs="宋体"/>
                <w:color w:val="auto"/>
                <w:spacing w:val="-4"/>
                <w:sz w:val="21"/>
                <w:szCs w:val="21"/>
                <w:highlight w:val="none"/>
              </w:rPr>
              <w:t>（如无偏离，仅选择无偏离即可；无偏离即为对合同条款中的所有要求，均</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10"/>
                <w:sz w:val="21"/>
                <w:szCs w:val="21"/>
                <w:highlight w:val="none"/>
              </w:rPr>
              <w:t>视作供应商已对之理解和响应。）</w:t>
            </w:r>
          </w:p>
          <w:p w14:paraId="64CC31FF">
            <w:pPr>
              <w:pStyle w:val="19"/>
              <w:spacing w:before="1" w:line="360" w:lineRule="auto"/>
              <w:ind w:left="113" w:right="166" w:firstLine="6"/>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w:t>
            </w:r>
            <w:r>
              <w:rPr>
                <w:rFonts w:hint="eastAsia" w:ascii="宋体" w:hAnsi="宋体" w:eastAsia="宋体" w:cs="宋体"/>
                <w:b/>
                <w:bCs/>
                <w:color w:val="auto"/>
                <w:spacing w:val="-4"/>
                <w:sz w:val="21"/>
                <w:szCs w:val="21"/>
                <w:highlight w:val="none"/>
              </w:rPr>
              <w:t>有偏离</w:t>
            </w:r>
            <w:r>
              <w:rPr>
                <w:rFonts w:hint="eastAsia" w:ascii="宋体" w:hAnsi="宋体" w:eastAsia="宋体" w:cs="宋体"/>
                <w:color w:val="auto"/>
                <w:spacing w:val="-4"/>
                <w:sz w:val="21"/>
                <w:szCs w:val="21"/>
                <w:highlight w:val="none"/>
              </w:rPr>
              <w:t>（如有偏离，则应在本表中对负偏离项逐一列明，否则</w:t>
            </w:r>
            <w:r>
              <w:rPr>
                <w:rFonts w:hint="eastAsia" w:ascii="宋体" w:hAnsi="宋体" w:eastAsia="宋体" w:cs="宋体"/>
                <w:b/>
                <w:bCs/>
                <w:color w:val="auto"/>
                <w:spacing w:val="-4"/>
                <w:sz w:val="21"/>
                <w:szCs w:val="21"/>
                <w:highlight w:val="none"/>
              </w:rPr>
              <w:t>响应无效</w:t>
            </w:r>
            <w:r>
              <w:rPr>
                <w:rFonts w:hint="eastAsia" w:ascii="宋体" w:hAnsi="宋体" w:eastAsia="宋体" w:cs="宋体"/>
                <w:color w:val="auto"/>
                <w:spacing w:val="-4"/>
                <w:sz w:val="21"/>
                <w:szCs w:val="21"/>
                <w:highlight w:val="none"/>
              </w:rPr>
              <w:t>；对合同条</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4"/>
                <w:sz w:val="21"/>
                <w:szCs w:val="21"/>
                <w:highlight w:val="none"/>
              </w:rPr>
              <w:t>款中的所有要求，除本表列明的偏离外，均视作供</w:t>
            </w:r>
            <w:r>
              <w:rPr>
                <w:rFonts w:hint="eastAsia" w:ascii="宋体" w:hAnsi="宋体" w:eastAsia="宋体" w:cs="宋体"/>
                <w:color w:val="auto"/>
                <w:spacing w:val="-5"/>
                <w:sz w:val="21"/>
                <w:szCs w:val="21"/>
                <w:highlight w:val="none"/>
              </w:rPr>
              <w:t>应商已对之理解和响应。）</w:t>
            </w:r>
          </w:p>
        </w:tc>
      </w:tr>
      <w:tr w14:paraId="40186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993" w:type="dxa"/>
            <w:vAlign w:val="top"/>
          </w:tcPr>
          <w:p w14:paraId="079CB9D9">
            <w:pPr>
              <w:spacing w:line="360" w:lineRule="auto"/>
              <w:rPr>
                <w:rFonts w:hint="eastAsia" w:ascii="宋体" w:hAnsi="宋体" w:eastAsia="宋体" w:cs="宋体"/>
                <w:color w:val="auto"/>
                <w:sz w:val="21"/>
                <w:szCs w:val="21"/>
                <w:highlight w:val="none"/>
              </w:rPr>
            </w:pPr>
          </w:p>
        </w:tc>
        <w:tc>
          <w:tcPr>
            <w:tcW w:w="1527" w:type="dxa"/>
            <w:vAlign w:val="top"/>
          </w:tcPr>
          <w:p w14:paraId="30DDA48A">
            <w:pPr>
              <w:spacing w:line="360" w:lineRule="auto"/>
              <w:rPr>
                <w:rFonts w:hint="eastAsia" w:ascii="宋体" w:hAnsi="宋体" w:eastAsia="宋体" w:cs="宋体"/>
                <w:color w:val="auto"/>
                <w:sz w:val="21"/>
                <w:szCs w:val="21"/>
                <w:highlight w:val="none"/>
              </w:rPr>
            </w:pPr>
          </w:p>
        </w:tc>
        <w:tc>
          <w:tcPr>
            <w:tcW w:w="1728" w:type="dxa"/>
            <w:vAlign w:val="top"/>
          </w:tcPr>
          <w:p w14:paraId="48FB7D8A">
            <w:pPr>
              <w:spacing w:line="360" w:lineRule="auto"/>
              <w:rPr>
                <w:rFonts w:hint="eastAsia" w:ascii="宋体" w:hAnsi="宋体" w:eastAsia="宋体" w:cs="宋体"/>
                <w:color w:val="auto"/>
                <w:sz w:val="21"/>
                <w:szCs w:val="21"/>
                <w:highlight w:val="none"/>
              </w:rPr>
            </w:pPr>
          </w:p>
        </w:tc>
        <w:tc>
          <w:tcPr>
            <w:tcW w:w="1729" w:type="dxa"/>
            <w:vAlign w:val="top"/>
          </w:tcPr>
          <w:p w14:paraId="62C736C8">
            <w:pPr>
              <w:spacing w:line="360" w:lineRule="auto"/>
              <w:rPr>
                <w:rFonts w:hint="eastAsia" w:ascii="宋体" w:hAnsi="宋体" w:eastAsia="宋体" w:cs="宋体"/>
                <w:color w:val="auto"/>
                <w:sz w:val="21"/>
                <w:szCs w:val="21"/>
                <w:highlight w:val="none"/>
              </w:rPr>
            </w:pPr>
          </w:p>
        </w:tc>
        <w:tc>
          <w:tcPr>
            <w:tcW w:w="2119" w:type="dxa"/>
            <w:vAlign w:val="top"/>
          </w:tcPr>
          <w:p w14:paraId="6B8E95EA">
            <w:pPr>
              <w:spacing w:line="360" w:lineRule="auto"/>
              <w:rPr>
                <w:rFonts w:hint="eastAsia" w:ascii="宋体" w:hAnsi="宋体" w:eastAsia="宋体" w:cs="宋体"/>
                <w:color w:val="auto"/>
                <w:sz w:val="21"/>
                <w:szCs w:val="21"/>
                <w:highlight w:val="none"/>
              </w:rPr>
            </w:pPr>
          </w:p>
        </w:tc>
        <w:tc>
          <w:tcPr>
            <w:tcW w:w="965" w:type="dxa"/>
            <w:vAlign w:val="top"/>
          </w:tcPr>
          <w:p w14:paraId="44CB94D0">
            <w:pPr>
              <w:spacing w:line="360" w:lineRule="auto"/>
              <w:rPr>
                <w:rFonts w:hint="eastAsia" w:ascii="宋体" w:hAnsi="宋体" w:eastAsia="宋体" w:cs="宋体"/>
                <w:color w:val="auto"/>
                <w:sz w:val="21"/>
                <w:szCs w:val="21"/>
                <w:highlight w:val="none"/>
              </w:rPr>
            </w:pPr>
          </w:p>
        </w:tc>
      </w:tr>
      <w:tr w14:paraId="13C37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0B94706D">
            <w:pPr>
              <w:spacing w:line="360" w:lineRule="auto"/>
              <w:rPr>
                <w:rFonts w:hint="eastAsia" w:ascii="宋体" w:hAnsi="宋体" w:eastAsia="宋体" w:cs="宋体"/>
                <w:color w:val="auto"/>
                <w:sz w:val="21"/>
                <w:szCs w:val="21"/>
                <w:highlight w:val="none"/>
              </w:rPr>
            </w:pPr>
          </w:p>
        </w:tc>
        <w:tc>
          <w:tcPr>
            <w:tcW w:w="1527" w:type="dxa"/>
            <w:vAlign w:val="top"/>
          </w:tcPr>
          <w:p w14:paraId="7D639D63">
            <w:pPr>
              <w:spacing w:line="360" w:lineRule="auto"/>
              <w:rPr>
                <w:rFonts w:hint="eastAsia" w:ascii="宋体" w:hAnsi="宋体" w:eastAsia="宋体" w:cs="宋体"/>
                <w:color w:val="auto"/>
                <w:sz w:val="21"/>
                <w:szCs w:val="21"/>
                <w:highlight w:val="none"/>
              </w:rPr>
            </w:pPr>
          </w:p>
        </w:tc>
        <w:tc>
          <w:tcPr>
            <w:tcW w:w="1728" w:type="dxa"/>
            <w:vAlign w:val="top"/>
          </w:tcPr>
          <w:p w14:paraId="20DE8960">
            <w:pPr>
              <w:spacing w:line="360" w:lineRule="auto"/>
              <w:rPr>
                <w:rFonts w:hint="eastAsia" w:ascii="宋体" w:hAnsi="宋体" w:eastAsia="宋体" w:cs="宋体"/>
                <w:color w:val="auto"/>
                <w:sz w:val="21"/>
                <w:szCs w:val="21"/>
                <w:highlight w:val="none"/>
              </w:rPr>
            </w:pPr>
          </w:p>
        </w:tc>
        <w:tc>
          <w:tcPr>
            <w:tcW w:w="1729" w:type="dxa"/>
            <w:vAlign w:val="top"/>
          </w:tcPr>
          <w:p w14:paraId="18E67FCE">
            <w:pPr>
              <w:spacing w:line="360" w:lineRule="auto"/>
              <w:rPr>
                <w:rFonts w:hint="eastAsia" w:ascii="宋体" w:hAnsi="宋体" w:eastAsia="宋体" w:cs="宋体"/>
                <w:color w:val="auto"/>
                <w:sz w:val="21"/>
                <w:szCs w:val="21"/>
                <w:highlight w:val="none"/>
              </w:rPr>
            </w:pPr>
          </w:p>
        </w:tc>
        <w:tc>
          <w:tcPr>
            <w:tcW w:w="2119" w:type="dxa"/>
            <w:vAlign w:val="top"/>
          </w:tcPr>
          <w:p w14:paraId="622E1C8D">
            <w:pPr>
              <w:spacing w:line="360" w:lineRule="auto"/>
              <w:rPr>
                <w:rFonts w:hint="eastAsia" w:ascii="宋体" w:hAnsi="宋体" w:eastAsia="宋体" w:cs="宋体"/>
                <w:color w:val="auto"/>
                <w:sz w:val="21"/>
                <w:szCs w:val="21"/>
                <w:highlight w:val="none"/>
              </w:rPr>
            </w:pPr>
          </w:p>
        </w:tc>
        <w:tc>
          <w:tcPr>
            <w:tcW w:w="965" w:type="dxa"/>
            <w:vAlign w:val="top"/>
          </w:tcPr>
          <w:p w14:paraId="7A7B90B4">
            <w:pPr>
              <w:spacing w:line="360" w:lineRule="auto"/>
              <w:rPr>
                <w:rFonts w:hint="eastAsia" w:ascii="宋体" w:hAnsi="宋体" w:eastAsia="宋体" w:cs="宋体"/>
                <w:color w:val="auto"/>
                <w:sz w:val="21"/>
                <w:szCs w:val="21"/>
                <w:highlight w:val="none"/>
              </w:rPr>
            </w:pPr>
          </w:p>
        </w:tc>
      </w:tr>
      <w:tr w14:paraId="36EB9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42A1011F">
            <w:pPr>
              <w:spacing w:line="360" w:lineRule="auto"/>
              <w:rPr>
                <w:rFonts w:hint="eastAsia" w:ascii="宋体" w:hAnsi="宋体" w:eastAsia="宋体" w:cs="宋体"/>
                <w:color w:val="auto"/>
                <w:sz w:val="21"/>
                <w:szCs w:val="21"/>
                <w:highlight w:val="none"/>
              </w:rPr>
            </w:pPr>
          </w:p>
        </w:tc>
        <w:tc>
          <w:tcPr>
            <w:tcW w:w="1527" w:type="dxa"/>
            <w:vAlign w:val="top"/>
          </w:tcPr>
          <w:p w14:paraId="7C101891">
            <w:pPr>
              <w:spacing w:line="360" w:lineRule="auto"/>
              <w:rPr>
                <w:rFonts w:hint="eastAsia" w:ascii="宋体" w:hAnsi="宋体" w:eastAsia="宋体" w:cs="宋体"/>
                <w:color w:val="auto"/>
                <w:sz w:val="21"/>
                <w:szCs w:val="21"/>
                <w:highlight w:val="none"/>
              </w:rPr>
            </w:pPr>
          </w:p>
        </w:tc>
        <w:tc>
          <w:tcPr>
            <w:tcW w:w="1728" w:type="dxa"/>
            <w:vAlign w:val="top"/>
          </w:tcPr>
          <w:p w14:paraId="455696E2">
            <w:pPr>
              <w:spacing w:line="360" w:lineRule="auto"/>
              <w:rPr>
                <w:rFonts w:hint="eastAsia" w:ascii="宋体" w:hAnsi="宋体" w:eastAsia="宋体" w:cs="宋体"/>
                <w:color w:val="auto"/>
                <w:sz w:val="21"/>
                <w:szCs w:val="21"/>
                <w:highlight w:val="none"/>
              </w:rPr>
            </w:pPr>
          </w:p>
        </w:tc>
        <w:tc>
          <w:tcPr>
            <w:tcW w:w="1729" w:type="dxa"/>
            <w:vAlign w:val="top"/>
          </w:tcPr>
          <w:p w14:paraId="13E7544A">
            <w:pPr>
              <w:spacing w:line="360" w:lineRule="auto"/>
              <w:rPr>
                <w:rFonts w:hint="eastAsia" w:ascii="宋体" w:hAnsi="宋体" w:eastAsia="宋体" w:cs="宋体"/>
                <w:color w:val="auto"/>
                <w:sz w:val="21"/>
                <w:szCs w:val="21"/>
                <w:highlight w:val="none"/>
              </w:rPr>
            </w:pPr>
          </w:p>
        </w:tc>
        <w:tc>
          <w:tcPr>
            <w:tcW w:w="2119" w:type="dxa"/>
            <w:vAlign w:val="top"/>
          </w:tcPr>
          <w:p w14:paraId="0D995DAE">
            <w:pPr>
              <w:spacing w:line="360" w:lineRule="auto"/>
              <w:rPr>
                <w:rFonts w:hint="eastAsia" w:ascii="宋体" w:hAnsi="宋体" w:eastAsia="宋体" w:cs="宋体"/>
                <w:color w:val="auto"/>
                <w:sz w:val="21"/>
                <w:szCs w:val="21"/>
                <w:highlight w:val="none"/>
              </w:rPr>
            </w:pPr>
          </w:p>
        </w:tc>
        <w:tc>
          <w:tcPr>
            <w:tcW w:w="965" w:type="dxa"/>
            <w:vAlign w:val="top"/>
          </w:tcPr>
          <w:p w14:paraId="416A5E08">
            <w:pPr>
              <w:spacing w:line="360" w:lineRule="auto"/>
              <w:rPr>
                <w:rFonts w:hint="eastAsia" w:ascii="宋体" w:hAnsi="宋体" w:eastAsia="宋体" w:cs="宋体"/>
                <w:color w:val="auto"/>
                <w:sz w:val="21"/>
                <w:szCs w:val="21"/>
                <w:highlight w:val="none"/>
              </w:rPr>
            </w:pPr>
          </w:p>
        </w:tc>
      </w:tr>
      <w:tr w14:paraId="6E42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993" w:type="dxa"/>
            <w:vAlign w:val="top"/>
          </w:tcPr>
          <w:p w14:paraId="6A13CA7B">
            <w:pPr>
              <w:spacing w:line="360" w:lineRule="auto"/>
              <w:rPr>
                <w:rFonts w:hint="eastAsia" w:ascii="宋体" w:hAnsi="宋体" w:eastAsia="宋体" w:cs="宋体"/>
                <w:color w:val="auto"/>
                <w:sz w:val="21"/>
                <w:szCs w:val="21"/>
                <w:highlight w:val="none"/>
              </w:rPr>
            </w:pPr>
          </w:p>
        </w:tc>
        <w:tc>
          <w:tcPr>
            <w:tcW w:w="1527" w:type="dxa"/>
            <w:vAlign w:val="top"/>
          </w:tcPr>
          <w:p w14:paraId="1679A52C">
            <w:pPr>
              <w:spacing w:line="360" w:lineRule="auto"/>
              <w:rPr>
                <w:rFonts w:hint="eastAsia" w:ascii="宋体" w:hAnsi="宋体" w:eastAsia="宋体" w:cs="宋体"/>
                <w:color w:val="auto"/>
                <w:sz w:val="21"/>
                <w:szCs w:val="21"/>
                <w:highlight w:val="none"/>
              </w:rPr>
            </w:pPr>
          </w:p>
        </w:tc>
        <w:tc>
          <w:tcPr>
            <w:tcW w:w="1728" w:type="dxa"/>
            <w:vAlign w:val="top"/>
          </w:tcPr>
          <w:p w14:paraId="2624BDC3">
            <w:pPr>
              <w:spacing w:line="360" w:lineRule="auto"/>
              <w:rPr>
                <w:rFonts w:hint="eastAsia" w:ascii="宋体" w:hAnsi="宋体" w:eastAsia="宋体" w:cs="宋体"/>
                <w:color w:val="auto"/>
                <w:sz w:val="21"/>
                <w:szCs w:val="21"/>
                <w:highlight w:val="none"/>
              </w:rPr>
            </w:pPr>
          </w:p>
        </w:tc>
        <w:tc>
          <w:tcPr>
            <w:tcW w:w="1729" w:type="dxa"/>
            <w:vAlign w:val="top"/>
          </w:tcPr>
          <w:p w14:paraId="1CBEAC29">
            <w:pPr>
              <w:spacing w:line="360" w:lineRule="auto"/>
              <w:rPr>
                <w:rFonts w:hint="eastAsia" w:ascii="宋体" w:hAnsi="宋体" w:eastAsia="宋体" w:cs="宋体"/>
                <w:color w:val="auto"/>
                <w:sz w:val="21"/>
                <w:szCs w:val="21"/>
                <w:highlight w:val="none"/>
              </w:rPr>
            </w:pPr>
          </w:p>
        </w:tc>
        <w:tc>
          <w:tcPr>
            <w:tcW w:w="2119" w:type="dxa"/>
            <w:vAlign w:val="top"/>
          </w:tcPr>
          <w:p w14:paraId="72678EE2">
            <w:pPr>
              <w:spacing w:line="360" w:lineRule="auto"/>
              <w:rPr>
                <w:rFonts w:hint="eastAsia" w:ascii="宋体" w:hAnsi="宋体" w:eastAsia="宋体" w:cs="宋体"/>
                <w:color w:val="auto"/>
                <w:sz w:val="21"/>
                <w:szCs w:val="21"/>
                <w:highlight w:val="none"/>
              </w:rPr>
            </w:pPr>
          </w:p>
        </w:tc>
        <w:tc>
          <w:tcPr>
            <w:tcW w:w="965" w:type="dxa"/>
            <w:vAlign w:val="top"/>
          </w:tcPr>
          <w:p w14:paraId="0DF73B97">
            <w:pPr>
              <w:spacing w:line="360" w:lineRule="auto"/>
              <w:rPr>
                <w:rFonts w:hint="eastAsia" w:ascii="宋体" w:hAnsi="宋体" w:eastAsia="宋体" w:cs="宋体"/>
                <w:color w:val="auto"/>
                <w:sz w:val="21"/>
                <w:szCs w:val="21"/>
                <w:highlight w:val="none"/>
              </w:rPr>
            </w:pPr>
          </w:p>
        </w:tc>
      </w:tr>
      <w:tr w14:paraId="6D54B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93" w:type="dxa"/>
            <w:vAlign w:val="top"/>
          </w:tcPr>
          <w:p w14:paraId="0503929B">
            <w:pPr>
              <w:spacing w:line="360" w:lineRule="auto"/>
              <w:rPr>
                <w:rFonts w:hint="eastAsia" w:ascii="宋体" w:hAnsi="宋体" w:eastAsia="宋体" w:cs="宋体"/>
                <w:color w:val="auto"/>
                <w:sz w:val="21"/>
                <w:szCs w:val="21"/>
                <w:highlight w:val="none"/>
              </w:rPr>
            </w:pPr>
          </w:p>
        </w:tc>
        <w:tc>
          <w:tcPr>
            <w:tcW w:w="1527" w:type="dxa"/>
            <w:vAlign w:val="top"/>
          </w:tcPr>
          <w:p w14:paraId="5B68999D">
            <w:pPr>
              <w:spacing w:line="360" w:lineRule="auto"/>
              <w:rPr>
                <w:rFonts w:hint="eastAsia" w:ascii="宋体" w:hAnsi="宋体" w:eastAsia="宋体" w:cs="宋体"/>
                <w:color w:val="auto"/>
                <w:sz w:val="21"/>
                <w:szCs w:val="21"/>
                <w:highlight w:val="none"/>
              </w:rPr>
            </w:pPr>
          </w:p>
        </w:tc>
        <w:tc>
          <w:tcPr>
            <w:tcW w:w="1728" w:type="dxa"/>
            <w:vAlign w:val="top"/>
          </w:tcPr>
          <w:p w14:paraId="554176DB">
            <w:pPr>
              <w:spacing w:line="360" w:lineRule="auto"/>
              <w:rPr>
                <w:rFonts w:hint="eastAsia" w:ascii="宋体" w:hAnsi="宋体" w:eastAsia="宋体" w:cs="宋体"/>
                <w:color w:val="auto"/>
                <w:sz w:val="21"/>
                <w:szCs w:val="21"/>
                <w:highlight w:val="none"/>
              </w:rPr>
            </w:pPr>
          </w:p>
        </w:tc>
        <w:tc>
          <w:tcPr>
            <w:tcW w:w="1729" w:type="dxa"/>
            <w:vAlign w:val="top"/>
          </w:tcPr>
          <w:p w14:paraId="1431F245">
            <w:pPr>
              <w:spacing w:line="360" w:lineRule="auto"/>
              <w:rPr>
                <w:rFonts w:hint="eastAsia" w:ascii="宋体" w:hAnsi="宋体" w:eastAsia="宋体" w:cs="宋体"/>
                <w:color w:val="auto"/>
                <w:sz w:val="21"/>
                <w:szCs w:val="21"/>
                <w:highlight w:val="none"/>
              </w:rPr>
            </w:pPr>
          </w:p>
        </w:tc>
        <w:tc>
          <w:tcPr>
            <w:tcW w:w="2119" w:type="dxa"/>
            <w:vAlign w:val="top"/>
          </w:tcPr>
          <w:p w14:paraId="07B58D92">
            <w:pPr>
              <w:spacing w:line="360" w:lineRule="auto"/>
              <w:rPr>
                <w:rFonts w:hint="eastAsia" w:ascii="宋体" w:hAnsi="宋体" w:eastAsia="宋体" w:cs="宋体"/>
                <w:color w:val="auto"/>
                <w:sz w:val="21"/>
                <w:szCs w:val="21"/>
                <w:highlight w:val="none"/>
              </w:rPr>
            </w:pPr>
          </w:p>
        </w:tc>
        <w:tc>
          <w:tcPr>
            <w:tcW w:w="965" w:type="dxa"/>
            <w:vAlign w:val="top"/>
          </w:tcPr>
          <w:p w14:paraId="54CF79E4">
            <w:pPr>
              <w:spacing w:line="360" w:lineRule="auto"/>
              <w:rPr>
                <w:rFonts w:hint="eastAsia" w:ascii="宋体" w:hAnsi="宋体" w:eastAsia="宋体" w:cs="宋体"/>
                <w:color w:val="auto"/>
                <w:sz w:val="21"/>
                <w:szCs w:val="21"/>
                <w:highlight w:val="none"/>
              </w:rPr>
            </w:pPr>
          </w:p>
        </w:tc>
      </w:tr>
    </w:tbl>
    <w:p w14:paraId="7B61AC8B">
      <w:pPr>
        <w:spacing w:before="312"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注： “偏离情况”列应据实填写“正偏离”或“负偏离”。</w:t>
      </w:r>
    </w:p>
    <w:p w14:paraId="3042C0C8">
      <w:pPr>
        <w:pStyle w:val="6"/>
        <w:spacing w:line="360" w:lineRule="auto"/>
        <w:rPr>
          <w:rFonts w:hint="eastAsia" w:ascii="宋体" w:hAnsi="宋体" w:eastAsia="宋体" w:cs="宋体"/>
          <w:color w:val="auto"/>
          <w:sz w:val="21"/>
          <w:szCs w:val="21"/>
          <w:highlight w:val="none"/>
        </w:rPr>
      </w:pPr>
    </w:p>
    <w:p w14:paraId="5A288D66">
      <w:pPr>
        <w:spacing w:before="79" w:line="360" w:lineRule="auto"/>
        <w:ind w:left="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供应商名称（加盖公章</w:t>
      </w:r>
      <w:r>
        <w:rPr>
          <w:rFonts w:hint="eastAsia" w:ascii="宋体" w:hAnsi="宋体" w:eastAsia="宋体" w:cs="宋体"/>
          <w:color w:val="auto"/>
          <w:sz w:val="21"/>
          <w:szCs w:val="21"/>
          <w:highlight w:val="none"/>
        </w:rPr>
        <w:t>）：</w:t>
      </w:r>
      <w:r>
        <w:rPr>
          <w:rFonts w:hint="eastAsia" w:ascii="宋体" w:hAnsi="宋体" w:eastAsia="宋体" w:cs="宋体"/>
          <w:color w:val="auto"/>
          <w:spacing w:val="-5"/>
          <w:sz w:val="21"/>
          <w:szCs w:val="21"/>
          <w:highlight w:val="none"/>
        </w:rPr>
        <w:t>__________</w:t>
      </w:r>
      <w:r>
        <w:rPr>
          <w:rFonts w:hint="eastAsia" w:ascii="宋体" w:hAnsi="宋体" w:eastAsia="宋体" w:cs="宋体"/>
          <w:color w:val="auto"/>
          <w:spacing w:val="-6"/>
          <w:sz w:val="21"/>
          <w:szCs w:val="21"/>
          <w:highlight w:val="none"/>
        </w:rPr>
        <w:t>_____</w:t>
      </w:r>
    </w:p>
    <w:p w14:paraId="2E5AAEF8">
      <w:pPr>
        <w:spacing w:before="216" w:line="360" w:lineRule="auto"/>
        <w:ind w:left="7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5DCFAE9E">
      <w:pPr>
        <w:spacing w:line="360" w:lineRule="auto"/>
        <w:rPr>
          <w:rFonts w:hint="eastAsia" w:ascii="宋体" w:hAnsi="宋体" w:eastAsia="宋体" w:cs="宋体"/>
          <w:color w:val="auto"/>
          <w:sz w:val="21"/>
          <w:szCs w:val="21"/>
          <w:highlight w:val="none"/>
        </w:rPr>
        <w:sectPr>
          <w:footerReference r:id="rId47" w:type="default"/>
          <w:pgSz w:w="11907" w:h="16840"/>
          <w:pgMar w:top="1167" w:right="1105" w:bottom="1011" w:left="1672" w:header="830" w:footer="851" w:gutter="0"/>
          <w:pgNumType w:fmt="decimal"/>
          <w:cols w:space="720" w:num="1"/>
        </w:sectPr>
      </w:pPr>
    </w:p>
    <w:p w14:paraId="28915DCC">
      <w:pPr>
        <w:spacing w:before="287" w:line="219" w:lineRule="auto"/>
        <w:ind w:left="322"/>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10    </w:t>
      </w:r>
      <w:r>
        <w:rPr>
          <w:rFonts w:ascii="宋体" w:hAnsi="宋体" w:eastAsia="宋体" w:cs="宋体"/>
          <w:color w:val="auto"/>
          <w:spacing w:val="-3"/>
          <w:sz w:val="24"/>
          <w:szCs w:val="24"/>
          <w:highlight w:val="none"/>
        </w:rPr>
        <w:t>采购需求偏离表（实质性格式）</w:t>
      </w:r>
    </w:p>
    <w:p w14:paraId="2B06CA1B">
      <w:pPr>
        <w:spacing w:before="200" w:line="219" w:lineRule="auto"/>
        <w:ind w:left="3578"/>
        <w:rPr>
          <w:rFonts w:ascii="宋体" w:hAnsi="宋体" w:eastAsia="宋体" w:cs="宋体"/>
          <w:color w:val="auto"/>
          <w:sz w:val="36"/>
          <w:szCs w:val="36"/>
          <w:highlight w:val="none"/>
        </w:rPr>
      </w:pPr>
      <w:r>
        <w:rPr>
          <w:rFonts w:ascii="宋体" w:hAnsi="宋体" w:eastAsia="宋体" w:cs="宋体"/>
          <w:b/>
          <w:bCs/>
          <w:color w:val="auto"/>
          <w:spacing w:val="-5"/>
          <w:sz w:val="36"/>
          <w:szCs w:val="36"/>
          <w:highlight w:val="none"/>
        </w:rPr>
        <w:t>采购需求偏离表</w:t>
      </w:r>
    </w:p>
    <w:p w14:paraId="46154684">
      <w:pPr>
        <w:spacing w:before="254" w:line="360" w:lineRule="auto"/>
        <w:ind w:left="6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项目编号/包号：_______________          项目名称：___</w:t>
      </w:r>
      <w:r>
        <w:rPr>
          <w:rFonts w:hint="eastAsia" w:ascii="宋体" w:hAnsi="宋体" w:eastAsia="宋体" w:cs="宋体"/>
          <w:color w:val="auto"/>
          <w:spacing w:val="-1"/>
          <w:sz w:val="21"/>
          <w:szCs w:val="21"/>
          <w:highlight w:val="none"/>
        </w:rPr>
        <w:t>____________</w:t>
      </w:r>
    </w:p>
    <w:p w14:paraId="5BD67302">
      <w:pPr>
        <w:spacing w:line="360" w:lineRule="auto"/>
        <w:rPr>
          <w:rFonts w:hint="eastAsia" w:ascii="宋体" w:hAnsi="宋体" w:eastAsia="宋体" w:cs="宋体"/>
          <w:color w:val="auto"/>
          <w:sz w:val="21"/>
          <w:szCs w:val="21"/>
          <w:highlight w:val="none"/>
        </w:rPr>
      </w:pPr>
    </w:p>
    <w:tbl>
      <w:tblPr>
        <w:tblStyle w:val="18"/>
        <w:tblW w:w="96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9"/>
        <w:gridCol w:w="1480"/>
        <w:gridCol w:w="2381"/>
        <w:gridCol w:w="2124"/>
        <w:gridCol w:w="1873"/>
        <w:gridCol w:w="1013"/>
      </w:tblGrid>
      <w:tr w14:paraId="124BD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779" w:type="dxa"/>
            <w:vAlign w:val="top"/>
          </w:tcPr>
          <w:p w14:paraId="3A644E50">
            <w:pPr>
              <w:spacing w:line="360" w:lineRule="auto"/>
              <w:rPr>
                <w:rFonts w:hint="eastAsia" w:ascii="宋体" w:hAnsi="宋体" w:eastAsia="宋体" w:cs="宋体"/>
                <w:color w:val="auto"/>
                <w:sz w:val="21"/>
                <w:szCs w:val="21"/>
                <w:highlight w:val="none"/>
              </w:rPr>
            </w:pPr>
          </w:p>
          <w:p w14:paraId="29E90E31">
            <w:pPr>
              <w:pStyle w:val="19"/>
              <w:spacing w:before="78" w:line="360" w:lineRule="auto"/>
              <w:ind w:left="15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480" w:type="dxa"/>
            <w:vAlign w:val="top"/>
          </w:tcPr>
          <w:p w14:paraId="4F860AAE">
            <w:pPr>
              <w:pStyle w:val="19"/>
              <w:spacing w:before="96" w:line="360" w:lineRule="auto"/>
              <w:ind w:left="14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竞争性磋商</w:t>
            </w:r>
          </w:p>
          <w:p w14:paraId="0A09B698">
            <w:pPr>
              <w:pStyle w:val="19"/>
              <w:spacing w:before="25" w:line="360" w:lineRule="auto"/>
              <w:ind w:left="14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文件条目号</w:t>
            </w:r>
          </w:p>
          <w:p w14:paraId="180C018D">
            <w:pPr>
              <w:pStyle w:val="19"/>
              <w:spacing w:before="25" w:line="360" w:lineRule="auto"/>
              <w:ind w:left="42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(页码)</w:t>
            </w:r>
          </w:p>
        </w:tc>
        <w:tc>
          <w:tcPr>
            <w:tcW w:w="2381" w:type="dxa"/>
            <w:vAlign w:val="top"/>
          </w:tcPr>
          <w:p w14:paraId="417A3E83">
            <w:pPr>
              <w:spacing w:line="360" w:lineRule="auto"/>
              <w:rPr>
                <w:rFonts w:hint="eastAsia" w:ascii="宋体" w:hAnsi="宋体" w:eastAsia="宋体" w:cs="宋体"/>
                <w:color w:val="auto"/>
                <w:sz w:val="21"/>
                <w:szCs w:val="21"/>
                <w:highlight w:val="none"/>
              </w:rPr>
            </w:pPr>
          </w:p>
          <w:p w14:paraId="6E40E0F9">
            <w:pPr>
              <w:pStyle w:val="19"/>
              <w:spacing w:before="78"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竞争性磋商文件要求</w:t>
            </w:r>
          </w:p>
        </w:tc>
        <w:tc>
          <w:tcPr>
            <w:tcW w:w="2124" w:type="dxa"/>
            <w:vAlign w:val="top"/>
          </w:tcPr>
          <w:p w14:paraId="74FDACEC">
            <w:pPr>
              <w:spacing w:line="360" w:lineRule="auto"/>
              <w:rPr>
                <w:rFonts w:hint="eastAsia" w:ascii="宋体" w:hAnsi="宋体" w:eastAsia="宋体" w:cs="宋体"/>
                <w:color w:val="auto"/>
                <w:sz w:val="21"/>
                <w:szCs w:val="21"/>
                <w:highlight w:val="none"/>
              </w:rPr>
            </w:pPr>
          </w:p>
          <w:p w14:paraId="2AE92D5F">
            <w:pPr>
              <w:pStyle w:val="19"/>
              <w:spacing w:before="78" w:line="360" w:lineRule="auto"/>
              <w:ind w:left="60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响应内容</w:t>
            </w:r>
          </w:p>
        </w:tc>
        <w:tc>
          <w:tcPr>
            <w:tcW w:w="1873" w:type="dxa"/>
            <w:vAlign w:val="top"/>
          </w:tcPr>
          <w:p w14:paraId="564AD872">
            <w:pPr>
              <w:spacing w:line="360" w:lineRule="auto"/>
              <w:rPr>
                <w:rFonts w:hint="eastAsia" w:ascii="宋体" w:hAnsi="宋体" w:eastAsia="宋体" w:cs="宋体"/>
                <w:color w:val="auto"/>
                <w:sz w:val="21"/>
                <w:szCs w:val="21"/>
                <w:highlight w:val="none"/>
              </w:rPr>
            </w:pPr>
          </w:p>
          <w:p w14:paraId="7BE0EA9E">
            <w:pPr>
              <w:pStyle w:val="19"/>
              <w:spacing w:before="78" w:line="360" w:lineRule="auto"/>
              <w:ind w:left="46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偏离情况</w:t>
            </w:r>
          </w:p>
        </w:tc>
        <w:tc>
          <w:tcPr>
            <w:tcW w:w="1013" w:type="dxa"/>
            <w:vAlign w:val="top"/>
          </w:tcPr>
          <w:p w14:paraId="0DE30D79">
            <w:pPr>
              <w:spacing w:line="360" w:lineRule="auto"/>
              <w:rPr>
                <w:rFonts w:hint="eastAsia" w:ascii="宋体" w:hAnsi="宋体" w:eastAsia="宋体" w:cs="宋体"/>
                <w:color w:val="auto"/>
                <w:sz w:val="21"/>
                <w:szCs w:val="21"/>
                <w:highlight w:val="none"/>
              </w:rPr>
            </w:pPr>
          </w:p>
          <w:p w14:paraId="6B77371B">
            <w:pPr>
              <w:pStyle w:val="19"/>
              <w:spacing w:before="78" w:line="360" w:lineRule="auto"/>
              <w:ind w:left="27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说明</w:t>
            </w:r>
          </w:p>
        </w:tc>
      </w:tr>
      <w:tr w14:paraId="11AA6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2AE7948B">
            <w:pPr>
              <w:spacing w:line="360" w:lineRule="auto"/>
              <w:rPr>
                <w:rFonts w:hint="eastAsia" w:ascii="宋体" w:hAnsi="宋体" w:eastAsia="宋体" w:cs="宋体"/>
                <w:color w:val="auto"/>
                <w:sz w:val="21"/>
                <w:szCs w:val="21"/>
                <w:highlight w:val="none"/>
              </w:rPr>
            </w:pPr>
          </w:p>
        </w:tc>
        <w:tc>
          <w:tcPr>
            <w:tcW w:w="1480" w:type="dxa"/>
            <w:vAlign w:val="top"/>
          </w:tcPr>
          <w:p w14:paraId="0EC81D5B">
            <w:pPr>
              <w:spacing w:line="360" w:lineRule="auto"/>
              <w:rPr>
                <w:rFonts w:hint="eastAsia" w:ascii="宋体" w:hAnsi="宋体" w:eastAsia="宋体" w:cs="宋体"/>
                <w:color w:val="auto"/>
                <w:sz w:val="21"/>
                <w:szCs w:val="21"/>
                <w:highlight w:val="none"/>
              </w:rPr>
            </w:pPr>
          </w:p>
        </w:tc>
        <w:tc>
          <w:tcPr>
            <w:tcW w:w="2381" w:type="dxa"/>
            <w:vAlign w:val="top"/>
          </w:tcPr>
          <w:p w14:paraId="1CFEF137">
            <w:pPr>
              <w:spacing w:line="360" w:lineRule="auto"/>
              <w:rPr>
                <w:rFonts w:hint="eastAsia" w:ascii="宋体" w:hAnsi="宋体" w:eastAsia="宋体" w:cs="宋体"/>
                <w:color w:val="auto"/>
                <w:sz w:val="21"/>
                <w:szCs w:val="21"/>
                <w:highlight w:val="none"/>
              </w:rPr>
            </w:pPr>
          </w:p>
        </w:tc>
        <w:tc>
          <w:tcPr>
            <w:tcW w:w="2124" w:type="dxa"/>
            <w:vAlign w:val="top"/>
          </w:tcPr>
          <w:p w14:paraId="29151E70">
            <w:pPr>
              <w:spacing w:line="360" w:lineRule="auto"/>
              <w:rPr>
                <w:rFonts w:hint="eastAsia" w:ascii="宋体" w:hAnsi="宋体" w:eastAsia="宋体" w:cs="宋体"/>
                <w:color w:val="auto"/>
                <w:sz w:val="21"/>
                <w:szCs w:val="21"/>
                <w:highlight w:val="none"/>
              </w:rPr>
            </w:pPr>
          </w:p>
        </w:tc>
        <w:tc>
          <w:tcPr>
            <w:tcW w:w="1873" w:type="dxa"/>
            <w:vAlign w:val="top"/>
          </w:tcPr>
          <w:p w14:paraId="02B096BA">
            <w:pPr>
              <w:spacing w:line="360" w:lineRule="auto"/>
              <w:rPr>
                <w:rFonts w:hint="eastAsia" w:ascii="宋体" w:hAnsi="宋体" w:eastAsia="宋体" w:cs="宋体"/>
                <w:color w:val="auto"/>
                <w:sz w:val="21"/>
                <w:szCs w:val="21"/>
                <w:highlight w:val="none"/>
              </w:rPr>
            </w:pPr>
          </w:p>
        </w:tc>
        <w:tc>
          <w:tcPr>
            <w:tcW w:w="1013" w:type="dxa"/>
            <w:vAlign w:val="top"/>
          </w:tcPr>
          <w:p w14:paraId="2597B290">
            <w:pPr>
              <w:spacing w:line="360" w:lineRule="auto"/>
              <w:rPr>
                <w:rFonts w:hint="eastAsia" w:ascii="宋体" w:hAnsi="宋体" w:eastAsia="宋体" w:cs="宋体"/>
                <w:color w:val="auto"/>
                <w:sz w:val="21"/>
                <w:szCs w:val="21"/>
                <w:highlight w:val="none"/>
              </w:rPr>
            </w:pPr>
          </w:p>
        </w:tc>
      </w:tr>
      <w:tr w14:paraId="097BC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1E403396">
            <w:pPr>
              <w:spacing w:line="360" w:lineRule="auto"/>
              <w:rPr>
                <w:rFonts w:hint="eastAsia" w:ascii="宋体" w:hAnsi="宋体" w:eastAsia="宋体" w:cs="宋体"/>
                <w:color w:val="auto"/>
                <w:sz w:val="21"/>
                <w:szCs w:val="21"/>
                <w:highlight w:val="none"/>
              </w:rPr>
            </w:pPr>
          </w:p>
        </w:tc>
        <w:tc>
          <w:tcPr>
            <w:tcW w:w="1480" w:type="dxa"/>
            <w:vAlign w:val="top"/>
          </w:tcPr>
          <w:p w14:paraId="62BA31F1">
            <w:pPr>
              <w:spacing w:line="360" w:lineRule="auto"/>
              <w:rPr>
                <w:rFonts w:hint="eastAsia" w:ascii="宋体" w:hAnsi="宋体" w:eastAsia="宋体" w:cs="宋体"/>
                <w:color w:val="auto"/>
                <w:sz w:val="21"/>
                <w:szCs w:val="21"/>
                <w:highlight w:val="none"/>
              </w:rPr>
            </w:pPr>
          </w:p>
        </w:tc>
        <w:tc>
          <w:tcPr>
            <w:tcW w:w="2381" w:type="dxa"/>
            <w:vAlign w:val="top"/>
          </w:tcPr>
          <w:p w14:paraId="524EBBBA">
            <w:pPr>
              <w:spacing w:line="360" w:lineRule="auto"/>
              <w:rPr>
                <w:rFonts w:hint="eastAsia" w:ascii="宋体" w:hAnsi="宋体" w:eastAsia="宋体" w:cs="宋体"/>
                <w:color w:val="auto"/>
                <w:sz w:val="21"/>
                <w:szCs w:val="21"/>
                <w:highlight w:val="none"/>
              </w:rPr>
            </w:pPr>
          </w:p>
        </w:tc>
        <w:tc>
          <w:tcPr>
            <w:tcW w:w="2124" w:type="dxa"/>
            <w:vAlign w:val="top"/>
          </w:tcPr>
          <w:p w14:paraId="4FCF0F43">
            <w:pPr>
              <w:spacing w:line="360" w:lineRule="auto"/>
              <w:rPr>
                <w:rFonts w:hint="eastAsia" w:ascii="宋体" w:hAnsi="宋体" w:eastAsia="宋体" w:cs="宋体"/>
                <w:color w:val="auto"/>
                <w:sz w:val="21"/>
                <w:szCs w:val="21"/>
                <w:highlight w:val="none"/>
              </w:rPr>
            </w:pPr>
          </w:p>
        </w:tc>
        <w:tc>
          <w:tcPr>
            <w:tcW w:w="1873" w:type="dxa"/>
            <w:vAlign w:val="top"/>
          </w:tcPr>
          <w:p w14:paraId="3D275740">
            <w:pPr>
              <w:spacing w:line="360" w:lineRule="auto"/>
              <w:rPr>
                <w:rFonts w:hint="eastAsia" w:ascii="宋体" w:hAnsi="宋体" w:eastAsia="宋体" w:cs="宋体"/>
                <w:color w:val="auto"/>
                <w:sz w:val="21"/>
                <w:szCs w:val="21"/>
                <w:highlight w:val="none"/>
              </w:rPr>
            </w:pPr>
          </w:p>
        </w:tc>
        <w:tc>
          <w:tcPr>
            <w:tcW w:w="1013" w:type="dxa"/>
            <w:vAlign w:val="top"/>
          </w:tcPr>
          <w:p w14:paraId="2B3A1512">
            <w:pPr>
              <w:spacing w:line="360" w:lineRule="auto"/>
              <w:rPr>
                <w:rFonts w:hint="eastAsia" w:ascii="宋体" w:hAnsi="宋体" w:eastAsia="宋体" w:cs="宋体"/>
                <w:color w:val="auto"/>
                <w:sz w:val="21"/>
                <w:szCs w:val="21"/>
                <w:highlight w:val="none"/>
              </w:rPr>
            </w:pPr>
          </w:p>
        </w:tc>
      </w:tr>
      <w:tr w14:paraId="640C0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79" w:type="dxa"/>
            <w:vAlign w:val="top"/>
          </w:tcPr>
          <w:p w14:paraId="2505726C">
            <w:pPr>
              <w:spacing w:line="360" w:lineRule="auto"/>
              <w:rPr>
                <w:rFonts w:hint="eastAsia" w:ascii="宋体" w:hAnsi="宋体" w:eastAsia="宋体" w:cs="宋体"/>
                <w:color w:val="auto"/>
                <w:sz w:val="21"/>
                <w:szCs w:val="21"/>
                <w:highlight w:val="none"/>
              </w:rPr>
            </w:pPr>
          </w:p>
        </w:tc>
        <w:tc>
          <w:tcPr>
            <w:tcW w:w="1480" w:type="dxa"/>
            <w:vAlign w:val="top"/>
          </w:tcPr>
          <w:p w14:paraId="0DFBD71B">
            <w:pPr>
              <w:spacing w:line="360" w:lineRule="auto"/>
              <w:rPr>
                <w:rFonts w:hint="eastAsia" w:ascii="宋体" w:hAnsi="宋体" w:eastAsia="宋体" w:cs="宋体"/>
                <w:color w:val="auto"/>
                <w:sz w:val="21"/>
                <w:szCs w:val="21"/>
                <w:highlight w:val="none"/>
              </w:rPr>
            </w:pPr>
          </w:p>
        </w:tc>
        <w:tc>
          <w:tcPr>
            <w:tcW w:w="2381" w:type="dxa"/>
            <w:vAlign w:val="top"/>
          </w:tcPr>
          <w:p w14:paraId="0F40F67D">
            <w:pPr>
              <w:spacing w:line="360" w:lineRule="auto"/>
              <w:rPr>
                <w:rFonts w:hint="eastAsia" w:ascii="宋体" w:hAnsi="宋体" w:eastAsia="宋体" w:cs="宋体"/>
                <w:color w:val="auto"/>
                <w:sz w:val="21"/>
                <w:szCs w:val="21"/>
                <w:highlight w:val="none"/>
              </w:rPr>
            </w:pPr>
          </w:p>
        </w:tc>
        <w:tc>
          <w:tcPr>
            <w:tcW w:w="2124" w:type="dxa"/>
            <w:vAlign w:val="top"/>
          </w:tcPr>
          <w:p w14:paraId="6745AB5C">
            <w:pPr>
              <w:spacing w:line="360" w:lineRule="auto"/>
              <w:rPr>
                <w:rFonts w:hint="eastAsia" w:ascii="宋体" w:hAnsi="宋体" w:eastAsia="宋体" w:cs="宋体"/>
                <w:color w:val="auto"/>
                <w:sz w:val="21"/>
                <w:szCs w:val="21"/>
                <w:highlight w:val="none"/>
              </w:rPr>
            </w:pPr>
          </w:p>
        </w:tc>
        <w:tc>
          <w:tcPr>
            <w:tcW w:w="1873" w:type="dxa"/>
            <w:vAlign w:val="top"/>
          </w:tcPr>
          <w:p w14:paraId="5E2A547D">
            <w:pPr>
              <w:spacing w:line="360" w:lineRule="auto"/>
              <w:rPr>
                <w:rFonts w:hint="eastAsia" w:ascii="宋体" w:hAnsi="宋体" w:eastAsia="宋体" w:cs="宋体"/>
                <w:color w:val="auto"/>
                <w:sz w:val="21"/>
                <w:szCs w:val="21"/>
                <w:highlight w:val="none"/>
              </w:rPr>
            </w:pPr>
          </w:p>
        </w:tc>
        <w:tc>
          <w:tcPr>
            <w:tcW w:w="1013" w:type="dxa"/>
            <w:vAlign w:val="top"/>
          </w:tcPr>
          <w:p w14:paraId="2B9B1CCD">
            <w:pPr>
              <w:spacing w:line="360" w:lineRule="auto"/>
              <w:rPr>
                <w:rFonts w:hint="eastAsia" w:ascii="宋体" w:hAnsi="宋体" w:eastAsia="宋体" w:cs="宋体"/>
                <w:color w:val="auto"/>
                <w:sz w:val="21"/>
                <w:szCs w:val="21"/>
                <w:highlight w:val="none"/>
              </w:rPr>
            </w:pPr>
          </w:p>
        </w:tc>
      </w:tr>
      <w:tr w14:paraId="60F80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779" w:type="dxa"/>
            <w:vAlign w:val="top"/>
          </w:tcPr>
          <w:p w14:paraId="6ABC73AC">
            <w:pPr>
              <w:spacing w:line="360" w:lineRule="auto"/>
              <w:rPr>
                <w:rFonts w:hint="eastAsia" w:ascii="宋体" w:hAnsi="宋体" w:eastAsia="宋体" w:cs="宋体"/>
                <w:color w:val="auto"/>
                <w:sz w:val="21"/>
                <w:szCs w:val="21"/>
                <w:highlight w:val="none"/>
              </w:rPr>
            </w:pPr>
          </w:p>
        </w:tc>
        <w:tc>
          <w:tcPr>
            <w:tcW w:w="1480" w:type="dxa"/>
            <w:vAlign w:val="top"/>
          </w:tcPr>
          <w:p w14:paraId="11B16459">
            <w:pPr>
              <w:spacing w:line="360" w:lineRule="auto"/>
              <w:rPr>
                <w:rFonts w:hint="eastAsia" w:ascii="宋体" w:hAnsi="宋体" w:eastAsia="宋体" w:cs="宋体"/>
                <w:color w:val="auto"/>
                <w:sz w:val="21"/>
                <w:szCs w:val="21"/>
                <w:highlight w:val="none"/>
              </w:rPr>
            </w:pPr>
          </w:p>
        </w:tc>
        <w:tc>
          <w:tcPr>
            <w:tcW w:w="2381" w:type="dxa"/>
            <w:vAlign w:val="top"/>
          </w:tcPr>
          <w:p w14:paraId="1D0CF70C">
            <w:pPr>
              <w:spacing w:line="360" w:lineRule="auto"/>
              <w:rPr>
                <w:rFonts w:hint="eastAsia" w:ascii="宋体" w:hAnsi="宋体" w:eastAsia="宋体" w:cs="宋体"/>
                <w:color w:val="auto"/>
                <w:sz w:val="21"/>
                <w:szCs w:val="21"/>
                <w:highlight w:val="none"/>
              </w:rPr>
            </w:pPr>
          </w:p>
        </w:tc>
        <w:tc>
          <w:tcPr>
            <w:tcW w:w="2124" w:type="dxa"/>
            <w:vAlign w:val="top"/>
          </w:tcPr>
          <w:p w14:paraId="6AC5FD21">
            <w:pPr>
              <w:spacing w:line="360" w:lineRule="auto"/>
              <w:rPr>
                <w:rFonts w:hint="eastAsia" w:ascii="宋体" w:hAnsi="宋体" w:eastAsia="宋体" w:cs="宋体"/>
                <w:color w:val="auto"/>
                <w:sz w:val="21"/>
                <w:szCs w:val="21"/>
                <w:highlight w:val="none"/>
              </w:rPr>
            </w:pPr>
          </w:p>
        </w:tc>
        <w:tc>
          <w:tcPr>
            <w:tcW w:w="1873" w:type="dxa"/>
            <w:vAlign w:val="top"/>
          </w:tcPr>
          <w:p w14:paraId="1660B157">
            <w:pPr>
              <w:spacing w:line="360" w:lineRule="auto"/>
              <w:rPr>
                <w:rFonts w:hint="eastAsia" w:ascii="宋体" w:hAnsi="宋体" w:eastAsia="宋体" w:cs="宋体"/>
                <w:color w:val="auto"/>
                <w:sz w:val="21"/>
                <w:szCs w:val="21"/>
                <w:highlight w:val="none"/>
              </w:rPr>
            </w:pPr>
          </w:p>
        </w:tc>
        <w:tc>
          <w:tcPr>
            <w:tcW w:w="1013" w:type="dxa"/>
            <w:vAlign w:val="top"/>
          </w:tcPr>
          <w:p w14:paraId="4226E2D8">
            <w:pPr>
              <w:spacing w:line="360" w:lineRule="auto"/>
              <w:rPr>
                <w:rFonts w:hint="eastAsia" w:ascii="宋体" w:hAnsi="宋体" w:eastAsia="宋体" w:cs="宋体"/>
                <w:color w:val="auto"/>
                <w:sz w:val="21"/>
                <w:szCs w:val="21"/>
                <w:highlight w:val="none"/>
              </w:rPr>
            </w:pPr>
          </w:p>
        </w:tc>
      </w:tr>
      <w:tr w14:paraId="040E6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779" w:type="dxa"/>
            <w:vAlign w:val="top"/>
          </w:tcPr>
          <w:p w14:paraId="27DA32CE">
            <w:pPr>
              <w:spacing w:line="360" w:lineRule="auto"/>
              <w:rPr>
                <w:rFonts w:hint="eastAsia" w:ascii="宋体" w:hAnsi="宋体" w:eastAsia="宋体" w:cs="宋体"/>
                <w:color w:val="auto"/>
                <w:sz w:val="21"/>
                <w:szCs w:val="21"/>
                <w:highlight w:val="none"/>
              </w:rPr>
            </w:pPr>
          </w:p>
        </w:tc>
        <w:tc>
          <w:tcPr>
            <w:tcW w:w="1480" w:type="dxa"/>
            <w:vAlign w:val="top"/>
          </w:tcPr>
          <w:p w14:paraId="0A47591F">
            <w:pPr>
              <w:spacing w:line="360" w:lineRule="auto"/>
              <w:rPr>
                <w:rFonts w:hint="eastAsia" w:ascii="宋体" w:hAnsi="宋体" w:eastAsia="宋体" w:cs="宋体"/>
                <w:color w:val="auto"/>
                <w:sz w:val="21"/>
                <w:szCs w:val="21"/>
                <w:highlight w:val="none"/>
              </w:rPr>
            </w:pPr>
          </w:p>
        </w:tc>
        <w:tc>
          <w:tcPr>
            <w:tcW w:w="2381" w:type="dxa"/>
            <w:vAlign w:val="top"/>
          </w:tcPr>
          <w:p w14:paraId="65257D0C">
            <w:pPr>
              <w:spacing w:line="360" w:lineRule="auto"/>
              <w:rPr>
                <w:rFonts w:hint="eastAsia" w:ascii="宋体" w:hAnsi="宋体" w:eastAsia="宋体" w:cs="宋体"/>
                <w:color w:val="auto"/>
                <w:sz w:val="21"/>
                <w:szCs w:val="21"/>
                <w:highlight w:val="none"/>
              </w:rPr>
            </w:pPr>
          </w:p>
        </w:tc>
        <w:tc>
          <w:tcPr>
            <w:tcW w:w="2124" w:type="dxa"/>
            <w:vAlign w:val="top"/>
          </w:tcPr>
          <w:p w14:paraId="547E3DCC">
            <w:pPr>
              <w:spacing w:line="360" w:lineRule="auto"/>
              <w:rPr>
                <w:rFonts w:hint="eastAsia" w:ascii="宋体" w:hAnsi="宋体" w:eastAsia="宋体" w:cs="宋体"/>
                <w:color w:val="auto"/>
                <w:sz w:val="21"/>
                <w:szCs w:val="21"/>
                <w:highlight w:val="none"/>
              </w:rPr>
            </w:pPr>
          </w:p>
        </w:tc>
        <w:tc>
          <w:tcPr>
            <w:tcW w:w="1873" w:type="dxa"/>
            <w:vAlign w:val="top"/>
          </w:tcPr>
          <w:p w14:paraId="358C5B07">
            <w:pPr>
              <w:spacing w:line="360" w:lineRule="auto"/>
              <w:rPr>
                <w:rFonts w:hint="eastAsia" w:ascii="宋体" w:hAnsi="宋体" w:eastAsia="宋体" w:cs="宋体"/>
                <w:color w:val="auto"/>
                <w:sz w:val="21"/>
                <w:szCs w:val="21"/>
                <w:highlight w:val="none"/>
              </w:rPr>
            </w:pPr>
          </w:p>
        </w:tc>
        <w:tc>
          <w:tcPr>
            <w:tcW w:w="1013" w:type="dxa"/>
            <w:vAlign w:val="top"/>
          </w:tcPr>
          <w:p w14:paraId="02855BF9">
            <w:pPr>
              <w:spacing w:line="360" w:lineRule="auto"/>
              <w:rPr>
                <w:rFonts w:hint="eastAsia" w:ascii="宋体" w:hAnsi="宋体" w:eastAsia="宋体" w:cs="宋体"/>
                <w:color w:val="auto"/>
                <w:sz w:val="21"/>
                <w:szCs w:val="21"/>
                <w:highlight w:val="none"/>
              </w:rPr>
            </w:pPr>
          </w:p>
        </w:tc>
      </w:tr>
      <w:tr w14:paraId="3AE1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79" w:type="dxa"/>
            <w:vAlign w:val="top"/>
          </w:tcPr>
          <w:p w14:paraId="11A3C11C">
            <w:pPr>
              <w:spacing w:line="360" w:lineRule="auto"/>
              <w:rPr>
                <w:rFonts w:hint="eastAsia" w:ascii="宋体" w:hAnsi="宋体" w:eastAsia="宋体" w:cs="宋体"/>
                <w:color w:val="auto"/>
                <w:sz w:val="21"/>
                <w:szCs w:val="21"/>
                <w:highlight w:val="none"/>
              </w:rPr>
            </w:pPr>
          </w:p>
        </w:tc>
        <w:tc>
          <w:tcPr>
            <w:tcW w:w="1480" w:type="dxa"/>
            <w:vAlign w:val="top"/>
          </w:tcPr>
          <w:p w14:paraId="10161A7D">
            <w:pPr>
              <w:spacing w:line="360" w:lineRule="auto"/>
              <w:rPr>
                <w:rFonts w:hint="eastAsia" w:ascii="宋体" w:hAnsi="宋体" w:eastAsia="宋体" w:cs="宋体"/>
                <w:color w:val="auto"/>
                <w:sz w:val="21"/>
                <w:szCs w:val="21"/>
                <w:highlight w:val="none"/>
              </w:rPr>
            </w:pPr>
          </w:p>
        </w:tc>
        <w:tc>
          <w:tcPr>
            <w:tcW w:w="2381" w:type="dxa"/>
            <w:vAlign w:val="top"/>
          </w:tcPr>
          <w:p w14:paraId="0D594E28">
            <w:pPr>
              <w:spacing w:line="360" w:lineRule="auto"/>
              <w:rPr>
                <w:rFonts w:hint="eastAsia" w:ascii="宋体" w:hAnsi="宋体" w:eastAsia="宋体" w:cs="宋体"/>
                <w:color w:val="auto"/>
                <w:sz w:val="21"/>
                <w:szCs w:val="21"/>
                <w:highlight w:val="none"/>
              </w:rPr>
            </w:pPr>
          </w:p>
        </w:tc>
        <w:tc>
          <w:tcPr>
            <w:tcW w:w="2124" w:type="dxa"/>
            <w:vAlign w:val="top"/>
          </w:tcPr>
          <w:p w14:paraId="5357D94C">
            <w:pPr>
              <w:spacing w:line="360" w:lineRule="auto"/>
              <w:rPr>
                <w:rFonts w:hint="eastAsia" w:ascii="宋体" w:hAnsi="宋体" w:eastAsia="宋体" w:cs="宋体"/>
                <w:color w:val="auto"/>
                <w:sz w:val="21"/>
                <w:szCs w:val="21"/>
                <w:highlight w:val="none"/>
              </w:rPr>
            </w:pPr>
          </w:p>
        </w:tc>
        <w:tc>
          <w:tcPr>
            <w:tcW w:w="1873" w:type="dxa"/>
            <w:vAlign w:val="top"/>
          </w:tcPr>
          <w:p w14:paraId="7AB40796">
            <w:pPr>
              <w:spacing w:line="360" w:lineRule="auto"/>
              <w:rPr>
                <w:rFonts w:hint="eastAsia" w:ascii="宋体" w:hAnsi="宋体" w:eastAsia="宋体" w:cs="宋体"/>
                <w:color w:val="auto"/>
                <w:sz w:val="21"/>
                <w:szCs w:val="21"/>
                <w:highlight w:val="none"/>
              </w:rPr>
            </w:pPr>
          </w:p>
        </w:tc>
        <w:tc>
          <w:tcPr>
            <w:tcW w:w="1013" w:type="dxa"/>
            <w:vAlign w:val="top"/>
          </w:tcPr>
          <w:p w14:paraId="214501E3">
            <w:pPr>
              <w:spacing w:line="360" w:lineRule="auto"/>
              <w:rPr>
                <w:rFonts w:hint="eastAsia" w:ascii="宋体" w:hAnsi="宋体" w:eastAsia="宋体" w:cs="宋体"/>
                <w:color w:val="auto"/>
                <w:sz w:val="21"/>
                <w:szCs w:val="21"/>
                <w:highlight w:val="none"/>
              </w:rPr>
            </w:pPr>
          </w:p>
        </w:tc>
      </w:tr>
    </w:tbl>
    <w:p w14:paraId="6651F54C">
      <w:pPr>
        <w:pStyle w:val="6"/>
        <w:spacing w:line="360" w:lineRule="auto"/>
        <w:rPr>
          <w:rFonts w:hint="eastAsia" w:ascii="宋体" w:hAnsi="宋体" w:eastAsia="宋体" w:cs="宋体"/>
          <w:color w:val="auto"/>
          <w:sz w:val="21"/>
          <w:szCs w:val="21"/>
          <w:highlight w:val="none"/>
        </w:rPr>
      </w:pPr>
    </w:p>
    <w:p w14:paraId="477C7FE6">
      <w:pPr>
        <w:pStyle w:val="6"/>
        <w:spacing w:line="360" w:lineRule="auto"/>
        <w:rPr>
          <w:rFonts w:hint="eastAsia" w:ascii="宋体" w:hAnsi="宋体" w:eastAsia="宋体" w:cs="宋体"/>
          <w:color w:val="auto"/>
          <w:sz w:val="21"/>
          <w:szCs w:val="21"/>
          <w:highlight w:val="none"/>
        </w:rPr>
      </w:pPr>
    </w:p>
    <w:p w14:paraId="68B0DF64">
      <w:pPr>
        <w:spacing w:before="79" w:line="360" w:lineRule="auto"/>
        <w:ind w:left="303"/>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注：</w:t>
      </w:r>
    </w:p>
    <w:p w14:paraId="2CC526EE">
      <w:pPr>
        <w:spacing w:before="20" w:line="360" w:lineRule="auto"/>
        <w:ind w:left="303" w:right="426" w:firstLine="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  对竞争性磋商文件中的所有商务、技术要求，除本表所列明的所有偏离外，均视作</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1"/>
          <w:sz w:val="21"/>
          <w:szCs w:val="21"/>
          <w:highlight w:val="none"/>
        </w:rPr>
        <w:t>供应商已对之理解和响应。此表中若无任何文字说明，内容为空白的，</w:t>
      </w:r>
      <w:r>
        <w:rPr>
          <w:rFonts w:hint="eastAsia" w:ascii="宋体" w:hAnsi="宋体" w:eastAsia="宋体" w:cs="宋体"/>
          <w:b/>
          <w:bCs/>
          <w:color w:val="auto"/>
          <w:spacing w:val="-1"/>
          <w:sz w:val="21"/>
          <w:szCs w:val="21"/>
          <w:highlight w:val="none"/>
        </w:rPr>
        <w:t>响应无效</w:t>
      </w:r>
      <w:r>
        <w:rPr>
          <w:rFonts w:hint="eastAsia" w:ascii="宋体" w:hAnsi="宋体" w:eastAsia="宋体" w:cs="宋体"/>
          <w:color w:val="auto"/>
          <w:spacing w:val="-1"/>
          <w:sz w:val="21"/>
          <w:szCs w:val="21"/>
          <w:highlight w:val="none"/>
        </w:rPr>
        <w:t>。</w:t>
      </w:r>
    </w:p>
    <w:p w14:paraId="6E115697">
      <w:pPr>
        <w:spacing w:before="26" w:line="360" w:lineRule="auto"/>
        <w:ind w:left="29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2.“偏离情况 ”列应据实填写 “无偏离 ” 、“正偏离 ”或 “负偏离 ”。如对采购需求没有偏离，表格中只在偏离情况中填写“无偏离”其余项无需填写。</w:t>
      </w:r>
    </w:p>
    <w:p w14:paraId="731E96AD">
      <w:pPr>
        <w:pStyle w:val="6"/>
        <w:spacing w:line="360" w:lineRule="auto"/>
        <w:rPr>
          <w:rFonts w:hint="eastAsia" w:ascii="宋体" w:hAnsi="宋体" w:eastAsia="宋体" w:cs="宋体"/>
          <w:color w:val="auto"/>
          <w:sz w:val="21"/>
          <w:szCs w:val="21"/>
          <w:highlight w:val="none"/>
        </w:rPr>
      </w:pPr>
    </w:p>
    <w:p w14:paraId="55D1307D">
      <w:pPr>
        <w:pStyle w:val="6"/>
        <w:spacing w:line="360" w:lineRule="auto"/>
        <w:rPr>
          <w:rFonts w:hint="eastAsia" w:ascii="宋体" w:hAnsi="宋体" w:eastAsia="宋体" w:cs="宋体"/>
          <w:color w:val="auto"/>
          <w:sz w:val="21"/>
          <w:szCs w:val="21"/>
          <w:highlight w:val="none"/>
        </w:rPr>
      </w:pPr>
    </w:p>
    <w:p w14:paraId="74D6F4F5">
      <w:pPr>
        <w:spacing w:before="79" w:line="360" w:lineRule="auto"/>
        <w:ind w:left="303"/>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供应商名称（加盖公章</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9"/>
          <w:sz w:val="21"/>
          <w:szCs w:val="21"/>
          <w:highlight w:val="none"/>
        </w:rPr>
        <w:t>______</w:t>
      </w:r>
    </w:p>
    <w:p w14:paraId="50560307">
      <w:pPr>
        <w:spacing w:before="216" w:line="360" w:lineRule="auto"/>
        <w:ind w:left="34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日期：____年____月____</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3"/>
          <w:sz w:val="21"/>
          <w:szCs w:val="21"/>
          <w:highlight w:val="none"/>
        </w:rPr>
        <w:t>日</w:t>
      </w:r>
    </w:p>
    <w:p w14:paraId="51A8F964">
      <w:pPr>
        <w:spacing w:line="212" w:lineRule="auto"/>
        <w:rPr>
          <w:rFonts w:ascii="宋体" w:hAnsi="宋体" w:eastAsia="宋体" w:cs="宋体"/>
          <w:color w:val="auto"/>
          <w:sz w:val="24"/>
          <w:szCs w:val="24"/>
          <w:highlight w:val="none"/>
        </w:rPr>
        <w:sectPr>
          <w:headerReference r:id="rId48" w:type="default"/>
          <w:footerReference r:id="rId49" w:type="default"/>
          <w:pgSz w:w="11907" w:h="16840"/>
          <w:pgMar w:top="1167" w:right="839" w:bottom="1011" w:left="1406" w:header="830" w:footer="851" w:gutter="0"/>
          <w:pgNumType w:fmt="decimal"/>
          <w:cols w:space="720" w:num="1"/>
        </w:sectPr>
      </w:pPr>
    </w:p>
    <w:p w14:paraId="3E29C1E5">
      <w:pPr>
        <w:spacing w:before="287" w:line="219" w:lineRule="auto"/>
        <w:ind w:left="137"/>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    </w:t>
      </w:r>
      <w:r>
        <w:rPr>
          <w:rFonts w:ascii="宋体" w:hAnsi="宋体" w:eastAsia="宋体" w:cs="宋体"/>
          <w:color w:val="auto"/>
          <w:spacing w:val="4"/>
          <w:sz w:val="24"/>
          <w:szCs w:val="24"/>
          <w:highlight w:val="none"/>
        </w:rPr>
        <w:t>拟投入本项目主要人员汇总表</w:t>
      </w:r>
    </w:p>
    <w:p w14:paraId="5D9DE7B3">
      <w:pPr>
        <w:spacing w:before="286" w:line="206" w:lineRule="auto"/>
        <w:ind w:left="1845"/>
        <w:rPr>
          <w:rFonts w:ascii="宋体" w:hAnsi="宋体" w:eastAsia="宋体" w:cs="宋体"/>
          <w:color w:val="auto"/>
          <w:sz w:val="28"/>
          <w:szCs w:val="28"/>
          <w:highlight w:val="none"/>
        </w:rPr>
      </w:pPr>
      <w:r>
        <w:rPr>
          <w:rFonts w:ascii="宋体" w:hAnsi="宋体" w:eastAsia="宋体" w:cs="宋体"/>
          <w:b/>
          <w:bCs/>
          <w:color w:val="auto"/>
          <w:spacing w:val="-15"/>
          <w:sz w:val="28"/>
          <w:szCs w:val="28"/>
          <w:highlight w:val="none"/>
        </w:rPr>
        <w:t>11-1</w:t>
      </w:r>
      <w:r>
        <w:rPr>
          <w:rFonts w:ascii="宋体" w:hAnsi="宋体" w:eastAsia="宋体" w:cs="宋体"/>
          <w:color w:val="auto"/>
          <w:spacing w:val="-78"/>
          <w:sz w:val="28"/>
          <w:szCs w:val="28"/>
          <w:highlight w:val="none"/>
        </w:rPr>
        <w:t xml:space="preserve"> </w:t>
      </w:r>
      <w:r>
        <w:rPr>
          <w:rFonts w:ascii="宋体" w:hAnsi="宋体" w:eastAsia="宋体" w:cs="宋体"/>
          <w:b/>
          <w:bCs/>
          <w:color w:val="auto"/>
          <w:spacing w:val="-15"/>
          <w:sz w:val="28"/>
          <w:szCs w:val="28"/>
          <w:highlight w:val="none"/>
        </w:rPr>
        <w:t>拟投入本项目的主要人员汇总表</w:t>
      </w:r>
    </w:p>
    <w:tbl>
      <w:tblPr>
        <w:tblStyle w:val="18"/>
        <w:tblW w:w="927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3"/>
        <w:gridCol w:w="1096"/>
        <w:gridCol w:w="933"/>
        <w:gridCol w:w="1051"/>
        <w:gridCol w:w="1149"/>
        <w:gridCol w:w="1226"/>
        <w:gridCol w:w="1531"/>
        <w:gridCol w:w="1541"/>
      </w:tblGrid>
      <w:tr w14:paraId="00BFF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0" w:hRule="atLeast"/>
        </w:trPr>
        <w:tc>
          <w:tcPr>
            <w:tcW w:w="743" w:type="dxa"/>
            <w:vAlign w:val="top"/>
          </w:tcPr>
          <w:p w14:paraId="2887D632">
            <w:pPr>
              <w:spacing w:line="269" w:lineRule="auto"/>
              <w:rPr>
                <w:rFonts w:hint="eastAsia" w:ascii="宋体" w:hAnsi="宋体" w:eastAsia="宋体" w:cs="宋体"/>
                <w:color w:val="auto"/>
                <w:sz w:val="21"/>
                <w:szCs w:val="21"/>
                <w:highlight w:val="none"/>
              </w:rPr>
            </w:pPr>
          </w:p>
          <w:p w14:paraId="364A1290">
            <w:pPr>
              <w:pStyle w:val="19"/>
              <w:spacing w:before="78" w:line="221" w:lineRule="auto"/>
              <w:ind w:left="12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096" w:type="dxa"/>
            <w:vAlign w:val="top"/>
          </w:tcPr>
          <w:p w14:paraId="14724DED">
            <w:pPr>
              <w:spacing w:line="268" w:lineRule="auto"/>
              <w:rPr>
                <w:rFonts w:hint="eastAsia" w:ascii="宋体" w:hAnsi="宋体" w:eastAsia="宋体" w:cs="宋体"/>
                <w:color w:val="auto"/>
                <w:sz w:val="21"/>
                <w:szCs w:val="21"/>
                <w:highlight w:val="none"/>
              </w:rPr>
            </w:pPr>
          </w:p>
          <w:p w14:paraId="51FB8FD2">
            <w:pPr>
              <w:pStyle w:val="19"/>
              <w:spacing w:before="78" w:line="220" w:lineRule="auto"/>
              <w:ind w:left="29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姓名</w:t>
            </w:r>
          </w:p>
        </w:tc>
        <w:tc>
          <w:tcPr>
            <w:tcW w:w="933" w:type="dxa"/>
            <w:vAlign w:val="top"/>
          </w:tcPr>
          <w:p w14:paraId="73793B59">
            <w:pPr>
              <w:spacing w:line="268" w:lineRule="auto"/>
              <w:rPr>
                <w:rFonts w:hint="eastAsia" w:ascii="宋体" w:hAnsi="宋体" w:eastAsia="宋体" w:cs="宋体"/>
                <w:color w:val="auto"/>
                <w:sz w:val="21"/>
                <w:szCs w:val="21"/>
                <w:highlight w:val="none"/>
              </w:rPr>
            </w:pPr>
          </w:p>
          <w:p w14:paraId="555F3CEC">
            <w:pPr>
              <w:pStyle w:val="19"/>
              <w:spacing w:before="78" w:line="220" w:lineRule="auto"/>
              <w:ind w:left="218"/>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年龄</w:t>
            </w:r>
          </w:p>
        </w:tc>
        <w:tc>
          <w:tcPr>
            <w:tcW w:w="1051" w:type="dxa"/>
            <w:vAlign w:val="top"/>
          </w:tcPr>
          <w:p w14:paraId="792079B7">
            <w:pPr>
              <w:spacing w:line="269" w:lineRule="auto"/>
              <w:rPr>
                <w:rFonts w:hint="eastAsia" w:ascii="宋体" w:hAnsi="宋体" w:eastAsia="宋体" w:cs="宋体"/>
                <w:color w:val="auto"/>
                <w:sz w:val="21"/>
                <w:szCs w:val="21"/>
                <w:highlight w:val="none"/>
              </w:rPr>
            </w:pPr>
          </w:p>
          <w:p w14:paraId="0166B93C">
            <w:pPr>
              <w:pStyle w:val="19"/>
              <w:spacing w:before="78" w:line="221" w:lineRule="auto"/>
              <w:ind w:left="283"/>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学历</w:t>
            </w:r>
          </w:p>
        </w:tc>
        <w:tc>
          <w:tcPr>
            <w:tcW w:w="1149" w:type="dxa"/>
            <w:vAlign w:val="top"/>
          </w:tcPr>
          <w:p w14:paraId="62999B08">
            <w:pPr>
              <w:spacing w:line="268" w:lineRule="auto"/>
              <w:rPr>
                <w:rFonts w:hint="eastAsia" w:ascii="宋体" w:hAnsi="宋体" w:eastAsia="宋体" w:cs="宋体"/>
                <w:color w:val="auto"/>
                <w:sz w:val="21"/>
                <w:szCs w:val="21"/>
                <w:highlight w:val="none"/>
              </w:rPr>
            </w:pPr>
          </w:p>
          <w:p w14:paraId="0C8A7EAB">
            <w:pPr>
              <w:pStyle w:val="19"/>
              <w:spacing w:before="78" w:line="222" w:lineRule="auto"/>
              <w:ind w:left="33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职称</w:t>
            </w:r>
          </w:p>
        </w:tc>
        <w:tc>
          <w:tcPr>
            <w:tcW w:w="1226" w:type="dxa"/>
            <w:vAlign w:val="top"/>
          </w:tcPr>
          <w:p w14:paraId="014B8BEC">
            <w:pPr>
              <w:pStyle w:val="19"/>
              <w:spacing w:before="194" w:line="241" w:lineRule="auto"/>
              <w:ind w:left="254" w:right="179" w:hanging="5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职业/执</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业资格</w:t>
            </w:r>
          </w:p>
        </w:tc>
        <w:tc>
          <w:tcPr>
            <w:tcW w:w="1531" w:type="dxa"/>
            <w:vAlign w:val="top"/>
          </w:tcPr>
          <w:p w14:paraId="1FD09A91">
            <w:pPr>
              <w:spacing w:line="268" w:lineRule="auto"/>
              <w:rPr>
                <w:rFonts w:hint="eastAsia" w:ascii="宋体" w:hAnsi="宋体" w:eastAsia="宋体" w:cs="宋体"/>
                <w:color w:val="auto"/>
                <w:sz w:val="21"/>
                <w:szCs w:val="21"/>
                <w:highlight w:val="none"/>
              </w:rPr>
            </w:pPr>
          </w:p>
          <w:p w14:paraId="5AB89F2C">
            <w:pPr>
              <w:pStyle w:val="19"/>
              <w:spacing w:before="78" w:line="220" w:lineRule="auto"/>
              <w:ind w:left="29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工作年限</w:t>
            </w:r>
          </w:p>
        </w:tc>
        <w:tc>
          <w:tcPr>
            <w:tcW w:w="1541" w:type="dxa"/>
            <w:vAlign w:val="top"/>
          </w:tcPr>
          <w:p w14:paraId="6653EAB4">
            <w:pPr>
              <w:pStyle w:val="19"/>
              <w:spacing w:before="37" w:line="219" w:lineRule="auto"/>
              <w:ind w:left="17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拟在本项目</w:t>
            </w:r>
          </w:p>
          <w:p w14:paraId="676E3706">
            <w:pPr>
              <w:pStyle w:val="19"/>
              <w:spacing w:before="26" w:line="220" w:lineRule="auto"/>
              <w:ind w:left="17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担任职位、</w:t>
            </w:r>
          </w:p>
          <w:p w14:paraId="7D6A0FA1">
            <w:pPr>
              <w:pStyle w:val="19"/>
              <w:spacing w:before="25" w:line="208" w:lineRule="auto"/>
              <w:ind w:left="537"/>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分工</w:t>
            </w:r>
          </w:p>
        </w:tc>
      </w:tr>
      <w:tr w14:paraId="4071F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37EB5E7C">
            <w:pPr>
              <w:rPr>
                <w:rFonts w:hint="eastAsia" w:ascii="宋体" w:hAnsi="宋体" w:eastAsia="宋体" w:cs="宋体"/>
                <w:color w:val="auto"/>
                <w:sz w:val="21"/>
                <w:szCs w:val="21"/>
                <w:highlight w:val="none"/>
              </w:rPr>
            </w:pPr>
          </w:p>
        </w:tc>
        <w:tc>
          <w:tcPr>
            <w:tcW w:w="1096" w:type="dxa"/>
            <w:vAlign w:val="top"/>
          </w:tcPr>
          <w:p w14:paraId="6773CBD3">
            <w:pPr>
              <w:rPr>
                <w:rFonts w:hint="eastAsia" w:ascii="宋体" w:hAnsi="宋体" w:eastAsia="宋体" w:cs="宋体"/>
                <w:color w:val="auto"/>
                <w:sz w:val="21"/>
                <w:szCs w:val="21"/>
                <w:highlight w:val="none"/>
              </w:rPr>
            </w:pPr>
          </w:p>
        </w:tc>
        <w:tc>
          <w:tcPr>
            <w:tcW w:w="933" w:type="dxa"/>
            <w:vAlign w:val="top"/>
          </w:tcPr>
          <w:p w14:paraId="13E9F263">
            <w:pPr>
              <w:rPr>
                <w:rFonts w:hint="eastAsia" w:ascii="宋体" w:hAnsi="宋体" w:eastAsia="宋体" w:cs="宋体"/>
                <w:color w:val="auto"/>
                <w:sz w:val="21"/>
                <w:szCs w:val="21"/>
                <w:highlight w:val="none"/>
              </w:rPr>
            </w:pPr>
          </w:p>
        </w:tc>
        <w:tc>
          <w:tcPr>
            <w:tcW w:w="1051" w:type="dxa"/>
            <w:vAlign w:val="top"/>
          </w:tcPr>
          <w:p w14:paraId="01A4B8C1">
            <w:pPr>
              <w:rPr>
                <w:rFonts w:hint="eastAsia" w:ascii="宋体" w:hAnsi="宋体" w:eastAsia="宋体" w:cs="宋体"/>
                <w:color w:val="auto"/>
                <w:sz w:val="21"/>
                <w:szCs w:val="21"/>
                <w:highlight w:val="none"/>
              </w:rPr>
            </w:pPr>
          </w:p>
        </w:tc>
        <w:tc>
          <w:tcPr>
            <w:tcW w:w="1149" w:type="dxa"/>
            <w:vAlign w:val="top"/>
          </w:tcPr>
          <w:p w14:paraId="24632A2D">
            <w:pPr>
              <w:rPr>
                <w:rFonts w:hint="eastAsia" w:ascii="宋体" w:hAnsi="宋体" w:eastAsia="宋体" w:cs="宋体"/>
                <w:color w:val="auto"/>
                <w:sz w:val="21"/>
                <w:szCs w:val="21"/>
                <w:highlight w:val="none"/>
              </w:rPr>
            </w:pPr>
          </w:p>
        </w:tc>
        <w:tc>
          <w:tcPr>
            <w:tcW w:w="1226" w:type="dxa"/>
            <w:vAlign w:val="top"/>
          </w:tcPr>
          <w:p w14:paraId="5CE41FE9">
            <w:pPr>
              <w:rPr>
                <w:rFonts w:hint="eastAsia" w:ascii="宋体" w:hAnsi="宋体" w:eastAsia="宋体" w:cs="宋体"/>
                <w:color w:val="auto"/>
                <w:sz w:val="21"/>
                <w:szCs w:val="21"/>
                <w:highlight w:val="none"/>
              </w:rPr>
            </w:pPr>
          </w:p>
        </w:tc>
        <w:tc>
          <w:tcPr>
            <w:tcW w:w="1531" w:type="dxa"/>
            <w:vAlign w:val="top"/>
          </w:tcPr>
          <w:p w14:paraId="0E113CD6">
            <w:pPr>
              <w:rPr>
                <w:rFonts w:hint="eastAsia" w:ascii="宋体" w:hAnsi="宋体" w:eastAsia="宋体" w:cs="宋体"/>
                <w:color w:val="auto"/>
                <w:sz w:val="21"/>
                <w:szCs w:val="21"/>
                <w:highlight w:val="none"/>
              </w:rPr>
            </w:pPr>
          </w:p>
        </w:tc>
        <w:tc>
          <w:tcPr>
            <w:tcW w:w="1541" w:type="dxa"/>
            <w:vAlign w:val="top"/>
          </w:tcPr>
          <w:p w14:paraId="294F2282">
            <w:pPr>
              <w:rPr>
                <w:rFonts w:hint="eastAsia" w:ascii="宋体" w:hAnsi="宋体" w:eastAsia="宋体" w:cs="宋体"/>
                <w:color w:val="auto"/>
                <w:sz w:val="21"/>
                <w:szCs w:val="21"/>
                <w:highlight w:val="none"/>
              </w:rPr>
            </w:pPr>
          </w:p>
        </w:tc>
      </w:tr>
      <w:tr w14:paraId="4602CE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5AAFB47C">
            <w:pPr>
              <w:rPr>
                <w:rFonts w:hint="eastAsia" w:ascii="宋体" w:hAnsi="宋体" w:eastAsia="宋体" w:cs="宋体"/>
                <w:color w:val="auto"/>
                <w:sz w:val="21"/>
                <w:szCs w:val="21"/>
                <w:highlight w:val="none"/>
              </w:rPr>
            </w:pPr>
          </w:p>
        </w:tc>
        <w:tc>
          <w:tcPr>
            <w:tcW w:w="1096" w:type="dxa"/>
            <w:vAlign w:val="top"/>
          </w:tcPr>
          <w:p w14:paraId="06DABC86">
            <w:pPr>
              <w:rPr>
                <w:rFonts w:hint="eastAsia" w:ascii="宋体" w:hAnsi="宋体" w:eastAsia="宋体" w:cs="宋体"/>
                <w:color w:val="auto"/>
                <w:sz w:val="21"/>
                <w:szCs w:val="21"/>
                <w:highlight w:val="none"/>
              </w:rPr>
            </w:pPr>
          </w:p>
        </w:tc>
        <w:tc>
          <w:tcPr>
            <w:tcW w:w="933" w:type="dxa"/>
            <w:vAlign w:val="top"/>
          </w:tcPr>
          <w:p w14:paraId="1BA990F1">
            <w:pPr>
              <w:rPr>
                <w:rFonts w:hint="eastAsia" w:ascii="宋体" w:hAnsi="宋体" w:eastAsia="宋体" w:cs="宋体"/>
                <w:color w:val="auto"/>
                <w:sz w:val="21"/>
                <w:szCs w:val="21"/>
                <w:highlight w:val="none"/>
              </w:rPr>
            </w:pPr>
          </w:p>
        </w:tc>
        <w:tc>
          <w:tcPr>
            <w:tcW w:w="1051" w:type="dxa"/>
            <w:vAlign w:val="top"/>
          </w:tcPr>
          <w:p w14:paraId="05D88824">
            <w:pPr>
              <w:rPr>
                <w:rFonts w:hint="eastAsia" w:ascii="宋体" w:hAnsi="宋体" w:eastAsia="宋体" w:cs="宋体"/>
                <w:color w:val="auto"/>
                <w:sz w:val="21"/>
                <w:szCs w:val="21"/>
                <w:highlight w:val="none"/>
              </w:rPr>
            </w:pPr>
          </w:p>
        </w:tc>
        <w:tc>
          <w:tcPr>
            <w:tcW w:w="1149" w:type="dxa"/>
            <w:vAlign w:val="top"/>
          </w:tcPr>
          <w:p w14:paraId="3AAB73C3">
            <w:pPr>
              <w:rPr>
                <w:rFonts w:hint="eastAsia" w:ascii="宋体" w:hAnsi="宋体" w:eastAsia="宋体" w:cs="宋体"/>
                <w:color w:val="auto"/>
                <w:sz w:val="21"/>
                <w:szCs w:val="21"/>
                <w:highlight w:val="none"/>
              </w:rPr>
            </w:pPr>
          </w:p>
        </w:tc>
        <w:tc>
          <w:tcPr>
            <w:tcW w:w="1226" w:type="dxa"/>
            <w:vAlign w:val="top"/>
          </w:tcPr>
          <w:p w14:paraId="171CFCA5">
            <w:pPr>
              <w:rPr>
                <w:rFonts w:hint="eastAsia" w:ascii="宋体" w:hAnsi="宋体" w:eastAsia="宋体" w:cs="宋体"/>
                <w:color w:val="auto"/>
                <w:sz w:val="21"/>
                <w:szCs w:val="21"/>
                <w:highlight w:val="none"/>
              </w:rPr>
            </w:pPr>
          </w:p>
        </w:tc>
        <w:tc>
          <w:tcPr>
            <w:tcW w:w="1531" w:type="dxa"/>
            <w:vAlign w:val="top"/>
          </w:tcPr>
          <w:p w14:paraId="781C17FA">
            <w:pPr>
              <w:rPr>
                <w:rFonts w:hint="eastAsia" w:ascii="宋体" w:hAnsi="宋体" w:eastAsia="宋体" w:cs="宋体"/>
                <w:color w:val="auto"/>
                <w:sz w:val="21"/>
                <w:szCs w:val="21"/>
                <w:highlight w:val="none"/>
              </w:rPr>
            </w:pPr>
          </w:p>
        </w:tc>
        <w:tc>
          <w:tcPr>
            <w:tcW w:w="1541" w:type="dxa"/>
            <w:vAlign w:val="top"/>
          </w:tcPr>
          <w:p w14:paraId="2DC1B6FF">
            <w:pPr>
              <w:rPr>
                <w:rFonts w:hint="eastAsia" w:ascii="宋体" w:hAnsi="宋体" w:eastAsia="宋体" w:cs="宋体"/>
                <w:color w:val="auto"/>
                <w:sz w:val="21"/>
                <w:szCs w:val="21"/>
                <w:highlight w:val="none"/>
              </w:rPr>
            </w:pPr>
          </w:p>
        </w:tc>
      </w:tr>
      <w:tr w14:paraId="106FE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6003141A">
            <w:pPr>
              <w:rPr>
                <w:rFonts w:hint="eastAsia" w:ascii="宋体" w:hAnsi="宋体" w:eastAsia="宋体" w:cs="宋体"/>
                <w:color w:val="auto"/>
                <w:sz w:val="21"/>
                <w:szCs w:val="21"/>
                <w:highlight w:val="none"/>
              </w:rPr>
            </w:pPr>
          </w:p>
        </w:tc>
        <w:tc>
          <w:tcPr>
            <w:tcW w:w="1096" w:type="dxa"/>
            <w:vAlign w:val="top"/>
          </w:tcPr>
          <w:p w14:paraId="7AB79C9E">
            <w:pPr>
              <w:rPr>
                <w:rFonts w:hint="eastAsia" w:ascii="宋体" w:hAnsi="宋体" w:eastAsia="宋体" w:cs="宋体"/>
                <w:color w:val="auto"/>
                <w:sz w:val="21"/>
                <w:szCs w:val="21"/>
                <w:highlight w:val="none"/>
              </w:rPr>
            </w:pPr>
          </w:p>
        </w:tc>
        <w:tc>
          <w:tcPr>
            <w:tcW w:w="933" w:type="dxa"/>
            <w:vAlign w:val="top"/>
          </w:tcPr>
          <w:p w14:paraId="5EA18A57">
            <w:pPr>
              <w:rPr>
                <w:rFonts w:hint="eastAsia" w:ascii="宋体" w:hAnsi="宋体" w:eastAsia="宋体" w:cs="宋体"/>
                <w:color w:val="auto"/>
                <w:sz w:val="21"/>
                <w:szCs w:val="21"/>
                <w:highlight w:val="none"/>
              </w:rPr>
            </w:pPr>
          </w:p>
        </w:tc>
        <w:tc>
          <w:tcPr>
            <w:tcW w:w="1051" w:type="dxa"/>
            <w:vAlign w:val="top"/>
          </w:tcPr>
          <w:p w14:paraId="69EC2FAF">
            <w:pPr>
              <w:rPr>
                <w:rFonts w:hint="eastAsia" w:ascii="宋体" w:hAnsi="宋体" w:eastAsia="宋体" w:cs="宋体"/>
                <w:color w:val="auto"/>
                <w:sz w:val="21"/>
                <w:szCs w:val="21"/>
                <w:highlight w:val="none"/>
              </w:rPr>
            </w:pPr>
          </w:p>
        </w:tc>
        <w:tc>
          <w:tcPr>
            <w:tcW w:w="1149" w:type="dxa"/>
            <w:vAlign w:val="top"/>
          </w:tcPr>
          <w:p w14:paraId="37025311">
            <w:pPr>
              <w:rPr>
                <w:rFonts w:hint="eastAsia" w:ascii="宋体" w:hAnsi="宋体" w:eastAsia="宋体" w:cs="宋体"/>
                <w:color w:val="auto"/>
                <w:sz w:val="21"/>
                <w:szCs w:val="21"/>
                <w:highlight w:val="none"/>
              </w:rPr>
            </w:pPr>
          </w:p>
        </w:tc>
        <w:tc>
          <w:tcPr>
            <w:tcW w:w="1226" w:type="dxa"/>
            <w:vAlign w:val="top"/>
          </w:tcPr>
          <w:p w14:paraId="2C4DA1A2">
            <w:pPr>
              <w:rPr>
                <w:rFonts w:hint="eastAsia" w:ascii="宋体" w:hAnsi="宋体" w:eastAsia="宋体" w:cs="宋体"/>
                <w:color w:val="auto"/>
                <w:sz w:val="21"/>
                <w:szCs w:val="21"/>
                <w:highlight w:val="none"/>
              </w:rPr>
            </w:pPr>
          </w:p>
        </w:tc>
        <w:tc>
          <w:tcPr>
            <w:tcW w:w="1531" w:type="dxa"/>
            <w:vAlign w:val="top"/>
          </w:tcPr>
          <w:p w14:paraId="21CD9F5D">
            <w:pPr>
              <w:rPr>
                <w:rFonts w:hint="eastAsia" w:ascii="宋体" w:hAnsi="宋体" w:eastAsia="宋体" w:cs="宋体"/>
                <w:color w:val="auto"/>
                <w:sz w:val="21"/>
                <w:szCs w:val="21"/>
                <w:highlight w:val="none"/>
              </w:rPr>
            </w:pPr>
          </w:p>
        </w:tc>
        <w:tc>
          <w:tcPr>
            <w:tcW w:w="1541" w:type="dxa"/>
            <w:vAlign w:val="top"/>
          </w:tcPr>
          <w:p w14:paraId="77000F78">
            <w:pPr>
              <w:rPr>
                <w:rFonts w:hint="eastAsia" w:ascii="宋体" w:hAnsi="宋体" w:eastAsia="宋体" w:cs="宋体"/>
                <w:color w:val="auto"/>
                <w:sz w:val="21"/>
                <w:szCs w:val="21"/>
                <w:highlight w:val="none"/>
              </w:rPr>
            </w:pPr>
          </w:p>
        </w:tc>
      </w:tr>
      <w:tr w14:paraId="0C0397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743" w:type="dxa"/>
            <w:vAlign w:val="top"/>
          </w:tcPr>
          <w:p w14:paraId="79D080FC">
            <w:pPr>
              <w:rPr>
                <w:rFonts w:hint="eastAsia" w:ascii="宋体" w:hAnsi="宋体" w:eastAsia="宋体" w:cs="宋体"/>
                <w:color w:val="auto"/>
                <w:sz w:val="21"/>
                <w:szCs w:val="21"/>
                <w:highlight w:val="none"/>
              </w:rPr>
            </w:pPr>
          </w:p>
        </w:tc>
        <w:tc>
          <w:tcPr>
            <w:tcW w:w="1096" w:type="dxa"/>
            <w:vAlign w:val="top"/>
          </w:tcPr>
          <w:p w14:paraId="46E3143F">
            <w:pPr>
              <w:rPr>
                <w:rFonts w:hint="eastAsia" w:ascii="宋体" w:hAnsi="宋体" w:eastAsia="宋体" w:cs="宋体"/>
                <w:color w:val="auto"/>
                <w:sz w:val="21"/>
                <w:szCs w:val="21"/>
                <w:highlight w:val="none"/>
              </w:rPr>
            </w:pPr>
          </w:p>
        </w:tc>
        <w:tc>
          <w:tcPr>
            <w:tcW w:w="933" w:type="dxa"/>
            <w:vAlign w:val="top"/>
          </w:tcPr>
          <w:p w14:paraId="29542177">
            <w:pPr>
              <w:rPr>
                <w:rFonts w:hint="eastAsia" w:ascii="宋体" w:hAnsi="宋体" w:eastAsia="宋体" w:cs="宋体"/>
                <w:color w:val="auto"/>
                <w:sz w:val="21"/>
                <w:szCs w:val="21"/>
                <w:highlight w:val="none"/>
              </w:rPr>
            </w:pPr>
          </w:p>
        </w:tc>
        <w:tc>
          <w:tcPr>
            <w:tcW w:w="1051" w:type="dxa"/>
            <w:vAlign w:val="top"/>
          </w:tcPr>
          <w:p w14:paraId="312CE923">
            <w:pPr>
              <w:rPr>
                <w:rFonts w:hint="eastAsia" w:ascii="宋体" w:hAnsi="宋体" w:eastAsia="宋体" w:cs="宋体"/>
                <w:color w:val="auto"/>
                <w:sz w:val="21"/>
                <w:szCs w:val="21"/>
                <w:highlight w:val="none"/>
              </w:rPr>
            </w:pPr>
          </w:p>
        </w:tc>
        <w:tc>
          <w:tcPr>
            <w:tcW w:w="1149" w:type="dxa"/>
            <w:vAlign w:val="top"/>
          </w:tcPr>
          <w:p w14:paraId="6A2BDEA0">
            <w:pPr>
              <w:rPr>
                <w:rFonts w:hint="eastAsia" w:ascii="宋体" w:hAnsi="宋体" w:eastAsia="宋体" w:cs="宋体"/>
                <w:color w:val="auto"/>
                <w:sz w:val="21"/>
                <w:szCs w:val="21"/>
                <w:highlight w:val="none"/>
              </w:rPr>
            </w:pPr>
          </w:p>
        </w:tc>
        <w:tc>
          <w:tcPr>
            <w:tcW w:w="1226" w:type="dxa"/>
            <w:vAlign w:val="top"/>
          </w:tcPr>
          <w:p w14:paraId="1B0123EE">
            <w:pPr>
              <w:rPr>
                <w:rFonts w:hint="eastAsia" w:ascii="宋体" w:hAnsi="宋体" w:eastAsia="宋体" w:cs="宋体"/>
                <w:color w:val="auto"/>
                <w:sz w:val="21"/>
                <w:szCs w:val="21"/>
                <w:highlight w:val="none"/>
              </w:rPr>
            </w:pPr>
          </w:p>
        </w:tc>
        <w:tc>
          <w:tcPr>
            <w:tcW w:w="1531" w:type="dxa"/>
            <w:vAlign w:val="top"/>
          </w:tcPr>
          <w:p w14:paraId="72EB63F2">
            <w:pPr>
              <w:rPr>
                <w:rFonts w:hint="eastAsia" w:ascii="宋体" w:hAnsi="宋体" w:eastAsia="宋体" w:cs="宋体"/>
                <w:color w:val="auto"/>
                <w:sz w:val="21"/>
                <w:szCs w:val="21"/>
                <w:highlight w:val="none"/>
              </w:rPr>
            </w:pPr>
          </w:p>
        </w:tc>
        <w:tc>
          <w:tcPr>
            <w:tcW w:w="1541" w:type="dxa"/>
            <w:vAlign w:val="top"/>
          </w:tcPr>
          <w:p w14:paraId="187F582D">
            <w:pPr>
              <w:rPr>
                <w:rFonts w:hint="eastAsia" w:ascii="宋体" w:hAnsi="宋体" w:eastAsia="宋体" w:cs="宋体"/>
                <w:color w:val="auto"/>
                <w:sz w:val="21"/>
                <w:szCs w:val="21"/>
                <w:highlight w:val="none"/>
              </w:rPr>
            </w:pPr>
          </w:p>
        </w:tc>
      </w:tr>
      <w:tr w14:paraId="603530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29122078">
            <w:pPr>
              <w:rPr>
                <w:rFonts w:hint="eastAsia" w:ascii="宋体" w:hAnsi="宋体" w:eastAsia="宋体" w:cs="宋体"/>
                <w:color w:val="auto"/>
                <w:sz w:val="21"/>
                <w:szCs w:val="21"/>
                <w:highlight w:val="none"/>
              </w:rPr>
            </w:pPr>
          </w:p>
        </w:tc>
        <w:tc>
          <w:tcPr>
            <w:tcW w:w="1096" w:type="dxa"/>
            <w:vAlign w:val="top"/>
          </w:tcPr>
          <w:p w14:paraId="241C8F4E">
            <w:pPr>
              <w:rPr>
                <w:rFonts w:hint="eastAsia" w:ascii="宋体" w:hAnsi="宋体" w:eastAsia="宋体" w:cs="宋体"/>
                <w:color w:val="auto"/>
                <w:sz w:val="21"/>
                <w:szCs w:val="21"/>
                <w:highlight w:val="none"/>
              </w:rPr>
            </w:pPr>
          </w:p>
        </w:tc>
        <w:tc>
          <w:tcPr>
            <w:tcW w:w="933" w:type="dxa"/>
            <w:vAlign w:val="top"/>
          </w:tcPr>
          <w:p w14:paraId="24279048">
            <w:pPr>
              <w:rPr>
                <w:rFonts w:hint="eastAsia" w:ascii="宋体" w:hAnsi="宋体" w:eastAsia="宋体" w:cs="宋体"/>
                <w:color w:val="auto"/>
                <w:sz w:val="21"/>
                <w:szCs w:val="21"/>
                <w:highlight w:val="none"/>
              </w:rPr>
            </w:pPr>
          </w:p>
        </w:tc>
        <w:tc>
          <w:tcPr>
            <w:tcW w:w="1051" w:type="dxa"/>
            <w:vAlign w:val="top"/>
          </w:tcPr>
          <w:p w14:paraId="1B3073C5">
            <w:pPr>
              <w:rPr>
                <w:rFonts w:hint="eastAsia" w:ascii="宋体" w:hAnsi="宋体" w:eastAsia="宋体" w:cs="宋体"/>
                <w:color w:val="auto"/>
                <w:sz w:val="21"/>
                <w:szCs w:val="21"/>
                <w:highlight w:val="none"/>
              </w:rPr>
            </w:pPr>
          </w:p>
        </w:tc>
        <w:tc>
          <w:tcPr>
            <w:tcW w:w="1149" w:type="dxa"/>
            <w:vAlign w:val="top"/>
          </w:tcPr>
          <w:p w14:paraId="20AF5FEF">
            <w:pPr>
              <w:rPr>
                <w:rFonts w:hint="eastAsia" w:ascii="宋体" w:hAnsi="宋体" w:eastAsia="宋体" w:cs="宋体"/>
                <w:color w:val="auto"/>
                <w:sz w:val="21"/>
                <w:szCs w:val="21"/>
                <w:highlight w:val="none"/>
              </w:rPr>
            </w:pPr>
          </w:p>
        </w:tc>
        <w:tc>
          <w:tcPr>
            <w:tcW w:w="1226" w:type="dxa"/>
            <w:vAlign w:val="top"/>
          </w:tcPr>
          <w:p w14:paraId="737BFF85">
            <w:pPr>
              <w:rPr>
                <w:rFonts w:hint="eastAsia" w:ascii="宋体" w:hAnsi="宋体" w:eastAsia="宋体" w:cs="宋体"/>
                <w:color w:val="auto"/>
                <w:sz w:val="21"/>
                <w:szCs w:val="21"/>
                <w:highlight w:val="none"/>
              </w:rPr>
            </w:pPr>
          </w:p>
        </w:tc>
        <w:tc>
          <w:tcPr>
            <w:tcW w:w="1531" w:type="dxa"/>
            <w:vAlign w:val="top"/>
          </w:tcPr>
          <w:p w14:paraId="332DF720">
            <w:pPr>
              <w:rPr>
                <w:rFonts w:hint="eastAsia" w:ascii="宋体" w:hAnsi="宋体" w:eastAsia="宋体" w:cs="宋体"/>
                <w:color w:val="auto"/>
                <w:sz w:val="21"/>
                <w:szCs w:val="21"/>
                <w:highlight w:val="none"/>
              </w:rPr>
            </w:pPr>
          </w:p>
        </w:tc>
        <w:tc>
          <w:tcPr>
            <w:tcW w:w="1541" w:type="dxa"/>
            <w:vAlign w:val="top"/>
          </w:tcPr>
          <w:p w14:paraId="74B3A325">
            <w:pPr>
              <w:rPr>
                <w:rFonts w:hint="eastAsia" w:ascii="宋体" w:hAnsi="宋体" w:eastAsia="宋体" w:cs="宋体"/>
                <w:color w:val="auto"/>
                <w:sz w:val="21"/>
                <w:szCs w:val="21"/>
                <w:highlight w:val="none"/>
              </w:rPr>
            </w:pPr>
          </w:p>
        </w:tc>
      </w:tr>
      <w:tr w14:paraId="45980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1E10F851">
            <w:pPr>
              <w:rPr>
                <w:rFonts w:hint="eastAsia" w:ascii="宋体" w:hAnsi="宋体" w:eastAsia="宋体" w:cs="宋体"/>
                <w:color w:val="auto"/>
                <w:sz w:val="21"/>
                <w:szCs w:val="21"/>
                <w:highlight w:val="none"/>
              </w:rPr>
            </w:pPr>
          </w:p>
        </w:tc>
        <w:tc>
          <w:tcPr>
            <w:tcW w:w="1096" w:type="dxa"/>
            <w:vAlign w:val="top"/>
          </w:tcPr>
          <w:p w14:paraId="4765C5A8">
            <w:pPr>
              <w:rPr>
                <w:rFonts w:hint="eastAsia" w:ascii="宋体" w:hAnsi="宋体" w:eastAsia="宋体" w:cs="宋体"/>
                <w:color w:val="auto"/>
                <w:sz w:val="21"/>
                <w:szCs w:val="21"/>
                <w:highlight w:val="none"/>
              </w:rPr>
            </w:pPr>
          </w:p>
        </w:tc>
        <w:tc>
          <w:tcPr>
            <w:tcW w:w="933" w:type="dxa"/>
            <w:vAlign w:val="top"/>
          </w:tcPr>
          <w:p w14:paraId="77A52782">
            <w:pPr>
              <w:rPr>
                <w:rFonts w:hint="eastAsia" w:ascii="宋体" w:hAnsi="宋体" w:eastAsia="宋体" w:cs="宋体"/>
                <w:color w:val="auto"/>
                <w:sz w:val="21"/>
                <w:szCs w:val="21"/>
                <w:highlight w:val="none"/>
              </w:rPr>
            </w:pPr>
          </w:p>
        </w:tc>
        <w:tc>
          <w:tcPr>
            <w:tcW w:w="1051" w:type="dxa"/>
            <w:vAlign w:val="top"/>
          </w:tcPr>
          <w:p w14:paraId="35B1D09E">
            <w:pPr>
              <w:rPr>
                <w:rFonts w:hint="eastAsia" w:ascii="宋体" w:hAnsi="宋体" w:eastAsia="宋体" w:cs="宋体"/>
                <w:color w:val="auto"/>
                <w:sz w:val="21"/>
                <w:szCs w:val="21"/>
                <w:highlight w:val="none"/>
              </w:rPr>
            </w:pPr>
          </w:p>
        </w:tc>
        <w:tc>
          <w:tcPr>
            <w:tcW w:w="1149" w:type="dxa"/>
            <w:vAlign w:val="top"/>
          </w:tcPr>
          <w:p w14:paraId="4DE7D2D2">
            <w:pPr>
              <w:rPr>
                <w:rFonts w:hint="eastAsia" w:ascii="宋体" w:hAnsi="宋体" w:eastAsia="宋体" w:cs="宋体"/>
                <w:color w:val="auto"/>
                <w:sz w:val="21"/>
                <w:szCs w:val="21"/>
                <w:highlight w:val="none"/>
              </w:rPr>
            </w:pPr>
          </w:p>
        </w:tc>
        <w:tc>
          <w:tcPr>
            <w:tcW w:w="1226" w:type="dxa"/>
            <w:vAlign w:val="top"/>
          </w:tcPr>
          <w:p w14:paraId="78E2AF20">
            <w:pPr>
              <w:rPr>
                <w:rFonts w:hint="eastAsia" w:ascii="宋体" w:hAnsi="宋体" w:eastAsia="宋体" w:cs="宋体"/>
                <w:color w:val="auto"/>
                <w:sz w:val="21"/>
                <w:szCs w:val="21"/>
                <w:highlight w:val="none"/>
              </w:rPr>
            </w:pPr>
          </w:p>
        </w:tc>
        <w:tc>
          <w:tcPr>
            <w:tcW w:w="1531" w:type="dxa"/>
            <w:vAlign w:val="top"/>
          </w:tcPr>
          <w:p w14:paraId="411503F4">
            <w:pPr>
              <w:rPr>
                <w:rFonts w:hint="eastAsia" w:ascii="宋体" w:hAnsi="宋体" w:eastAsia="宋体" w:cs="宋体"/>
                <w:color w:val="auto"/>
                <w:sz w:val="21"/>
                <w:szCs w:val="21"/>
                <w:highlight w:val="none"/>
              </w:rPr>
            </w:pPr>
          </w:p>
        </w:tc>
        <w:tc>
          <w:tcPr>
            <w:tcW w:w="1541" w:type="dxa"/>
            <w:vAlign w:val="top"/>
          </w:tcPr>
          <w:p w14:paraId="54AE8A71">
            <w:pPr>
              <w:rPr>
                <w:rFonts w:hint="eastAsia" w:ascii="宋体" w:hAnsi="宋体" w:eastAsia="宋体" w:cs="宋体"/>
                <w:color w:val="auto"/>
                <w:sz w:val="21"/>
                <w:szCs w:val="21"/>
                <w:highlight w:val="none"/>
              </w:rPr>
            </w:pPr>
          </w:p>
        </w:tc>
      </w:tr>
      <w:tr w14:paraId="4A1D2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43" w:type="dxa"/>
            <w:vAlign w:val="top"/>
          </w:tcPr>
          <w:p w14:paraId="3E01F3C5">
            <w:pPr>
              <w:rPr>
                <w:rFonts w:hint="eastAsia" w:ascii="宋体" w:hAnsi="宋体" w:eastAsia="宋体" w:cs="宋体"/>
                <w:color w:val="auto"/>
                <w:sz w:val="21"/>
                <w:szCs w:val="21"/>
                <w:highlight w:val="none"/>
              </w:rPr>
            </w:pPr>
          </w:p>
        </w:tc>
        <w:tc>
          <w:tcPr>
            <w:tcW w:w="1096" w:type="dxa"/>
            <w:vAlign w:val="top"/>
          </w:tcPr>
          <w:p w14:paraId="3ED13CA1">
            <w:pPr>
              <w:rPr>
                <w:rFonts w:hint="eastAsia" w:ascii="宋体" w:hAnsi="宋体" w:eastAsia="宋体" w:cs="宋体"/>
                <w:color w:val="auto"/>
                <w:sz w:val="21"/>
                <w:szCs w:val="21"/>
                <w:highlight w:val="none"/>
              </w:rPr>
            </w:pPr>
          </w:p>
        </w:tc>
        <w:tc>
          <w:tcPr>
            <w:tcW w:w="933" w:type="dxa"/>
            <w:vAlign w:val="top"/>
          </w:tcPr>
          <w:p w14:paraId="5A3CF1DB">
            <w:pPr>
              <w:rPr>
                <w:rFonts w:hint="eastAsia" w:ascii="宋体" w:hAnsi="宋体" w:eastAsia="宋体" w:cs="宋体"/>
                <w:color w:val="auto"/>
                <w:sz w:val="21"/>
                <w:szCs w:val="21"/>
                <w:highlight w:val="none"/>
              </w:rPr>
            </w:pPr>
          </w:p>
        </w:tc>
        <w:tc>
          <w:tcPr>
            <w:tcW w:w="1051" w:type="dxa"/>
            <w:vAlign w:val="top"/>
          </w:tcPr>
          <w:p w14:paraId="4E97DB47">
            <w:pPr>
              <w:rPr>
                <w:rFonts w:hint="eastAsia" w:ascii="宋体" w:hAnsi="宋体" w:eastAsia="宋体" w:cs="宋体"/>
                <w:color w:val="auto"/>
                <w:sz w:val="21"/>
                <w:szCs w:val="21"/>
                <w:highlight w:val="none"/>
              </w:rPr>
            </w:pPr>
          </w:p>
        </w:tc>
        <w:tc>
          <w:tcPr>
            <w:tcW w:w="1149" w:type="dxa"/>
            <w:vAlign w:val="top"/>
          </w:tcPr>
          <w:p w14:paraId="02BC18D8">
            <w:pPr>
              <w:rPr>
                <w:rFonts w:hint="eastAsia" w:ascii="宋体" w:hAnsi="宋体" w:eastAsia="宋体" w:cs="宋体"/>
                <w:color w:val="auto"/>
                <w:sz w:val="21"/>
                <w:szCs w:val="21"/>
                <w:highlight w:val="none"/>
              </w:rPr>
            </w:pPr>
          </w:p>
        </w:tc>
        <w:tc>
          <w:tcPr>
            <w:tcW w:w="1226" w:type="dxa"/>
            <w:vAlign w:val="top"/>
          </w:tcPr>
          <w:p w14:paraId="35045EDE">
            <w:pPr>
              <w:rPr>
                <w:rFonts w:hint="eastAsia" w:ascii="宋体" w:hAnsi="宋体" w:eastAsia="宋体" w:cs="宋体"/>
                <w:color w:val="auto"/>
                <w:sz w:val="21"/>
                <w:szCs w:val="21"/>
                <w:highlight w:val="none"/>
              </w:rPr>
            </w:pPr>
          </w:p>
        </w:tc>
        <w:tc>
          <w:tcPr>
            <w:tcW w:w="1531" w:type="dxa"/>
            <w:vAlign w:val="top"/>
          </w:tcPr>
          <w:p w14:paraId="2388C195">
            <w:pPr>
              <w:rPr>
                <w:rFonts w:hint="eastAsia" w:ascii="宋体" w:hAnsi="宋体" w:eastAsia="宋体" w:cs="宋体"/>
                <w:color w:val="auto"/>
                <w:sz w:val="21"/>
                <w:szCs w:val="21"/>
                <w:highlight w:val="none"/>
              </w:rPr>
            </w:pPr>
          </w:p>
        </w:tc>
        <w:tc>
          <w:tcPr>
            <w:tcW w:w="1541" w:type="dxa"/>
            <w:vAlign w:val="top"/>
          </w:tcPr>
          <w:p w14:paraId="327F63DC">
            <w:pPr>
              <w:rPr>
                <w:rFonts w:hint="eastAsia" w:ascii="宋体" w:hAnsi="宋体" w:eastAsia="宋体" w:cs="宋体"/>
                <w:color w:val="auto"/>
                <w:sz w:val="21"/>
                <w:szCs w:val="21"/>
                <w:highlight w:val="none"/>
              </w:rPr>
            </w:pPr>
          </w:p>
        </w:tc>
      </w:tr>
      <w:tr w14:paraId="7C26F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743" w:type="dxa"/>
            <w:vAlign w:val="top"/>
          </w:tcPr>
          <w:p w14:paraId="1B0C972C">
            <w:pPr>
              <w:rPr>
                <w:rFonts w:hint="eastAsia" w:ascii="宋体" w:hAnsi="宋体" w:eastAsia="宋体" w:cs="宋体"/>
                <w:color w:val="auto"/>
                <w:sz w:val="21"/>
                <w:szCs w:val="21"/>
                <w:highlight w:val="none"/>
              </w:rPr>
            </w:pPr>
          </w:p>
        </w:tc>
        <w:tc>
          <w:tcPr>
            <w:tcW w:w="1096" w:type="dxa"/>
            <w:vAlign w:val="top"/>
          </w:tcPr>
          <w:p w14:paraId="4F2C5143">
            <w:pPr>
              <w:rPr>
                <w:rFonts w:hint="eastAsia" w:ascii="宋体" w:hAnsi="宋体" w:eastAsia="宋体" w:cs="宋体"/>
                <w:color w:val="auto"/>
                <w:sz w:val="21"/>
                <w:szCs w:val="21"/>
                <w:highlight w:val="none"/>
              </w:rPr>
            </w:pPr>
          </w:p>
        </w:tc>
        <w:tc>
          <w:tcPr>
            <w:tcW w:w="933" w:type="dxa"/>
            <w:vAlign w:val="top"/>
          </w:tcPr>
          <w:p w14:paraId="3EBE1824">
            <w:pPr>
              <w:rPr>
                <w:rFonts w:hint="eastAsia" w:ascii="宋体" w:hAnsi="宋体" w:eastAsia="宋体" w:cs="宋体"/>
                <w:color w:val="auto"/>
                <w:sz w:val="21"/>
                <w:szCs w:val="21"/>
                <w:highlight w:val="none"/>
              </w:rPr>
            </w:pPr>
          </w:p>
        </w:tc>
        <w:tc>
          <w:tcPr>
            <w:tcW w:w="1051" w:type="dxa"/>
            <w:vAlign w:val="top"/>
          </w:tcPr>
          <w:p w14:paraId="42134191">
            <w:pPr>
              <w:rPr>
                <w:rFonts w:hint="eastAsia" w:ascii="宋体" w:hAnsi="宋体" w:eastAsia="宋体" w:cs="宋体"/>
                <w:color w:val="auto"/>
                <w:sz w:val="21"/>
                <w:szCs w:val="21"/>
                <w:highlight w:val="none"/>
              </w:rPr>
            </w:pPr>
          </w:p>
        </w:tc>
        <w:tc>
          <w:tcPr>
            <w:tcW w:w="1149" w:type="dxa"/>
            <w:vAlign w:val="top"/>
          </w:tcPr>
          <w:p w14:paraId="76885EA4">
            <w:pPr>
              <w:rPr>
                <w:rFonts w:hint="eastAsia" w:ascii="宋体" w:hAnsi="宋体" w:eastAsia="宋体" w:cs="宋体"/>
                <w:color w:val="auto"/>
                <w:sz w:val="21"/>
                <w:szCs w:val="21"/>
                <w:highlight w:val="none"/>
              </w:rPr>
            </w:pPr>
          </w:p>
        </w:tc>
        <w:tc>
          <w:tcPr>
            <w:tcW w:w="1226" w:type="dxa"/>
            <w:vAlign w:val="top"/>
          </w:tcPr>
          <w:p w14:paraId="043AFF24">
            <w:pPr>
              <w:rPr>
                <w:rFonts w:hint="eastAsia" w:ascii="宋体" w:hAnsi="宋体" w:eastAsia="宋体" w:cs="宋体"/>
                <w:color w:val="auto"/>
                <w:sz w:val="21"/>
                <w:szCs w:val="21"/>
                <w:highlight w:val="none"/>
              </w:rPr>
            </w:pPr>
          </w:p>
        </w:tc>
        <w:tc>
          <w:tcPr>
            <w:tcW w:w="1531" w:type="dxa"/>
            <w:vAlign w:val="top"/>
          </w:tcPr>
          <w:p w14:paraId="2E015BD7">
            <w:pPr>
              <w:rPr>
                <w:rFonts w:hint="eastAsia" w:ascii="宋体" w:hAnsi="宋体" w:eastAsia="宋体" w:cs="宋体"/>
                <w:color w:val="auto"/>
                <w:sz w:val="21"/>
                <w:szCs w:val="21"/>
                <w:highlight w:val="none"/>
              </w:rPr>
            </w:pPr>
          </w:p>
        </w:tc>
        <w:tc>
          <w:tcPr>
            <w:tcW w:w="1541" w:type="dxa"/>
            <w:vAlign w:val="top"/>
          </w:tcPr>
          <w:p w14:paraId="6C5F531E">
            <w:pPr>
              <w:rPr>
                <w:rFonts w:hint="eastAsia" w:ascii="宋体" w:hAnsi="宋体" w:eastAsia="宋体" w:cs="宋体"/>
                <w:color w:val="auto"/>
                <w:sz w:val="21"/>
                <w:szCs w:val="21"/>
                <w:highlight w:val="none"/>
              </w:rPr>
            </w:pPr>
          </w:p>
        </w:tc>
      </w:tr>
    </w:tbl>
    <w:p w14:paraId="09F8E9BC">
      <w:pPr>
        <w:pStyle w:val="6"/>
        <w:rPr>
          <w:color w:val="auto"/>
          <w:highlight w:val="none"/>
        </w:rPr>
      </w:pPr>
    </w:p>
    <w:p w14:paraId="79E9A7F0">
      <w:pPr>
        <w:rPr>
          <w:color w:val="auto"/>
          <w:highlight w:val="none"/>
        </w:rPr>
        <w:sectPr>
          <w:headerReference r:id="rId50" w:type="default"/>
          <w:footerReference r:id="rId51" w:type="default"/>
          <w:pgSz w:w="11907" w:h="16840"/>
          <w:pgMar w:top="1167" w:right="1024" w:bottom="1011" w:left="1591" w:header="830" w:footer="851" w:gutter="0"/>
          <w:pgNumType w:fmt="decimal"/>
          <w:cols w:space="720" w:num="1"/>
        </w:sectPr>
      </w:pPr>
    </w:p>
    <w:p w14:paraId="18D26B28">
      <w:pPr>
        <w:pStyle w:val="6"/>
        <w:spacing w:line="258" w:lineRule="auto"/>
        <w:rPr>
          <w:color w:val="auto"/>
          <w:highlight w:val="none"/>
        </w:rPr>
      </w:pPr>
    </w:p>
    <w:p w14:paraId="61DC9C8E">
      <w:pPr>
        <w:pStyle w:val="6"/>
        <w:spacing w:line="259" w:lineRule="auto"/>
        <w:rPr>
          <w:color w:val="auto"/>
          <w:highlight w:val="none"/>
        </w:rPr>
      </w:pPr>
    </w:p>
    <w:p w14:paraId="53E6F835">
      <w:pPr>
        <w:pStyle w:val="6"/>
        <w:spacing w:line="259" w:lineRule="auto"/>
        <w:rPr>
          <w:color w:val="auto"/>
          <w:highlight w:val="none"/>
        </w:rPr>
      </w:pPr>
    </w:p>
    <w:p w14:paraId="2C2D5AEE">
      <w:pPr>
        <w:pStyle w:val="6"/>
        <w:spacing w:line="259" w:lineRule="auto"/>
        <w:rPr>
          <w:color w:val="auto"/>
          <w:highlight w:val="none"/>
        </w:rPr>
      </w:pPr>
    </w:p>
    <w:p w14:paraId="6E0F616F">
      <w:pPr>
        <w:spacing w:before="286" w:line="206" w:lineRule="auto"/>
        <w:ind w:left="1845"/>
        <w:rPr>
          <w:rFonts w:ascii="宋体" w:hAnsi="宋体" w:eastAsia="宋体" w:cs="宋体"/>
          <w:b/>
          <w:bCs/>
          <w:color w:val="auto"/>
          <w:spacing w:val="-15"/>
          <w:sz w:val="28"/>
          <w:szCs w:val="28"/>
          <w:highlight w:val="none"/>
        </w:rPr>
      </w:pPr>
      <w:r>
        <w:rPr>
          <w:rFonts w:ascii="宋体" w:hAnsi="宋体" w:eastAsia="宋体" w:cs="宋体"/>
          <w:b/>
          <w:bCs/>
          <w:color w:val="auto"/>
          <w:spacing w:val="-15"/>
          <w:sz w:val="28"/>
          <w:szCs w:val="28"/>
          <w:highlight w:val="none"/>
        </w:rPr>
        <w:t>11-2 拟派人员（主要人员）简历表</w:t>
      </w:r>
    </w:p>
    <w:tbl>
      <w:tblPr>
        <w:tblStyle w:val="18"/>
        <w:tblW w:w="9020" w:type="dxa"/>
        <w:tblInd w:w="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7"/>
        <w:gridCol w:w="1789"/>
        <w:gridCol w:w="1262"/>
        <w:gridCol w:w="1336"/>
        <w:gridCol w:w="1447"/>
        <w:gridCol w:w="1989"/>
      </w:tblGrid>
      <w:tr w14:paraId="6C384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8" w:hRule="atLeast"/>
        </w:trPr>
        <w:tc>
          <w:tcPr>
            <w:tcW w:w="1197" w:type="dxa"/>
            <w:vAlign w:val="top"/>
          </w:tcPr>
          <w:p w14:paraId="0F19D661">
            <w:pPr>
              <w:pStyle w:val="19"/>
              <w:spacing w:before="196" w:line="220" w:lineRule="auto"/>
              <w:ind w:left="354"/>
              <w:rPr>
                <w:color w:val="auto"/>
                <w:sz w:val="21"/>
                <w:szCs w:val="21"/>
                <w:highlight w:val="none"/>
              </w:rPr>
            </w:pPr>
            <w:r>
              <w:rPr>
                <w:color w:val="auto"/>
                <w:spacing w:val="-3"/>
                <w:sz w:val="21"/>
                <w:szCs w:val="21"/>
                <w:highlight w:val="none"/>
              </w:rPr>
              <w:t>姓名</w:t>
            </w:r>
          </w:p>
        </w:tc>
        <w:tc>
          <w:tcPr>
            <w:tcW w:w="1789" w:type="dxa"/>
            <w:vAlign w:val="top"/>
          </w:tcPr>
          <w:p w14:paraId="42A3FE71">
            <w:pPr>
              <w:rPr>
                <w:rFonts w:ascii="Arial"/>
                <w:color w:val="auto"/>
                <w:sz w:val="21"/>
                <w:szCs w:val="21"/>
                <w:highlight w:val="none"/>
              </w:rPr>
            </w:pPr>
          </w:p>
        </w:tc>
        <w:tc>
          <w:tcPr>
            <w:tcW w:w="1262" w:type="dxa"/>
            <w:vAlign w:val="top"/>
          </w:tcPr>
          <w:p w14:paraId="5209820E">
            <w:pPr>
              <w:pStyle w:val="19"/>
              <w:spacing w:before="196" w:line="220" w:lineRule="auto"/>
              <w:ind w:left="389"/>
              <w:rPr>
                <w:color w:val="auto"/>
                <w:sz w:val="21"/>
                <w:szCs w:val="21"/>
                <w:highlight w:val="none"/>
              </w:rPr>
            </w:pPr>
            <w:r>
              <w:rPr>
                <w:color w:val="auto"/>
                <w:spacing w:val="-3"/>
                <w:sz w:val="21"/>
                <w:szCs w:val="21"/>
                <w:highlight w:val="none"/>
              </w:rPr>
              <w:t>年龄</w:t>
            </w:r>
          </w:p>
        </w:tc>
        <w:tc>
          <w:tcPr>
            <w:tcW w:w="1336" w:type="dxa"/>
            <w:vAlign w:val="top"/>
          </w:tcPr>
          <w:p w14:paraId="55963A1C">
            <w:pPr>
              <w:rPr>
                <w:rFonts w:ascii="Arial"/>
                <w:color w:val="auto"/>
                <w:sz w:val="21"/>
                <w:szCs w:val="21"/>
                <w:highlight w:val="none"/>
              </w:rPr>
            </w:pPr>
          </w:p>
        </w:tc>
        <w:tc>
          <w:tcPr>
            <w:tcW w:w="1447" w:type="dxa"/>
            <w:vAlign w:val="top"/>
          </w:tcPr>
          <w:p w14:paraId="20573D72">
            <w:pPr>
              <w:pStyle w:val="19"/>
              <w:spacing w:before="40" w:line="220" w:lineRule="auto"/>
              <w:ind w:left="127"/>
              <w:rPr>
                <w:color w:val="auto"/>
                <w:sz w:val="21"/>
                <w:szCs w:val="21"/>
                <w:highlight w:val="none"/>
              </w:rPr>
            </w:pPr>
            <w:r>
              <w:rPr>
                <w:color w:val="auto"/>
                <w:spacing w:val="-2"/>
                <w:sz w:val="21"/>
                <w:szCs w:val="21"/>
                <w:highlight w:val="none"/>
              </w:rPr>
              <w:t>相关工作年</w:t>
            </w:r>
          </w:p>
          <w:p w14:paraId="493B4607">
            <w:pPr>
              <w:pStyle w:val="19"/>
              <w:spacing w:before="25" w:line="212" w:lineRule="auto"/>
              <w:ind w:left="624"/>
              <w:rPr>
                <w:color w:val="auto"/>
                <w:sz w:val="21"/>
                <w:szCs w:val="21"/>
                <w:highlight w:val="none"/>
              </w:rPr>
            </w:pPr>
            <w:r>
              <w:rPr>
                <w:color w:val="auto"/>
                <w:sz w:val="21"/>
                <w:szCs w:val="21"/>
                <w:highlight w:val="none"/>
              </w:rPr>
              <w:t>限</w:t>
            </w:r>
          </w:p>
        </w:tc>
        <w:tc>
          <w:tcPr>
            <w:tcW w:w="1989" w:type="dxa"/>
            <w:vAlign w:val="top"/>
          </w:tcPr>
          <w:p w14:paraId="089723E5">
            <w:pPr>
              <w:rPr>
                <w:rFonts w:ascii="Arial"/>
                <w:color w:val="auto"/>
                <w:sz w:val="21"/>
                <w:szCs w:val="21"/>
                <w:highlight w:val="none"/>
              </w:rPr>
            </w:pPr>
          </w:p>
        </w:tc>
      </w:tr>
      <w:tr w14:paraId="00E8D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1197" w:type="dxa"/>
            <w:vAlign w:val="top"/>
          </w:tcPr>
          <w:p w14:paraId="05C8B6E7">
            <w:pPr>
              <w:pStyle w:val="19"/>
              <w:spacing w:before="188" w:line="221" w:lineRule="auto"/>
              <w:ind w:left="359"/>
              <w:rPr>
                <w:color w:val="auto"/>
                <w:sz w:val="21"/>
                <w:szCs w:val="21"/>
                <w:highlight w:val="none"/>
              </w:rPr>
            </w:pPr>
            <w:r>
              <w:rPr>
                <w:color w:val="auto"/>
                <w:spacing w:val="-4"/>
                <w:sz w:val="21"/>
                <w:szCs w:val="21"/>
                <w:highlight w:val="none"/>
              </w:rPr>
              <w:t>学历</w:t>
            </w:r>
          </w:p>
        </w:tc>
        <w:tc>
          <w:tcPr>
            <w:tcW w:w="1789" w:type="dxa"/>
            <w:vAlign w:val="top"/>
          </w:tcPr>
          <w:p w14:paraId="42863D53">
            <w:pPr>
              <w:rPr>
                <w:rFonts w:ascii="Arial"/>
                <w:color w:val="auto"/>
                <w:sz w:val="21"/>
                <w:szCs w:val="21"/>
                <w:highlight w:val="none"/>
              </w:rPr>
            </w:pPr>
          </w:p>
        </w:tc>
        <w:tc>
          <w:tcPr>
            <w:tcW w:w="1262" w:type="dxa"/>
            <w:vAlign w:val="top"/>
          </w:tcPr>
          <w:p w14:paraId="7547C72A">
            <w:pPr>
              <w:pStyle w:val="19"/>
              <w:spacing w:before="188" w:line="220" w:lineRule="auto"/>
              <w:ind w:left="153"/>
              <w:rPr>
                <w:color w:val="auto"/>
                <w:sz w:val="21"/>
                <w:szCs w:val="21"/>
                <w:highlight w:val="none"/>
              </w:rPr>
            </w:pPr>
            <w:r>
              <w:rPr>
                <w:color w:val="auto"/>
                <w:spacing w:val="-3"/>
                <w:sz w:val="21"/>
                <w:szCs w:val="21"/>
                <w:highlight w:val="none"/>
              </w:rPr>
              <w:t>毕业学校</w:t>
            </w:r>
          </w:p>
        </w:tc>
        <w:tc>
          <w:tcPr>
            <w:tcW w:w="1336" w:type="dxa"/>
            <w:vAlign w:val="top"/>
          </w:tcPr>
          <w:p w14:paraId="5CB8384B">
            <w:pPr>
              <w:rPr>
                <w:rFonts w:ascii="Arial"/>
                <w:color w:val="auto"/>
                <w:sz w:val="21"/>
                <w:szCs w:val="21"/>
                <w:highlight w:val="none"/>
              </w:rPr>
            </w:pPr>
          </w:p>
        </w:tc>
        <w:tc>
          <w:tcPr>
            <w:tcW w:w="1447" w:type="dxa"/>
            <w:vAlign w:val="top"/>
          </w:tcPr>
          <w:p w14:paraId="0442A13B">
            <w:pPr>
              <w:pStyle w:val="19"/>
              <w:spacing w:before="189" w:line="220" w:lineRule="auto"/>
              <w:ind w:left="488"/>
              <w:rPr>
                <w:color w:val="auto"/>
                <w:sz w:val="21"/>
                <w:szCs w:val="21"/>
                <w:highlight w:val="none"/>
              </w:rPr>
            </w:pPr>
            <w:r>
              <w:rPr>
                <w:color w:val="auto"/>
                <w:spacing w:val="-3"/>
                <w:sz w:val="21"/>
                <w:szCs w:val="21"/>
                <w:highlight w:val="none"/>
              </w:rPr>
              <w:t>专业</w:t>
            </w:r>
          </w:p>
        </w:tc>
        <w:tc>
          <w:tcPr>
            <w:tcW w:w="1989" w:type="dxa"/>
            <w:vAlign w:val="top"/>
          </w:tcPr>
          <w:p w14:paraId="0F9C8198">
            <w:pPr>
              <w:rPr>
                <w:rFonts w:ascii="Arial"/>
                <w:color w:val="auto"/>
                <w:sz w:val="21"/>
                <w:szCs w:val="21"/>
                <w:highlight w:val="none"/>
              </w:rPr>
            </w:pPr>
          </w:p>
        </w:tc>
      </w:tr>
      <w:tr w14:paraId="2875F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1197" w:type="dxa"/>
            <w:vAlign w:val="top"/>
          </w:tcPr>
          <w:p w14:paraId="11874995">
            <w:pPr>
              <w:pStyle w:val="19"/>
              <w:spacing w:before="189" w:line="220" w:lineRule="auto"/>
              <w:ind w:left="355"/>
              <w:rPr>
                <w:color w:val="auto"/>
                <w:sz w:val="21"/>
                <w:szCs w:val="21"/>
                <w:highlight w:val="none"/>
              </w:rPr>
            </w:pPr>
            <w:r>
              <w:rPr>
                <w:color w:val="auto"/>
                <w:spacing w:val="-3"/>
                <w:sz w:val="21"/>
                <w:szCs w:val="21"/>
                <w:highlight w:val="none"/>
              </w:rPr>
              <w:t>职务</w:t>
            </w:r>
          </w:p>
        </w:tc>
        <w:tc>
          <w:tcPr>
            <w:tcW w:w="1789" w:type="dxa"/>
            <w:vAlign w:val="top"/>
          </w:tcPr>
          <w:p w14:paraId="0777ABC7">
            <w:pPr>
              <w:rPr>
                <w:rFonts w:ascii="Arial"/>
                <w:color w:val="auto"/>
                <w:sz w:val="21"/>
                <w:szCs w:val="21"/>
                <w:highlight w:val="none"/>
              </w:rPr>
            </w:pPr>
          </w:p>
        </w:tc>
        <w:tc>
          <w:tcPr>
            <w:tcW w:w="1262" w:type="dxa"/>
            <w:vAlign w:val="top"/>
          </w:tcPr>
          <w:p w14:paraId="20514ED5">
            <w:pPr>
              <w:pStyle w:val="19"/>
              <w:spacing w:before="189" w:line="222" w:lineRule="auto"/>
              <w:ind w:left="389"/>
              <w:rPr>
                <w:color w:val="auto"/>
                <w:sz w:val="21"/>
                <w:szCs w:val="21"/>
                <w:highlight w:val="none"/>
              </w:rPr>
            </w:pPr>
            <w:r>
              <w:rPr>
                <w:color w:val="auto"/>
                <w:spacing w:val="-3"/>
                <w:sz w:val="21"/>
                <w:szCs w:val="21"/>
                <w:highlight w:val="none"/>
              </w:rPr>
              <w:t>职称</w:t>
            </w:r>
          </w:p>
        </w:tc>
        <w:tc>
          <w:tcPr>
            <w:tcW w:w="1336" w:type="dxa"/>
            <w:vAlign w:val="top"/>
          </w:tcPr>
          <w:p w14:paraId="609C0044">
            <w:pPr>
              <w:rPr>
                <w:rFonts w:ascii="Arial"/>
                <w:color w:val="auto"/>
                <w:sz w:val="21"/>
                <w:szCs w:val="21"/>
                <w:highlight w:val="none"/>
              </w:rPr>
            </w:pPr>
          </w:p>
        </w:tc>
        <w:tc>
          <w:tcPr>
            <w:tcW w:w="1447" w:type="dxa"/>
            <w:vAlign w:val="top"/>
          </w:tcPr>
          <w:p w14:paraId="3C80824E">
            <w:pPr>
              <w:pStyle w:val="19"/>
              <w:spacing w:before="34" w:line="225" w:lineRule="auto"/>
              <w:ind w:left="247" w:right="169" w:hanging="60"/>
              <w:rPr>
                <w:color w:val="auto"/>
                <w:sz w:val="21"/>
                <w:szCs w:val="21"/>
                <w:highlight w:val="none"/>
              </w:rPr>
            </w:pPr>
            <w:r>
              <w:rPr>
                <w:color w:val="auto"/>
                <w:spacing w:val="-2"/>
                <w:sz w:val="21"/>
                <w:szCs w:val="21"/>
                <w:highlight w:val="none"/>
              </w:rPr>
              <w:t>执业资格/</w:t>
            </w:r>
            <w:r>
              <w:rPr>
                <w:color w:val="auto"/>
                <w:sz w:val="21"/>
                <w:szCs w:val="21"/>
                <w:highlight w:val="none"/>
              </w:rPr>
              <w:t xml:space="preserve"> </w:t>
            </w:r>
            <w:r>
              <w:rPr>
                <w:color w:val="auto"/>
                <w:spacing w:val="-2"/>
                <w:sz w:val="21"/>
                <w:szCs w:val="21"/>
                <w:highlight w:val="none"/>
              </w:rPr>
              <w:t>职业资格</w:t>
            </w:r>
          </w:p>
        </w:tc>
        <w:tc>
          <w:tcPr>
            <w:tcW w:w="1989" w:type="dxa"/>
            <w:vAlign w:val="top"/>
          </w:tcPr>
          <w:p w14:paraId="778C6C3A">
            <w:pPr>
              <w:rPr>
                <w:rFonts w:ascii="Arial"/>
                <w:color w:val="auto"/>
                <w:sz w:val="21"/>
                <w:szCs w:val="21"/>
                <w:highlight w:val="none"/>
              </w:rPr>
            </w:pPr>
          </w:p>
        </w:tc>
      </w:tr>
      <w:tr w14:paraId="770DF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9" w:hRule="atLeast"/>
        </w:trPr>
        <w:tc>
          <w:tcPr>
            <w:tcW w:w="2986" w:type="dxa"/>
            <w:gridSpan w:val="2"/>
            <w:vAlign w:val="top"/>
          </w:tcPr>
          <w:p w14:paraId="269ABA71">
            <w:pPr>
              <w:pStyle w:val="19"/>
              <w:spacing w:before="190" w:line="219" w:lineRule="auto"/>
              <w:ind w:left="170"/>
              <w:rPr>
                <w:color w:val="auto"/>
                <w:sz w:val="21"/>
                <w:szCs w:val="21"/>
                <w:highlight w:val="none"/>
              </w:rPr>
            </w:pPr>
            <w:r>
              <w:rPr>
                <w:color w:val="auto"/>
                <w:spacing w:val="-1"/>
                <w:sz w:val="21"/>
                <w:szCs w:val="21"/>
                <w:highlight w:val="none"/>
              </w:rPr>
              <w:t>拟在本项目中担任的职务</w:t>
            </w:r>
          </w:p>
        </w:tc>
        <w:tc>
          <w:tcPr>
            <w:tcW w:w="6034" w:type="dxa"/>
            <w:gridSpan w:val="4"/>
            <w:vAlign w:val="top"/>
          </w:tcPr>
          <w:p w14:paraId="605329EE">
            <w:pPr>
              <w:rPr>
                <w:rFonts w:ascii="Arial"/>
                <w:color w:val="auto"/>
                <w:sz w:val="21"/>
                <w:szCs w:val="21"/>
                <w:highlight w:val="none"/>
              </w:rPr>
            </w:pPr>
          </w:p>
        </w:tc>
      </w:tr>
      <w:tr w14:paraId="76631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1" w:hRule="atLeast"/>
        </w:trPr>
        <w:tc>
          <w:tcPr>
            <w:tcW w:w="9020" w:type="dxa"/>
            <w:gridSpan w:val="6"/>
            <w:vAlign w:val="top"/>
          </w:tcPr>
          <w:p w14:paraId="707FDB1A">
            <w:pPr>
              <w:pStyle w:val="19"/>
              <w:spacing w:before="188" w:line="220" w:lineRule="auto"/>
              <w:ind w:left="3789"/>
              <w:rPr>
                <w:color w:val="auto"/>
                <w:sz w:val="21"/>
                <w:szCs w:val="21"/>
                <w:highlight w:val="none"/>
              </w:rPr>
            </w:pPr>
            <w:r>
              <w:rPr>
                <w:color w:val="auto"/>
                <w:spacing w:val="-2"/>
                <w:sz w:val="21"/>
                <w:szCs w:val="21"/>
                <w:highlight w:val="none"/>
              </w:rPr>
              <w:t>相关工作经历</w:t>
            </w:r>
          </w:p>
        </w:tc>
      </w:tr>
      <w:tr w14:paraId="11CE0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6" w:hRule="atLeast"/>
        </w:trPr>
        <w:tc>
          <w:tcPr>
            <w:tcW w:w="9020" w:type="dxa"/>
            <w:gridSpan w:val="6"/>
            <w:vAlign w:val="top"/>
          </w:tcPr>
          <w:p w14:paraId="62CD3BA3">
            <w:pPr>
              <w:spacing w:line="265" w:lineRule="auto"/>
              <w:rPr>
                <w:rFonts w:ascii="Arial"/>
                <w:color w:val="auto"/>
                <w:sz w:val="21"/>
                <w:szCs w:val="21"/>
                <w:highlight w:val="none"/>
              </w:rPr>
            </w:pPr>
          </w:p>
          <w:p w14:paraId="098F7EBA">
            <w:pPr>
              <w:pStyle w:val="19"/>
              <w:spacing w:before="78" w:line="220" w:lineRule="auto"/>
              <w:ind w:left="109"/>
              <w:rPr>
                <w:color w:val="auto"/>
                <w:sz w:val="21"/>
                <w:szCs w:val="21"/>
                <w:highlight w:val="none"/>
              </w:rPr>
            </w:pPr>
            <w:r>
              <w:rPr>
                <w:color w:val="auto"/>
                <w:spacing w:val="-7"/>
                <w:sz w:val="21"/>
                <w:szCs w:val="21"/>
                <w:highlight w:val="none"/>
              </w:rPr>
              <w:t>主要工作经历及业绩（经验</w:t>
            </w:r>
            <w:r>
              <w:rPr>
                <w:color w:val="auto"/>
                <w:spacing w:val="-1"/>
                <w:sz w:val="21"/>
                <w:szCs w:val="21"/>
                <w:highlight w:val="none"/>
              </w:rPr>
              <w:t>）：</w:t>
            </w:r>
          </w:p>
        </w:tc>
      </w:tr>
    </w:tbl>
    <w:p w14:paraId="2FA16DBD">
      <w:pPr>
        <w:spacing w:before="38" w:line="239" w:lineRule="auto"/>
        <w:ind w:right="5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注：供应商须对</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11-1</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中的主要人员按上表逐个填写；拟派项目经理须附身份证、毕业</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证、注册证、职称证（如有</w:t>
      </w:r>
      <w:r>
        <w:rPr>
          <w:rFonts w:ascii="宋体" w:hAnsi="宋体" w:eastAsia="宋体" w:cs="宋体"/>
          <w:color w:val="auto"/>
          <w:spacing w:val="-8"/>
          <w:sz w:val="21"/>
          <w:szCs w:val="21"/>
          <w:highlight w:val="none"/>
        </w:rPr>
        <w:t>），</w:t>
      </w:r>
      <w:r>
        <w:rPr>
          <w:rFonts w:ascii="宋体" w:hAnsi="宋体" w:eastAsia="宋体" w:cs="宋体"/>
          <w:color w:val="auto"/>
          <w:spacing w:val="-7"/>
          <w:sz w:val="21"/>
          <w:szCs w:val="21"/>
          <w:highlight w:val="none"/>
        </w:rPr>
        <w:t>相关业绩的合同复印件（如有）。其他人员须附身份</w:t>
      </w:r>
      <w:r>
        <w:rPr>
          <w:rFonts w:ascii="宋体" w:hAnsi="宋体" w:eastAsia="宋体" w:cs="宋体"/>
          <w:color w:val="auto"/>
          <w:spacing w:val="-4"/>
          <w:sz w:val="21"/>
          <w:szCs w:val="21"/>
          <w:highlight w:val="none"/>
        </w:rPr>
        <w:t>证、毕业证、职称证（如有）、资格证书（如有）相关资料的清晰扫描件或复印件附</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后，并加盖单位公章。</w:t>
      </w:r>
    </w:p>
    <w:p w14:paraId="22A2F420">
      <w:pPr>
        <w:spacing w:line="241" w:lineRule="auto"/>
        <w:rPr>
          <w:rFonts w:ascii="宋体" w:hAnsi="宋体" w:eastAsia="宋体" w:cs="宋体"/>
          <w:color w:val="auto"/>
          <w:sz w:val="24"/>
          <w:szCs w:val="24"/>
          <w:highlight w:val="none"/>
        </w:rPr>
        <w:sectPr>
          <w:headerReference r:id="rId52" w:type="default"/>
          <w:footerReference r:id="rId53" w:type="default"/>
          <w:pgSz w:w="11906" w:h="16839"/>
          <w:pgMar w:top="400" w:right="1149" w:bottom="1056" w:left="1710" w:header="0" w:footer="822" w:gutter="0"/>
          <w:pgNumType w:fmt="decimal"/>
          <w:cols w:space="720" w:num="1"/>
        </w:sectPr>
      </w:pPr>
    </w:p>
    <w:p w14:paraId="3C7C0DFC">
      <w:pPr>
        <w:pStyle w:val="6"/>
        <w:spacing w:line="242" w:lineRule="auto"/>
        <w:rPr>
          <w:color w:val="auto"/>
          <w:highlight w:val="none"/>
        </w:rPr>
      </w:pPr>
    </w:p>
    <w:p w14:paraId="48BDBFFB">
      <w:pPr>
        <w:pStyle w:val="6"/>
        <w:spacing w:line="242" w:lineRule="auto"/>
        <w:rPr>
          <w:color w:val="auto"/>
          <w:highlight w:val="none"/>
        </w:rPr>
      </w:pPr>
    </w:p>
    <w:p w14:paraId="07F2F4C2">
      <w:pPr>
        <w:pStyle w:val="6"/>
        <w:spacing w:line="243" w:lineRule="auto"/>
        <w:rPr>
          <w:color w:val="auto"/>
          <w:highlight w:val="none"/>
        </w:rPr>
      </w:pPr>
    </w:p>
    <w:p w14:paraId="27C6F512">
      <w:pPr>
        <w:pStyle w:val="6"/>
        <w:spacing w:line="243" w:lineRule="auto"/>
        <w:rPr>
          <w:color w:val="auto"/>
          <w:highlight w:val="none"/>
        </w:rPr>
      </w:pPr>
    </w:p>
    <w:p w14:paraId="63B2FA47">
      <w:pPr>
        <w:spacing w:before="78" w:line="220" w:lineRule="auto"/>
        <w:ind w:left="38"/>
        <w:outlineLvl w:val="1"/>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12  承揽的类似项目业绩一览表</w:t>
      </w:r>
    </w:p>
    <w:p w14:paraId="1F0384FA">
      <w:pPr>
        <w:pStyle w:val="6"/>
        <w:spacing w:line="288" w:lineRule="auto"/>
        <w:rPr>
          <w:color w:val="auto"/>
          <w:highlight w:val="none"/>
        </w:rPr>
      </w:pPr>
    </w:p>
    <w:p w14:paraId="334CA5E3">
      <w:pPr>
        <w:spacing w:before="286" w:line="206" w:lineRule="auto"/>
        <w:ind w:left="220" w:leftChars="0" w:firstLine="0" w:firstLineChars="0"/>
        <w:jc w:val="center"/>
        <w:rPr>
          <w:rFonts w:ascii="宋体" w:hAnsi="宋体" w:eastAsia="宋体" w:cs="宋体"/>
          <w:b/>
          <w:bCs/>
          <w:color w:val="auto"/>
          <w:spacing w:val="-15"/>
          <w:sz w:val="28"/>
          <w:szCs w:val="28"/>
          <w:highlight w:val="none"/>
        </w:rPr>
      </w:pPr>
      <w:r>
        <w:rPr>
          <w:rFonts w:ascii="宋体" w:hAnsi="宋体" w:eastAsia="宋体" w:cs="宋体"/>
          <w:b/>
          <w:bCs/>
          <w:color w:val="auto"/>
          <w:spacing w:val="-15"/>
          <w:sz w:val="28"/>
          <w:szCs w:val="28"/>
          <w:highlight w:val="none"/>
        </w:rPr>
        <w:t>承揽的类似项目业绩一览表</w:t>
      </w:r>
    </w:p>
    <w:p w14:paraId="203AF20F">
      <w:pPr>
        <w:spacing w:line="215" w:lineRule="exact"/>
        <w:rPr>
          <w:color w:val="auto"/>
          <w:highlight w:val="none"/>
        </w:rPr>
      </w:pPr>
    </w:p>
    <w:tbl>
      <w:tblPr>
        <w:tblStyle w:val="18"/>
        <w:tblW w:w="9073" w:type="dxa"/>
        <w:tblInd w:w="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2"/>
        <w:gridCol w:w="1612"/>
        <w:gridCol w:w="1415"/>
        <w:gridCol w:w="1272"/>
        <w:gridCol w:w="1556"/>
        <w:gridCol w:w="1696"/>
        <w:gridCol w:w="720"/>
      </w:tblGrid>
      <w:tr w14:paraId="084B0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3" w:hRule="atLeast"/>
        </w:trPr>
        <w:tc>
          <w:tcPr>
            <w:tcW w:w="802" w:type="dxa"/>
            <w:tcBorders>
              <w:top w:val="single" w:color="000000" w:sz="8" w:space="0"/>
              <w:left w:val="single" w:color="000000" w:sz="8" w:space="0"/>
            </w:tcBorders>
            <w:vAlign w:val="top"/>
          </w:tcPr>
          <w:p w14:paraId="5D052211">
            <w:pPr>
              <w:pStyle w:val="19"/>
              <w:spacing w:before="305" w:line="221" w:lineRule="auto"/>
              <w:ind w:left="15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1612" w:type="dxa"/>
            <w:tcBorders>
              <w:top w:val="single" w:color="000000" w:sz="8" w:space="0"/>
            </w:tcBorders>
            <w:vAlign w:val="top"/>
          </w:tcPr>
          <w:p w14:paraId="116F8529">
            <w:pPr>
              <w:pStyle w:val="19"/>
              <w:spacing w:before="306" w:line="220" w:lineRule="auto"/>
              <w:ind w:left="32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项目名称</w:t>
            </w:r>
          </w:p>
        </w:tc>
        <w:tc>
          <w:tcPr>
            <w:tcW w:w="1415" w:type="dxa"/>
            <w:tcBorders>
              <w:top w:val="single" w:color="000000" w:sz="8" w:space="0"/>
            </w:tcBorders>
            <w:vAlign w:val="top"/>
          </w:tcPr>
          <w:p w14:paraId="347D86D8">
            <w:pPr>
              <w:pStyle w:val="19"/>
              <w:spacing w:before="149" w:line="220" w:lineRule="auto"/>
              <w:ind w:left="1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合同主要内</w:t>
            </w:r>
          </w:p>
          <w:p w14:paraId="04289AB4">
            <w:pPr>
              <w:pStyle w:val="19"/>
              <w:spacing w:before="26" w:line="220" w:lineRule="auto"/>
              <w:ind w:left="58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容</w:t>
            </w:r>
          </w:p>
        </w:tc>
        <w:tc>
          <w:tcPr>
            <w:tcW w:w="1272" w:type="dxa"/>
            <w:tcBorders>
              <w:top w:val="single" w:color="000000" w:sz="8" w:space="0"/>
            </w:tcBorders>
            <w:vAlign w:val="top"/>
          </w:tcPr>
          <w:p w14:paraId="6B86D338">
            <w:pPr>
              <w:pStyle w:val="19"/>
              <w:spacing w:before="149" w:line="222" w:lineRule="auto"/>
              <w:ind w:left="15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合同总金</w:t>
            </w:r>
          </w:p>
          <w:p w14:paraId="3D363C31">
            <w:pPr>
              <w:pStyle w:val="19"/>
              <w:spacing w:before="22" w:line="220" w:lineRule="auto"/>
              <w:ind w:left="5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额</w:t>
            </w:r>
          </w:p>
        </w:tc>
        <w:tc>
          <w:tcPr>
            <w:tcW w:w="1556" w:type="dxa"/>
            <w:tcBorders>
              <w:top w:val="single" w:color="000000" w:sz="8" w:space="0"/>
            </w:tcBorders>
            <w:vAlign w:val="top"/>
          </w:tcPr>
          <w:p w14:paraId="1B3AA710">
            <w:pPr>
              <w:pStyle w:val="19"/>
              <w:spacing w:before="149" w:line="243" w:lineRule="auto"/>
              <w:ind w:left="303" w:right="168" w:hanging="1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委托方联系</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人及电话</w:t>
            </w:r>
          </w:p>
        </w:tc>
        <w:tc>
          <w:tcPr>
            <w:tcW w:w="1696" w:type="dxa"/>
            <w:tcBorders>
              <w:top w:val="single" w:color="000000" w:sz="8" w:space="0"/>
            </w:tcBorders>
            <w:vAlign w:val="top"/>
          </w:tcPr>
          <w:p w14:paraId="5114DC06">
            <w:pPr>
              <w:pStyle w:val="19"/>
              <w:spacing w:before="149" w:line="243" w:lineRule="auto"/>
              <w:ind w:left="494" w:right="114" w:hanging="35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供应商联系人</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
                <w:sz w:val="21"/>
                <w:szCs w:val="21"/>
                <w:highlight w:val="none"/>
              </w:rPr>
              <w:t>及电话</w:t>
            </w:r>
          </w:p>
        </w:tc>
        <w:tc>
          <w:tcPr>
            <w:tcW w:w="720" w:type="dxa"/>
            <w:tcBorders>
              <w:top w:val="single" w:color="000000" w:sz="8" w:space="0"/>
              <w:right w:val="single" w:color="000000" w:sz="8" w:space="0"/>
            </w:tcBorders>
            <w:vAlign w:val="top"/>
          </w:tcPr>
          <w:p w14:paraId="4DAFAD9E">
            <w:pPr>
              <w:pStyle w:val="19"/>
              <w:spacing w:before="305" w:line="221"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备注</w:t>
            </w:r>
          </w:p>
        </w:tc>
      </w:tr>
      <w:tr w14:paraId="6B261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6F5B419B">
            <w:pPr>
              <w:rPr>
                <w:rFonts w:hint="eastAsia" w:ascii="宋体" w:hAnsi="宋体" w:eastAsia="宋体" w:cs="宋体"/>
                <w:color w:val="auto"/>
                <w:sz w:val="21"/>
                <w:szCs w:val="21"/>
                <w:highlight w:val="none"/>
              </w:rPr>
            </w:pPr>
          </w:p>
        </w:tc>
        <w:tc>
          <w:tcPr>
            <w:tcW w:w="1612" w:type="dxa"/>
            <w:vAlign w:val="top"/>
          </w:tcPr>
          <w:p w14:paraId="141DEFF4">
            <w:pPr>
              <w:rPr>
                <w:rFonts w:hint="eastAsia" w:ascii="宋体" w:hAnsi="宋体" w:eastAsia="宋体" w:cs="宋体"/>
                <w:color w:val="auto"/>
                <w:sz w:val="21"/>
                <w:szCs w:val="21"/>
                <w:highlight w:val="none"/>
              </w:rPr>
            </w:pPr>
          </w:p>
        </w:tc>
        <w:tc>
          <w:tcPr>
            <w:tcW w:w="1415" w:type="dxa"/>
            <w:vAlign w:val="top"/>
          </w:tcPr>
          <w:p w14:paraId="6412E3B4">
            <w:pPr>
              <w:rPr>
                <w:rFonts w:hint="eastAsia" w:ascii="宋体" w:hAnsi="宋体" w:eastAsia="宋体" w:cs="宋体"/>
                <w:color w:val="auto"/>
                <w:sz w:val="21"/>
                <w:szCs w:val="21"/>
                <w:highlight w:val="none"/>
              </w:rPr>
            </w:pPr>
          </w:p>
        </w:tc>
        <w:tc>
          <w:tcPr>
            <w:tcW w:w="1272" w:type="dxa"/>
            <w:vAlign w:val="top"/>
          </w:tcPr>
          <w:p w14:paraId="1FE7897B">
            <w:pPr>
              <w:rPr>
                <w:rFonts w:hint="eastAsia" w:ascii="宋体" w:hAnsi="宋体" w:eastAsia="宋体" w:cs="宋体"/>
                <w:color w:val="auto"/>
                <w:sz w:val="21"/>
                <w:szCs w:val="21"/>
                <w:highlight w:val="none"/>
              </w:rPr>
            </w:pPr>
          </w:p>
        </w:tc>
        <w:tc>
          <w:tcPr>
            <w:tcW w:w="1556" w:type="dxa"/>
            <w:vAlign w:val="top"/>
          </w:tcPr>
          <w:p w14:paraId="497393AA">
            <w:pPr>
              <w:rPr>
                <w:rFonts w:hint="eastAsia" w:ascii="宋体" w:hAnsi="宋体" w:eastAsia="宋体" w:cs="宋体"/>
                <w:color w:val="auto"/>
                <w:sz w:val="21"/>
                <w:szCs w:val="21"/>
                <w:highlight w:val="none"/>
              </w:rPr>
            </w:pPr>
          </w:p>
        </w:tc>
        <w:tc>
          <w:tcPr>
            <w:tcW w:w="1696" w:type="dxa"/>
            <w:vAlign w:val="top"/>
          </w:tcPr>
          <w:p w14:paraId="2B12BE17">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10C8A32A">
            <w:pPr>
              <w:rPr>
                <w:rFonts w:hint="eastAsia" w:ascii="宋体" w:hAnsi="宋体" w:eastAsia="宋体" w:cs="宋体"/>
                <w:color w:val="auto"/>
                <w:sz w:val="21"/>
                <w:szCs w:val="21"/>
                <w:highlight w:val="none"/>
              </w:rPr>
            </w:pPr>
          </w:p>
        </w:tc>
      </w:tr>
      <w:tr w14:paraId="6BE9E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1DE864B4">
            <w:pPr>
              <w:rPr>
                <w:rFonts w:hint="eastAsia" w:ascii="宋体" w:hAnsi="宋体" w:eastAsia="宋体" w:cs="宋体"/>
                <w:color w:val="auto"/>
                <w:sz w:val="21"/>
                <w:szCs w:val="21"/>
                <w:highlight w:val="none"/>
              </w:rPr>
            </w:pPr>
          </w:p>
        </w:tc>
        <w:tc>
          <w:tcPr>
            <w:tcW w:w="1612" w:type="dxa"/>
            <w:vAlign w:val="top"/>
          </w:tcPr>
          <w:p w14:paraId="50D71E33">
            <w:pPr>
              <w:rPr>
                <w:rFonts w:hint="eastAsia" w:ascii="宋体" w:hAnsi="宋体" w:eastAsia="宋体" w:cs="宋体"/>
                <w:color w:val="auto"/>
                <w:sz w:val="21"/>
                <w:szCs w:val="21"/>
                <w:highlight w:val="none"/>
              </w:rPr>
            </w:pPr>
          </w:p>
        </w:tc>
        <w:tc>
          <w:tcPr>
            <w:tcW w:w="1415" w:type="dxa"/>
            <w:vAlign w:val="top"/>
          </w:tcPr>
          <w:p w14:paraId="764BBB3F">
            <w:pPr>
              <w:rPr>
                <w:rFonts w:hint="eastAsia" w:ascii="宋体" w:hAnsi="宋体" w:eastAsia="宋体" w:cs="宋体"/>
                <w:color w:val="auto"/>
                <w:sz w:val="21"/>
                <w:szCs w:val="21"/>
                <w:highlight w:val="none"/>
              </w:rPr>
            </w:pPr>
          </w:p>
        </w:tc>
        <w:tc>
          <w:tcPr>
            <w:tcW w:w="1272" w:type="dxa"/>
            <w:vAlign w:val="top"/>
          </w:tcPr>
          <w:p w14:paraId="7C933D3D">
            <w:pPr>
              <w:rPr>
                <w:rFonts w:hint="eastAsia" w:ascii="宋体" w:hAnsi="宋体" w:eastAsia="宋体" w:cs="宋体"/>
                <w:color w:val="auto"/>
                <w:sz w:val="21"/>
                <w:szCs w:val="21"/>
                <w:highlight w:val="none"/>
              </w:rPr>
            </w:pPr>
          </w:p>
        </w:tc>
        <w:tc>
          <w:tcPr>
            <w:tcW w:w="1556" w:type="dxa"/>
            <w:vAlign w:val="top"/>
          </w:tcPr>
          <w:p w14:paraId="3B088CBE">
            <w:pPr>
              <w:rPr>
                <w:rFonts w:hint="eastAsia" w:ascii="宋体" w:hAnsi="宋体" w:eastAsia="宋体" w:cs="宋体"/>
                <w:color w:val="auto"/>
                <w:sz w:val="21"/>
                <w:szCs w:val="21"/>
                <w:highlight w:val="none"/>
              </w:rPr>
            </w:pPr>
          </w:p>
        </w:tc>
        <w:tc>
          <w:tcPr>
            <w:tcW w:w="1696" w:type="dxa"/>
            <w:vAlign w:val="top"/>
          </w:tcPr>
          <w:p w14:paraId="47C89373">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075322D7">
            <w:pPr>
              <w:rPr>
                <w:rFonts w:hint="eastAsia" w:ascii="宋体" w:hAnsi="宋体" w:eastAsia="宋体" w:cs="宋体"/>
                <w:color w:val="auto"/>
                <w:sz w:val="21"/>
                <w:szCs w:val="21"/>
                <w:highlight w:val="none"/>
              </w:rPr>
            </w:pPr>
          </w:p>
        </w:tc>
      </w:tr>
      <w:tr w14:paraId="6E9BE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33DC9B3F">
            <w:pPr>
              <w:rPr>
                <w:rFonts w:hint="eastAsia" w:ascii="宋体" w:hAnsi="宋体" w:eastAsia="宋体" w:cs="宋体"/>
                <w:color w:val="auto"/>
                <w:sz w:val="21"/>
                <w:szCs w:val="21"/>
                <w:highlight w:val="none"/>
              </w:rPr>
            </w:pPr>
          </w:p>
        </w:tc>
        <w:tc>
          <w:tcPr>
            <w:tcW w:w="1612" w:type="dxa"/>
            <w:vAlign w:val="top"/>
          </w:tcPr>
          <w:p w14:paraId="6F13C372">
            <w:pPr>
              <w:rPr>
                <w:rFonts w:hint="eastAsia" w:ascii="宋体" w:hAnsi="宋体" w:eastAsia="宋体" w:cs="宋体"/>
                <w:color w:val="auto"/>
                <w:sz w:val="21"/>
                <w:szCs w:val="21"/>
                <w:highlight w:val="none"/>
              </w:rPr>
            </w:pPr>
          </w:p>
        </w:tc>
        <w:tc>
          <w:tcPr>
            <w:tcW w:w="1415" w:type="dxa"/>
            <w:vAlign w:val="top"/>
          </w:tcPr>
          <w:p w14:paraId="2B510218">
            <w:pPr>
              <w:rPr>
                <w:rFonts w:hint="eastAsia" w:ascii="宋体" w:hAnsi="宋体" w:eastAsia="宋体" w:cs="宋体"/>
                <w:color w:val="auto"/>
                <w:sz w:val="21"/>
                <w:szCs w:val="21"/>
                <w:highlight w:val="none"/>
              </w:rPr>
            </w:pPr>
          </w:p>
        </w:tc>
        <w:tc>
          <w:tcPr>
            <w:tcW w:w="1272" w:type="dxa"/>
            <w:vAlign w:val="top"/>
          </w:tcPr>
          <w:p w14:paraId="0803CEAD">
            <w:pPr>
              <w:rPr>
                <w:rFonts w:hint="eastAsia" w:ascii="宋体" w:hAnsi="宋体" w:eastAsia="宋体" w:cs="宋体"/>
                <w:color w:val="auto"/>
                <w:sz w:val="21"/>
                <w:szCs w:val="21"/>
                <w:highlight w:val="none"/>
              </w:rPr>
            </w:pPr>
          </w:p>
        </w:tc>
        <w:tc>
          <w:tcPr>
            <w:tcW w:w="1556" w:type="dxa"/>
            <w:vAlign w:val="top"/>
          </w:tcPr>
          <w:p w14:paraId="3FD5BBD0">
            <w:pPr>
              <w:rPr>
                <w:rFonts w:hint="eastAsia" w:ascii="宋体" w:hAnsi="宋体" w:eastAsia="宋体" w:cs="宋体"/>
                <w:color w:val="auto"/>
                <w:sz w:val="21"/>
                <w:szCs w:val="21"/>
                <w:highlight w:val="none"/>
              </w:rPr>
            </w:pPr>
          </w:p>
        </w:tc>
        <w:tc>
          <w:tcPr>
            <w:tcW w:w="1696" w:type="dxa"/>
            <w:vAlign w:val="top"/>
          </w:tcPr>
          <w:p w14:paraId="770729FE">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1A4961E4">
            <w:pPr>
              <w:rPr>
                <w:rFonts w:hint="eastAsia" w:ascii="宋体" w:hAnsi="宋体" w:eastAsia="宋体" w:cs="宋体"/>
                <w:color w:val="auto"/>
                <w:sz w:val="21"/>
                <w:szCs w:val="21"/>
                <w:highlight w:val="none"/>
              </w:rPr>
            </w:pPr>
          </w:p>
        </w:tc>
      </w:tr>
      <w:tr w14:paraId="1EEE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48ED8C14">
            <w:pPr>
              <w:rPr>
                <w:rFonts w:hint="eastAsia" w:ascii="宋体" w:hAnsi="宋体" w:eastAsia="宋体" w:cs="宋体"/>
                <w:color w:val="auto"/>
                <w:sz w:val="21"/>
                <w:szCs w:val="21"/>
                <w:highlight w:val="none"/>
              </w:rPr>
            </w:pPr>
          </w:p>
        </w:tc>
        <w:tc>
          <w:tcPr>
            <w:tcW w:w="1612" w:type="dxa"/>
            <w:vAlign w:val="top"/>
          </w:tcPr>
          <w:p w14:paraId="4E2A8801">
            <w:pPr>
              <w:rPr>
                <w:rFonts w:hint="eastAsia" w:ascii="宋体" w:hAnsi="宋体" w:eastAsia="宋体" w:cs="宋体"/>
                <w:color w:val="auto"/>
                <w:sz w:val="21"/>
                <w:szCs w:val="21"/>
                <w:highlight w:val="none"/>
              </w:rPr>
            </w:pPr>
          </w:p>
        </w:tc>
        <w:tc>
          <w:tcPr>
            <w:tcW w:w="1415" w:type="dxa"/>
            <w:vAlign w:val="top"/>
          </w:tcPr>
          <w:p w14:paraId="3B665346">
            <w:pPr>
              <w:rPr>
                <w:rFonts w:hint="eastAsia" w:ascii="宋体" w:hAnsi="宋体" w:eastAsia="宋体" w:cs="宋体"/>
                <w:color w:val="auto"/>
                <w:sz w:val="21"/>
                <w:szCs w:val="21"/>
                <w:highlight w:val="none"/>
              </w:rPr>
            </w:pPr>
          </w:p>
        </w:tc>
        <w:tc>
          <w:tcPr>
            <w:tcW w:w="1272" w:type="dxa"/>
            <w:vAlign w:val="top"/>
          </w:tcPr>
          <w:p w14:paraId="7D2ED20F">
            <w:pPr>
              <w:rPr>
                <w:rFonts w:hint="eastAsia" w:ascii="宋体" w:hAnsi="宋体" w:eastAsia="宋体" w:cs="宋体"/>
                <w:color w:val="auto"/>
                <w:sz w:val="21"/>
                <w:szCs w:val="21"/>
                <w:highlight w:val="none"/>
              </w:rPr>
            </w:pPr>
          </w:p>
        </w:tc>
        <w:tc>
          <w:tcPr>
            <w:tcW w:w="1556" w:type="dxa"/>
            <w:vAlign w:val="top"/>
          </w:tcPr>
          <w:p w14:paraId="7F8D7665">
            <w:pPr>
              <w:rPr>
                <w:rFonts w:hint="eastAsia" w:ascii="宋体" w:hAnsi="宋体" w:eastAsia="宋体" w:cs="宋体"/>
                <w:color w:val="auto"/>
                <w:sz w:val="21"/>
                <w:szCs w:val="21"/>
                <w:highlight w:val="none"/>
              </w:rPr>
            </w:pPr>
          </w:p>
        </w:tc>
        <w:tc>
          <w:tcPr>
            <w:tcW w:w="1696" w:type="dxa"/>
            <w:vAlign w:val="top"/>
          </w:tcPr>
          <w:p w14:paraId="676B1A60">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1B191A82">
            <w:pPr>
              <w:rPr>
                <w:rFonts w:hint="eastAsia" w:ascii="宋体" w:hAnsi="宋体" w:eastAsia="宋体" w:cs="宋体"/>
                <w:color w:val="auto"/>
                <w:sz w:val="21"/>
                <w:szCs w:val="21"/>
                <w:highlight w:val="none"/>
              </w:rPr>
            </w:pPr>
          </w:p>
        </w:tc>
      </w:tr>
      <w:tr w14:paraId="38B7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3D3E62A5">
            <w:pPr>
              <w:rPr>
                <w:rFonts w:hint="eastAsia" w:ascii="宋体" w:hAnsi="宋体" w:eastAsia="宋体" w:cs="宋体"/>
                <w:color w:val="auto"/>
                <w:sz w:val="21"/>
                <w:szCs w:val="21"/>
                <w:highlight w:val="none"/>
              </w:rPr>
            </w:pPr>
          </w:p>
        </w:tc>
        <w:tc>
          <w:tcPr>
            <w:tcW w:w="1612" w:type="dxa"/>
            <w:vAlign w:val="top"/>
          </w:tcPr>
          <w:p w14:paraId="37BD1475">
            <w:pPr>
              <w:rPr>
                <w:rFonts w:hint="eastAsia" w:ascii="宋体" w:hAnsi="宋体" w:eastAsia="宋体" w:cs="宋体"/>
                <w:color w:val="auto"/>
                <w:sz w:val="21"/>
                <w:szCs w:val="21"/>
                <w:highlight w:val="none"/>
              </w:rPr>
            </w:pPr>
          </w:p>
        </w:tc>
        <w:tc>
          <w:tcPr>
            <w:tcW w:w="1415" w:type="dxa"/>
            <w:vAlign w:val="top"/>
          </w:tcPr>
          <w:p w14:paraId="156F2235">
            <w:pPr>
              <w:rPr>
                <w:rFonts w:hint="eastAsia" w:ascii="宋体" w:hAnsi="宋体" w:eastAsia="宋体" w:cs="宋体"/>
                <w:color w:val="auto"/>
                <w:sz w:val="21"/>
                <w:szCs w:val="21"/>
                <w:highlight w:val="none"/>
              </w:rPr>
            </w:pPr>
          </w:p>
        </w:tc>
        <w:tc>
          <w:tcPr>
            <w:tcW w:w="1272" w:type="dxa"/>
            <w:vAlign w:val="top"/>
          </w:tcPr>
          <w:p w14:paraId="4004E056">
            <w:pPr>
              <w:rPr>
                <w:rFonts w:hint="eastAsia" w:ascii="宋体" w:hAnsi="宋体" w:eastAsia="宋体" w:cs="宋体"/>
                <w:color w:val="auto"/>
                <w:sz w:val="21"/>
                <w:szCs w:val="21"/>
                <w:highlight w:val="none"/>
              </w:rPr>
            </w:pPr>
          </w:p>
        </w:tc>
        <w:tc>
          <w:tcPr>
            <w:tcW w:w="1556" w:type="dxa"/>
            <w:vAlign w:val="top"/>
          </w:tcPr>
          <w:p w14:paraId="6F3D3FC1">
            <w:pPr>
              <w:rPr>
                <w:rFonts w:hint="eastAsia" w:ascii="宋体" w:hAnsi="宋体" w:eastAsia="宋体" w:cs="宋体"/>
                <w:color w:val="auto"/>
                <w:sz w:val="21"/>
                <w:szCs w:val="21"/>
                <w:highlight w:val="none"/>
              </w:rPr>
            </w:pPr>
          </w:p>
        </w:tc>
        <w:tc>
          <w:tcPr>
            <w:tcW w:w="1696" w:type="dxa"/>
            <w:vAlign w:val="top"/>
          </w:tcPr>
          <w:p w14:paraId="53BDB0CC">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02992035">
            <w:pPr>
              <w:rPr>
                <w:rFonts w:hint="eastAsia" w:ascii="宋体" w:hAnsi="宋体" w:eastAsia="宋体" w:cs="宋体"/>
                <w:color w:val="auto"/>
                <w:sz w:val="21"/>
                <w:szCs w:val="21"/>
                <w:highlight w:val="none"/>
              </w:rPr>
            </w:pPr>
          </w:p>
        </w:tc>
      </w:tr>
      <w:tr w14:paraId="7AA8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5AE97295">
            <w:pPr>
              <w:rPr>
                <w:rFonts w:hint="eastAsia" w:ascii="宋体" w:hAnsi="宋体" w:eastAsia="宋体" w:cs="宋体"/>
                <w:color w:val="auto"/>
                <w:sz w:val="21"/>
                <w:szCs w:val="21"/>
                <w:highlight w:val="none"/>
              </w:rPr>
            </w:pPr>
          </w:p>
        </w:tc>
        <w:tc>
          <w:tcPr>
            <w:tcW w:w="1612" w:type="dxa"/>
            <w:vAlign w:val="top"/>
          </w:tcPr>
          <w:p w14:paraId="469DA449">
            <w:pPr>
              <w:rPr>
                <w:rFonts w:hint="eastAsia" w:ascii="宋体" w:hAnsi="宋体" w:eastAsia="宋体" w:cs="宋体"/>
                <w:color w:val="auto"/>
                <w:sz w:val="21"/>
                <w:szCs w:val="21"/>
                <w:highlight w:val="none"/>
              </w:rPr>
            </w:pPr>
          </w:p>
        </w:tc>
        <w:tc>
          <w:tcPr>
            <w:tcW w:w="1415" w:type="dxa"/>
            <w:vAlign w:val="top"/>
          </w:tcPr>
          <w:p w14:paraId="11A10213">
            <w:pPr>
              <w:rPr>
                <w:rFonts w:hint="eastAsia" w:ascii="宋体" w:hAnsi="宋体" w:eastAsia="宋体" w:cs="宋体"/>
                <w:color w:val="auto"/>
                <w:sz w:val="21"/>
                <w:szCs w:val="21"/>
                <w:highlight w:val="none"/>
              </w:rPr>
            </w:pPr>
          </w:p>
        </w:tc>
        <w:tc>
          <w:tcPr>
            <w:tcW w:w="1272" w:type="dxa"/>
            <w:vAlign w:val="top"/>
          </w:tcPr>
          <w:p w14:paraId="51E8ECC2">
            <w:pPr>
              <w:rPr>
                <w:rFonts w:hint="eastAsia" w:ascii="宋体" w:hAnsi="宋体" w:eastAsia="宋体" w:cs="宋体"/>
                <w:color w:val="auto"/>
                <w:sz w:val="21"/>
                <w:szCs w:val="21"/>
                <w:highlight w:val="none"/>
              </w:rPr>
            </w:pPr>
          </w:p>
        </w:tc>
        <w:tc>
          <w:tcPr>
            <w:tcW w:w="1556" w:type="dxa"/>
            <w:vAlign w:val="top"/>
          </w:tcPr>
          <w:p w14:paraId="5282D3B2">
            <w:pPr>
              <w:rPr>
                <w:rFonts w:hint="eastAsia" w:ascii="宋体" w:hAnsi="宋体" w:eastAsia="宋体" w:cs="宋体"/>
                <w:color w:val="auto"/>
                <w:sz w:val="21"/>
                <w:szCs w:val="21"/>
                <w:highlight w:val="none"/>
              </w:rPr>
            </w:pPr>
          </w:p>
        </w:tc>
        <w:tc>
          <w:tcPr>
            <w:tcW w:w="1696" w:type="dxa"/>
            <w:vAlign w:val="top"/>
          </w:tcPr>
          <w:p w14:paraId="51CD8827">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319F763D">
            <w:pPr>
              <w:rPr>
                <w:rFonts w:hint="eastAsia" w:ascii="宋体" w:hAnsi="宋体" w:eastAsia="宋体" w:cs="宋体"/>
                <w:color w:val="auto"/>
                <w:sz w:val="21"/>
                <w:szCs w:val="21"/>
                <w:highlight w:val="none"/>
              </w:rPr>
            </w:pPr>
          </w:p>
        </w:tc>
      </w:tr>
      <w:tr w14:paraId="27297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4187689A">
            <w:pPr>
              <w:rPr>
                <w:rFonts w:hint="eastAsia" w:ascii="宋体" w:hAnsi="宋体" w:eastAsia="宋体" w:cs="宋体"/>
                <w:color w:val="auto"/>
                <w:sz w:val="21"/>
                <w:szCs w:val="21"/>
                <w:highlight w:val="none"/>
              </w:rPr>
            </w:pPr>
          </w:p>
        </w:tc>
        <w:tc>
          <w:tcPr>
            <w:tcW w:w="1612" w:type="dxa"/>
            <w:vAlign w:val="top"/>
          </w:tcPr>
          <w:p w14:paraId="7E5FA616">
            <w:pPr>
              <w:rPr>
                <w:rFonts w:hint="eastAsia" w:ascii="宋体" w:hAnsi="宋体" w:eastAsia="宋体" w:cs="宋体"/>
                <w:color w:val="auto"/>
                <w:sz w:val="21"/>
                <w:szCs w:val="21"/>
                <w:highlight w:val="none"/>
              </w:rPr>
            </w:pPr>
          </w:p>
        </w:tc>
        <w:tc>
          <w:tcPr>
            <w:tcW w:w="1415" w:type="dxa"/>
            <w:vAlign w:val="top"/>
          </w:tcPr>
          <w:p w14:paraId="0C7DACCB">
            <w:pPr>
              <w:rPr>
                <w:rFonts w:hint="eastAsia" w:ascii="宋体" w:hAnsi="宋体" w:eastAsia="宋体" w:cs="宋体"/>
                <w:color w:val="auto"/>
                <w:sz w:val="21"/>
                <w:szCs w:val="21"/>
                <w:highlight w:val="none"/>
              </w:rPr>
            </w:pPr>
          </w:p>
        </w:tc>
        <w:tc>
          <w:tcPr>
            <w:tcW w:w="1272" w:type="dxa"/>
            <w:vAlign w:val="top"/>
          </w:tcPr>
          <w:p w14:paraId="60474991">
            <w:pPr>
              <w:rPr>
                <w:rFonts w:hint="eastAsia" w:ascii="宋体" w:hAnsi="宋体" w:eastAsia="宋体" w:cs="宋体"/>
                <w:color w:val="auto"/>
                <w:sz w:val="21"/>
                <w:szCs w:val="21"/>
                <w:highlight w:val="none"/>
              </w:rPr>
            </w:pPr>
          </w:p>
        </w:tc>
        <w:tc>
          <w:tcPr>
            <w:tcW w:w="1556" w:type="dxa"/>
            <w:vAlign w:val="top"/>
          </w:tcPr>
          <w:p w14:paraId="57AA5EE0">
            <w:pPr>
              <w:rPr>
                <w:rFonts w:hint="eastAsia" w:ascii="宋体" w:hAnsi="宋体" w:eastAsia="宋体" w:cs="宋体"/>
                <w:color w:val="auto"/>
                <w:sz w:val="21"/>
                <w:szCs w:val="21"/>
                <w:highlight w:val="none"/>
              </w:rPr>
            </w:pPr>
          </w:p>
        </w:tc>
        <w:tc>
          <w:tcPr>
            <w:tcW w:w="1696" w:type="dxa"/>
            <w:vAlign w:val="top"/>
          </w:tcPr>
          <w:p w14:paraId="5E0BCFE4">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50A9880A">
            <w:pPr>
              <w:rPr>
                <w:rFonts w:hint="eastAsia" w:ascii="宋体" w:hAnsi="宋体" w:eastAsia="宋体" w:cs="宋体"/>
                <w:color w:val="auto"/>
                <w:sz w:val="21"/>
                <w:szCs w:val="21"/>
                <w:highlight w:val="none"/>
              </w:rPr>
            </w:pPr>
          </w:p>
        </w:tc>
      </w:tr>
      <w:tr w14:paraId="71E70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35901848">
            <w:pPr>
              <w:rPr>
                <w:rFonts w:hint="eastAsia" w:ascii="宋体" w:hAnsi="宋体" w:eastAsia="宋体" w:cs="宋体"/>
                <w:color w:val="auto"/>
                <w:sz w:val="21"/>
                <w:szCs w:val="21"/>
                <w:highlight w:val="none"/>
              </w:rPr>
            </w:pPr>
          </w:p>
        </w:tc>
        <w:tc>
          <w:tcPr>
            <w:tcW w:w="1612" w:type="dxa"/>
            <w:vAlign w:val="top"/>
          </w:tcPr>
          <w:p w14:paraId="0403880D">
            <w:pPr>
              <w:rPr>
                <w:rFonts w:hint="eastAsia" w:ascii="宋体" w:hAnsi="宋体" w:eastAsia="宋体" w:cs="宋体"/>
                <w:color w:val="auto"/>
                <w:sz w:val="21"/>
                <w:szCs w:val="21"/>
                <w:highlight w:val="none"/>
              </w:rPr>
            </w:pPr>
          </w:p>
        </w:tc>
        <w:tc>
          <w:tcPr>
            <w:tcW w:w="1415" w:type="dxa"/>
            <w:vAlign w:val="top"/>
          </w:tcPr>
          <w:p w14:paraId="61AA8380">
            <w:pPr>
              <w:rPr>
                <w:rFonts w:hint="eastAsia" w:ascii="宋体" w:hAnsi="宋体" w:eastAsia="宋体" w:cs="宋体"/>
                <w:color w:val="auto"/>
                <w:sz w:val="21"/>
                <w:szCs w:val="21"/>
                <w:highlight w:val="none"/>
              </w:rPr>
            </w:pPr>
          </w:p>
        </w:tc>
        <w:tc>
          <w:tcPr>
            <w:tcW w:w="1272" w:type="dxa"/>
            <w:vAlign w:val="top"/>
          </w:tcPr>
          <w:p w14:paraId="03E13F48">
            <w:pPr>
              <w:rPr>
                <w:rFonts w:hint="eastAsia" w:ascii="宋体" w:hAnsi="宋体" w:eastAsia="宋体" w:cs="宋体"/>
                <w:color w:val="auto"/>
                <w:sz w:val="21"/>
                <w:szCs w:val="21"/>
                <w:highlight w:val="none"/>
              </w:rPr>
            </w:pPr>
          </w:p>
        </w:tc>
        <w:tc>
          <w:tcPr>
            <w:tcW w:w="1556" w:type="dxa"/>
            <w:vAlign w:val="top"/>
          </w:tcPr>
          <w:p w14:paraId="5383BE1F">
            <w:pPr>
              <w:rPr>
                <w:rFonts w:hint="eastAsia" w:ascii="宋体" w:hAnsi="宋体" w:eastAsia="宋体" w:cs="宋体"/>
                <w:color w:val="auto"/>
                <w:sz w:val="21"/>
                <w:szCs w:val="21"/>
                <w:highlight w:val="none"/>
              </w:rPr>
            </w:pPr>
          </w:p>
        </w:tc>
        <w:tc>
          <w:tcPr>
            <w:tcW w:w="1696" w:type="dxa"/>
            <w:vAlign w:val="top"/>
          </w:tcPr>
          <w:p w14:paraId="4CECB295">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687EA95B">
            <w:pPr>
              <w:rPr>
                <w:rFonts w:hint="eastAsia" w:ascii="宋体" w:hAnsi="宋体" w:eastAsia="宋体" w:cs="宋体"/>
                <w:color w:val="auto"/>
                <w:sz w:val="21"/>
                <w:szCs w:val="21"/>
                <w:highlight w:val="none"/>
              </w:rPr>
            </w:pPr>
          </w:p>
        </w:tc>
      </w:tr>
      <w:tr w14:paraId="39860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1ED3D62A">
            <w:pPr>
              <w:rPr>
                <w:rFonts w:hint="eastAsia" w:ascii="宋体" w:hAnsi="宋体" w:eastAsia="宋体" w:cs="宋体"/>
                <w:color w:val="auto"/>
                <w:sz w:val="21"/>
                <w:szCs w:val="21"/>
                <w:highlight w:val="none"/>
              </w:rPr>
            </w:pPr>
          </w:p>
        </w:tc>
        <w:tc>
          <w:tcPr>
            <w:tcW w:w="1612" w:type="dxa"/>
            <w:vAlign w:val="top"/>
          </w:tcPr>
          <w:p w14:paraId="6E3BD8FE">
            <w:pPr>
              <w:rPr>
                <w:rFonts w:hint="eastAsia" w:ascii="宋体" w:hAnsi="宋体" w:eastAsia="宋体" w:cs="宋体"/>
                <w:color w:val="auto"/>
                <w:sz w:val="21"/>
                <w:szCs w:val="21"/>
                <w:highlight w:val="none"/>
              </w:rPr>
            </w:pPr>
          </w:p>
        </w:tc>
        <w:tc>
          <w:tcPr>
            <w:tcW w:w="1415" w:type="dxa"/>
            <w:vAlign w:val="top"/>
          </w:tcPr>
          <w:p w14:paraId="4E93EBA2">
            <w:pPr>
              <w:rPr>
                <w:rFonts w:hint="eastAsia" w:ascii="宋体" w:hAnsi="宋体" w:eastAsia="宋体" w:cs="宋体"/>
                <w:color w:val="auto"/>
                <w:sz w:val="21"/>
                <w:szCs w:val="21"/>
                <w:highlight w:val="none"/>
              </w:rPr>
            </w:pPr>
          </w:p>
        </w:tc>
        <w:tc>
          <w:tcPr>
            <w:tcW w:w="1272" w:type="dxa"/>
            <w:vAlign w:val="top"/>
          </w:tcPr>
          <w:p w14:paraId="377188BA">
            <w:pPr>
              <w:rPr>
                <w:rFonts w:hint="eastAsia" w:ascii="宋体" w:hAnsi="宋体" w:eastAsia="宋体" w:cs="宋体"/>
                <w:color w:val="auto"/>
                <w:sz w:val="21"/>
                <w:szCs w:val="21"/>
                <w:highlight w:val="none"/>
              </w:rPr>
            </w:pPr>
          </w:p>
        </w:tc>
        <w:tc>
          <w:tcPr>
            <w:tcW w:w="1556" w:type="dxa"/>
            <w:vAlign w:val="top"/>
          </w:tcPr>
          <w:p w14:paraId="50629D70">
            <w:pPr>
              <w:rPr>
                <w:rFonts w:hint="eastAsia" w:ascii="宋体" w:hAnsi="宋体" w:eastAsia="宋体" w:cs="宋体"/>
                <w:color w:val="auto"/>
                <w:sz w:val="21"/>
                <w:szCs w:val="21"/>
                <w:highlight w:val="none"/>
              </w:rPr>
            </w:pPr>
          </w:p>
        </w:tc>
        <w:tc>
          <w:tcPr>
            <w:tcW w:w="1696" w:type="dxa"/>
            <w:vAlign w:val="top"/>
          </w:tcPr>
          <w:p w14:paraId="441B3A2D">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08B1E9A8">
            <w:pPr>
              <w:rPr>
                <w:rFonts w:hint="eastAsia" w:ascii="宋体" w:hAnsi="宋体" w:eastAsia="宋体" w:cs="宋体"/>
                <w:color w:val="auto"/>
                <w:sz w:val="21"/>
                <w:szCs w:val="21"/>
                <w:highlight w:val="none"/>
              </w:rPr>
            </w:pPr>
          </w:p>
        </w:tc>
      </w:tr>
      <w:tr w14:paraId="1445F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02" w:type="dxa"/>
            <w:tcBorders>
              <w:left w:val="single" w:color="000000" w:sz="8" w:space="0"/>
            </w:tcBorders>
            <w:vAlign w:val="top"/>
          </w:tcPr>
          <w:p w14:paraId="3592D7FD">
            <w:pPr>
              <w:rPr>
                <w:rFonts w:hint="eastAsia" w:ascii="宋体" w:hAnsi="宋体" w:eastAsia="宋体" w:cs="宋体"/>
                <w:color w:val="auto"/>
                <w:sz w:val="21"/>
                <w:szCs w:val="21"/>
                <w:highlight w:val="none"/>
              </w:rPr>
            </w:pPr>
          </w:p>
        </w:tc>
        <w:tc>
          <w:tcPr>
            <w:tcW w:w="1612" w:type="dxa"/>
            <w:vAlign w:val="top"/>
          </w:tcPr>
          <w:p w14:paraId="5F09E668">
            <w:pPr>
              <w:rPr>
                <w:rFonts w:hint="eastAsia" w:ascii="宋体" w:hAnsi="宋体" w:eastAsia="宋体" w:cs="宋体"/>
                <w:color w:val="auto"/>
                <w:sz w:val="21"/>
                <w:szCs w:val="21"/>
                <w:highlight w:val="none"/>
              </w:rPr>
            </w:pPr>
          </w:p>
        </w:tc>
        <w:tc>
          <w:tcPr>
            <w:tcW w:w="1415" w:type="dxa"/>
            <w:vAlign w:val="top"/>
          </w:tcPr>
          <w:p w14:paraId="04B3F673">
            <w:pPr>
              <w:rPr>
                <w:rFonts w:hint="eastAsia" w:ascii="宋体" w:hAnsi="宋体" w:eastAsia="宋体" w:cs="宋体"/>
                <w:color w:val="auto"/>
                <w:sz w:val="21"/>
                <w:szCs w:val="21"/>
                <w:highlight w:val="none"/>
              </w:rPr>
            </w:pPr>
          </w:p>
        </w:tc>
        <w:tc>
          <w:tcPr>
            <w:tcW w:w="1272" w:type="dxa"/>
            <w:vAlign w:val="top"/>
          </w:tcPr>
          <w:p w14:paraId="2D949050">
            <w:pPr>
              <w:rPr>
                <w:rFonts w:hint="eastAsia" w:ascii="宋体" w:hAnsi="宋体" w:eastAsia="宋体" w:cs="宋体"/>
                <w:color w:val="auto"/>
                <w:sz w:val="21"/>
                <w:szCs w:val="21"/>
                <w:highlight w:val="none"/>
              </w:rPr>
            </w:pPr>
          </w:p>
        </w:tc>
        <w:tc>
          <w:tcPr>
            <w:tcW w:w="1556" w:type="dxa"/>
            <w:vAlign w:val="top"/>
          </w:tcPr>
          <w:p w14:paraId="4858026E">
            <w:pPr>
              <w:rPr>
                <w:rFonts w:hint="eastAsia" w:ascii="宋体" w:hAnsi="宋体" w:eastAsia="宋体" w:cs="宋体"/>
                <w:color w:val="auto"/>
                <w:sz w:val="21"/>
                <w:szCs w:val="21"/>
                <w:highlight w:val="none"/>
              </w:rPr>
            </w:pPr>
          </w:p>
        </w:tc>
        <w:tc>
          <w:tcPr>
            <w:tcW w:w="1696" w:type="dxa"/>
            <w:vAlign w:val="top"/>
          </w:tcPr>
          <w:p w14:paraId="7F1C32F7">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7139B60B">
            <w:pPr>
              <w:rPr>
                <w:rFonts w:hint="eastAsia" w:ascii="宋体" w:hAnsi="宋体" w:eastAsia="宋体" w:cs="宋体"/>
                <w:color w:val="auto"/>
                <w:sz w:val="21"/>
                <w:szCs w:val="21"/>
                <w:highlight w:val="none"/>
              </w:rPr>
            </w:pPr>
          </w:p>
        </w:tc>
      </w:tr>
      <w:tr w14:paraId="4D8C4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02" w:type="dxa"/>
            <w:tcBorders>
              <w:left w:val="single" w:color="000000" w:sz="8" w:space="0"/>
            </w:tcBorders>
            <w:vAlign w:val="top"/>
          </w:tcPr>
          <w:p w14:paraId="2D5BCAE8">
            <w:pPr>
              <w:rPr>
                <w:rFonts w:hint="eastAsia" w:ascii="宋体" w:hAnsi="宋体" w:eastAsia="宋体" w:cs="宋体"/>
                <w:color w:val="auto"/>
                <w:sz w:val="21"/>
                <w:szCs w:val="21"/>
                <w:highlight w:val="none"/>
              </w:rPr>
            </w:pPr>
          </w:p>
        </w:tc>
        <w:tc>
          <w:tcPr>
            <w:tcW w:w="1612" w:type="dxa"/>
            <w:vAlign w:val="top"/>
          </w:tcPr>
          <w:p w14:paraId="3998A1EB">
            <w:pPr>
              <w:rPr>
                <w:rFonts w:hint="eastAsia" w:ascii="宋体" w:hAnsi="宋体" w:eastAsia="宋体" w:cs="宋体"/>
                <w:color w:val="auto"/>
                <w:sz w:val="21"/>
                <w:szCs w:val="21"/>
                <w:highlight w:val="none"/>
              </w:rPr>
            </w:pPr>
          </w:p>
        </w:tc>
        <w:tc>
          <w:tcPr>
            <w:tcW w:w="1415" w:type="dxa"/>
            <w:vAlign w:val="top"/>
          </w:tcPr>
          <w:p w14:paraId="35FC20CE">
            <w:pPr>
              <w:rPr>
                <w:rFonts w:hint="eastAsia" w:ascii="宋体" w:hAnsi="宋体" w:eastAsia="宋体" w:cs="宋体"/>
                <w:color w:val="auto"/>
                <w:sz w:val="21"/>
                <w:szCs w:val="21"/>
                <w:highlight w:val="none"/>
              </w:rPr>
            </w:pPr>
          </w:p>
        </w:tc>
        <w:tc>
          <w:tcPr>
            <w:tcW w:w="1272" w:type="dxa"/>
            <w:vAlign w:val="top"/>
          </w:tcPr>
          <w:p w14:paraId="352001F3">
            <w:pPr>
              <w:rPr>
                <w:rFonts w:hint="eastAsia" w:ascii="宋体" w:hAnsi="宋体" w:eastAsia="宋体" w:cs="宋体"/>
                <w:color w:val="auto"/>
                <w:sz w:val="21"/>
                <w:szCs w:val="21"/>
                <w:highlight w:val="none"/>
              </w:rPr>
            </w:pPr>
          </w:p>
        </w:tc>
        <w:tc>
          <w:tcPr>
            <w:tcW w:w="1556" w:type="dxa"/>
            <w:vAlign w:val="top"/>
          </w:tcPr>
          <w:p w14:paraId="27EA77E9">
            <w:pPr>
              <w:rPr>
                <w:rFonts w:hint="eastAsia" w:ascii="宋体" w:hAnsi="宋体" w:eastAsia="宋体" w:cs="宋体"/>
                <w:color w:val="auto"/>
                <w:sz w:val="21"/>
                <w:szCs w:val="21"/>
                <w:highlight w:val="none"/>
              </w:rPr>
            </w:pPr>
          </w:p>
        </w:tc>
        <w:tc>
          <w:tcPr>
            <w:tcW w:w="1696" w:type="dxa"/>
            <w:vAlign w:val="top"/>
          </w:tcPr>
          <w:p w14:paraId="252A2942">
            <w:pPr>
              <w:rPr>
                <w:rFonts w:hint="eastAsia" w:ascii="宋体" w:hAnsi="宋体" w:eastAsia="宋体" w:cs="宋体"/>
                <w:color w:val="auto"/>
                <w:sz w:val="21"/>
                <w:szCs w:val="21"/>
                <w:highlight w:val="none"/>
              </w:rPr>
            </w:pPr>
          </w:p>
        </w:tc>
        <w:tc>
          <w:tcPr>
            <w:tcW w:w="720" w:type="dxa"/>
            <w:tcBorders>
              <w:right w:val="single" w:color="000000" w:sz="8" w:space="0"/>
            </w:tcBorders>
            <w:vAlign w:val="top"/>
          </w:tcPr>
          <w:p w14:paraId="5AC6178B">
            <w:pPr>
              <w:rPr>
                <w:rFonts w:hint="eastAsia" w:ascii="宋体" w:hAnsi="宋体" w:eastAsia="宋体" w:cs="宋体"/>
                <w:color w:val="auto"/>
                <w:sz w:val="21"/>
                <w:szCs w:val="21"/>
                <w:highlight w:val="none"/>
              </w:rPr>
            </w:pPr>
          </w:p>
        </w:tc>
      </w:tr>
      <w:tr w14:paraId="1AD22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802" w:type="dxa"/>
            <w:tcBorders>
              <w:left w:val="single" w:color="000000" w:sz="8" w:space="0"/>
              <w:bottom w:val="single" w:color="000000" w:sz="8" w:space="0"/>
            </w:tcBorders>
            <w:vAlign w:val="top"/>
          </w:tcPr>
          <w:p w14:paraId="31BD5DCE">
            <w:pPr>
              <w:rPr>
                <w:rFonts w:hint="eastAsia" w:ascii="宋体" w:hAnsi="宋体" w:eastAsia="宋体" w:cs="宋体"/>
                <w:color w:val="auto"/>
                <w:sz w:val="21"/>
                <w:szCs w:val="21"/>
                <w:highlight w:val="none"/>
              </w:rPr>
            </w:pPr>
          </w:p>
        </w:tc>
        <w:tc>
          <w:tcPr>
            <w:tcW w:w="1612" w:type="dxa"/>
            <w:tcBorders>
              <w:bottom w:val="single" w:color="000000" w:sz="8" w:space="0"/>
            </w:tcBorders>
            <w:vAlign w:val="top"/>
          </w:tcPr>
          <w:p w14:paraId="3E8EC8D9">
            <w:pPr>
              <w:rPr>
                <w:rFonts w:hint="eastAsia" w:ascii="宋体" w:hAnsi="宋体" w:eastAsia="宋体" w:cs="宋体"/>
                <w:color w:val="auto"/>
                <w:sz w:val="21"/>
                <w:szCs w:val="21"/>
                <w:highlight w:val="none"/>
              </w:rPr>
            </w:pPr>
          </w:p>
        </w:tc>
        <w:tc>
          <w:tcPr>
            <w:tcW w:w="1415" w:type="dxa"/>
            <w:tcBorders>
              <w:bottom w:val="single" w:color="000000" w:sz="8" w:space="0"/>
            </w:tcBorders>
            <w:vAlign w:val="top"/>
          </w:tcPr>
          <w:p w14:paraId="19F5AEBD">
            <w:pPr>
              <w:rPr>
                <w:rFonts w:hint="eastAsia" w:ascii="宋体" w:hAnsi="宋体" w:eastAsia="宋体" w:cs="宋体"/>
                <w:color w:val="auto"/>
                <w:sz w:val="21"/>
                <w:szCs w:val="21"/>
                <w:highlight w:val="none"/>
              </w:rPr>
            </w:pPr>
          </w:p>
        </w:tc>
        <w:tc>
          <w:tcPr>
            <w:tcW w:w="1272" w:type="dxa"/>
            <w:tcBorders>
              <w:bottom w:val="single" w:color="000000" w:sz="8" w:space="0"/>
            </w:tcBorders>
            <w:vAlign w:val="top"/>
          </w:tcPr>
          <w:p w14:paraId="6CDC58EC">
            <w:pPr>
              <w:rPr>
                <w:rFonts w:hint="eastAsia" w:ascii="宋体" w:hAnsi="宋体" w:eastAsia="宋体" w:cs="宋体"/>
                <w:color w:val="auto"/>
                <w:sz w:val="21"/>
                <w:szCs w:val="21"/>
                <w:highlight w:val="none"/>
              </w:rPr>
            </w:pPr>
          </w:p>
        </w:tc>
        <w:tc>
          <w:tcPr>
            <w:tcW w:w="1556" w:type="dxa"/>
            <w:tcBorders>
              <w:bottom w:val="single" w:color="000000" w:sz="8" w:space="0"/>
            </w:tcBorders>
            <w:vAlign w:val="top"/>
          </w:tcPr>
          <w:p w14:paraId="5525C3F3">
            <w:pPr>
              <w:rPr>
                <w:rFonts w:hint="eastAsia" w:ascii="宋体" w:hAnsi="宋体" w:eastAsia="宋体" w:cs="宋体"/>
                <w:color w:val="auto"/>
                <w:sz w:val="21"/>
                <w:szCs w:val="21"/>
                <w:highlight w:val="none"/>
              </w:rPr>
            </w:pPr>
          </w:p>
        </w:tc>
        <w:tc>
          <w:tcPr>
            <w:tcW w:w="1696" w:type="dxa"/>
            <w:tcBorders>
              <w:bottom w:val="single" w:color="000000" w:sz="8" w:space="0"/>
            </w:tcBorders>
            <w:vAlign w:val="top"/>
          </w:tcPr>
          <w:p w14:paraId="1C3828C1">
            <w:pPr>
              <w:rPr>
                <w:rFonts w:hint="eastAsia" w:ascii="宋体" w:hAnsi="宋体" w:eastAsia="宋体" w:cs="宋体"/>
                <w:color w:val="auto"/>
                <w:sz w:val="21"/>
                <w:szCs w:val="21"/>
                <w:highlight w:val="none"/>
              </w:rPr>
            </w:pPr>
          </w:p>
        </w:tc>
        <w:tc>
          <w:tcPr>
            <w:tcW w:w="720" w:type="dxa"/>
            <w:tcBorders>
              <w:bottom w:val="single" w:color="000000" w:sz="8" w:space="0"/>
              <w:right w:val="single" w:color="000000" w:sz="8" w:space="0"/>
            </w:tcBorders>
            <w:vAlign w:val="top"/>
          </w:tcPr>
          <w:p w14:paraId="4500ABA0">
            <w:pPr>
              <w:rPr>
                <w:rFonts w:hint="eastAsia" w:ascii="宋体" w:hAnsi="宋体" w:eastAsia="宋体" w:cs="宋体"/>
                <w:color w:val="auto"/>
                <w:sz w:val="21"/>
                <w:szCs w:val="21"/>
                <w:highlight w:val="none"/>
              </w:rPr>
            </w:pPr>
          </w:p>
        </w:tc>
      </w:tr>
    </w:tbl>
    <w:p w14:paraId="040BB724">
      <w:pPr>
        <w:spacing w:before="37" w:line="361" w:lineRule="auto"/>
        <w:ind w:left="38" w:right="10" w:hanging="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注：类似项目业绩是指与本项目工作内容相类似的项目业绩，应附合同或中标通知书复</w:t>
      </w:r>
      <w:r>
        <w:rPr>
          <w:rFonts w:ascii="宋体" w:hAnsi="宋体" w:eastAsia="宋体" w:cs="宋体"/>
          <w:color w:val="auto"/>
          <w:spacing w:val="16"/>
          <w:sz w:val="21"/>
          <w:szCs w:val="21"/>
          <w:highlight w:val="none"/>
        </w:rPr>
        <w:t xml:space="preserve"> </w:t>
      </w:r>
      <w:r>
        <w:rPr>
          <w:rFonts w:ascii="宋体" w:hAnsi="宋体" w:eastAsia="宋体" w:cs="宋体"/>
          <w:color w:val="auto"/>
          <w:spacing w:val="-6"/>
          <w:sz w:val="21"/>
          <w:szCs w:val="21"/>
          <w:highlight w:val="none"/>
        </w:rPr>
        <w:t>印件并加盖单位公章。</w:t>
      </w:r>
    </w:p>
    <w:p w14:paraId="4C11DA97">
      <w:pPr>
        <w:spacing w:line="361" w:lineRule="auto"/>
        <w:rPr>
          <w:rFonts w:ascii="宋体" w:hAnsi="宋体" w:eastAsia="宋体" w:cs="宋体"/>
          <w:color w:val="auto"/>
          <w:sz w:val="24"/>
          <w:szCs w:val="24"/>
          <w:highlight w:val="none"/>
        </w:rPr>
        <w:sectPr>
          <w:footerReference r:id="rId54" w:type="default"/>
          <w:pgSz w:w="11906" w:h="16839"/>
          <w:pgMar w:top="400" w:right="1122" w:bottom="1056" w:left="1690" w:header="0" w:footer="822" w:gutter="0"/>
          <w:pgNumType w:fmt="decimal"/>
          <w:cols w:space="720" w:num="1"/>
        </w:sectPr>
      </w:pPr>
    </w:p>
    <w:p w14:paraId="33CA58AB">
      <w:pPr>
        <w:pStyle w:val="6"/>
        <w:spacing w:line="272" w:lineRule="auto"/>
        <w:rPr>
          <w:color w:val="auto"/>
          <w:highlight w:val="none"/>
        </w:rPr>
      </w:pPr>
    </w:p>
    <w:p w14:paraId="6DCACFC0">
      <w:pPr>
        <w:pStyle w:val="6"/>
        <w:spacing w:line="272" w:lineRule="auto"/>
        <w:rPr>
          <w:color w:val="auto"/>
          <w:highlight w:val="none"/>
        </w:rPr>
      </w:pPr>
    </w:p>
    <w:p w14:paraId="780218A9">
      <w:pPr>
        <w:pStyle w:val="6"/>
        <w:spacing w:line="273" w:lineRule="auto"/>
        <w:rPr>
          <w:color w:val="auto"/>
          <w:highlight w:val="none"/>
        </w:rPr>
      </w:pPr>
    </w:p>
    <w:p w14:paraId="7E5A9A88">
      <w:pPr>
        <w:pStyle w:val="6"/>
        <w:spacing w:line="273" w:lineRule="auto"/>
        <w:rPr>
          <w:color w:val="auto"/>
          <w:highlight w:val="none"/>
        </w:rPr>
      </w:pPr>
    </w:p>
    <w:p w14:paraId="34F5C673">
      <w:pPr>
        <w:spacing w:before="181" w:line="220" w:lineRule="auto"/>
        <w:ind w:left="49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13</w:t>
      </w:r>
      <w:r>
        <w:rPr>
          <w:rFonts w:ascii="宋体" w:hAnsi="宋体" w:eastAsia="宋体" w:cs="宋体"/>
          <w:color w:val="auto"/>
          <w:spacing w:val="20"/>
          <w:sz w:val="24"/>
          <w:szCs w:val="24"/>
          <w:highlight w:val="none"/>
        </w:rPr>
        <w:t xml:space="preserve"> </w:t>
      </w:r>
      <w:r>
        <w:rPr>
          <w:rFonts w:ascii="宋体" w:hAnsi="宋体" w:eastAsia="宋体" w:cs="宋体"/>
          <w:color w:val="auto"/>
          <w:spacing w:val="8"/>
          <w:sz w:val="24"/>
          <w:szCs w:val="24"/>
          <w:highlight w:val="none"/>
        </w:rPr>
        <w:t xml:space="preserve">  竞争性磋商文件要求提供或供应商认为应附的其他材料</w:t>
      </w:r>
    </w:p>
    <w:p w14:paraId="30D4E9B2">
      <w:pPr>
        <w:pStyle w:val="6"/>
        <w:spacing w:line="437" w:lineRule="auto"/>
        <w:rPr>
          <w:color w:val="auto"/>
          <w:highlight w:val="none"/>
        </w:rPr>
      </w:pPr>
    </w:p>
    <w:p w14:paraId="406CCC15">
      <w:pPr>
        <w:spacing w:before="78" w:line="360" w:lineRule="auto"/>
        <w:ind w:left="2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3"/>
          <w:sz w:val="21"/>
          <w:szCs w:val="21"/>
          <w:highlight w:val="none"/>
          <w:lang w:val="en-US" w:eastAsia="zh-CN"/>
        </w:rPr>
        <w:t>3</w:t>
      </w:r>
      <w:r>
        <w:rPr>
          <w:rFonts w:hint="eastAsia" w:ascii="宋体" w:hAnsi="宋体" w:eastAsia="宋体" w:cs="宋体"/>
          <w:color w:val="auto"/>
          <w:spacing w:val="-3"/>
          <w:sz w:val="21"/>
          <w:szCs w:val="21"/>
          <w:highlight w:val="none"/>
        </w:rPr>
        <w:t>-1 供应商信息采集表</w:t>
      </w:r>
    </w:p>
    <w:tbl>
      <w:tblPr>
        <w:tblStyle w:val="18"/>
        <w:tblW w:w="90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3"/>
        <w:gridCol w:w="3018"/>
        <w:gridCol w:w="3020"/>
      </w:tblGrid>
      <w:tr w14:paraId="7A657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3" w:type="dxa"/>
            <w:vAlign w:val="top"/>
          </w:tcPr>
          <w:p w14:paraId="4E5B9DFD">
            <w:pPr>
              <w:pStyle w:val="19"/>
              <w:spacing w:before="37" w:line="360" w:lineRule="auto"/>
              <w:ind w:left="11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供应商名称</w:t>
            </w:r>
          </w:p>
        </w:tc>
        <w:tc>
          <w:tcPr>
            <w:tcW w:w="3018" w:type="dxa"/>
            <w:vAlign w:val="top"/>
          </w:tcPr>
          <w:p w14:paraId="4CDB0A21">
            <w:pPr>
              <w:pStyle w:val="19"/>
              <w:spacing w:before="37" w:line="360" w:lineRule="auto"/>
              <w:ind w:left="11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供应商所属性别</w:t>
            </w:r>
          </w:p>
        </w:tc>
        <w:tc>
          <w:tcPr>
            <w:tcW w:w="3020" w:type="dxa"/>
            <w:vAlign w:val="top"/>
          </w:tcPr>
          <w:p w14:paraId="16BEB715">
            <w:pPr>
              <w:pStyle w:val="19"/>
              <w:spacing w:before="36" w:line="360" w:lineRule="auto"/>
              <w:ind w:left="11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外商投资类型</w:t>
            </w:r>
          </w:p>
        </w:tc>
      </w:tr>
      <w:tr w14:paraId="663C6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023" w:type="dxa"/>
            <w:vAlign w:val="top"/>
          </w:tcPr>
          <w:p w14:paraId="30AFA3AE">
            <w:pPr>
              <w:spacing w:line="360" w:lineRule="auto"/>
              <w:rPr>
                <w:rFonts w:hint="eastAsia" w:ascii="宋体" w:hAnsi="宋体" w:eastAsia="宋体" w:cs="宋体"/>
                <w:color w:val="auto"/>
                <w:sz w:val="21"/>
                <w:szCs w:val="21"/>
                <w:highlight w:val="none"/>
              </w:rPr>
            </w:pPr>
          </w:p>
        </w:tc>
        <w:tc>
          <w:tcPr>
            <w:tcW w:w="3018" w:type="dxa"/>
            <w:vAlign w:val="top"/>
          </w:tcPr>
          <w:p w14:paraId="7CB1A98B">
            <w:pPr>
              <w:spacing w:line="360" w:lineRule="auto"/>
              <w:rPr>
                <w:rFonts w:hint="eastAsia" w:ascii="宋体" w:hAnsi="宋体" w:eastAsia="宋体" w:cs="宋体"/>
                <w:color w:val="auto"/>
                <w:sz w:val="21"/>
                <w:szCs w:val="21"/>
                <w:highlight w:val="none"/>
              </w:rPr>
            </w:pPr>
          </w:p>
        </w:tc>
        <w:tc>
          <w:tcPr>
            <w:tcW w:w="3020" w:type="dxa"/>
            <w:vAlign w:val="top"/>
          </w:tcPr>
          <w:p w14:paraId="42B96006">
            <w:pPr>
              <w:spacing w:line="360" w:lineRule="auto"/>
              <w:rPr>
                <w:rFonts w:hint="eastAsia" w:ascii="宋体" w:hAnsi="宋体" w:eastAsia="宋体" w:cs="宋体"/>
                <w:color w:val="auto"/>
                <w:sz w:val="21"/>
                <w:szCs w:val="21"/>
                <w:highlight w:val="none"/>
              </w:rPr>
            </w:pPr>
          </w:p>
        </w:tc>
      </w:tr>
      <w:tr w14:paraId="66916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023" w:type="dxa"/>
            <w:vAlign w:val="top"/>
          </w:tcPr>
          <w:p w14:paraId="1E6447A6">
            <w:pPr>
              <w:spacing w:line="360" w:lineRule="auto"/>
              <w:rPr>
                <w:rFonts w:hint="eastAsia" w:ascii="宋体" w:hAnsi="宋体" w:eastAsia="宋体" w:cs="宋体"/>
                <w:color w:val="auto"/>
                <w:sz w:val="21"/>
                <w:szCs w:val="21"/>
                <w:highlight w:val="none"/>
              </w:rPr>
            </w:pPr>
          </w:p>
        </w:tc>
        <w:tc>
          <w:tcPr>
            <w:tcW w:w="3018" w:type="dxa"/>
            <w:vAlign w:val="top"/>
          </w:tcPr>
          <w:p w14:paraId="38B93AA3">
            <w:pPr>
              <w:spacing w:line="360" w:lineRule="auto"/>
              <w:rPr>
                <w:rFonts w:hint="eastAsia" w:ascii="宋体" w:hAnsi="宋体" w:eastAsia="宋体" w:cs="宋体"/>
                <w:color w:val="auto"/>
                <w:sz w:val="21"/>
                <w:szCs w:val="21"/>
                <w:highlight w:val="none"/>
              </w:rPr>
            </w:pPr>
          </w:p>
        </w:tc>
        <w:tc>
          <w:tcPr>
            <w:tcW w:w="3020" w:type="dxa"/>
            <w:vAlign w:val="top"/>
          </w:tcPr>
          <w:p w14:paraId="69D71AA5">
            <w:pPr>
              <w:spacing w:line="360" w:lineRule="auto"/>
              <w:rPr>
                <w:rFonts w:hint="eastAsia" w:ascii="宋体" w:hAnsi="宋体" w:eastAsia="宋体" w:cs="宋体"/>
                <w:color w:val="auto"/>
                <w:sz w:val="21"/>
                <w:szCs w:val="21"/>
                <w:highlight w:val="none"/>
              </w:rPr>
            </w:pPr>
          </w:p>
        </w:tc>
      </w:tr>
      <w:tr w14:paraId="6A8A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3023" w:type="dxa"/>
            <w:vAlign w:val="top"/>
          </w:tcPr>
          <w:p w14:paraId="00A6EDF9">
            <w:pPr>
              <w:spacing w:line="360" w:lineRule="auto"/>
              <w:rPr>
                <w:rFonts w:hint="eastAsia" w:ascii="宋体" w:hAnsi="宋体" w:eastAsia="宋体" w:cs="宋体"/>
                <w:color w:val="auto"/>
                <w:sz w:val="21"/>
                <w:szCs w:val="21"/>
                <w:highlight w:val="none"/>
              </w:rPr>
            </w:pPr>
          </w:p>
        </w:tc>
        <w:tc>
          <w:tcPr>
            <w:tcW w:w="3018" w:type="dxa"/>
            <w:vAlign w:val="top"/>
          </w:tcPr>
          <w:p w14:paraId="4DCBE6EE">
            <w:pPr>
              <w:spacing w:line="360" w:lineRule="auto"/>
              <w:rPr>
                <w:rFonts w:hint="eastAsia" w:ascii="宋体" w:hAnsi="宋体" w:eastAsia="宋体" w:cs="宋体"/>
                <w:color w:val="auto"/>
                <w:sz w:val="21"/>
                <w:szCs w:val="21"/>
                <w:highlight w:val="none"/>
              </w:rPr>
            </w:pPr>
          </w:p>
        </w:tc>
        <w:tc>
          <w:tcPr>
            <w:tcW w:w="3020" w:type="dxa"/>
            <w:vAlign w:val="top"/>
          </w:tcPr>
          <w:p w14:paraId="7B8D2659">
            <w:pPr>
              <w:spacing w:line="360" w:lineRule="auto"/>
              <w:rPr>
                <w:rFonts w:hint="eastAsia" w:ascii="宋体" w:hAnsi="宋体" w:eastAsia="宋体" w:cs="宋体"/>
                <w:color w:val="auto"/>
                <w:sz w:val="21"/>
                <w:szCs w:val="21"/>
                <w:highlight w:val="none"/>
              </w:rPr>
            </w:pPr>
          </w:p>
        </w:tc>
      </w:tr>
      <w:tr w14:paraId="2756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023" w:type="dxa"/>
            <w:vAlign w:val="top"/>
          </w:tcPr>
          <w:p w14:paraId="5E302E7A">
            <w:pPr>
              <w:spacing w:line="360" w:lineRule="auto"/>
              <w:rPr>
                <w:rFonts w:hint="eastAsia" w:ascii="宋体" w:hAnsi="宋体" w:eastAsia="宋体" w:cs="宋体"/>
                <w:color w:val="auto"/>
                <w:sz w:val="21"/>
                <w:szCs w:val="21"/>
                <w:highlight w:val="none"/>
              </w:rPr>
            </w:pPr>
          </w:p>
        </w:tc>
        <w:tc>
          <w:tcPr>
            <w:tcW w:w="3018" w:type="dxa"/>
            <w:vAlign w:val="top"/>
          </w:tcPr>
          <w:p w14:paraId="38EA27D3">
            <w:pPr>
              <w:spacing w:line="360" w:lineRule="auto"/>
              <w:rPr>
                <w:rFonts w:hint="eastAsia" w:ascii="宋体" w:hAnsi="宋体" w:eastAsia="宋体" w:cs="宋体"/>
                <w:color w:val="auto"/>
                <w:sz w:val="21"/>
                <w:szCs w:val="21"/>
                <w:highlight w:val="none"/>
              </w:rPr>
            </w:pPr>
          </w:p>
        </w:tc>
        <w:tc>
          <w:tcPr>
            <w:tcW w:w="3020" w:type="dxa"/>
            <w:vAlign w:val="top"/>
          </w:tcPr>
          <w:p w14:paraId="26F43093">
            <w:pPr>
              <w:spacing w:line="360" w:lineRule="auto"/>
              <w:rPr>
                <w:rFonts w:hint="eastAsia" w:ascii="宋体" w:hAnsi="宋体" w:eastAsia="宋体" w:cs="宋体"/>
                <w:color w:val="auto"/>
                <w:sz w:val="21"/>
                <w:szCs w:val="21"/>
                <w:highlight w:val="none"/>
              </w:rPr>
            </w:pPr>
          </w:p>
        </w:tc>
      </w:tr>
    </w:tbl>
    <w:p w14:paraId="59188A34">
      <w:pPr>
        <w:spacing w:before="37" w:line="360"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注：1.供应商如为联合体，则应填写联合体各成员信息。</w:t>
      </w:r>
    </w:p>
    <w:p w14:paraId="4F73035D">
      <w:pPr>
        <w:spacing w:before="28" w:line="360" w:lineRule="auto"/>
        <w:ind w:left="12" w:right="112" w:firstLine="47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2.供应商所属性别请填写“男”或“女</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5"/>
          <w:sz w:val="21"/>
          <w:szCs w:val="21"/>
          <w:highlight w:val="none"/>
        </w:rPr>
        <w:t>”，指拥有供应商</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5"/>
          <w:sz w:val="21"/>
          <w:szCs w:val="21"/>
          <w:highlight w:val="none"/>
        </w:rPr>
        <w:t>51%以上绝对所有权的性</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别；绝对所有权拥有者可以是一个人，也可以是多人合计计算。</w:t>
      </w:r>
    </w:p>
    <w:p w14:paraId="6BCC5EE2">
      <w:pPr>
        <w:spacing w:before="25" w:line="360" w:lineRule="auto"/>
        <w:ind w:left="489"/>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3.外商投资类型请填写“外商单独投资</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9"/>
          <w:sz w:val="21"/>
          <w:szCs w:val="21"/>
          <w:highlight w:val="none"/>
        </w:rPr>
        <w:t>”、“外商部分</w:t>
      </w:r>
      <w:r>
        <w:rPr>
          <w:rFonts w:hint="eastAsia" w:ascii="宋体" w:hAnsi="宋体" w:eastAsia="宋体" w:cs="宋体"/>
          <w:color w:val="auto"/>
          <w:spacing w:val="-10"/>
          <w:sz w:val="21"/>
          <w:szCs w:val="21"/>
          <w:highlight w:val="none"/>
        </w:rPr>
        <w:t>投资”或“内资</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10"/>
          <w:sz w:val="21"/>
          <w:szCs w:val="21"/>
          <w:highlight w:val="none"/>
        </w:rPr>
        <w:t>”。</w:t>
      </w:r>
    </w:p>
    <w:p w14:paraId="6F52F7AC">
      <w:pPr>
        <w:spacing w:line="220" w:lineRule="auto"/>
        <w:rPr>
          <w:rFonts w:ascii="宋体" w:hAnsi="宋体" w:eastAsia="宋体" w:cs="宋体"/>
          <w:color w:val="auto"/>
          <w:sz w:val="24"/>
          <w:szCs w:val="24"/>
          <w:highlight w:val="none"/>
        </w:rPr>
        <w:sectPr>
          <w:footerReference r:id="rId55" w:type="default"/>
          <w:pgSz w:w="11907" w:h="16840"/>
          <w:pgMar w:top="400" w:right="1134" w:bottom="1056" w:left="1701" w:header="0" w:footer="821" w:gutter="0"/>
          <w:pgNumType w:fmt="decimal"/>
          <w:cols w:space="720" w:num="1"/>
        </w:sectPr>
      </w:pPr>
    </w:p>
    <w:p w14:paraId="4E9FA186">
      <w:pPr>
        <w:pStyle w:val="6"/>
        <w:spacing w:line="242" w:lineRule="auto"/>
        <w:rPr>
          <w:color w:val="auto"/>
          <w:highlight w:val="none"/>
        </w:rPr>
      </w:pPr>
    </w:p>
    <w:p w14:paraId="4F8B564A">
      <w:pPr>
        <w:pStyle w:val="6"/>
        <w:spacing w:line="242" w:lineRule="auto"/>
        <w:rPr>
          <w:color w:val="auto"/>
          <w:highlight w:val="none"/>
        </w:rPr>
      </w:pPr>
    </w:p>
    <w:p w14:paraId="17829A44">
      <w:pPr>
        <w:pStyle w:val="6"/>
        <w:spacing w:line="243" w:lineRule="auto"/>
        <w:rPr>
          <w:color w:val="auto"/>
          <w:highlight w:val="none"/>
        </w:rPr>
      </w:pPr>
    </w:p>
    <w:p w14:paraId="2866D5F2">
      <w:pPr>
        <w:pStyle w:val="6"/>
        <w:spacing w:line="243" w:lineRule="auto"/>
        <w:rPr>
          <w:color w:val="auto"/>
          <w:highlight w:val="none"/>
        </w:rPr>
      </w:pPr>
    </w:p>
    <w:p w14:paraId="55FDD506">
      <w:pPr>
        <w:spacing w:before="78" w:line="220" w:lineRule="auto"/>
        <w:ind w:left="42"/>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hint="eastAsia" w:ascii="Times New Roman" w:hAnsi="Times New Roman" w:eastAsia="宋体" w:cs="Times New Roman"/>
          <w:color w:val="auto"/>
          <w:spacing w:val="-6"/>
          <w:sz w:val="24"/>
          <w:szCs w:val="24"/>
          <w:highlight w:val="none"/>
          <w:lang w:val="en-US" w:eastAsia="zh-CN"/>
        </w:rPr>
        <w:t>4</w:t>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6"/>
          <w:sz w:val="24"/>
          <w:szCs w:val="24"/>
          <w:highlight w:val="none"/>
        </w:rPr>
        <w:t>技术文件</w:t>
      </w:r>
    </w:p>
    <w:p w14:paraId="156BE8E8">
      <w:pPr>
        <w:spacing w:before="181" w:line="360" w:lineRule="auto"/>
        <w:ind w:left="5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施工组织设计中至少应包括并重点描述如下几个方面的内容：</w:t>
      </w:r>
    </w:p>
    <w:p w14:paraId="715A3B45">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（1）工程概况</w:t>
      </w:r>
    </w:p>
    <w:p w14:paraId="3ADB0453">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（2）施工建设方案与技术措施</w:t>
      </w:r>
    </w:p>
    <w:p w14:paraId="5988D2B4">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（3）质量目标和质量保证措施</w:t>
      </w:r>
    </w:p>
    <w:p w14:paraId="4C96AE98">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（4）施工总体进度计划及保证措施</w:t>
      </w:r>
    </w:p>
    <w:p w14:paraId="29C21D6E">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（5）现场组织管理机构和劳动力计划及保障措施</w:t>
      </w:r>
    </w:p>
    <w:p w14:paraId="40C5C618">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（6）材料设备采购计划</w:t>
      </w:r>
    </w:p>
    <w:p w14:paraId="362BDA64">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（7）安全、职业健康、环境保护和绿色施工保障措施</w:t>
      </w:r>
    </w:p>
    <w:p w14:paraId="5AD6F6DF">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（8）工程保修和维护管理的措施</w:t>
      </w:r>
    </w:p>
    <w:p w14:paraId="482A7861">
      <w:pPr>
        <w:autoSpaceDE w:val="0"/>
        <w:autoSpaceDN w:val="0"/>
        <w:adjustRightInd w:val="0"/>
        <w:spacing w:line="360" w:lineRule="auto"/>
        <w:ind w:left="420" w:leftChars="200" w:firstLine="0" w:firstLineChars="0"/>
        <w:jc w:val="left"/>
        <w:rPr>
          <w:rFonts w:ascii="宋体" w:hAnsi="宋体"/>
          <w:color w:val="auto"/>
          <w:sz w:val="21"/>
          <w:szCs w:val="21"/>
          <w:highlight w:val="none"/>
        </w:rPr>
      </w:pPr>
      <w:r>
        <w:rPr>
          <w:rFonts w:ascii="宋体" w:hAnsi="宋体"/>
          <w:color w:val="auto"/>
          <w:sz w:val="21"/>
          <w:szCs w:val="21"/>
          <w:highlight w:val="none"/>
        </w:rPr>
        <w:t>……其他</w:t>
      </w:r>
    </w:p>
    <w:p w14:paraId="590156C9">
      <w:pPr>
        <w:pStyle w:val="6"/>
        <w:spacing w:line="261" w:lineRule="auto"/>
        <w:rPr>
          <w:color w:val="auto"/>
          <w:highlight w:val="none"/>
        </w:rPr>
      </w:pPr>
    </w:p>
    <w:p w14:paraId="7F0E74E7">
      <w:pPr>
        <w:pStyle w:val="6"/>
        <w:spacing w:line="262" w:lineRule="auto"/>
        <w:rPr>
          <w:color w:val="auto"/>
          <w:highlight w:val="none"/>
        </w:rPr>
      </w:pPr>
    </w:p>
    <w:p w14:paraId="5721CCAB">
      <w:pPr>
        <w:pStyle w:val="6"/>
        <w:spacing w:line="262" w:lineRule="auto"/>
        <w:rPr>
          <w:color w:val="auto"/>
          <w:highlight w:val="none"/>
        </w:rPr>
      </w:pPr>
    </w:p>
    <w:p w14:paraId="1FF28B71">
      <w:pPr>
        <w:pStyle w:val="6"/>
        <w:spacing w:line="262" w:lineRule="auto"/>
        <w:rPr>
          <w:color w:val="auto"/>
          <w:highlight w:val="none"/>
        </w:rPr>
      </w:pPr>
    </w:p>
    <w:p w14:paraId="474E061C">
      <w:pPr>
        <w:pStyle w:val="6"/>
        <w:spacing w:line="242" w:lineRule="auto"/>
        <w:rPr>
          <w:color w:val="auto"/>
          <w:highlight w:val="none"/>
        </w:rPr>
      </w:pPr>
    </w:p>
    <w:p w14:paraId="2A5FCDEA">
      <w:pPr>
        <w:rPr>
          <w:color w:val="auto"/>
          <w:highlight w:val="none"/>
        </w:rPr>
      </w:pPr>
    </w:p>
    <w:p w14:paraId="3D3DDFB2">
      <w:pPr>
        <w:rPr>
          <w:color w:val="auto"/>
          <w:highlight w:val="none"/>
        </w:rPr>
      </w:pPr>
    </w:p>
    <w:p w14:paraId="411BC207">
      <w:pPr>
        <w:rPr>
          <w:color w:val="auto"/>
          <w:highlight w:val="none"/>
        </w:rPr>
      </w:pPr>
    </w:p>
    <w:p w14:paraId="32CEF4DF">
      <w:pPr>
        <w:rPr>
          <w:color w:val="auto"/>
          <w:highlight w:val="none"/>
        </w:rPr>
      </w:pPr>
    </w:p>
    <w:p w14:paraId="66B99B1B">
      <w:pPr>
        <w:rPr>
          <w:color w:val="auto"/>
          <w:highlight w:val="none"/>
        </w:rPr>
      </w:pPr>
    </w:p>
    <w:p w14:paraId="7C1C21B9">
      <w:pPr>
        <w:rPr>
          <w:color w:val="auto"/>
          <w:highlight w:val="none"/>
        </w:rPr>
      </w:pPr>
    </w:p>
    <w:p w14:paraId="24BA21E6">
      <w:pPr>
        <w:rPr>
          <w:color w:val="auto"/>
          <w:highlight w:val="none"/>
        </w:rPr>
      </w:pPr>
    </w:p>
    <w:p w14:paraId="0F203BAB">
      <w:pPr>
        <w:rPr>
          <w:color w:val="auto"/>
          <w:highlight w:val="none"/>
        </w:rPr>
      </w:pPr>
    </w:p>
    <w:p w14:paraId="2AFB0DEB">
      <w:pPr>
        <w:rPr>
          <w:color w:val="auto"/>
          <w:highlight w:val="none"/>
        </w:rPr>
      </w:pPr>
    </w:p>
    <w:p w14:paraId="0EC0FA68">
      <w:pPr>
        <w:rPr>
          <w:color w:val="auto"/>
          <w:highlight w:val="none"/>
        </w:rPr>
      </w:pPr>
    </w:p>
    <w:p w14:paraId="12253CD9">
      <w:pPr>
        <w:rPr>
          <w:color w:val="auto"/>
          <w:highlight w:val="none"/>
        </w:rPr>
      </w:pPr>
    </w:p>
    <w:p w14:paraId="4CB01A0C">
      <w:pPr>
        <w:rPr>
          <w:color w:val="auto"/>
          <w:highlight w:val="none"/>
        </w:rPr>
      </w:pPr>
    </w:p>
    <w:p w14:paraId="389BD46B">
      <w:pPr>
        <w:rPr>
          <w:color w:val="auto"/>
          <w:highlight w:val="none"/>
        </w:rPr>
      </w:pPr>
    </w:p>
    <w:p w14:paraId="28082A0F">
      <w:pPr>
        <w:rPr>
          <w:color w:val="auto"/>
          <w:highlight w:val="none"/>
        </w:rPr>
      </w:pPr>
    </w:p>
    <w:p w14:paraId="1398E501">
      <w:pPr>
        <w:rPr>
          <w:color w:val="auto"/>
          <w:highlight w:val="none"/>
        </w:rPr>
      </w:pPr>
    </w:p>
    <w:p w14:paraId="68528A2F">
      <w:pPr>
        <w:rPr>
          <w:color w:val="auto"/>
          <w:highlight w:val="none"/>
        </w:rPr>
      </w:pPr>
    </w:p>
    <w:p w14:paraId="25DA0954">
      <w:pPr>
        <w:rPr>
          <w:color w:val="auto"/>
          <w:highlight w:val="none"/>
        </w:rPr>
      </w:pPr>
    </w:p>
    <w:p w14:paraId="4D3DBAA1">
      <w:pPr>
        <w:rPr>
          <w:color w:val="auto"/>
          <w:highlight w:val="none"/>
        </w:rPr>
      </w:pPr>
    </w:p>
    <w:p w14:paraId="782DB5CC">
      <w:pPr>
        <w:rPr>
          <w:color w:val="auto"/>
          <w:highlight w:val="none"/>
        </w:rPr>
      </w:pPr>
    </w:p>
    <w:p w14:paraId="1DBEC518">
      <w:pPr>
        <w:rPr>
          <w:color w:val="auto"/>
          <w:highlight w:val="none"/>
        </w:rPr>
      </w:pPr>
    </w:p>
    <w:p w14:paraId="091CA7D6">
      <w:pPr>
        <w:rPr>
          <w:color w:val="auto"/>
          <w:highlight w:val="none"/>
        </w:rPr>
      </w:pPr>
    </w:p>
    <w:p w14:paraId="446E3AF0">
      <w:pPr>
        <w:rPr>
          <w:color w:val="auto"/>
          <w:highlight w:val="none"/>
        </w:rPr>
      </w:pPr>
    </w:p>
    <w:p w14:paraId="41D7DE66">
      <w:pPr>
        <w:rPr>
          <w:color w:val="auto"/>
          <w:highlight w:val="none"/>
        </w:rPr>
      </w:pPr>
    </w:p>
    <w:p w14:paraId="3F46EC52">
      <w:pPr>
        <w:rPr>
          <w:color w:val="auto"/>
          <w:highlight w:val="none"/>
        </w:rPr>
      </w:pPr>
    </w:p>
    <w:p w14:paraId="5D127A87">
      <w:pPr>
        <w:rPr>
          <w:color w:val="auto"/>
          <w:highlight w:val="none"/>
        </w:rPr>
      </w:pPr>
    </w:p>
    <w:p w14:paraId="1396572D">
      <w:pPr>
        <w:rPr>
          <w:color w:val="auto"/>
          <w:highlight w:val="none"/>
        </w:rPr>
      </w:pPr>
    </w:p>
    <w:p w14:paraId="70F4542E">
      <w:pPr>
        <w:rPr>
          <w:color w:val="auto"/>
          <w:highlight w:val="none"/>
        </w:rPr>
      </w:pPr>
    </w:p>
    <w:p w14:paraId="2571B9DD">
      <w:pPr>
        <w:rPr>
          <w:color w:val="auto"/>
          <w:highlight w:val="none"/>
        </w:rPr>
      </w:pPr>
    </w:p>
    <w:p w14:paraId="020D9FF2">
      <w:pPr>
        <w:rPr>
          <w:color w:val="auto"/>
          <w:highlight w:val="none"/>
        </w:rPr>
      </w:pPr>
    </w:p>
    <w:p w14:paraId="0E50CBB8">
      <w:pPr>
        <w:rPr>
          <w:color w:val="auto"/>
          <w:highlight w:val="none"/>
        </w:rPr>
      </w:pPr>
    </w:p>
    <w:p w14:paraId="4156D1F1">
      <w:pPr>
        <w:rPr>
          <w:color w:val="auto"/>
          <w:highlight w:val="none"/>
        </w:rPr>
      </w:pPr>
    </w:p>
    <w:p w14:paraId="6160BEC6">
      <w:pPr>
        <w:rPr>
          <w:color w:val="auto"/>
          <w:highlight w:val="none"/>
        </w:rPr>
      </w:pPr>
    </w:p>
    <w:p w14:paraId="58FC1288">
      <w:pPr>
        <w:rPr>
          <w:color w:val="auto"/>
          <w:highlight w:val="none"/>
        </w:rPr>
      </w:pPr>
    </w:p>
    <w:p w14:paraId="7864C29D">
      <w:pPr>
        <w:pStyle w:val="6"/>
        <w:spacing w:line="243" w:lineRule="auto"/>
        <w:rPr>
          <w:color w:val="auto"/>
          <w:highlight w:val="none"/>
        </w:rPr>
      </w:pPr>
    </w:p>
    <w:p w14:paraId="78821082">
      <w:pPr>
        <w:pStyle w:val="6"/>
        <w:spacing w:line="243" w:lineRule="auto"/>
        <w:rPr>
          <w:color w:val="auto"/>
          <w:highlight w:val="none"/>
        </w:rPr>
      </w:pPr>
    </w:p>
    <w:p w14:paraId="1713598C">
      <w:pPr>
        <w:pStyle w:val="6"/>
        <w:spacing w:line="243" w:lineRule="auto"/>
        <w:rPr>
          <w:color w:val="auto"/>
          <w:highlight w:val="none"/>
        </w:rPr>
      </w:pPr>
    </w:p>
    <w:p w14:paraId="60149958">
      <w:pPr>
        <w:spacing w:before="78" w:line="218" w:lineRule="auto"/>
        <w:ind w:left="18"/>
        <w:outlineLvl w:val="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1</w:t>
      </w:r>
      <w:r>
        <w:rPr>
          <w:rFonts w:hint="eastAsia" w:ascii="Times New Roman" w:hAnsi="Times New Roman" w:eastAsia="宋体" w:cs="Times New Roman"/>
          <w:color w:val="auto"/>
          <w:spacing w:val="-2"/>
          <w:sz w:val="24"/>
          <w:szCs w:val="24"/>
          <w:highlight w:val="none"/>
          <w:lang w:val="en-US" w:eastAsia="zh-CN"/>
        </w:rPr>
        <w:t>5</w:t>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最后报价一览表（实质性格式，磋商后提交）</w:t>
      </w:r>
    </w:p>
    <w:p w14:paraId="262E2A1D">
      <w:pPr>
        <w:pStyle w:val="6"/>
        <w:spacing w:line="281" w:lineRule="auto"/>
        <w:rPr>
          <w:color w:val="auto"/>
          <w:highlight w:val="none"/>
        </w:rPr>
      </w:pPr>
    </w:p>
    <w:p w14:paraId="0F887E84">
      <w:pPr>
        <w:spacing w:before="286" w:line="206" w:lineRule="auto"/>
        <w:ind w:left="220" w:leftChars="0" w:firstLine="0" w:firstLineChars="0"/>
        <w:jc w:val="center"/>
        <w:rPr>
          <w:rFonts w:ascii="宋体" w:hAnsi="宋体" w:eastAsia="宋体" w:cs="宋体"/>
          <w:b/>
          <w:bCs/>
          <w:color w:val="auto"/>
          <w:spacing w:val="-15"/>
          <w:sz w:val="28"/>
          <w:szCs w:val="28"/>
          <w:highlight w:val="none"/>
        </w:rPr>
      </w:pPr>
      <w:r>
        <w:rPr>
          <w:rFonts w:ascii="宋体" w:hAnsi="宋体" w:eastAsia="宋体" w:cs="宋体"/>
          <w:b/>
          <w:bCs/>
          <w:color w:val="auto"/>
          <w:spacing w:val="-15"/>
          <w:sz w:val="28"/>
          <w:szCs w:val="28"/>
          <w:highlight w:val="none"/>
        </w:rPr>
        <w:t>最后报价一览表</w:t>
      </w:r>
    </w:p>
    <w:p w14:paraId="194D706E">
      <w:pPr>
        <w:pStyle w:val="6"/>
        <w:spacing w:line="327" w:lineRule="auto"/>
        <w:rPr>
          <w:color w:val="auto"/>
          <w:highlight w:val="none"/>
        </w:rPr>
      </w:pPr>
    </w:p>
    <w:p w14:paraId="00BFC1A0">
      <w:pPr>
        <w:pStyle w:val="6"/>
        <w:spacing w:before="78" w:line="220" w:lineRule="auto"/>
        <w:ind w:left="373"/>
        <w:rPr>
          <w:color w:val="auto"/>
          <w:sz w:val="21"/>
          <w:szCs w:val="21"/>
          <w:highlight w:val="none"/>
        </w:rPr>
      </w:pPr>
      <w:r>
        <w:rPr>
          <w:color w:val="auto"/>
          <w:sz w:val="21"/>
          <w:szCs w:val="21"/>
          <w:highlight w:val="none"/>
        </w:rPr>
        <w:t>项目编号</w:t>
      </w:r>
      <w:r>
        <w:rPr>
          <w:rFonts w:ascii="Arial" w:hAnsi="Arial" w:eastAsia="Arial" w:cs="Arial"/>
          <w:color w:val="auto"/>
          <w:sz w:val="21"/>
          <w:szCs w:val="21"/>
          <w:highlight w:val="none"/>
        </w:rPr>
        <w:t>/</w:t>
      </w:r>
      <w:r>
        <w:rPr>
          <w:color w:val="auto"/>
          <w:sz w:val="21"/>
          <w:szCs w:val="21"/>
          <w:highlight w:val="none"/>
        </w:rPr>
        <w:t>包号：</w:t>
      </w:r>
      <w:r>
        <w:rPr>
          <w:color w:val="auto"/>
          <w:sz w:val="21"/>
          <w:szCs w:val="21"/>
          <w:highlight w:val="none"/>
          <w:u w:val="single" w:color="auto"/>
        </w:rPr>
        <w:t xml:space="preserve">               </w:t>
      </w:r>
      <w:r>
        <w:rPr>
          <w:color w:val="auto"/>
          <w:sz w:val="21"/>
          <w:szCs w:val="21"/>
          <w:highlight w:val="none"/>
        </w:rPr>
        <w:t xml:space="preserve">     项</w:t>
      </w:r>
      <w:r>
        <w:rPr>
          <w:color w:val="auto"/>
          <w:spacing w:val="-1"/>
          <w:sz w:val="21"/>
          <w:szCs w:val="21"/>
          <w:highlight w:val="none"/>
        </w:rPr>
        <w:t>目名称：</w:t>
      </w:r>
      <w:r>
        <w:rPr>
          <w:color w:val="auto"/>
          <w:sz w:val="21"/>
          <w:szCs w:val="21"/>
          <w:highlight w:val="none"/>
          <w:u w:val="single" w:color="auto"/>
        </w:rPr>
        <w:t xml:space="preserve">                </w:t>
      </w:r>
    </w:p>
    <w:p w14:paraId="24B96E46">
      <w:pPr>
        <w:spacing w:line="143" w:lineRule="exact"/>
        <w:rPr>
          <w:color w:val="auto"/>
          <w:sz w:val="21"/>
          <w:szCs w:val="21"/>
          <w:highlight w:val="none"/>
        </w:rPr>
      </w:pPr>
    </w:p>
    <w:tbl>
      <w:tblPr>
        <w:tblStyle w:val="18"/>
        <w:tblW w:w="7697" w:type="dxa"/>
        <w:tblInd w:w="6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2304"/>
        <w:gridCol w:w="1713"/>
        <w:gridCol w:w="1525"/>
        <w:gridCol w:w="1464"/>
      </w:tblGrid>
      <w:tr w14:paraId="0EAB9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91" w:type="dxa"/>
            <w:vMerge w:val="restart"/>
            <w:tcBorders>
              <w:bottom w:val="nil"/>
            </w:tcBorders>
            <w:vAlign w:val="top"/>
          </w:tcPr>
          <w:p w14:paraId="3BC58847">
            <w:pPr>
              <w:pStyle w:val="19"/>
              <w:spacing w:line="410" w:lineRule="auto"/>
              <w:rPr>
                <w:color w:val="auto"/>
                <w:sz w:val="21"/>
                <w:szCs w:val="21"/>
                <w:highlight w:val="none"/>
              </w:rPr>
            </w:pPr>
          </w:p>
          <w:p w14:paraId="550D1F4C">
            <w:pPr>
              <w:spacing w:before="78" w:line="222" w:lineRule="auto"/>
              <w:ind w:left="110"/>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序号</w:t>
            </w:r>
          </w:p>
        </w:tc>
        <w:tc>
          <w:tcPr>
            <w:tcW w:w="2304" w:type="dxa"/>
            <w:vMerge w:val="restart"/>
            <w:tcBorders>
              <w:bottom w:val="nil"/>
            </w:tcBorders>
            <w:vAlign w:val="top"/>
          </w:tcPr>
          <w:p w14:paraId="46B7755C">
            <w:pPr>
              <w:pStyle w:val="19"/>
              <w:spacing w:line="412" w:lineRule="auto"/>
              <w:rPr>
                <w:color w:val="auto"/>
                <w:sz w:val="21"/>
                <w:szCs w:val="21"/>
                <w:highlight w:val="none"/>
              </w:rPr>
            </w:pPr>
          </w:p>
          <w:p w14:paraId="75DEEAB5">
            <w:pPr>
              <w:spacing w:before="78" w:line="219" w:lineRule="auto"/>
              <w:ind w:left="555"/>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供应商名称</w:t>
            </w:r>
          </w:p>
        </w:tc>
        <w:tc>
          <w:tcPr>
            <w:tcW w:w="3238" w:type="dxa"/>
            <w:gridSpan w:val="2"/>
            <w:vAlign w:val="top"/>
          </w:tcPr>
          <w:p w14:paraId="5A5F2F7A">
            <w:pPr>
              <w:spacing w:before="150" w:line="219" w:lineRule="auto"/>
              <w:ind w:left="1149"/>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最后报价</w:t>
            </w:r>
          </w:p>
        </w:tc>
        <w:tc>
          <w:tcPr>
            <w:tcW w:w="1464" w:type="dxa"/>
            <w:vMerge w:val="restart"/>
            <w:tcBorders>
              <w:bottom w:val="nil"/>
            </w:tcBorders>
            <w:vAlign w:val="top"/>
          </w:tcPr>
          <w:p w14:paraId="5801F36D">
            <w:pPr>
              <w:pStyle w:val="19"/>
              <w:spacing w:line="259" w:lineRule="auto"/>
              <w:rPr>
                <w:color w:val="auto"/>
                <w:sz w:val="21"/>
                <w:szCs w:val="21"/>
                <w:highlight w:val="none"/>
              </w:rPr>
            </w:pPr>
          </w:p>
          <w:p w14:paraId="7E7A3B9D">
            <w:pPr>
              <w:spacing w:before="78" w:line="229" w:lineRule="auto"/>
              <w:ind w:left="501" w:right="490" w:hanging="3"/>
              <w:rPr>
                <w:rFonts w:ascii="宋体" w:hAnsi="宋体" w:eastAsia="宋体" w:cs="宋体"/>
                <w:color w:val="auto"/>
                <w:sz w:val="21"/>
                <w:szCs w:val="21"/>
                <w:highlight w:val="none"/>
              </w:rPr>
            </w:pPr>
            <w:r>
              <w:rPr>
                <w:rFonts w:ascii="宋体" w:hAnsi="宋体" w:eastAsia="宋体" w:cs="宋体"/>
                <w:b/>
                <w:bCs/>
                <w:color w:val="auto"/>
                <w:spacing w:val="-8"/>
                <w:sz w:val="21"/>
                <w:szCs w:val="21"/>
                <w:highlight w:val="none"/>
              </w:rPr>
              <w:t>其他</w:t>
            </w:r>
            <w:r>
              <w:rPr>
                <w:rFonts w:ascii="宋体" w:hAnsi="宋体" w:eastAsia="宋体" w:cs="宋体"/>
                <w:color w:val="auto"/>
                <w:sz w:val="21"/>
                <w:szCs w:val="21"/>
                <w:highlight w:val="none"/>
              </w:rPr>
              <w:t xml:space="preserve"> </w:t>
            </w:r>
            <w:r>
              <w:rPr>
                <w:rFonts w:ascii="宋体" w:hAnsi="宋体" w:eastAsia="宋体" w:cs="宋体"/>
                <w:b/>
                <w:bCs/>
                <w:color w:val="auto"/>
                <w:spacing w:val="-10"/>
                <w:sz w:val="21"/>
                <w:szCs w:val="21"/>
                <w:highlight w:val="none"/>
              </w:rPr>
              <w:t>声明</w:t>
            </w:r>
          </w:p>
        </w:tc>
      </w:tr>
      <w:tr w14:paraId="2446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691" w:type="dxa"/>
            <w:vMerge w:val="continue"/>
            <w:tcBorders>
              <w:top w:val="nil"/>
            </w:tcBorders>
            <w:vAlign w:val="top"/>
          </w:tcPr>
          <w:p w14:paraId="661429DF">
            <w:pPr>
              <w:pStyle w:val="19"/>
              <w:rPr>
                <w:color w:val="auto"/>
                <w:sz w:val="21"/>
                <w:szCs w:val="21"/>
                <w:highlight w:val="none"/>
              </w:rPr>
            </w:pPr>
          </w:p>
        </w:tc>
        <w:tc>
          <w:tcPr>
            <w:tcW w:w="2304" w:type="dxa"/>
            <w:vMerge w:val="continue"/>
            <w:tcBorders>
              <w:top w:val="nil"/>
            </w:tcBorders>
            <w:vAlign w:val="top"/>
          </w:tcPr>
          <w:p w14:paraId="32CB41F9">
            <w:pPr>
              <w:pStyle w:val="19"/>
              <w:rPr>
                <w:color w:val="auto"/>
                <w:sz w:val="21"/>
                <w:szCs w:val="21"/>
                <w:highlight w:val="none"/>
              </w:rPr>
            </w:pPr>
          </w:p>
        </w:tc>
        <w:tc>
          <w:tcPr>
            <w:tcW w:w="1713" w:type="dxa"/>
            <w:vAlign w:val="top"/>
          </w:tcPr>
          <w:p w14:paraId="70C6A2E2">
            <w:pPr>
              <w:spacing w:before="218" w:line="221" w:lineRule="auto"/>
              <w:ind w:left="625"/>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大写</w:t>
            </w:r>
          </w:p>
        </w:tc>
        <w:tc>
          <w:tcPr>
            <w:tcW w:w="1525" w:type="dxa"/>
            <w:vAlign w:val="top"/>
          </w:tcPr>
          <w:p w14:paraId="399B7C15">
            <w:pPr>
              <w:spacing w:before="218" w:line="222" w:lineRule="auto"/>
              <w:ind w:left="536"/>
              <w:rPr>
                <w:rFonts w:ascii="宋体" w:hAnsi="宋体" w:eastAsia="宋体" w:cs="宋体"/>
                <w:color w:val="auto"/>
                <w:sz w:val="21"/>
                <w:szCs w:val="21"/>
                <w:highlight w:val="none"/>
              </w:rPr>
            </w:pPr>
            <w:r>
              <w:rPr>
                <w:rFonts w:ascii="宋体" w:hAnsi="宋体" w:eastAsia="宋体" w:cs="宋体"/>
                <w:b/>
                <w:bCs/>
                <w:color w:val="auto"/>
                <w:spacing w:val="-7"/>
                <w:sz w:val="21"/>
                <w:szCs w:val="21"/>
                <w:highlight w:val="none"/>
              </w:rPr>
              <w:t>小写</w:t>
            </w:r>
          </w:p>
        </w:tc>
        <w:tc>
          <w:tcPr>
            <w:tcW w:w="1464" w:type="dxa"/>
            <w:vMerge w:val="continue"/>
            <w:tcBorders>
              <w:top w:val="nil"/>
            </w:tcBorders>
            <w:vAlign w:val="top"/>
          </w:tcPr>
          <w:p w14:paraId="36F49574">
            <w:pPr>
              <w:pStyle w:val="19"/>
              <w:rPr>
                <w:color w:val="auto"/>
                <w:sz w:val="21"/>
                <w:szCs w:val="21"/>
                <w:highlight w:val="none"/>
              </w:rPr>
            </w:pPr>
          </w:p>
        </w:tc>
      </w:tr>
      <w:tr w14:paraId="22ACC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691" w:type="dxa"/>
            <w:vAlign w:val="top"/>
          </w:tcPr>
          <w:p w14:paraId="56B7ECC7">
            <w:pPr>
              <w:pStyle w:val="19"/>
              <w:rPr>
                <w:color w:val="auto"/>
                <w:sz w:val="21"/>
                <w:szCs w:val="21"/>
                <w:highlight w:val="none"/>
              </w:rPr>
            </w:pPr>
          </w:p>
        </w:tc>
        <w:tc>
          <w:tcPr>
            <w:tcW w:w="2304" w:type="dxa"/>
            <w:vAlign w:val="top"/>
          </w:tcPr>
          <w:p w14:paraId="224DAAA2">
            <w:pPr>
              <w:pStyle w:val="19"/>
              <w:rPr>
                <w:color w:val="auto"/>
                <w:sz w:val="21"/>
                <w:szCs w:val="21"/>
                <w:highlight w:val="none"/>
              </w:rPr>
            </w:pPr>
          </w:p>
        </w:tc>
        <w:tc>
          <w:tcPr>
            <w:tcW w:w="1713" w:type="dxa"/>
            <w:vAlign w:val="top"/>
          </w:tcPr>
          <w:p w14:paraId="26A2DD32">
            <w:pPr>
              <w:pStyle w:val="19"/>
              <w:rPr>
                <w:color w:val="auto"/>
                <w:sz w:val="21"/>
                <w:szCs w:val="21"/>
                <w:highlight w:val="none"/>
              </w:rPr>
            </w:pPr>
          </w:p>
        </w:tc>
        <w:tc>
          <w:tcPr>
            <w:tcW w:w="1525" w:type="dxa"/>
            <w:vAlign w:val="top"/>
          </w:tcPr>
          <w:p w14:paraId="613921F3">
            <w:pPr>
              <w:pStyle w:val="19"/>
              <w:rPr>
                <w:color w:val="auto"/>
                <w:sz w:val="21"/>
                <w:szCs w:val="21"/>
                <w:highlight w:val="none"/>
              </w:rPr>
            </w:pPr>
          </w:p>
        </w:tc>
        <w:tc>
          <w:tcPr>
            <w:tcW w:w="1464" w:type="dxa"/>
            <w:vAlign w:val="top"/>
          </w:tcPr>
          <w:p w14:paraId="100D819D">
            <w:pPr>
              <w:pStyle w:val="19"/>
              <w:rPr>
                <w:color w:val="auto"/>
                <w:sz w:val="21"/>
                <w:szCs w:val="21"/>
                <w:highlight w:val="none"/>
              </w:rPr>
            </w:pPr>
          </w:p>
        </w:tc>
      </w:tr>
    </w:tbl>
    <w:p w14:paraId="49E03898">
      <w:pPr>
        <w:spacing w:line="267" w:lineRule="auto"/>
        <w:rPr>
          <w:rFonts w:ascii="Arial"/>
          <w:color w:val="auto"/>
          <w:sz w:val="21"/>
          <w:szCs w:val="21"/>
          <w:highlight w:val="none"/>
        </w:rPr>
      </w:pPr>
    </w:p>
    <w:p w14:paraId="346FBBD5">
      <w:pPr>
        <w:spacing w:line="267" w:lineRule="auto"/>
        <w:rPr>
          <w:rFonts w:ascii="Arial"/>
          <w:color w:val="auto"/>
          <w:sz w:val="21"/>
          <w:szCs w:val="21"/>
          <w:highlight w:val="none"/>
        </w:rPr>
      </w:pPr>
    </w:p>
    <w:p w14:paraId="26CCACBE">
      <w:pPr>
        <w:spacing w:line="267" w:lineRule="auto"/>
        <w:rPr>
          <w:rFonts w:ascii="Arial"/>
          <w:color w:val="auto"/>
          <w:sz w:val="21"/>
          <w:szCs w:val="21"/>
          <w:highlight w:val="none"/>
        </w:rPr>
      </w:pPr>
    </w:p>
    <w:p w14:paraId="5F87E9C1">
      <w:pPr>
        <w:spacing w:line="267" w:lineRule="auto"/>
        <w:rPr>
          <w:rFonts w:ascii="Arial"/>
          <w:color w:val="auto"/>
          <w:sz w:val="21"/>
          <w:szCs w:val="21"/>
          <w:highlight w:val="none"/>
        </w:rPr>
      </w:pPr>
    </w:p>
    <w:p w14:paraId="0292EDD7">
      <w:pPr>
        <w:pStyle w:val="6"/>
        <w:spacing w:before="78" w:line="230" w:lineRule="auto"/>
        <w:ind w:left="492" w:leftChars="203" w:right="1197" w:hanging="66" w:hangingChars="32"/>
        <w:rPr>
          <w:color w:val="auto"/>
          <w:spacing w:val="17"/>
          <w:sz w:val="21"/>
          <w:szCs w:val="21"/>
          <w:highlight w:val="none"/>
        </w:rPr>
      </w:pPr>
      <w:r>
        <w:rPr>
          <w:color w:val="auto"/>
          <w:spacing w:val="-1"/>
          <w:sz w:val="21"/>
          <w:szCs w:val="21"/>
          <w:highlight w:val="none"/>
        </w:rPr>
        <w:t>注：</w:t>
      </w:r>
      <w:r>
        <w:rPr>
          <w:rFonts w:ascii="Arial" w:hAnsi="Arial" w:eastAsia="Arial" w:cs="Arial"/>
          <w:color w:val="auto"/>
          <w:spacing w:val="-1"/>
          <w:sz w:val="21"/>
          <w:szCs w:val="21"/>
          <w:highlight w:val="none"/>
        </w:rPr>
        <w:t>1.</w:t>
      </w:r>
      <w:r>
        <w:rPr>
          <w:color w:val="auto"/>
          <w:spacing w:val="-1"/>
          <w:sz w:val="21"/>
          <w:szCs w:val="21"/>
          <w:highlight w:val="none"/>
        </w:rPr>
        <w:t>此表中，每包的最后报价应和《最后分项报价表》中的总价相一致。</w:t>
      </w:r>
      <w:r>
        <w:rPr>
          <w:color w:val="auto"/>
          <w:spacing w:val="17"/>
          <w:sz w:val="21"/>
          <w:szCs w:val="21"/>
          <w:highlight w:val="none"/>
        </w:rPr>
        <w:t xml:space="preserve"> </w:t>
      </w:r>
    </w:p>
    <w:p w14:paraId="33934CD1">
      <w:pPr>
        <w:pStyle w:val="6"/>
        <w:spacing w:before="78" w:line="230" w:lineRule="auto"/>
        <w:ind w:left="632" w:leftChars="301" w:right="1197" w:firstLine="206" w:firstLineChars="100"/>
        <w:rPr>
          <w:color w:val="auto"/>
          <w:sz w:val="21"/>
          <w:szCs w:val="21"/>
          <w:highlight w:val="none"/>
        </w:rPr>
      </w:pPr>
      <w:r>
        <w:rPr>
          <w:rFonts w:ascii="Arial" w:hAnsi="Arial" w:eastAsia="Arial" w:cs="Arial"/>
          <w:color w:val="auto"/>
          <w:spacing w:val="-2"/>
          <w:sz w:val="21"/>
          <w:szCs w:val="21"/>
          <w:highlight w:val="none"/>
        </w:rPr>
        <w:t>2.</w:t>
      </w:r>
      <w:r>
        <w:rPr>
          <w:color w:val="auto"/>
          <w:spacing w:val="-2"/>
          <w:sz w:val="21"/>
          <w:szCs w:val="21"/>
          <w:highlight w:val="none"/>
        </w:rPr>
        <w:t>本表必须按包分别填写。</w:t>
      </w:r>
    </w:p>
    <w:p w14:paraId="58110576">
      <w:pPr>
        <w:pStyle w:val="6"/>
        <w:spacing w:before="27" w:line="219" w:lineRule="auto"/>
        <w:ind w:left="632" w:leftChars="301" w:firstLine="208" w:firstLineChars="100"/>
        <w:rPr>
          <w:color w:val="auto"/>
          <w:sz w:val="21"/>
          <w:szCs w:val="21"/>
          <w:highlight w:val="none"/>
        </w:rPr>
      </w:pPr>
      <w:r>
        <w:rPr>
          <w:rFonts w:ascii="Arial" w:hAnsi="Arial" w:eastAsia="Arial" w:cs="Arial"/>
          <w:color w:val="auto"/>
          <w:spacing w:val="-1"/>
          <w:sz w:val="21"/>
          <w:szCs w:val="21"/>
          <w:highlight w:val="none"/>
        </w:rPr>
        <w:t>3.</w:t>
      </w:r>
      <w:r>
        <w:rPr>
          <w:color w:val="auto"/>
          <w:spacing w:val="-1"/>
          <w:sz w:val="21"/>
          <w:szCs w:val="21"/>
          <w:highlight w:val="none"/>
        </w:rPr>
        <w:t>此表无需在响应文件中提交，磋商后供应商按磋商小组要求提交。</w:t>
      </w:r>
    </w:p>
    <w:p w14:paraId="08C1DE21">
      <w:pPr>
        <w:spacing w:line="283" w:lineRule="auto"/>
        <w:ind w:left="632" w:leftChars="301" w:firstLine="210" w:firstLineChars="100"/>
        <w:rPr>
          <w:rFonts w:ascii="Arial"/>
          <w:color w:val="auto"/>
          <w:sz w:val="21"/>
          <w:szCs w:val="21"/>
          <w:highlight w:val="none"/>
        </w:rPr>
      </w:pPr>
    </w:p>
    <w:p w14:paraId="24B11C64">
      <w:pPr>
        <w:spacing w:line="283" w:lineRule="auto"/>
        <w:rPr>
          <w:rFonts w:ascii="Arial"/>
          <w:color w:val="auto"/>
          <w:sz w:val="21"/>
          <w:szCs w:val="21"/>
          <w:highlight w:val="none"/>
        </w:rPr>
      </w:pPr>
    </w:p>
    <w:p w14:paraId="7334B7A6">
      <w:pPr>
        <w:spacing w:line="283" w:lineRule="auto"/>
        <w:rPr>
          <w:rFonts w:ascii="Arial"/>
          <w:color w:val="auto"/>
          <w:sz w:val="21"/>
          <w:szCs w:val="21"/>
          <w:highlight w:val="none"/>
        </w:rPr>
      </w:pPr>
    </w:p>
    <w:p w14:paraId="2F22177F">
      <w:pPr>
        <w:spacing w:line="283" w:lineRule="auto"/>
        <w:rPr>
          <w:rFonts w:ascii="Arial"/>
          <w:color w:val="auto"/>
          <w:sz w:val="21"/>
          <w:szCs w:val="21"/>
          <w:highlight w:val="none"/>
        </w:rPr>
      </w:pPr>
    </w:p>
    <w:p w14:paraId="4037740D">
      <w:pPr>
        <w:pStyle w:val="6"/>
        <w:spacing w:before="78" w:line="219" w:lineRule="auto"/>
        <w:ind w:left="9" w:firstLine="388" w:firstLineChars="200"/>
        <w:rPr>
          <w:color w:val="auto"/>
          <w:sz w:val="21"/>
          <w:szCs w:val="21"/>
          <w:highlight w:val="none"/>
        </w:rPr>
      </w:pPr>
      <w:r>
        <w:rPr>
          <w:color w:val="auto"/>
          <w:spacing w:val="-8"/>
          <w:sz w:val="21"/>
          <w:szCs w:val="21"/>
          <w:highlight w:val="none"/>
        </w:rPr>
        <w:t>供应商授权代表签字（或加盖供应商公章</w:t>
      </w:r>
      <w:r>
        <w:rPr>
          <w:color w:val="auto"/>
          <w:spacing w:val="5"/>
          <w:sz w:val="21"/>
          <w:szCs w:val="21"/>
          <w:highlight w:val="none"/>
        </w:rPr>
        <w:t>）：</w:t>
      </w:r>
      <w:r>
        <w:rPr>
          <w:color w:val="auto"/>
          <w:sz w:val="21"/>
          <w:szCs w:val="21"/>
          <w:highlight w:val="none"/>
          <w:u w:val="single" w:color="auto"/>
        </w:rPr>
        <w:t xml:space="preserve">            </w:t>
      </w:r>
    </w:p>
    <w:p w14:paraId="6774AA52">
      <w:pPr>
        <w:pStyle w:val="6"/>
        <w:spacing w:before="207" w:line="220" w:lineRule="auto"/>
        <w:ind w:left="51" w:firstLine="364" w:firstLineChars="200"/>
        <w:rPr>
          <w:color w:val="auto"/>
          <w:sz w:val="21"/>
          <w:szCs w:val="21"/>
          <w:highlight w:val="none"/>
        </w:rPr>
      </w:pPr>
      <w:r>
        <w:rPr>
          <w:color w:val="auto"/>
          <w:spacing w:val="-14"/>
          <w:sz w:val="21"/>
          <w:szCs w:val="21"/>
          <w:highlight w:val="none"/>
        </w:rPr>
        <w:t>日期：</w:t>
      </w:r>
      <w:r>
        <w:rPr>
          <w:color w:val="auto"/>
          <w:spacing w:val="1"/>
          <w:sz w:val="21"/>
          <w:szCs w:val="21"/>
          <w:highlight w:val="none"/>
          <w:u w:val="single" w:color="auto"/>
        </w:rPr>
        <w:t xml:space="preserve">    </w:t>
      </w:r>
      <w:r>
        <w:rPr>
          <w:color w:val="auto"/>
          <w:spacing w:val="-107"/>
          <w:sz w:val="21"/>
          <w:szCs w:val="21"/>
          <w:highlight w:val="none"/>
        </w:rPr>
        <w:t xml:space="preserve"> </w:t>
      </w:r>
      <w:r>
        <w:rPr>
          <w:color w:val="auto"/>
          <w:spacing w:val="-14"/>
          <w:sz w:val="21"/>
          <w:szCs w:val="21"/>
          <w:highlight w:val="none"/>
        </w:rPr>
        <w:t>年</w:t>
      </w:r>
      <w:r>
        <w:rPr>
          <w:color w:val="auto"/>
          <w:sz w:val="21"/>
          <w:szCs w:val="21"/>
          <w:highlight w:val="none"/>
          <w:u w:val="single" w:color="auto"/>
        </w:rPr>
        <w:t xml:space="preserve">    </w:t>
      </w:r>
      <w:r>
        <w:rPr>
          <w:color w:val="auto"/>
          <w:spacing w:val="-105"/>
          <w:sz w:val="21"/>
          <w:szCs w:val="21"/>
          <w:highlight w:val="none"/>
        </w:rPr>
        <w:t xml:space="preserve"> </w:t>
      </w:r>
      <w:r>
        <w:rPr>
          <w:color w:val="auto"/>
          <w:spacing w:val="-14"/>
          <w:sz w:val="21"/>
          <w:szCs w:val="21"/>
          <w:highlight w:val="none"/>
        </w:rPr>
        <w:t>月</w:t>
      </w:r>
      <w:r>
        <w:rPr>
          <w:color w:val="auto"/>
          <w:sz w:val="21"/>
          <w:szCs w:val="21"/>
          <w:highlight w:val="none"/>
          <w:u w:val="single" w:color="auto"/>
        </w:rPr>
        <w:t xml:space="preserve">    </w:t>
      </w:r>
      <w:r>
        <w:rPr>
          <w:color w:val="auto"/>
          <w:spacing w:val="-70"/>
          <w:sz w:val="21"/>
          <w:szCs w:val="21"/>
          <w:highlight w:val="none"/>
        </w:rPr>
        <w:t xml:space="preserve"> </w:t>
      </w:r>
      <w:r>
        <w:rPr>
          <w:color w:val="auto"/>
          <w:spacing w:val="-14"/>
          <w:sz w:val="21"/>
          <w:szCs w:val="21"/>
          <w:highlight w:val="none"/>
        </w:rPr>
        <w:t>日</w:t>
      </w:r>
    </w:p>
    <w:p w14:paraId="43C53A02">
      <w:pPr>
        <w:pStyle w:val="6"/>
        <w:spacing w:line="360" w:lineRule="auto"/>
        <w:rPr>
          <w:rFonts w:hint="eastAsia" w:ascii="宋体" w:hAnsi="宋体" w:eastAsia="宋体" w:cs="宋体"/>
          <w:color w:val="auto"/>
          <w:highlight w:val="none"/>
        </w:rPr>
      </w:pPr>
    </w:p>
    <w:p w14:paraId="23316C4E">
      <w:pPr>
        <w:pStyle w:val="6"/>
        <w:spacing w:line="360" w:lineRule="auto"/>
        <w:rPr>
          <w:rFonts w:hint="eastAsia" w:ascii="宋体" w:hAnsi="宋体" w:eastAsia="宋体" w:cs="宋体"/>
          <w:color w:val="auto"/>
          <w:highlight w:val="none"/>
        </w:rPr>
      </w:pPr>
    </w:p>
    <w:p w14:paraId="28D4D8F0">
      <w:pPr>
        <w:pStyle w:val="6"/>
        <w:spacing w:line="360" w:lineRule="auto"/>
        <w:rPr>
          <w:rFonts w:hint="eastAsia" w:ascii="宋体" w:hAnsi="宋体" w:eastAsia="宋体" w:cs="宋体"/>
          <w:color w:val="auto"/>
          <w:highlight w:val="none"/>
        </w:rPr>
      </w:pPr>
    </w:p>
    <w:p w14:paraId="68BE9E9C">
      <w:pPr>
        <w:pStyle w:val="6"/>
        <w:spacing w:line="360" w:lineRule="auto"/>
        <w:rPr>
          <w:rFonts w:hint="eastAsia" w:ascii="宋体" w:hAnsi="宋体" w:eastAsia="宋体" w:cs="宋体"/>
          <w:color w:val="auto"/>
          <w:highlight w:val="none"/>
        </w:rPr>
      </w:pPr>
    </w:p>
    <w:p w14:paraId="2516DD07">
      <w:pPr>
        <w:pStyle w:val="6"/>
        <w:spacing w:line="360" w:lineRule="auto"/>
        <w:rPr>
          <w:rFonts w:hint="eastAsia" w:ascii="宋体" w:hAnsi="宋体" w:eastAsia="宋体" w:cs="宋体"/>
          <w:color w:val="auto"/>
          <w:highlight w:val="none"/>
        </w:rPr>
      </w:pPr>
    </w:p>
    <w:p w14:paraId="4F210BB1">
      <w:pPr>
        <w:pStyle w:val="6"/>
        <w:spacing w:line="360" w:lineRule="auto"/>
        <w:rPr>
          <w:rFonts w:hint="eastAsia" w:ascii="宋体" w:hAnsi="宋体" w:eastAsia="宋体" w:cs="宋体"/>
          <w:color w:val="auto"/>
          <w:highlight w:val="none"/>
        </w:rPr>
      </w:pPr>
    </w:p>
    <w:p w14:paraId="3B52A53D">
      <w:pPr>
        <w:pStyle w:val="6"/>
        <w:spacing w:line="360" w:lineRule="auto"/>
        <w:rPr>
          <w:rFonts w:hint="eastAsia" w:ascii="宋体" w:hAnsi="宋体" w:eastAsia="宋体" w:cs="宋体"/>
          <w:color w:val="auto"/>
          <w:highlight w:val="none"/>
        </w:rPr>
      </w:pPr>
    </w:p>
    <w:p w14:paraId="329D190E">
      <w:pPr>
        <w:pStyle w:val="6"/>
        <w:spacing w:line="360" w:lineRule="auto"/>
        <w:rPr>
          <w:rFonts w:hint="eastAsia" w:ascii="宋体" w:hAnsi="宋体" w:eastAsia="宋体" w:cs="宋体"/>
          <w:color w:val="auto"/>
          <w:highlight w:val="none"/>
        </w:rPr>
      </w:pPr>
    </w:p>
    <w:p w14:paraId="020B54AD">
      <w:pPr>
        <w:pStyle w:val="6"/>
        <w:spacing w:line="360" w:lineRule="auto"/>
        <w:rPr>
          <w:rFonts w:hint="eastAsia" w:ascii="宋体" w:hAnsi="宋体" w:eastAsia="宋体" w:cs="宋体"/>
          <w:color w:val="auto"/>
          <w:highlight w:val="none"/>
        </w:rPr>
      </w:pPr>
    </w:p>
    <w:p w14:paraId="67D9CF20">
      <w:pPr>
        <w:pStyle w:val="6"/>
        <w:spacing w:line="360" w:lineRule="auto"/>
        <w:rPr>
          <w:rFonts w:hint="eastAsia" w:ascii="宋体" w:hAnsi="宋体" w:eastAsia="宋体" w:cs="宋体"/>
          <w:color w:val="auto"/>
          <w:highlight w:val="none"/>
        </w:rPr>
      </w:pPr>
    </w:p>
    <w:p w14:paraId="06C145E6">
      <w:pPr>
        <w:pStyle w:val="6"/>
        <w:spacing w:line="360" w:lineRule="auto"/>
        <w:rPr>
          <w:rFonts w:hint="eastAsia" w:ascii="宋体" w:hAnsi="宋体" w:eastAsia="宋体" w:cs="宋体"/>
          <w:color w:val="auto"/>
          <w:highlight w:val="none"/>
        </w:rPr>
      </w:pPr>
    </w:p>
    <w:p w14:paraId="0915DE05">
      <w:pPr>
        <w:pStyle w:val="6"/>
        <w:spacing w:line="360" w:lineRule="auto"/>
        <w:rPr>
          <w:rFonts w:hint="eastAsia" w:ascii="宋体" w:hAnsi="宋体" w:eastAsia="宋体" w:cs="宋体"/>
          <w:color w:val="auto"/>
          <w:highlight w:val="none"/>
        </w:rPr>
      </w:pPr>
    </w:p>
    <w:p w14:paraId="26F1799B">
      <w:pPr>
        <w:pStyle w:val="6"/>
        <w:spacing w:line="360" w:lineRule="auto"/>
        <w:rPr>
          <w:rFonts w:hint="eastAsia" w:ascii="宋体" w:hAnsi="宋体" w:eastAsia="宋体" w:cs="宋体"/>
          <w:color w:val="auto"/>
          <w:highlight w:val="none"/>
        </w:rPr>
      </w:pPr>
    </w:p>
    <w:p w14:paraId="291196B3">
      <w:pPr>
        <w:pStyle w:val="6"/>
        <w:spacing w:line="360" w:lineRule="auto"/>
        <w:rPr>
          <w:rFonts w:hint="eastAsia" w:ascii="宋体" w:hAnsi="宋体" w:eastAsia="宋体" w:cs="宋体"/>
          <w:color w:val="auto"/>
          <w:highlight w:val="none"/>
        </w:rPr>
      </w:pPr>
    </w:p>
    <w:p w14:paraId="6E85FDB8">
      <w:pPr>
        <w:pStyle w:val="6"/>
        <w:spacing w:line="360" w:lineRule="auto"/>
        <w:rPr>
          <w:rFonts w:hint="eastAsia" w:ascii="宋体" w:hAnsi="宋体" w:eastAsia="宋体" w:cs="宋体"/>
          <w:color w:val="auto"/>
          <w:highlight w:val="none"/>
        </w:rPr>
      </w:pPr>
    </w:p>
    <w:p w14:paraId="47749C40">
      <w:pPr>
        <w:pStyle w:val="6"/>
        <w:spacing w:line="360" w:lineRule="auto"/>
        <w:rPr>
          <w:rFonts w:hint="eastAsia" w:ascii="宋体" w:hAnsi="宋体" w:eastAsia="宋体" w:cs="宋体"/>
          <w:color w:val="auto"/>
          <w:highlight w:val="none"/>
        </w:rPr>
      </w:pPr>
    </w:p>
    <w:p w14:paraId="278A38F1">
      <w:pPr>
        <w:pStyle w:val="6"/>
        <w:spacing w:line="360" w:lineRule="auto"/>
        <w:rPr>
          <w:rFonts w:hint="eastAsia" w:ascii="宋体" w:hAnsi="宋体" w:eastAsia="宋体" w:cs="宋体"/>
          <w:color w:val="auto"/>
          <w:highlight w:val="none"/>
        </w:rPr>
      </w:pPr>
    </w:p>
    <w:p w14:paraId="628BDD80">
      <w:pPr>
        <w:pStyle w:val="6"/>
        <w:spacing w:line="360" w:lineRule="auto"/>
        <w:rPr>
          <w:rFonts w:hint="eastAsia" w:ascii="宋体" w:hAnsi="宋体" w:eastAsia="宋体" w:cs="宋体"/>
          <w:color w:val="auto"/>
          <w:highlight w:val="none"/>
        </w:rPr>
      </w:pPr>
    </w:p>
    <w:p w14:paraId="07E29E9B">
      <w:pPr>
        <w:pStyle w:val="6"/>
        <w:spacing w:before="103" w:line="360" w:lineRule="auto"/>
        <w:ind w:left="139"/>
        <w:outlineLvl w:val="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 xml:space="preserve">   最后分项报价表（实质性格式，磋商后提交）</w:t>
      </w:r>
    </w:p>
    <w:p w14:paraId="1AB28844">
      <w:pPr>
        <w:spacing w:before="111" w:line="360" w:lineRule="auto"/>
        <w:ind w:left="1062" w:leftChars="0" w:firstLine="0" w:firstLineChars="0"/>
        <w:jc w:val="center"/>
        <w:rPr>
          <w:rFonts w:hint="eastAsia" w:ascii="宋体" w:hAnsi="宋体" w:eastAsia="宋体" w:cs="宋体"/>
          <w:color w:val="auto"/>
          <w:spacing w:val="8"/>
          <w:sz w:val="35"/>
          <w:szCs w:val="35"/>
          <w:highlight w:val="none"/>
        </w:rPr>
      </w:pPr>
    </w:p>
    <w:p w14:paraId="5896F0FC">
      <w:pPr>
        <w:spacing w:before="286" w:line="206" w:lineRule="auto"/>
        <w:ind w:left="220" w:leftChars="0" w:firstLine="0" w:firstLineChars="0"/>
        <w:jc w:val="center"/>
        <w:rPr>
          <w:rFonts w:hint="eastAsia" w:ascii="宋体" w:hAnsi="宋体" w:eastAsia="宋体" w:cs="宋体"/>
          <w:b/>
          <w:bCs/>
          <w:color w:val="auto"/>
          <w:spacing w:val="-15"/>
          <w:sz w:val="28"/>
          <w:szCs w:val="28"/>
          <w:highlight w:val="none"/>
        </w:rPr>
      </w:pPr>
      <w:r>
        <w:rPr>
          <w:rFonts w:hint="eastAsia" w:ascii="宋体" w:hAnsi="宋体" w:eastAsia="宋体" w:cs="宋体"/>
          <w:b/>
          <w:bCs/>
          <w:color w:val="auto"/>
          <w:spacing w:val="-15"/>
          <w:sz w:val="28"/>
          <w:szCs w:val="28"/>
          <w:highlight w:val="none"/>
        </w:rPr>
        <w:t>最后分项报价表</w:t>
      </w:r>
    </w:p>
    <w:tbl>
      <w:tblPr>
        <w:tblStyle w:val="18"/>
        <w:tblW w:w="8417"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4533"/>
        <w:gridCol w:w="1417"/>
        <w:gridCol w:w="1563"/>
      </w:tblGrid>
      <w:tr w14:paraId="06625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904" w:type="dxa"/>
            <w:vAlign w:val="top"/>
          </w:tcPr>
          <w:p w14:paraId="31EEFF4F">
            <w:pPr>
              <w:pStyle w:val="19"/>
              <w:spacing w:line="360" w:lineRule="auto"/>
              <w:rPr>
                <w:rFonts w:hint="eastAsia" w:ascii="宋体" w:hAnsi="宋体" w:eastAsia="宋体" w:cs="宋体"/>
                <w:color w:val="auto"/>
                <w:sz w:val="21"/>
                <w:szCs w:val="21"/>
                <w:highlight w:val="none"/>
              </w:rPr>
            </w:pPr>
          </w:p>
          <w:p w14:paraId="772062ED">
            <w:pPr>
              <w:spacing w:before="103" w:line="360" w:lineRule="auto"/>
              <w:ind w:left="2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序号</w:t>
            </w:r>
          </w:p>
        </w:tc>
        <w:tc>
          <w:tcPr>
            <w:tcW w:w="4533" w:type="dxa"/>
            <w:vAlign w:val="top"/>
          </w:tcPr>
          <w:p w14:paraId="6F2508AD">
            <w:pPr>
              <w:spacing w:before="44"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最后报价计算过程或说明（可以填写按第</w:t>
            </w:r>
          </w:p>
          <w:p w14:paraId="0483F928">
            <w:pPr>
              <w:pStyle w:val="19"/>
              <w:spacing w:before="10" w:line="360" w:lineRule="auto"/>
              <w:ind w:left="109"/>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一次报价下浮/上浮比例，也可以填写相对</w:t>
            </w:r>
          </w:p>
          <w:p w14:paraId="788B3B5B">
            <w:pPr>
              <w:spacing w:before="4" w:line="360" w:lineRule="auto"/>
              <w:ind w:left="4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第一次报价某部分价格变化情况）</w:t>
            </w:r>
          </w:p>
        </w:tc>
        <w:tc>
          <w:tcPr>
            <w:tcW w:w="1417" w:type="dxa"/>
            <w:vAlign w:val="top"/>
          </w:tcPr>
          <w:p w14:paraId="3BBF861E">
            <w:pPr>
              <w:pStyle w:val="19"/>
              <w:spacing w:line="360" w:lineRule="auto"/>
              <w:rPr>
                <w:rFonts w:hint="eastAsia" w:ascii="宋体" w:hAnsi="宋体" w:eastAsia="宋体" w:cs="宋体"/>
                <w:color w:val="auto"/>
                <w:sz w:val="21"/>
                <w:szCs w:val="21"/>
                <w:highlight w:val="none"/>
              </w:rPr>
            </w:pPr>
          </w:p>
          <w:p w14:paraId="5CF35BA4">
            <w:pPr>
              <w:spacing w:before="103" w:line="360" w:lineRule="auto"/>
              <w:ind w:left="12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总价（元）</w:t>
            </w:r>
          </w:p>
        </w:tc>
        <w:tc>
          <w:tcPr>
            <w:tcW w:w="1563" w:type="dxa"/>
            <w:vAlign w:val="top"/>
          </w:tcPr>
          <w:p w14:paraId="0EB9030A">
            <w:pPr>
              <w:pStyle w:val="19"/>
              <w:spacing w:line="360" w:lineRule="auto"/>
              <w:rPr>
                <w:rFonts w:hint="eastAsia" w:ascii="宋体" w:hAnsi="宋体" w:eastAsia="宋体" w:cs="宋体"/>
                <w:color w:val="auto"/>
                <w:sz w:val="21"/>
                <w:szCs w:val="21"/>
                <w:highlight w:val="none"/>
              </w:rPr>
            </w:pPr>
          </w:p>
          <w:p w14:paraId="2F69D005">
            <w:pPr>
              <w:spacing w:before="103" w:line="360" w:lineRule="auto"/>
              <w:ind w:left="54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备注</w:t>
            </w:r>
          </w:p>
        </w:tc>
      </w:tr>
      <w:tr w14:paraId="10D3E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04" w:type="dxa"/>
            <w:vAlign w:val="top"/>
          </w:tcPr>
          <w:p w14:paraId="43E9720A">
            <w:pPr>
              <w:pStyle w:val="19"/>
              <w:spacing w:line="360" w:lineRule="auto"/>
              <w:rPr>
                <w:rFonts w:hint="eastAsia" w:ascii="宋体" w:hAnsi="宋体" w:eastAsia="宋体" w:cs="宋体"/>
                <w:color w:val="auto"/>
                <w:sz w:val="21"/>
                <w:szCs w:val="21"/>
                <w:highlight w:val="none"/>
              </w:rPr>
            </w:pPr>
          </w:p>
          <w:p w14:paraId="01205702">
            <w:pPr>
              <w:pStyle w:val="19"/>
              <w:spacing w:line="360" w:lineRule="auto"/>
              <w:rPr>
                <w:rFonts w:hint="eastAsia" w:ascii="宋体" w:hAnsi="宋体" w:eastAsia="宋体" w:cs="宋体"/>
                <w:color w:val="auto"/>
                <w:sz w:val="21"/>
                <w:szCs w:val="21"/>
                <w:highlight w:val="none"/>
              </w:rPr>
            </w:pPr>
          </w:p>
          <w:p w14:paraId="62F0BE43">
            <w:pPr>
              <w:pStyle w:val="19"/>
              <w:spacing w:line="360" w:lineRule="auto"/>
              <w:rPr>
                <w:rFonts w:hint="eastAsia" w:ascii="宋体" w:hAnsi="宋体" w:eastAsia="宋体" w:cs="宋体"/>
                <w:color w:val="auto"/>
                <w:sz w:val="21"/>
                <w:szCs w:val="21"/>
                <w:highlight w:val="none"/>
              </w:rPr>
            </w:pPr>
          </w:p>
          <w:p w14:paraId="74BA7A77">
            <w:pPr>
              <w:pStyle w:val="19"/>
              <w:spacing w:line="360" w:lineRule="auto"/>
              <w:rPr>
                <w:rFonts w:hint="eastAsia" w:ascii="宋体" w:hAnsi="宋体" w:eastAsia="宋体" w:cs="宋体"/>
                <w:color w:val="auto"/>
                <w:sz w:val="21"/>
                <w:szCs w:val="21"/>
                <w:highlight w:val="none"/>
              </w:rPr>
            </w:pPr>
          </w:p>
          <w:p w14:paraId="36AD7FE1">
            <w:pPr>
              <w:pStyle w:val="19"/>
              <w:spacing w:before="69" w:line="360" w:lineRule="auto"/>
              <w:ind w:left="4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3" w:type="dxa"/>
            <w:vAlign w:val="top"/>
          </w:tcPr>
          <w:p w14:paraId="4F972058">
            <w:pPr>
              <w:pStyle w:val="19"/>
              <w:spacing w:line="360" w:lineRule="auto"/>
              <w:rPr>
                <w:rFonts w:hint="eastAsia" w:ascii="宋体" w:hAnsi="宋体" w:eastAsia="宋体" w:cs="宋体"/>
                <w:color w:val="auto"/>
                <w:sz w:val="21"/>
                <w:szCs w:val="21"/>
                <w:highlight w:val="none"/>
              </w:rPr>
            </w:pPr>
          </w:p>
        </w:tc>
        <w:tc>
          <w:tcPr>
            <w:tcW w:w="1417" w:type="dxa"/>
            <w:vAlign w:val="top"/>
          </w:tcPr>
          <w:p w14:paraId="0FF74EB3">
            <w:pPr>
              <w:pStyle w:val="19"/>
              <w:spacing w:line="360" w:lineRule="auto"/>
              <w:rPr>
                <w:rFonts w:hint="eastAsia" w:ascii="宋体" w:hAnsi="宋体" w:eastAsia="宋体" w:cs="宋体"/>
                <w:color w:val="auto"/>
                <w:sz w:val="21"/>
                <w:szCs w:val="21"/>
                <w:highlight w:val="none"/>
              </w:rPr>
            </w:pPr>
          </w:p>
        </w:tc>
        <w:tc>
          <w:tcPr>
            <w:tcW w:w="1563" w:type="dxa"/>
            <w:vAlign w:val="top"/>
          </w:tcPr>
          <w:p w14:paraId="342408FF">
            <w:pPr>
              <w:pStyle w:val="19"/>
              <w:spacing w:line="360" w:lineRule="auto"/>
              <w:rPr>
                <w:rFonts w:hint="eastAsia" w:ascii="宋体" w:hAnsi="宋体" w:eastAsia="宋体" w:cs="宋体"/>
                <w:color w:val="auto"/>
                <w:sz w:val="21"/>
                <w:szCs w:val="21"/>
                <w:highlight w:val="none"/>
              </w:rPr>
            </w:pPr>
          </w:p>
        </w:tc>
      </w:tr>
      <w:tr w14:paraId="79D97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5437" w:type="dxa"/>
            <w:gridSpan w:val="2"/>
            <w:vAlign w:val="top"/>
          </w:tcPr>
          <w:p w14:paraId="47154AE0">
            <w:pPr>
              <w:spacing w:before="131" w:line="360" w:lineRule="auto"/>
              <w:ind w:left="41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合计（元）</w:t>
            </w:r>
          </w:p>
        </w:tc>
        <w:tc>
          <w:tcPr>
            <w:tcW w:w="1417" w:type="dxa"/>
            <w:vAlign w:val="top"/>
          </w:tcPr>
          <w:p w14:paraId="6E49AF3E">
            <w:pPr>
              <w:pStyle w:val="19"/>
              <w:spacing w:line="360" w:lineRule="auto"/>
              <w:rPr>
                <w:rFonts w:hint="eastAsia" w:ascii="宋体" w:hAnsi="宋体" w:eastAsia="宋体" w:cs="宋体"/>
                <w:color w:val="auto"/>
                <w:sz w:val="21"/>
                <w:szCs w:val="21"/>
                <w:highlight w:val="none"/>
              </w:rPr>
            </w:pPr>
          </w:p>
        </w:tc>
        <w:tc>
          <w:tcPr>
            <w:tcW w:w="1563" w:type="dxa"/>
            <w:vAlign w:val="top"/>
          </w:tcPr>
          <w:p w14:paraId="2E66019D">
            <w:pPr>
              <w:pStyle w:val="19"/>
              <w:spacing w:line="360" w:lineRule="auto"/>
              <w:rPr>
                <w:rFonts w:hint="eastAsia" w:ascii="宋体" w:hAnsi="宋体" w:eastAsia="宋体" w:cs="宋体"/>
                <w:color w:val="auto"/>
                <w:sz w:val="21"/>
                <w:szCs w:val="21"/>
                <w:highlight w:val="none"/>
              </w:rPr>
            </w:pPr>
          </w:p>
        </w:tc>
      </w:tr>
    </w:tbl>
    <w:p w14:paraId="72AE52BD">
      <w:pPr>
        <w:pStyle w:val="6"/>
        <w:spacing w:line="360" w:lineRule="auto"/>
        <w:rPr>
          <w:rFonts w:hint="eastAsia" w:ascii="宋体" w:hAnsi="宋体" w:eastAsia="宋体" w:cs="宋体"/>
          <w:color w:val="auto"/>
          <w:highlight w:val="none"/>
        </w:rPr>
      </w:pPr>
    </w:p>
    <w:p w14:paraId="7F163D0A">
      <w:pPr>
        <w:pStyle w:val="6"/>
        <w:spacing w:line="360" w:lineRule="auto"/>
        <w:rPr>
          <w:rFonts w:hint="eastAsia" w:ascii="宋体" w:hAnsi="宋体" w:eastAsia="宋体" w:cs="宋体"/>
          <w:color w:val="auto"/>
          <w:highlight w:val="none"/>
        </w:rPr>
      </w:pPr>
    </w:p>
    <w:p w14:paraId="5413DD8E">
      <w:pPr>
        <w:pStyle w:val="6"/>
        <w:spacing w:before="103" w:line="360" w:lineRule="auto"/>
        <w:ind w:left="1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注：</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1"/>
          <w:sz w:val="21"/>
          <w:szCs w:val="21"/>
          <w:highlight w:val="none"/>
        </w:rPr>
        <w:t>1.本表应按包分别填写。</w:t>
      </w:r>
    </w:p>
    <w:p w14:paraId="237A73A9">
      <w:pPr>
        <w:pStyle w:val="6"/>
        <w:spacing w:before="4" w:line="360" w:lineRule="auto"/>
        <w:ind w:left="61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2.上述各项的详细规格（如有</w:t>
      </w:r>
      <w:r>
        <w:rPr>
          <w:rFonts w:hint="eastAsia" w:ascii="宋体" w:hAnsi="宋体" w:eastAsia="宋体" w:cs="宋体"/>
          <w:color w:val="auto"/>
          <w:spacing w:val="-56"/>
          <w:sz w:val="21"/>
          <w:szCs w:val="21"/>
          <w:highlight w:val="none"/>
        </w:rPr>
        <w:t>），</w:t>
      </w:r>
      <w:r>
        <w:rPr>
          <w:rFonts w:hint="eastAsia" w:ascii="宋体" w:hAnsi="宋体" w:eastAsia="宋体" w:cs="宋体"/>
          <w:color w:val="auto"/>
          <w:sz w:val="21"/>
          <w:szCs w:val="21"/>
          <w:highlight w:val="none"/>
        </w:rPr>
        <w:t>可另页描述。</w:t>
      </w:r>
    </w:p>
    <w:p w14:paraId="14388A1C">
      <w:pPr>
        <w:pStyle w:val="6"/>
        <w:spacing w:before="12" w:line="360" w:lineRule="auto"/>
        <w:ind w:left="6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3.此表无需在响应文件中提交，磋商后供应商按磋商小组要求提交。</w:t>
      </w:r>
    </w:p>
    <w:p w14:paraId="1C531B78">
      <w:pPr>
        <w:pStyle w:val="6"/>
        <w:spacing w:before="5" w:line="360" w:lineRule="auto"/>
        <w:ind w:left="118" w:right="24" w:firstLine="48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4.制造商规模列应填写“大型 ”、“ 中型 ”、“小型 ”、“微型 ”或 “其他 ”，且不应与《中小企业声明函》或《拟分包情况说明》中内容矛盾。制造商所属性别请填写“男 ”或“女 ”</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rPr>
        <w:t>指拥有制造商 51%以上绝对所有权的性别 ；绝对所有权拥有者可以是一个人，也可以是多人合计计算。外商投资类型请填写“外商单独投资 ”、“外商部分投资 ”或“ 内资 ”。</w:t>
      </w:r>
    </w:p>
    <w:p w14:paraId="429BDC23">
      <w:pPr>
        <w:pStyle w:val="6"/>
        <w:spacing w:line="360" w:lineRule="auto"/>
        <w:rPr>
          <w:rFonts w:hint="eastAsia" w:ascii="宋体" w:hAnsi="宋体" w:eastAsia="宋体" w:cs="宋体"/>
          <w:color w:val="auto"/>
          <w:sz w:val="21"/>
          <w:szCs w:val="21"/>
          <w:highlight w:val="none"/>
        </w:rPr>
      </w:pPr>
    </w:p>
    <w:p w14:paraId="32792B74">
      <w:pPr>
        <w:pStyle w:val="6"/>
        <w:spacing w:line="360" w:lineRule="auto"/>
        <w:rPr>
          <w:rFonts w:hint="eastAsia" w:ascii="宋体" w:hAnsi="宋体" w:eastAsia="宋体" w:cs="宋体"/>
          <w:color w:val="auto"/>
          <w:sz w:val="21"/>
          <w:szCs w:val="21"/>
          <w:highlight w:val="none"/>
        </w:rPr>
      </w:pPr>
    </w:p>
    <w:p w14:paraId="1ECAA73D">
      <w:pPr>
        <w:spacing w:before="104" w:line="360" w:lineRule="auto"/>
        <w:ind w:left="11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供应商授权代表签字（或加盖供应商公章</w:t>
      </w:r>
      <w:r>
        <w:rPr>
          <w:rFonts w:hint="eastAsia" w:ascii="宋体" w:hAnsi="宋体" w:eastAsia="宋体" w:cs="宋体"/>
          <w:color w:val="auto"/>
          <w:spacing w:val="5"/>
          <w:sz w:val="21"/>
          <w:szCs w:val="21"/>
          <w:highlight w:val="none"/>
        </w:rPr>
        <w:t>）：</w:t>
      </w:r>
      <w:r>
        <w:rPr>
          <w:rFonts w:hint="eastAsia" w:ascii="宋体" w:hAnsi="宋体" w:eastAsia="宋体" w:cs="宋体"/>
          <w:color w:val="auto"/>
          <w:sz w:val="21"/>
          <w:szCs w:val="21"/>
          <w:highlight w:val="none"/>
          <w:u w:val="single" w:color="auto"/>
        </w:rPr>
        <w:t xml:space="preserve">                     </w:t>
      </w:r>
    </w:p>
    <w:p w14:paraId="6A06BE7C">
      <w:pPr>
        <w:spacing w:before="212" w:line="360" w:lineRule="auto"/>
        <w:ind w:left="16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日期：</w:t>
      </w:r>
      <w:r>
        <w:rPr>
          <w:rFonts w:hint="eastAsia" w:ascii="宋体" w:hAnsi="宋体" w:eastAsia="宋体" w:cs="宋体"/>
          <w:color w:val="auto"/>
          <w:spacing w:val="-6"/>
          <w:sz w:val="21"/>
          <w:szCs w:val="21"/>
          <w:highlight w:val="none"/>
          <w:u w:val="single" w:color="auto"/>
        </w:rPr>
        <w:t xml:space="preserve">       </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6"/>
          <w:sz w:val="21"/>
          <w:szCs w:val="21"/>
          <w:highlight w:val="none"/>
          <w:u w:val="single" w:color="auto"/>
        </w:rPr>
        <w:t xml:space="preserve">       </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9"/>
          <w:sz w:val="21"/>
          <w:szCs w:val="21"/>
          <w:highlight w:val="none"/>
          <w:u w:val="single" w:color="auto"/>
        </w:rPr>
        <w:t xml:space="preserve">      </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6"/>
          <w:sz w:val="21"/>
          <w:szCs w:val="21"/>
          <w:highlight w:val="none"/>
        </w:rPr>
        <w:t>日</w:t>
      </w:r>
    </w:p>
    <w:p w14:paraId="54849045">
      <w:pPr>
        <w:spacing w:before="216" w:line="212" w:lineRule="auto"/>
        <w:ind w:left="41"/>
        <w:rPr>
          <w:rFonts w:ascii="宋体" w:hAnsi="宋体" w:eastAsia="宋体" w:cs="宋体"/>
          <w:color w:val="auto"/>
          <w:sz w:val="24"/>
          <w:szCs w:val="24"/>
          <w:highlight w:val="none"/>
        </w:rPr>
      </w:pPr>
    </w:p>
    <w:sectPr>
      <w:headerReference r:id="rId56" w:type="default"/>
      <w:footerReference r:id="rId57" w:type="default"/>
      <w:pgSz w:w="11907" w:h="16840"/>
      <w:pgMar w:top="400" w:right="1404" w:bottom="1056" w:left="1710" w:header="0" w:footer="82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9EB8">
    <w:pPr>
      <w:spacing w:line="174" w:lineRule="auto"/>
      <w:ind w:left="49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2A396">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BF2A396">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8AE4">
    <w:pPr>
      <w:pStyle w:val="10"/>
      <w:tabs>
        <w:tab w:val="left" w:pos="3848"/>
        <w:tab w:val="center" w:pos="4156"/>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3F999">
                          <w:pPr>
                            <w:pStyle w:val="1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7A3F999">
                    <w:pPr>
                      <w:pStyle w:val="10"/>
                    </w:pPr>
                    <w:r>
                      <w:fldChar w:fldCharType="begin"/>
                    </w:r>
                    <w:r>
                      <w:instrText xml:space="preserve"> PAGE  \* MERGEFORMAT </w:instrText>
                    </w:r>
                    <w:r>
                      <w:fldChar w:fldCharType="separate"/>
                    </w:r>
                    <w:r>
                      <w:t>90</w:t>
                    </w:r>
                    <w:r>
                      <w:fldChar w:fldCharType="end"/>
                    </w:r>
                  </w:p>
                </w:txbxContent>
              </v:textbox>
            </v:shape>
          </w:pict>
        </mc:Fallback>
      </mc:AlternateContent>
    </w:r>
    <w:r>
      <w:tab/>
    </w:r>
  </w:p>
  <w:p w14:paraId="3FBDED1A">
    <w:pPr>
      <w:pStyle w:val="1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E791">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77421">
                          <w:pPr>
                            <w:pStyle w:val="1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0677421">
                    <w:pPr>
                      <w:pStyle w:val="1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543">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D9C1A">
                          <w:pPr>
                            <w:pStyle w:val="1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8CD9C1A">
                    <w:pPr>
                      <w:pStyle w:val="1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F2D3">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9575B">
                          <w:pPr>
                            <w:pStyle w:val="1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F99575B">
                    <w:pPr>
                      <w:pStyle w:val="1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CA15">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58AC8">
                          <w:pPr>
                            <w:pStyle w:val="10"/>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4058AC8">
                    <w:pPr>
                      <w:pStyle w:val="10"/>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6A6C">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8F4F0">
                          <w:pPr>
                            <w:pStyle w:val="10"/>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1B8F4F0">
                    <w:pPr>
                      <w:pStyle w:val="10"/>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4D02">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191ED">
                          <w:pPr>
                            <w:pStyle w:val="10"/>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81191ED">
                    <w:pPr>
                      <w:pStyle w:val="10"/>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7662">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1B2EE">
                          <w:pPr>
                            <w:pStyle w:val="10"/>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BB1B2EE">
                    <w:pPr>
                      <w:pStyle w:val="10"/>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91D2">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AD52D">
                          <w:pPr>
                            <w:pStyle w:val="1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9AD52D">
                    <w:pPr>
                      <w:pStyle w:val="1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5419E">
    <w:pPr>
      <w:pStyle w:val="10"/>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CABE1">
                          <w:pPr>
                            <w:pStyle w:val="1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17CABE1">
                    <w:pPr>
                      <w:pStyle w:val="1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C18CB">
    <w:pPr>
      <w:spacing w:line="174" w:lineRule="auto"/>
      <w:ind w:left="4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B8894">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2B8894">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35569">
    <w:pPr>
      <w:pStyle w:val="10"/>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DBFA1">
                          <w:pPr>
                            <w:pStyle w:val="10"/>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0ADBFA1">
                    <w:pPr>
                      <w:pStyle w:val="10"/>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13D1A">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2B19F">
                          <w:pPr>
                            <w:pStyle w:val="10"/>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672B19F">
                    <w:pPr>
                      <w:pStyle w:val="10"/>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8FE1B">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F9DAD">
                          <w:pPr>
                            <w:pStyle w:val="10"/>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07F9DAD">
                    <w:pPr>
                      <w:pStyle w:val="10"/>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44C67">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90CE7">
                          <w:pPr>
                            <w:pStyle w:val="10"/>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03190CE7">
                    <w:pPr>
                      <w:pStyle w:val="10"/>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E834D">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197C2">
                          <w:pPr>
                            <w:pStyle w:val="10"/>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DD197C2">
                    <w:pPr>
                      <w:pStyle w:val="1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25F0A">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D23B8">
                          <w:pPr>
                            <w:pStyle w:val="10"/>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1D5D23B8">
                    <w:pPr>
                      <w:pStyle w:val="10"/>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F1AFC">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B8F94">
                          <w:pPr>
                            <w:pStyle w:val="10"/>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27B8F94">
                    <w:pPr>
                      <w:pStyle w:val="10"/>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E83ED">
    <w:pPr>
      <w:spacing w:line="174"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3F0D1">
                          <w:pPr>
                            <w:pStyle w:val="10"/>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273F0D1">
                    <w:pPr>
                      <w:pStyle w:val="10"/>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0E32B">
    <w:pPr>
      <w:spacing w:line="174" w:lineRule="auto"/>
      <w:ind w:left="47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E50B8">
                          <w:pPr>
                            <w:pStyle w:val="10"/>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90E50B8">
                    <w:pPr>
                      <w:pStyle w:val="10"/>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4A61">
    <w:pPr>
      <w:spacing w:line="174" w:lineRule="auto"/>
      <w:ind w:left="4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20F3E">
                          <w:pPr>
                            <w:pStyle w:val="10"/>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2A20F3E">
                    <w:pPr>
                      <w:pStyle w:val="10"/>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0423">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08B05">
                          <w:pPr>
                            <w:pStyle w:val="10"/>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0B08B05">
                    <w:pPr>
                      <w:pStyle w:val="1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9B4C8">
    <w:pPr>
      <w:spacing w:line="229" w:lineRule="auto"/>
      <w:ind w:left="4411"/>
      <w:rPr>
        <w:rFonts w:ascii="宋体" w:hAnsi="宋体" w:eastAsia="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8E734">
                          <w:pPr>
                            <w:pStyle w:val="10"/>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F18E734">
                    <w:pPr>
                      <w:pStyle w:val="10"/>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7BE62">
    <w:pPr>
      <w:spacing w:line="229" w:lineRule="auto"/>
      <w:ind w:left="4431"/>
      <w:rPr>
        <w:rFonts w:ascii="宋体" w:hAnsi="宋体" w:eastAsia="宋体" w:cs="宋体"/>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0E257">
                          <w:pPr>
                            <w:pStyle w:val="10"/>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F10E257">
                    <w:pPr>
                      <w:pStyle w:val="10"/>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8A52">
    <w:pPr>
      <w:spacing w:line="230" w:lineRule="auto"/>
      <w:ind w:left="4421"/>
      <w:rPr>
        <w:rFonts w:ascii="宋体" w:hAnsi="宋体" w:eastAsia="宋体" w:cs="宋体"/>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24CB9">
                          <w:pPr>
                            <w:pStyle w:val="10"/>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BC24CB9">
                    <w:pPr>
                      <w:pStyle w:val="10"/>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DA126">
    <w:pPr>
      <w:spacing w:line="229" w:lineRule="auto"/>
      <w:ind w:left="4411"/>
      <w:rPr>
        <w:rFonts w:ascii="宋体" w:hAnsi="宋体" w:eastAsia="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5237D">
                          <w:pPr>
                            <w:pStyle w:val="10"/>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9C5237D">
                    <w:pPr>
                      <w:pStyle w:val="10"/>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A34F">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BBA41">
                          <w:pPr>
                            <w:pStyle w:val="1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0EBBA41">
                    <w:pPr>
                      <w:pStyle w:val="1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A789">
    <w:pPr>
      <w:spacing w:line="174" w:lineRule="auto"/>
      <w:ind w:left="44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D9291">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72D9291">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18D5">
    <w:pPr>
      <w:spacing w:line="174" w:lineRule="auto"/>
      <w:ind w:left="44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4FC54">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DB4FC54">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E2D2">
    <w:pPr>
      <w:pStyle w:val="1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E99A">
                          <w:pPr>
                            <w:pStyle w:val="1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97DE99A">
                    <w:pPr>
                      <w:pStyle w:val="10"/>
                    </w:pPr>
                    <w:r>
                      <w:fldChar w:fldCharType="begin"/>
                    </w:r>
                    <w:r>
                      <w:instrText xml:space="preserve"> PAGE  \* MERGEFORMAT </w:instrText>
                    </w:r>
                    <w:r>
                      <w:fldChar w:fldCharType="separate"/>
                    </w:r>
                    <w:r>
                      <w:t>26</w:t>
                    </w:r>
                    <w:r>
                      <w:fldChar w:fldCharType="end"/>
                    </w:r>
                  </w:p>
                </w:txbxContent>
              </v:textbox>
            </v:shape>
          </w:pict>
        </mc:Fallback>
      </mc:AlternateContent>
    </w:r>
  </w:p>
  <w:p w14:paraId="4A84FD92">
    <w:pPr>
      <w:pStyle w:val="1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8C132">
    <w:pPr>
      <w:pStyle w:val="1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4E91C">
                          <w:pPr>
                            <w:pStyle w:val="1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1E4E91C">
                    <w:pPr>
                      <w:pStyle w:val="1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30F1A">
    <w:pPr>
      <w:pStyle w:val="1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D1DA8">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FD1DA8">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658EF">
    <w:pPr>
      <w:spacing w:before="48" w:line="219" w:lineRule="auto"/>
      <w:ind w:right="28"/>
      <w:jc w:val="right"/>
      <w:rPr>
        <w:rFonts w:ascii="宋体" w:hAnsi="宋体" w:eastAsia="宋体" w:cs="宋体"/>
        <w:sz w:val="18"/>
        <w:szCs w:val="18"/>
      </w:rPr>
    </w:pPr>
    <w:r>
      <w:pict>
        <v:shape id="_x0000_s2049" o:spid="_x0000_s2049" style="position:absolute;left:0pt;margin-left:83.6pt;margin-top:55.2pt;height:0.5pt;width:456.5pt;mso-position-horizontal-relative:page;mso-position-vertical-relative:page;z-index:251659264;mso-width-relative:page;mso-height-relative:page;" filled="f" stroked="t" coordsize="9130,10" o:allowincell="f" path="m0,5l9129,5e">
          <v:fill on="f" focussize="0,0"/>
          <v:stroke weight="0.5pt"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04113">
    <w:pPr>
      <w:pStyle w:val="11"/>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4401">
    <w:pPr>
      <w:pStyle w:val="11"/>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6D748">
    <w:pPr>
      <w:pStyle w:val="11"/>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4BB56">
    <w:pPr>
      <w:spacing w:before="48" w:line="219" w:lineRule="auto"/>
      <w:ind w:left="5510"/>
      <w:rPr>
        <w:rFonts w:ascii="宋体" w:hAnsi="宋体" w:eastAsia="宋体" w:cs="宋体"/>
        <w:sz w:val="18"/>
        <w:szCs w:val="18"/>
      </w:rPr>
    </w:pPr>
    <w:r>
      <w:pict>
        <v:shape id="_x0000_s2128" o:spid="_x0000_s2128" style="position:absolute;left:0pt;margin-left:83.6pt;margin-top:55.2pt;height:0.75pt;width:456.5pt;mso-position-horizontal-relative:page;mso-position-vertical-relative:page;z-index:25167052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DBE50">
    <w:pPr>
      <w:spacing w:before="48" w:line="219" w:lineRule="auto"/>
      <w:ind w:right="28"/>
      <w:jc w:val="right"/>
      <w:rPr>
        <w:rFonts w:ascii="宋体" w:hAnsi="宋体" w:eastAsia="宋体" w:cs="宋体"/>
        <w:sz w:val="18"/>
        <w:szCs w:val="18"/>
      </w:rPr>
    </w:pPr>
    <w:r>
      <w:pict>
        <v:shape id="_x0000_s2129" o:spid="_x0000_s2129"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C6197">
    <w:pPr>
      <w:spacing w:before="48" w:line="219" w:lineRule="auto"/>
      <w:ind w:left="5510"/>
      <w:rPr>
        <w:rFonts w:ascii="宋体" w:hAnsi="宋体" w:eastAsia="宋体" w:cs="宋体"/>
        <w:sz w:val="18"/>
        <w:szCs w:val="18"/>
      </w:rPr>
    </w:pPr>
    <w:r>
      <w:pict>
        <v:shape id="_x0000_s2130" o:spid="_x0000_s2130" style="position:absolute;left:0pt;margin-left:83.6pt;margin-top:55.2pt;height:0.75pt;width:456.5pt;mso-position-horizontal-relative:page;mso-position-vertical-relative:page;z-index:25167155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E6F1">
    <w:pPr>
      <w:spacing w:before="48" w:line="219" w:lineRule="auto"/>
      <w:ind w:right="28"/>
      <w:jc w:val="right"/>
      <w:rPr>
        <w:rFonts w:ascii="宋体" w:hAnsi="宋体" w:eastAsia="宋体" w:cs="宋体"/>
        <w:sz w:val="18"/>
        <w:szCs w:val="18"/>
      </w:rPr>
    </w:pPr>
    <w:r>
      <w:pict>
        <v:shape id="_x0000_s2131" o:spid="_x0000_s2131"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5CB5">
    <w:pPr>
      <w:spacing w:before="48" w:line="219" w:lineRule="auto"/>
      <w:ind w:left="5776"/>
      <w:rPr>
        <w:rFonts w:ascii="宋体" w:hAnsi="宋体" w:eastAsia="宋体" w:cs="宋体"/>
        <w:sz w:val="18"/>
        <w:szCs w:val="18"/>
      </w:rPr>
    </w:pPr>
    <w:r>
      <w:pict>
        <v:shape id="_x0000_s2132" o:spid="_x0000_s2132" style="position:absolute;left:0pt;margin-left:83.6pt;margin-top:55.2pt;height:0.75pt;width:456.5pt;mso-position-horizontal-relative:page;mso-position-vertical-relative:page;z-index:251673600;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970C">
    <w:pPr>
      <w:spacing w:before="48" w:line="219" w:lineRule="auto"/>
      <w:ind w:left="5591"/>
      <w:rPr>
        <w:rFonts w:ascii="宋体" w:hAnsi="宋体" w:eastAsia="宋体" w:cs="宋体"/>
        <w:sz w:val="18"/>
        <w:szCs w:val="18"/>
      </w:rPr>
    </w:pPr>
    <w:r>
      <w:pict>
        <v:shape id="_x0000_s2133" o:spid="_x0000_s2133" style="position:absolute;left:0pt;margin-left:83.6pt;margin-top:55.2pt;height:0.75pt;width:456.5pt;mso-position-horizontal-relative:page;mso-position-vertical-relative:page;z-index:251674624;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6B076">
    <w:pPr>
      <w:pStyle w:val="6"/>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2F0D">
    <w:pPr>
      <w:spacing w:before="48" w:line="219" w:lineRule="auto"/>
      <w:ind w:right="28"/>
      <w:jc w:val="right"/>
      <w:rPr>
        <w:rFonts w:ascii="宋体" w:hAnsi="宋体" w:eastAsia="宋体" w:cs="宋体"/>
        <w:sz w:val="18"/>
        <w:szCs w:val="18"/>
      </w:rPr>
    </w:pPr>
    <w:r>
      <w:pict>
        <v:shape id="_x0000_s2052" o:spid="_x0000_s2052"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89A1">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448E">
    <w:pPr>
      <w:spacing w:before="48" w:line="219" w:lineRule="auto"/>
      <w:ind w:left="5921"/>
      <w:rPr>
        <w:rFonts w:ascii="宋体" w:hAnsi="宋体" w:eastAsia="宋体" w:cs="宋体"/>
        <w:sz w:val="18"/>
        <w:szCs w:val="18"/>
      </w:rPr>
    </w:pPr>
    <w:r>
      <w:pict>
        <v:shape id="_x0000_s2056" o:spid="_x0000_s2056" style="position:absolute;left:0pt;margin-left:83.6pt;margin-top:55.2pt;height:0.75pt;width:456.5pt;mso-position-horizontal-relative:page;mso-position-vertical-relative:page;z-index:251661312;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126E9">
    <w:pPr>
      <w:spacing w:before="48" w:line="219" w:lineRule="auto"/>
      <w:ind w:right="28"/>
      <w:jc w:val="right"/>
      <w:rPr>
        <w:rFonts w:ascii="宋体" w:hAnsi="宋体" w:eastAsia="宋体" w:cs="宋体"/>
        <w:sz w:val="18"/>
        <w:szCs w:val="18"/>
      </w:rPr>
    </w:pPr>
    <w:r>
      <w:pict>
        <v:shape id="_x0000_s2057" o:spid="_x0000_s2057"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89A43">
    <w:pPr>
      <w:spacing w:before="48" w:line="219" w:lineRule="auto"/>
      <w:ind w:left="5510"/>
      <w:rPr>
        <w:rFonts w:ascii="宋体" w:hAnsi="宋体" w:eastAsia="宋体" w:cs="宋体"/>
        <w:sz w:val="18"/>
        <w:szCs w:val="18"/>
      </w:rPr>
    </w:pPr>
    <w:r>
      <w:pict>
        <v:shape id="_x0000_s2067" o:spid="_x0000_s2067" style="position:absolute;left:0pt;margin-left:83.6pt;margin-top:55.2pt;height:0.75pt;width:456.5pt;mso-position-horizontal-relative:page;mso-position-vertical-relative:page;z-index:251662336;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F2F1D">
    <w:pPr>
      <w:spacing w:before="48" w:line="219" w:lineRule="auto"/>
      <w:ind w:right="28"/>
      <w:jc w:val="right"/>
      <w:rPr>
        <w:rFonts w:ascii="宋体" w:hAnsi="宋体" w:eastAsia="宋体" w:cs="宋体"/>
        <w:sz w:val="18"/>
        <w:szCs w:val="18"/>
      </w:rPr>
    </w:pPr>
    <w:r>
      <w:pict>
        <v:shape id="_x0000_s2072" o:spid="_x0000_s2072"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AAB45">
    <w:pPr>
      <w:spacing w:before="48" w:line="219" w:lineRule="auto"/>
      <w:ind w:right="28"/>
      <w:jc w:val="right"/>
      <w:rPr>
        <w:rFonts w:ascii="宋体" w:hAnsi="宋体" w:eastAsia="宋体" w:cs="宋体"/>
        <w:sz w:val="18"/>
        <w:szCs w:val="18"/>
      </w:rPr>
    </w:pPr>
    <w:r>
      <mc:AlternateContent>
        <mc:Choice Requires="wps">
          <w:drawing>
            <wp:anchor distT="0" distB="0" distL="114300" distR="114300" simplePos="0" relativeHeight="251667456" behindDoc="0" locked="0" layoutInCell="0" allowOverlap="1">
              <wp:simplePos x="0" y="0"/>
              <wp:positionH relativeFrom="page">
                <wp:posOffset>1061720</wp:posOffset>
              </wp:positionH>
              <wp:positionV relativeFrom="page">
                <wp:posOffset>701040</wp:posOffset>
              </wp:positionV>
              <wp:extent cx="5797550" cy="9525"/>
              <wp:effectExtent l="0" t="0" r="0" b="0"/>
              <wp:wrapNone/>
              <wp:docPr id="1" name="任意多边形 1"/>
              <wp:cNvGraphicFramePr/>
              <a:graphic xmlns:a="http://schemas.openxmlformats.org/drawingml/2006/main">
                <a:graphicData uri="http://schemas.microsoft.com/office/word/2010/wordprocessingShape">
                  <wps:wsp>
                    <wps:cNvSpPr/>
                    <wps:spPr>
                      <a:xfrm>
                        <a:off x="0" y="0"/>
                        <a:ext cx="5797550" cy="9525"/>
                      </a:xfrm>
                      <a:custGeom>
                        <a:avLst/>
                        <a:gdLst/>
                        <a:ahLst/>
                        <a:cxnLst/>
                        <a:pathLst>
                          <a:path w="9130" h="15">
                            <a:moveTo>
                              <a:pt x="0" y="7"/>
                            </a:moveTo>
                            <a:lnTo>
                              <a:pt x="9129"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83.6pt;margin-top:55.2pt;height:0.75pt;width:456.5pt;mso-position-horizontal-relative:page;mso-position-vertical-relative:page;z-index:251667456;mso-width-relative:page;mso-height-relative:page;" filled="f" stroked="t" coordsize="9130,15" o:allowincell="f" o:gfxdata="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&#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V7LJ2QAAAAwBAAAPAAAAAAAAAAEAIAAAACIAAABk&#10;cnMvZG93bnJldi54bWxQSwECFAAUAAAACACHTuJA/VFAKz4CAACkBAAADgAAAAAAAAABACAAAAAo&#10;AQAAZHJzL2Uyb0RvYy54bWxQSwUGAAAAAAYABgBZAQAA2AUAAAAA&#10;" path="m0,7l9129,7e">
              <v:fill on="f" focussize="0,0"/>
              <v:stroke color="#000000" miterlimit="10" joinstyle="miter"/>
              <v:imagedata o:title=""/>
              <o:lock v:ext="edit" aspectratio="f"/>
            </v:shape>
          </w:pict>
        </mc:Fallback>
      </mc:AlternateContent>
    </w:r>
    <w:r>
      <w:rPr>
        <w:rFonts w:ascii="宋体" w:hAnsi="宋体" w:eastAsia="宋体" w:cs="宋体"/>
        <w:spacing w:val="-1"/>
        <w:sz w:val="18"/>
        <w:szCs w:val="18"/>
      </w:rPr>
      <w:t>北京市政府采购项目竞争性磋商文件示范文本</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9513">
    <w:pPr>
      <w:spacing w:before="48" w:line="219" w:lineRule="auto"/>
      <w:ind w:left="5510"/>
      <w:rPr>
        <w:rFonts w:ascii="宋体" w:hAnsi="宋体" w:eastAsia="宋体" w:cs="宋体"/>
        <w:sz w:val="18"/>
        <w:szCs w:val="18"/>
      </w:rPr>
    </w:pPr>
    <w:r>
      <w:pict>
        <v:shape id="_x0000_s2126" o:spid="_x0000_s2126" style="position:absolute;left:0pt;margin-left:83.6pt;margin-top:55.2pt;height:0.75pt;width:456.5pt;mso-position-horizontal-relative:page;mso-position-vertical-relative:page;z-index:251672576;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250A">
    <w:pPr>
      <w:spacing w:before="48" w:line="219" w:lineRule="auto"/>
      <w:ind w:right="28"/>
      <w:jc w:val="right"/>
      <w:rPr>
        <w:rFonts w:ascii="宋体" w:hAnsi="宋体" w:eastAsia="宋体" w:cs="宋体"/>
        <w:sz w:val="18"/>
        <w:szCs w:val="18"/>
      </w:rPr>
    </w:pPr>
    <w:r>
      <w:pict>
        <v:shape id="_x0000_s2127" o:spid="_x0000_s2127" style="position:absolute;left:0pt;margin-left:83.6pt;margin-top:55.2pt;height:0.75pt;width:456.5pt;mso-position-horizontal-relative:page;mso-position-vertical-relative:page;z-index:251660288;mso-width-relative:page;mso-height-relative:page;" filled="f" stroked="t" coordsize="9130,15" o:allowincell="f" path="m0,7l9129,7e">
          <v:fill on="f" focussize="0,0"/>
          <v:stroke color="#000000" miterlimit="10" joinstyle="miter"/>
          <v:imagedata o:title=""/>
          <o:lock v:ext="edit"/>
        </v:shape>
      </w:pict>
    </w:r>
    <w:r>
      <w:rPr>
        <w:rFonts w:ascii="宋体" w:hAnsi="宋体" w:eastAsia="宋体" w:cs="宋体"/>
        <w:spacing w:val="-1"/>
        <w:sz w:val="18"/>
        <w:szCs w:val="18"/>
      </w:rPr>
      <w:t>北京市政府采购项目竞争性磋商文件示范文本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9A8262"/>
    <w:multiLevelType w:val="singleLevel"/>
    <w:tmpl w:val="C89A8262"/>
    <w:lvl w:ilvl="0" w:tentative="0">
      <w:start w:val="1"/>
      <w:numFmt w:val="decimal"/>
      <w:suff w:val="space"/>
      <w:lvlText w:val="(%1)"/>
      <w:lvlJc w:val="left"/>
    </w:lvl>
  </w:abstractNum>
  <w:abstractNum w:abstractNumId="1">
    <w:nsid w:val="EA66865C"/>
    <w:multiLevelType w:val="singleLevel"/>
    <w:tmpl w:val="EA66865C"/>
    <w:lvl w:ilvl="0" w:tentative="0">
      <w:start w:val="1"/>
      <w:numFmt w:val="chineseCounting"/>
      <w:suff w:val="nothing"/>
      <w:lvlText w:val="%1、"/>
      <w:lvlJc w:val="left"/>
      <w:rPr>
        <w:rFonts w:hint="eastAsia"/>
      </w:rPr>
    </w:lvl>
  </w:abstractNum>
  <w:abstractNum w:abstractNumId="2">
    <w:nsid w:val="0AA51812"/>
    <w:multiLevelType w:val="singleLevel"/>
    <w:tmpl w:val="0AA51812"/>
    <w:lvl w:ilvl="0" w:tentative="0">
      <w:start w:val="13"/>
      <w:numFmt w:val="decimal"/>
      <w:suff w:val="space"/>
      <w:lvlText w:val="%1."/>
      <w:lvlJc w:val="left"/>
    </w:lvl>
  </w:abstractNum>
  <w:abstractNum w:abstractNumId="3">
    <w:nsid w:val="35464E66"/>
    <w:multiLevelType w:val="singleLevel"/>
    <w:tmpl w:val="35464E66"/>
    <w:lvl w:ilvl="0" w:tentative="0">
      <w:start w:val="6"/>
      <w:numFmt w:val="chineseCounting"/>
      <w:suff w:val="nothing"/>
      <w:lvlText w:val="%1、"/>
      <w:lvlJc w:val="left"/>
      <w:rPr>
        <w:rFonts w:hint="eastAsia"/>
      </w:rPr>
    </w:lvl>
  </w:abstractNum>
  <w:abstractNum w:abstractNumId="4">
    <w:nsid w:val="551C0FE4"/>
    <w:multiLevelType w:val="singleLevel"/>
    <w:tmpl w:val="551C0FE4"/>
    <w:lvl w:ilvl="0" w:tentative="0">
      <w:start w:val="6"/>
      <w:numFmt w:val="decimal"/>
      <w:suff w:val="nothing"/>
      <w:lvlText w:val="（%1）"/>
      <w:lvlJc w:val="left"/>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670B10"/>
    <w:rsid w:val="01950461"/>
    <w:rsid w:val="027739D4"/>
    <w:rsid w:val="03431A30"/>
    <w:rsid w:val="062736E9"/>
    <w:rsid w:val="069A7F64"/>
    <w:rsid w:val="09B5618B"/>
    <w:rsid w:val="0CF766EC"/>
    <w:rsid w:val="0D3454B7"/>
    <w:rsid w:val="0E867D51"/>
    <w:rsid w:val="112B5207"/>
    <w:rsid w:val="16787092"/>
    <w:rsid w:val="171E7925"/>
    <w:rsid w:val="18580FEE"/>
    <w:rsid w:val="1AC76B94"/>
    <w:rsid w:val="1AD609EA"/>
    <w:rsid w:val="1B1B0CE2"/>
    <w:rsid w:val="1D3E4785"/>
    <w:rsid w:val="1D4F19AA"/>
    <w:rsid w:val="1F8B7A40"/>
    <w:rsid w:val="246A58D2"/>
    <w:rsid w:val="25175836"/>
    <w:rsid w:val="264C5852"/>
    <w:rsid w:val="2A726488"/>
    <w:rsid w:val="2BA16189"/>
    <w:rsid w:val="2D7D4640"/>
    <w:rsid w:val="2FB642CB"/>
    <w:rsid w:val="379A70A3"/>
    <w:rsid w:val="381221AA"/>
    <w:rsid w:val="391278C8"/>
    <w:rsid w:val="3A95017F"/>
    <w:rsid w:val="3C2C419F"/>
    <w:rsid w:val="431409E5"/>
    <w:rsid w:val="44C313C5"/>
    <w:rsid w:val="462176BD"/>
    <w:rsid w:val="470A10B0"/>
    <w:rsid w:val="47E50FC3"/>
    <w:rsid w:val="485A1120"/>
    <w:rsid w:val="52A51B5F"/>
    <w:rsid w:val="52AA4314"/>
    <w:rsid w:val="58E4764E"/>
    <w:rsid w:val="5999312B"/>
    <w:rsid w:val="5A5C7725"/>
    <w:rsid w:val="5AA22EF3"/>
    <w:rsid w:val="5CCF66CC"/>
    <w:rsid w:val="5DFF07E4"/>
    <w:rsid w:val="5FBA13DC"/>
    <w:rsid w:val="61B774AB"/>
    <w:rsid w:val="66ED1319"/>
    <w:rsid w:val="69F229CC"/>
    <w:rsid w:val="71000CA9"/>
    <w:rsid w:val="710B54C1"/>
    <w:rsid w:val="72AF1383"/>
    <w:rsid w:val="779E4287"/>
    <w:rsid w:val="78CF7DD8"/>
    <w:rsid w:val="7F4251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3"/>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utoSpaceDE w:val="0"/>
      <w:autoSpaceDN w:val="0"/>
      <w:adjustRightInd w:val="0"/>
      <w:ind w:firstLine="420"/>
      <w:jc w:val="left"/>
    </w:pPr>
    <w:rPr>
      <w:rFonts w:ascii="宋体"/>
      <w:sz w:val="24"/>
    </w:rPr>
  </w:style>
  <w:style w:type="paragraph" w:styleId="5">
    <w:name w:val="table of authorities"/>
    <w:basedOn w:val="1"/>
    <w:next w:val="1"/>
    <w:unhideWhenUsed/>
    <w:qFormat/>
    <w:uiPriority w:val="99"/>
    <w:pPr>
      <w:ind w:left="420" w:leftChars="200"/>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8"/>
    <w:qFormat/>
    <w:uiPriority w:val="0"/>
    <w:pPr>
      <w:spacing w:line="360" w:lineRule="auto"/>
      <w:ind w:firstLine="570"/>
    </w:pPr>
    <w:rPr>
      <w:sz w:val="24"/>
    </w:rPr>
  </w:style>
  <w:style w:type="paragraph" w:styleId="8">
    <w:name w:val="envelope return"/>
    <w:qFormat/>
    <w:uiPriority w:val="99"/>
    <w:pPr>
      <w:widowControl w:val="0"/>
      <w:snapToGrid w:val="0"/>
      <w:jc w:val="both"/>
    </w:pPr>
    <w:rPr>
      <w:rFonts w:ascii="Arial" w:hAnsi="Arial" w:eastAsia="宋体" w:cs="Arial"/>
      <w:kern w:val="2"/>
      <w:sz w:val="21"/>
      <w:szCs w:val="24"/>
      <w:lang w:val="en-US" w:eastAsia="zh-CN" w:bidi="ar-SA"/>
    </w:rPr>
  </w:style>
  <w:style w:type="paragraph" w:styleId="9">
    <w:name w:val="Plain Text"/>
    <w:basedOn w:val="1"/>
    <w:qFormat/>
    <w:uiPriority w:val="0"/>
    <w:rPr>
      <w:rFonts w:ascii="宋体" w:hAnsi="Courier New"/>
      <w:kern w:val="0"/>
      <w:sz w:val="2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2"/>
    <w:basedOn w:val="7"/>
    <w:next w:val="1"/>
    <w:qFormat/>
    <w:uiPriority w:val="0"/>
    <w:pPr>
      <w:spacing w:after="120" w:line="480" w:lineRule="exact"/>
      <w:ind w:left="420" w:leftChars="200" w:firstLine="420" w:firstLineChars="200"/>
    </w:pPr>
    <w:rPr>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4"/>
      <w:szCs w:val="24"/>
      <w:lang w:val="en-US" w:eastAsia="en-US" w:bidi="ar-SA"/>
    </w:rPr>
  </w:style>
  <w:style w:type="paragraph" w:customStyle="1" w:styleId="20">
    <w:name w:val="样式 标题 2 + Times New Roman 四号 非加粗 段前: 5 磅 段后: 0 磅 行距: 固定值 20..."/>
    <w:basedOn w:val="2"/>
    <w:qFormat/>
    <w:uiPriority w:val="99"/>
    <w:pPr>
      <w:spacing w:beforeLines="50" w:afterLines="50" w:line="360" w:lineRule="auto"/>
    </w:pPr>
    <w:rPr>
      <w:rFonts w:ascii="宋体" w:hAnsi="Times New Roman" w:cs="宋体"/>
      <w:b w:val="0"/>
      <w:bCs w:val="0"/>
      <w:sz w:val="28"/>
      <w:szCs w:val="20"/>
    </w:rPr>
  </w:style>
  <w:style w:type="paragraph" w:customStyle="1" w:styleId="21">
    <w:name w:val="样式 标题 3 + (中文) 黑体 小四 非加粗 段前: 7.8 磅 段后: 0 磅 行距: 固定值 20 磅"/>
    <w:basedOn w:val="4"/>
    <w:qFormat/>
    <w:uiPriority w:val="0"/>
    <w:pPr>
      <w:spacing w:beforeLines="50" w:afterLines="50" w:line="360" w:lineRule="auto"/>
    </w:pPr>
    <w:rPr>
      <w:rFonts w:ascii="宋体"/>
      <w:b w:val="0"/>
      <w:bCs w:val="0"/>
      <w:sz w:val="24"/>
      <w:szCs w:val="20"/>
    </w:rPr>
  </w:style>
  <w:style w:type="paragraph" w:customStyle="1" w:styleId="22">
    <w:name w:val="Body Text Indent 2"/>
    <w:basedOn w:val="1"/>
    <w:qFormat/>
    <w:uiPriority w:val="0"/>
    <w:pPr>
      <w:spacing w:after="120" w:line="480" w:lineRule="auto"/>
      <w:ind w:left="200" w:leftChars="200"/>
    </w:pPr>
    <w:rPr>
      <w:rFonts w:ascii="楷体_GB2312" w:hAnsi="楷体_GB2312" w:cs="黑体"/>
      <w:szCs w:val="24"/>
    </w:rPr>
  </w:style>
  <w:style w:type="paragraph" w:customStyle="1" w:styleId="23">
    <w:name w:val="1"/>
    <w:basedOn w:val="1"/>
    <w:next w:val="9"/>
    <w:qFormat/>
    <w:uiPriority w:val="0"/>
  </w:style>
  <w:style w:type="paragraph" w:customStyle="1" w:styleId="24">
    <w:name w:val="Body Text Indent"/>
    <w:basedOn w:val="1"/>
    <w:qFormat/>
    <w:uiPriority w:val="0"/>
    <w:pPr>
      <w:spacing w:after="120"/>
      <w:ind w:left="200" w:leftChars="200"/>
    </w:pPr>
    <w:rPr>
      <w:rFonts w:ascii="楷体_GB2312" w:hAnsi="楷体_GB2312" w:cs="黑体"/>
      <w:szCs w:val="24"/>
    </w:rPr>
  </w:style>
  <w:style w:type="paragraph" w:customStyle="1" w:styleId="25">
    <w:name w:val="Normal_0"/>
    <w:qFormat/>
    <w:uiPriority w:val="0"/>
    <w:pPr>
      <w:spacing w:before="120" w:after="240"/>
      <w:jc w:val="both"/>
    </w:pPr>
    <w:rPr>
      <w:rFonts w:ascii="Calibri" w:hAnsi="Calibri" w:eastAsia="宋体"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23.png"/><Relationship Id="rId81" Type="http://schemas.openxmlformats.org/officeDocument/2006/relationships/image" Target="media/image22.wmf"/><Relationship Id="rId80" Type="http://schemas.openxmlformats.org/officeDocument/2006/relationships/oleObject" Target="embeddings/oleObject1.bin"/><Relationship Id="rId8" Type="http://schemas.openxmlformats.org/officeDocument/2006/relationships/footer" Target="footer1.xml"/><Relationship Id="rId79" Type="http://schemas.openxmlformats.org/officeDocument/2006/relationships/image" Target="media/image21.tiff"/><Relationship Id="rId78" Type="http://schemas.openxmlformats.org/officeDocument/2006/relationships/image" Target="media/image20.tiff"/><Relationship Id="rId77" Type="http://schemas.openxmlformats.org/officeDocument/2006/relationships/image" Target="media/image19.tiff"/><Relationship Id="rId76" Type="http://schemas.openxmlformats.org/officeDocument/2006/relationships/image" Target="media/image18.tiff"/><Relationship Id="rId75" Type="http://schemas.openxmlformats.org/officeDocument/2006/relationships/image" Target="media/image17.tiff"/><Relationship Id="rId74" Type="http://schemas.openxmlformats.org/officeDocument/2006/relationships/image" Target="media/image16.tiff"/><Relationship Id="rId73" Type="http://schemas.openxmlformats.org/officeDocument/2006/relationships/image" Target="media/image15.tiff"/><Relationship Id="rId72" Type="http://schemas.openxmlformats.org/officeDocument/2006/relationships/image" Target="media/image14.tiff"/><Relationship Id="rId71" Type="http://schemas.openxmlformats.org/officeDocument/2006/relationships/image" Target="media/image13.tiff"/><Relationship Id="rId70" Type="http://schemas.openxmlformats.org/officeDocument/2006/relationships/image" Target="media/image12.tiff"/><Relationship Id="rId7" Type="http://schemas.openxmlformats.org/officeDocument/2006/relationships/header" Target="header3.xml"/><Relationship Id="rId69" Type="http://schemas.openxmlformats.org/officeDocument/2006/relationships/image" Target="media/image11.tiff"/><Relationship Id="rId68" Type="http://schemas.openxmlformats.org/officeDocument/2006/relationships/image" Target="media/image10.tiff"/><Relationship Id="rId67" Type="http://schemas.openxmlformats.org/officeDocument/2006/relationships/image" Target="media/image9.tiff"/><Relationship Id="rId66" Type="http://schemas.openxmlformats.org/officeDocument/2006/relationships/image" Target="media/image8.tiff"/><Relationship Id="rId65" Type="http://schemas.openxmlformats.org/officeDocument/2006/relationships/image" Target="media/image7.tiff"/><Relationship Id="rId64" Type="http://schemas.openxmlformats.org/officeDocument/2006/relationships/image" Target="media/image6.tiff"/><Relationship Id="rId63" Type="http://schemas.openxmlformats.org/officeDocument/2006/relationships/image" Target="media/image5.tiff"/><Relationship Id="rId62" Type="http://schemas.openxmlformats.org/officeDocument/2006/relationships/image" Target="media/image4.tiff"/><Relationship Id="rId61" Type="http://schemas.openxmlformats.org/officeDocument/2006/relationships/image" Target="media/image3.tiff"/><Relationship Id="rId60" Type="http://schemas.openxmlformats.org/officeDocument/2006/relationships/image" Target="media/image2.tiff"/><Relationship Id="rId6" Type="http://schemas.openxmlformats.org/officeDocument/2006/relationships/header" Target="header2.xml"/><Relationship Id="rId59" Type="http://schemas.openxmlformats.org/officeDocument/2006/relationships/image" Target="media/image1.tiff"/><Relationship Id="rId58" Type="http://schemas.openxmlformats.org/officeDocument/2006/relationships/theme" Target="theme/theme1.xml"/><Relationship Id="rId57" Type="http://schemas.openxmlformats.org/officeDocument/2006/relationships/footer" Target="footer33.xml"/><Relationship Id="rId56" Type="http://schemas.openxmlformats.org/officeDocument/2006/relationships/header" Target="header20.xml"/><Relationship Id="rId55" Type="http://schemas.openxmlformats.org/officeDocument/2006/relationships/footer" Target="footer32.xml"/><Relationship Id="rId54" Type="http://schemas.openxmlformats.org/officeDocument/2006/relationships/footer" Target="footer31.xml"/><Relationship Id="rId53" Type="http://schemas.openxmlformats.org/officeDocument/2006/relationships/footer" Target="footer30.xml"/><Relationship Id="rId52" Type="http://schemas.openxmlformats.org/officeDocument/2006/relationships/header" Target="header19.xml"/><Relationship Id="rId51" Type="http://schemas.openxmlformats.org/officeDocument/2006/relationships/footer" Target="footer29.xml"/><Relationship Id="rId50" Type="http://schemas.openxmlformats.org/officeDocument/2006/relationships/header" Target="header18.xml"/><Relationship Id="rId5" Type="http://schemas.openxmlformats.org/officeDocument/2006/relationships/header" Target="header1.xml"/><Relationship Id="rId49" Type="http://schemas.openxmlformats.org/officeDocument/2006/relationships/footer" Target="footer28.xml"/><Relationship Id="rId48" Type="http://schemas.openxmlformats.org/officeDocument/2006/relationships/header" Target="header17.xml"/><Relationship Id="rId47" Type="http://schemas.openxmlformats.org/officeDocument/2006/relationships/footer" Target="footer27.xml"/><Relationship Id="rId46" Type="http://schemas.openxmlformats.org/officeDocument/2006/relationships/footer" Target="footer26.xml"/><Relationship Id="rId45" Type="http://schemas.openxmlformats.org/officeDocument/2006/relationships/header" Target="header16.xml"/><Relationship Id="rId44" Type="http://schemas.openxmlformats.org/officeDocument/2006/relationships/footer" Target="footer25.xml"/><Relationship Id="rId43" Type="http://schemas.openxmlformats.org/officeDocument/2006/relationships/header" Target="header15.xml"/><Relationship Id="rId42" Type="http://schemas.openxmlformats.org/officeDocument/2006/relationships/footer" Target="footer24.xml"/><Relationship Id="rId41" Type="http://schemas.openxmlformats.org/officeDocument/2006/relationships/header" Target="header14.xml"/><Relationship Id="rId40" Type="http://schemas.openxmlformats.org/officeDocument/2006/relationships/footer" Target="footer23.xml"/><Relationship Id="rId4" Type="http://schemas.openxmlformats.org/officeDocument/2006/relationships/endnotes" Target="endnotes.xml"/><Relationship Id="rId39" Type="http://schemas.openxmlformats.org/officeDocument/2006/relationships/header" Target="header1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header" Target="header12.xml"/><Relationship Id="rId34" Type="http://schemas.openxmlformats.org/officeDocument/2006/relationships/footer" Target="footer19.xml"/><Relationship Id="rId33" Type="http://schemas.openxmlformats.org/officeDocument/2006/relationships/header" Target="header11.xml"/><Relationship Id="rId32" Type="http://schemas.openxmlformats.org/officeDocument/2006/relationships/footer" Target="footer18.xml"/><Relationship Id="rId31" Type="http://schemas.openxmlformats.org/officeDocument/2006/relationships/header" Target="header10.xml"/><Relationship Id="rId30" Type="http://schemas.openxmlformats.org/officeDocument/2006/relationships/footer" Target="footer17.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2"/>
    <customShpInfo spid="_x0000_s2056"/>
    <customShpInfo spid="_x0000_s1026" textRotate="1"/>
    <customShpInfo spid="_x0000_s2057"/>
    <customShpInfo spid="_x0000_s2067"/>
    <customShpInfo spid="_x0000_s2072"/>
    <customShpInfo spid="_x0000_s2126"/>
    <customShpInfo spid="_x0000_s2127"/>
    <customShpInfo spid="_x0000_s2128"/>
    <customShpInfo spid="_x0000_s2129"/>
    <customShpInfo spid="_x0000_s2130"/>
    <customShpInfo spid="_x0000_s2131"/>
    <customShpInfo spid="_x0000_s2132"/>
    <customShpInfo spid="_x0000_s2133"/>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153</Pages>
  <Words>1943</Words>
  <Characters>2451</Characters>
  <TotalTime>1</TotalTime>
  <ScaleCrop>false</ScaleCrop>
  <LinksUpToDate>false</LinksUpToDate>
  <CharactersWithSpaces>2624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2025-02-25T09:52:00Z</dcterms:created>
  <dc:creator>Yin Hao</dc:creator>
  <cp:lastModifiedBy>片汤</cp:lastModifiedBy>
  <dcterms:modified xsi:type="dcterms:W3CDTF">2025-10-11T03:08:39Z</dcterms:modified>
  <dc:title>政府采购示范文本（2023）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2025-03-21T09:14:31Z</vt:filetime>
  </property>
  <property fmtid="{D5CDD505-2E9C-101B-9397-08002B2CF9AE}" pid="4" name="KSOTemplateDocerSaveRecord">
    <vt:lpwstr>eyJoZGlkIjoiNzMxZDFmZGZlMjUyODUwYWQxYTFkODBkYWI5NjYxNjQiLCJ1c2VySWQiOiI0NTY0NDExODEifQ==</vt:lpwstr>
  </property>
  <property fmtid="{D5CDD505-2E9C-101B-9397-08002B2CF9AE}" pid="5" name="KSOProductBuildVer">
    <vt:lpwstr>2052-12.1.0.22529</vt:lpwstr>
  </property>
  <property fmtid="{D5CDD505-2E9C-101B-9397-08002B2CF9AE}" pid="6" name="ICV">
    <vt:lpwstr>40E74A314CFF4FCC8C68558239CF50BD_12</vt:lpwstr>
  </property>
</Properties>
</file>