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92073">
      <w:pPr>
        <w:pageBreakBefore w:val="0"/>
        <w:wordWrap w:val="0"/>
        <w:topLinePunct w:val="0"/>
        <w:bidi w:val="0"/>
        <w:spacing w:after="0" w:line="360" w:lineRule="auto"/>
        <w:ind w:firstLine="300" w:firstLineChars="50"/>
        <w:textAlignment w:val="auto"/>
        <w:rPr>
          <w:rFonts w:hint="eastAsia" w:ascii="宋体" w:hAnsi="宋体" w:cs="宋体"/>
          <w:sz w:val="60"/>
          <w:szCs w:val="60"/>
          <w:highlight w:val="none"/>
        </w:rPr>
      </w:pPr>
      <w:bookmarkStart w:id="1344" w:name="_GoBack"/>
      <w:bookmarkEnd w:id="1344"/>
    </w:p>
    <w:p w14:paraId="6DBEB996">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北京市丰台区人民政府马家堡街道办事处</w:t>
      </w:r>
    </w:p>
    <w:p w14:paraId="48E29937">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乐乎公寓（曾用名“禾苗公寓”）拆除工程</w:t>
      </w:r>
    </w:p>
    <w:p w14:paraId="381CB836">
      <w:pPr>
        <w:pageBreakBefore w:val="0"/>
        <w:wordWrap w:val="0"/>
        <w:topLinePunct w:val="0"/>
        <w:bidi w:val="0"/>
        <w:spacing w:after="0" w:line="360" w:lineRule="auto"/>
        <w:ind w:left="-199" w:leftChars="-95" w:right="-735" w:rightChars="-350"/>
        <w:jc w:val="center"/>
        <w:textAlignment w:val="auto"/>
        <w:rPr>
          <w:rFonts w:hint="eastAsia" w:ascii="宋体" w:hAnsi="宋体" w:cs="宋体"/>
          <w:b/>
          <w:sz w:val="48"/>
          <w:szCs w:val="48"/>
          <w:highlight w:val="none"/>
        </w:rPr>
      </w:pPr>
    </w:p>
    <w:p w14:paraId="40D3B24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6C2724">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E00085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6E25565">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264A86">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C05C43C">
      <w:pPr>
        <w:pageBreakBefore w:val="0"/>
        <w:wordWrap w:val="0"/>
        <w:topLinePunct w:val="0"/>
        <w:bidi w:val="0"/>
        <w:spacing w:after="0" w:line="360" w:lineRule="auto"/>
        <w:jc w:val="center"/>
        <w:textAlignment w:val="auto"/>
        <w:rPr>
          <w:rFonts w:hint="eastAsia" w:ascii="宋体" w:hAnsi="宋体" w:cs="宋体"/>
          <w:b/>
          <w:sz w:val="32"/>
          <w:szCs w:val="28"/>
          <w:highlight w:val="none"/>
        </w:rPr>
      </w:pPr>
      <w:r>
        <w:rPr>
          <w:rFonts w:hint="eastAsia" w:ascii="宋体" w:hAnsi="宋体" w:cs="宋体"/>
          <w:b/>
          <w:sz w:val="72"/>
          <w:szCs w:val="44"/>
          <w:highlight w:val="none"/>
        </w:rPr>
        <w:t>竞争性磋商文件</w:t>
      </w:r>
    </w:p>
    <w:p w14:paraId="2445E533">
      <w:pPr>
        <w:pStyle w:val="20"/>
        <w:pageBreakBefore w:val="0"/>
        <w:wordWrap w:val="0"/>
        <w:topLinePunct w:val="0"/>
        <w:bidi w:val="0"/>
        <w:spacing w:after="0" w:line="360" w:lineRule="auto"/>
        <w:ind w:left="1063" w:hanging="643"/>
        <w:jc w:val="center"/>
        <w:textAlignment w:val="auto"/>
        <w:rPr>
          <w:rFonts w:hint="eastAsia" w:ascii="宋体" w:hAnsi="宋体" w:cs="宋体"/>
          <w:b/>
          <w:sz w:val="32"/>
          <w:szCs w:val="30"/>
          <w:highlight w:val="none"/>
        </w:rPr>
      </w:pPr>
    </w:p>
    <w:p w14:paraId="2876A03C">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9EDD4F1">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40F15C3">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31C2CF7A">
      <w:pPr>
        <w:pageBreakBefore w:val="0"/>
        <w:wordWrap w:val="0"/>
        <w:topLinePunct w:val="0"/>
        <w:bidi w:val="0"/>
        <w:adjustRightInd w:val="0"/>
        <w:snapToGrid w:val="0"/>
        <w:spacing w:after="0" w:line="360" w:lineRule="auto"/>
        <w:ind w:firstLine="643" w:firstLineChars="200"/>
        <w:textAlignment w:val="auto"/>
        <w:rPr>
          <w:rFonts w:hint="eastAsia" w:ascii="宋体" w:hAnsi="宋体" w:cs="宋体"/>
          <w:b/>
          <w:sz w:val="32"/>
          <w:szCs w:val="30"/>
          <w:highlight w:val="none"/>
        </w:rPr>
      </w:pPr>
    </w:p>
    <w:p w14:paraId="199E5BE8">
      <w:pPr>
        <w:pageBreakBefore w:val="0"/>
        <w:wordWrap w:val="0"/>
        <w:topLinePunct w:val="0"/>
        <w:bidi w:val="0"/>
        <w:adjustRightInd w:val="0"/>
        <w:snapToGrid w:val="0"/>
        <w:spacing w:after="0" w:line="360" w:lineRule="auto"/>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乐乎公寓（曾用名“禾苗公寓”）拆除工程</w:t>
      </w:r>
    </w:p>
    <w:p w14:paraId="6B388BED">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项目编号：</w:t>
      </w:r>
      <w:r>
        <w:rPr>
          <w:rFonts w:hint="eastAsia" w:ascii="宋体" w:hAnsi="宋体" w:cs="宋体"/>
          <w:b/>
          <w:sz w:val="32"/>
          <w:szCs w:val="30"/>
          <w:highlight w:val="none"/>
          <w:lang w:eastAsia="zh-CN"/>
        </w:rPr>
        <w:t>11010625210200025145-XM001</w:t>
      </w:r>
    </w:p>
    <w:p w14:paraId="735CE939">
      <w:pPr>
        <w:pStyle w:val="20"/>
        <w:pageBreakBefore w:val="0"/>
        <w:wordWrap w:val="0"/>
        <w:topLinePunct w:val="0"/>
        <w:bidi w:val="0"/>
        <w:spacing w:after="0" w:line="360" w:lineRule="auto"/>
        <w:ind w:left="0" w:leftChars="0" w:firstLine="0" w:firstLineChars="0"/>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lang w:eastAsia="zh-CN"/>
        </w:rPr>
        <w:t>北京市丰台区人民政府马家堡街道办事处</w:t>
      </w:r>
    </w:p>
    <w:p w14:paraId="4E6C1FB9">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2509EB54">
      <w:pPr>
        <w:pageBreakBefore w:val="0"/>
        <w:wordWrap w:val="0"/>
        <w:topLinePunct w:val="0"/>
        <w:bidi w:val="0"/>
        <w:snapToGrid w:val="0"/>
        <w:spacing w:after="0" w:line="360" w:lineRule="auto"/>
        <w:ind w:firstLine="420"/>
        <w:textAlignment w:val="auto"/>
        <w:rPr>
          <w:rFonts w:hint="eastAsia" w:ascii="宋体" w:hAnsi="宋体" w:cs="宋体"/>
          <w:bCs/>
          <w:sz w:val="36"/>
          <w:szCs w:val="36"/>
          <w:highlight w:val="none"/>
        </w:rPr>
      </w:pPr>
    </w:p>
    <w:p w14:paraId="0895B74E">
      <w:pPr>
        <w:pageBreakBefore w:val="0"/>
        <w:widowControl/>
        <w:wordWrap w:val="0"/>
        <w:topLinePunct w:val="0"/>
        <w:bidi w:val="0"/>
        <w:spacing w:after="0" w:line="360" w:lineRule="auto"/>
        <w:jc w:val="center"/>
        <w:textAlignment w:val="auto"/>
        <w:rPr>
          <w:rFonts w:hint="eastAsia" w:ascii="宋体" w:hAnsi="宋体" w:cs="宋体"/>
          <w:b/>
          <w:bCs/>
          <w:sz w:val="44"/>
          <w:highlight w:val="none"/>
        </w:rPr>
      </w:pPr>
      <w:r>
        <w:rPr>
          <w:rFonts w:hint="eastAsia" w:ascii="宋体" w:hAnsi="宋体" w:cs="宋体"/>
          <w:b/>
          <w:bCs/>
          <w:sz w:val="44"/>
          <w:highlight w:val="none"/>
        </w:rPr>
        <w:br w:type="page"/>
      </w:r>
    </w:p>
    <w:p w14:paraId="525A69F6">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p>
    <w:p w14:paraId="1469CF4B">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r>
        <w:rPr>
          <w:rFonts w:hint="eastAsia" w:ascii="宋体" w:hAnsi="宋体" w:cs="宋体"/>
          <w:b/>
          <w:bCs/>
          <w:sz w:val="36"/>
          <w:szCs w:val="44"/>
          <w:highlight w:val="none"/>
        </w:rPr>
        <w:t>目      录</w:t>
      </w:r>
    </w:p>
    <w:p w14:paraId="4BAD51CF">
      <w:pPr>
        <w:pStyle w:val="20"/>
        <w:spacing w:after="0"/>
        <w:ind w:left="0" w:leftChars="0" w:firstLine="0" w:firstLineChars="0"/>
        <w:rPr>
          <w:rFonts w:hint="eastAsia" w:ascii="宋体" w:hAnsi="宋体" w:cs="宋体"/>
          <w:b/>
          <w:bCs/>
          <w:sz w:val="36"/>
          <w:szCs w:val="44"/>
          <w:highlight w:val="none"/>
        </w:rPr>
      </w:pPr>
    </w:p>
    <w:p w14:paraId="17FD1A54">
      <w:pPr>
        <w:pStyle w:val="20"/>
        <w:spacing w:after="0"/>
        <w:ind w:left="0" w:leftChars="0" w:firstLine="0" w:firstLineChars="0"/>
        <w:rPr>
          <w:rFonts w:hint="eastAsia" w:ascii="宋体" w:hAnsi="宋体" w:cs="宋体"/>
          <w:b/>
          <w:bCs/>
          <w:sz w:val="36"/>
          <w:szCs w:val="44"/>
          <w:highlight w:val="none"/>
        </w:rPr>
      </w:pPr>
    </w:p>
    <w:p w14:paraId="5595DE06">
      <w:pPr>
        <w:pStyle w:val="31"/>
        <w:tabs>
          <w:tab w:val="right" w:leader="dot" w:pos="8957"/>
          <w:tab w:val="clear" w:pos="1050"/>
          <w:tab w:val="clear" w:pos="8937"/>
        </w:tabs>
        <w:spacing w:after="0" w:line="48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TOC \o "1-1" \h \u </w:instrText>
      </w:r>
      <w:r>
        <w:rPr>
          <w:rFonts w:hint="eastAsia" w:cs="宋体"/>
          <w:b w:val="0"/>
          <w:sz w:val="28"/>
          <w:szCs w:val="28"/>
          <w:highlight w:val="none"/>
        </w:rPr>
        <w:fldChar w:fldCharType="separate"/>
      </w:r>
      <w:r>
        <w:fldChar w:fldCharType="begin"/>
      </w:r>
      <w:r>
        <w:instrText xml:space="preserve"> HYPERLINK \l "_Toc14460" </w:instrText>
      </w:r>
      <w:r>
        <w:fldChar w:fldCharType="separate"/>
      </w:r>
      <w:r>
        <w:rPr>
          <w:rFonts w:hint="eastAsia" w:ascii="宋体" w:hAnsi="宋体" w:cs="宋体"/>
          <w:sz w:val="28"/>
          <w:szCs w:val="40"/>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_Toc14460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31019431">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"_Toc9467" </w:instrText>
      </w:r>
      <w:r>
        <w:fldChar w:fldCharType="separate"/>
      </w:r>
      <w:r>
        <w:rPr>
          <w:rFonts w:hint="eastAsia" w:ascii="宋体" w:hAnsi="宋体" w:cs="宋体"/>
          <w:sz w:val="28"/>
          <w:szCs w:val="40"/>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_Toc9467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034BEA63">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"_Toc8458" </w:instrText>
      </w:r>
      <w:r>
        <w:fldChar w:fldCharType="separate"/>
      </w:r>
      <w:r>
        <w:rPr>
          <w:rFonts w:hint="eastAsia" w:ascii="宋体" w:hAnsi="宋体" w:cs="宋体"/>
          <w:sz w:val="28"/>
          <w:szCs w:val="40"/>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_Toc8458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468B372C">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"_Toc24934" </w:instrText>
      </w:r>
      <w:r>
        <w:fldChar w:fldCharType="separate"/>
      </w:r>
      <w:r>
        <w:rPr>
          <w:rFonts w:hint="eastAsia" w:ascii="宋体" w:hAnsi="宋体" w:cs="宋体"/>
          <w:sz w:val="28"/>
          <w:szCs w:val="40"/>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_Toc24934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4F4D2049">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"_Toc22308" </w:instrText>
      </w:r>
      <w:r>
        <w:fldChar w:fldCharType="separate"/>
      </w:r>
      <w:r>
        <w:rPr>
          <w:rFonts w:hint="eastAsia" w:ascii="宋体" w:hAnsi="宋体" w:cs="宋体"/>
          <w:sz w:val="28"/>
          <w:szCs w:val="40"/>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_Toc22308 \h </w:instrText>
      </w:r>
      <w:r>
        <w:rPr>
          <w:sz w:val="28"/>
          <w:szCs w:val="28"/>
          <w:highlight w:val="none"/>
        </w:rPr>
        <w:fldChar w:fldCharType="separate"/>
      </w:r>
      <w:r>
        <w:rPr>
          <w:sz w:val="28"/>
          <w:szCs w:val="28"/>
          <w:highlight w:val="none"/>
        </w:rPr>
        <w:t>65</w:t>
      </w:r>
      <w:r>
        <w:rPr>
          <w:sz w:val="28"/>
          <w:szCs w:val="28"/>
          <w:highlight w:val="none"/>
        </w:rPr>
        <w:fldChar w:fldCharType="end"/>
      </w:r>
      <w:r>
        <w:rPr>
          <w:sz w:val="28"/>
          <w:szCs w:val="28"/>
          <w:highlight w:val="none"/>
        </w:rPr>
        <w:fldChar w:fldCharType="end"/>
      </w:r>
    </w:p>
    <w:p w14:paraId="13CE64A6">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"_Toc5160" </w:instrText>
      </w:r>
      <w:r>
        <w:fldChar w:fldCharType="separate"/>
      </w:r>
      <w:r>
        <w:rPr>
          <w:rFonts w:hint="eastAsia" w:ascii="宋体" w:hAnsi="宋体" w:cs="宋体"/>
          <w:sz w:val="28"/>
          <w:szCs w:val="40"/>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_Toc5160 \h </w:instrText>
      </w:r>
      <w:r>
        <w:rPr>
          <w:sz w:val="28"/>
          <w:szCs w:val="28"/>
          <w:highlight w:val="none"/>
        </w:rPr>
        <w:fldChar w:fldCharType="separate"/>
      </w:r>
      <w:r>
        <w:rPr>
          <w:sz w:val="28"/>
          <w:szCs w:val="28"/>
          <w:highlight w:val="none"/>
        </w:rPr>
        <w:t>79</w:t>
      </w:r>
      <w:r>
        <w:rPr>
          <w:sz w:val="28"/>
          <w:szCs w:val="28"/>
          <w:highlight w:val="none"/>
        </w:rPr>
        <w:fldChar w:fldCharType="end"/>
      </w:r>
      <w:r>
        <w:rPr>
          <w:sz w:val="28"/>
          <w:szCs w:val="28"/>
          <w:highlight w:val="none"/>
        </w:rPr>
        <w:fldChar w:fldCharType="end"/>
      </w:r>
    </w:p>
    <w:p w14:paraId="1993DCEF">
      <w:pPr>
        <w:pStyle w:val="31"/>
        <w:pageBreakBefore w:val="0"/>
        <w:wordWrap w:val="0"/>
        <w:topLinePunct w:val="0"/>
        <w:bidi w:val="0"/>
        <w:spacing w:after="0" w:line="480" w:lineRule="auto"/>
        <w:textAlignment w:val="auto"/>
        <w:rPr>
          <w:rFonts w:hint="eastAsia" w:cs="宋体"/>
          <w:b w:val="0"/>
          <w:highlight w:val="none"/>
        </w:rPr>
      </w:pPr>
      <w:r>
        <w:rPr>
          <w:rFonts w:hint="eastAsia" w:cs="宋体"/>
          <w:sz w:val="28"/>
          <w:szCs w:val="28"/>
          <w:highlight w:val="none"/>
        </w:rPr>
        <w:fldChar w:fldCharType="end"/>
      </w:r>
    </w:p>
    <w:p w14:paraId="588F7971">
      <w:pPr>
        <w:pStyle w:val="31"/>
        <w:pageBreakBefore w:val="0"/>
        <w:wordWrap w:val="0"/>
        <w:topLinePunct w:val="0"/>
        <w:bidi w:val="0"/>
        <w:spacing w:after="0" w:line="360" w:lineRule="auto"/>
        <w:textAlignment w:val="auto"/>
        <w:rPr>
          <w:rFonts w:hint="eastAsia" w:cs="宋体"/>
          <w:b w:val="0"/>
          <w:sz w:val="36"/>
          <w:szCs w:val="36"/>
          <w:highlight w:val="none"/>
        </w:rPr>
      </w:pPr>
    </w:p>
    <w:p w14:paraId="1332BBD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footerReference r:id="rId4" w:type="first"/>
          <w:headerReference r:id="rId3" w:type="default"/>
          <w:pgSz w:w="11905" w:h="16838"/>
          <w:pgMar w:top="1474" w:right="1474" w:bottom="1474" w:left="1474" w:header="850" w:footer="992" w:gutter="0"/>
          <w:pgNumType w:start="1"/>
          <w:cols w:space="0" w:num="1"/>
          <w:rtlGutter w:val="0"/>
          <w:docGrid w:linePitch="462" w:charSpace="0"/>
        </w:sectPr>
      </w:pPr>
    </w:p>
    <w:p w14:paraId="1C5E08F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2" w:name="_Toc14460"/>
      <w:bookmarkStart w:id="3" w:name="_Toc19436"/>
      <w:r>
        <w:rPr>
          <w:rFonts w:hint="eastAsia" w:ascii="宋体" w:hAnsi="宋体" w:cs="宋体"/>
          <w:b/>
          <w:sz w:val="36"/>
          <w:szCs w:val="36"/>
          <w:highlight w:val="none"/>
        </w:rPr>
        <w:t>第一章   采购邀请</w:t>
      </w:r>
      <w:bookmarkEnd w:id="2"/>
      <w:bookmarkEnd w:id="3"/>
      <w:bookmarkStart w:id="4" w:name="_Toc35393790"/>
      <w:bookmarkStart w:id="5" w:name="_Toc35393621"/>
      <w:bookmarkStart w:id="6" w:name="_Toc28359079"/>
      <w:bookmarkStart w:id="7" w:name="_Toc28359002"/>
      <w:bookmarkStart w:id="8" w:name="_Hlk24379207"/>
    </w:p>
    <w:p w14:paraId="5E8BCDD7">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4"/>
      <w:bookmarkEnd w:id="5"/>
      <w:bookmarkEnd w:id="6"/>
      <w:bookmarkEnd w:id="7"/>
    </w:p>
    <w:p w14:paraId="34649B94">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11010625210200025145-XM001</w:t>
      </w:r>
    </w:p>
    <w:p w14:paraId="12B15AE1">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乐乎公寓（曾用名“禾苗公寓”）拆除工程</w:t>
      </w:r>
    </w:p>
    <w:p w14:paraId="38F8229C">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3.采购方式：竞争性磋商</w:t>
      </w:r>
    </w:p>
    <w:bookmarkEnd w:id="8"/>
    <w:p w14:paraId="22548F5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lang w:eastAsia="zh-CN"/>
        </w:rPr>
        <w:t>306.75506</w:t>
      </w:r>
      <w:r>
        <w:rPr>
          <w:rFonts w:hint="eastAsia" w:ascii="宋体" w:hAnsi="宋体" w:cs="宋体"/>
          <w:sz w:val="24"/>
          <w:highlight w:val="none"/>
        </w:rPr>
        <w:t>万元、项目最高限价：306</w:t>
      </w:r>
      <w:r>
        <w:rPr>
          <w:rFonts w:hint="eastAsia" w:ascii="宋体" w:hAnsi="宋体" w:cs="宋体"/>
          <w:sz w:val="24"/>
          <w:highlight w:val="none"/>
          <w:lang w:val="en-US" w:eastAsia="zh-CN"/>
        </w:rPr>
        <w:t>.</w:t>
      </w:r>
      <w:r>
        <w:rPr>
          <w:rFonts w:hint="eastAsia" w:ascii="宋体" w:hAnsi="宋体" w:cs="宋体"/>
          <w:sz w:val="24"/>
          <w:highlight w:val="none"/>
        </w:rPr>
        <w:t>719787万元</w:t>
      </w:r>
    </w:p>
    <w:p w14:paraId="210BE030">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16"/>
        <w:gridCol w:w="1699"/>
        <w:gridCol w:w="697"/>
        <w:gridCol w:w="3820"/>
      </w:tblGrid>
      <w:tr w14:paraId="5FC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5FA4544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214" w:type="pct"/>
            <w:vAlign w:val="center"/>
          </w:tcPr>
          <w:p w14:paraId="3E41DC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931" w:type="pct"/>
            <w:vAlign w:val="center"/>
          </w:tcPr>
          <w:p w14:paraId="7FA8362F">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采购包</w:t>
            </w:r>
          </w:p>
          <w:p w14:paraId="73339DB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预算金额</w:t>
            </w:r>
          </w:p>
          <w:p w14:paraId="1E372E7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（万元）</w:t>
            </w:r>
          </w:p>
        </w:tc>
        <w:tc>
          <w:tcPr>
            <w:tcW w:w="382" w:type="pct"/>
            <w:vAlign w:val="center"/>
          </w:tcPr>
          <w:p w14:paraId="45FE0D67">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2093" w:type="pct"/>
            <w:vAlign w:val="center"/>
          </w:tcPr>
          <w:p w14:paraId="3E550C8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10FF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62AB7B8">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01</w:t>
            </w:r>
          </w:p>
        </w:tc>
        <w:tc>
          <w:tcPr>
            <w:tcW w:w="1214" w:type="pct"/>
            <w:vAlign w:val="center"/>
          </w:tcPr>
          <w:p w14:paraId="2FD6C2AB">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乐乎公寓（曾用名“禾苗公寓”）拆除工程</w:t>
            </w:r>
          </w:p>
        </w:tc>
        <w:tc>
          <w:tcPr>
            <w:tcW w:w="931" w:type="pct"/>
            <w:vAlign w:val="center"/>
          </w:tcPr>
          <w:p w14:paraId="5CF6F622">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306.75506</w:t>
            </w:r>
          </w:p>
        </w:tc>
        <w:tc>
          <w:tcPr>
            <w:tcW w:w="382" w:type="pct"/>
            <w:vAlign w:val="center"/>
          </w:tcPr>
          <w:p w14:paraId="094D524B">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1批</w:t>
            </w:r>
          </w:p>
        </w:tc>
        <w:tc>
          <w:tcPr>
            <w:tcW w:w="2093" w:type="pct"/>
            <w:vAlign w:val="center"/>
          </w:tcPr>
          <w:p w14:paraId="765AB5D9">
            <w:pPr>
              <w:pageBreakBefore w:val="0"/>
              <w:wordWrap w:val="0"/>
              <w:topLinePunct w:val="0"/>
              <w:bidi w:val="0"/>
              <w:spacing w:after="0" w:line="360" w:lineRule="auto"/>
              <w:jc w:val="center"/>
              <w:textAlignment w:val="auto"/>
              <w:rPr>
                <w:rFonts w:hint="eastAsia" w:ascii="宋体" w:hAnsi="宋体" w:cs="宋体"/>
                <w:kern w:val="0"/>
                <w:szCs w:val="21"/>
                <w:highlight w:val="none"/>
              </w:rPr>
            </w:pPr>
            <w:r>
              <w:rPr>
                <w:rFonts w:hint="eastAsia" w:ascii="宋体" w:hAnsi="宋体" w:cs="宋体"/>
                <w:sz w:val="24"/>
                <w:highlight w:val="none"/>
                <w:lang w:eastAsia="zh-CN"/>
              </w:rPr>
              <w:t>乐乎公寓（曾用名“禾苗公寓”）拆除工程</w:t>
            </w:r>
            <w:r>
              <w:rPr>
                <w:rFonts w:hint="eastAsia" w:ascii="宋体" w:hAnsi="宋体" w:cs="宋体"/>
                <w:sz w:val="24"/>
                <w:highlight w:val="none"/>
              </w:rPr>
              <w:t>工程量清单及图纸显示的全部工程内容。</w:t>
            </w:r>
          </w:p>
        </w:tc>
      </w:tr>
    </w:tbl>
    <w:p w14:paraId="2C11DA50">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rPr>
      </w:pPr>
      <w:r>
        <w:rPr>
          <w:rFonts w:hint="eastAsia" w:ascii="宋体" w:hAnsi="宋体" w:cs="宋体"/>
          <w:sz w:val="24"/>
          <w:highlight w:val="none"/>
        </w:rPr>
        <w:t>6.合同履行期限：初步计划工期</w:t>
      </w:r>
      <w:r>
        <w:rPr>
          <w:rFonts w:hint="eastAsia" w:ascii="宋体" w:hAnsi="宋体" w:cs="宋体"/>
          <w:sz w:val="24"/>
          <w:highlight w:val="none"/>
          <w:lang w:val="en-US" w:eastAsia="zh-CN"/>
        </w:rPr>
        <w:t>6</w:t>
      </w:r>
      <w:r>
        <w:rPr>
          <w:rFonts w:hint="eastAsia" w:ascii="宋体" w:hAnsi="宋体" w:cs="宋体"/>
          <w:sz w:val="24"/>
          <w:highlight w:val="none"/>
        </w:rPr>
        <w:t>0日历天，具体开工日期及工期，以实际通知为准。</w:t>
      </w:r>
    </w:p>
    <w:p w14:paraId="43F0EBE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7.本项目是否接受联合体：□是  </w:t>
      </w:r>
      <w:r>
        <w:rPr>
          <w:rFonts w:hint="eastAsia" w:ascii="宋体" w:hAnsi="宋体" w:cs="宋体"/>
          <w:b/>
          <w:sz w:val="24"/>
          <w:highlight w:val="none"/>
        </w:rPr>
        <w:t>■</w:t>
      </w:r>
      <w:r>
        <w:rPr>
          <w:rFonts w:hint="eastAsia" w:ascii="宋体" w:hAnsi="宋体" w:cs="宋体"/>
          <w:sz w:val="24"/>
          <w:highlight w:val="none"/>
        </w:rPr>
        <w:t>否。</w:t>
      </w:r>
    </w:p>
    <w:p w14:paraId="0C96E9A4">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9" w:name="_Toc35393622"/>
      <w:bookmarkStart w:id="10" w:name="_Toc28359003"/>
      <w:bookmarkStart w:id="11" w:name="_Toc35393791"/>
      <w:bookmarkStart w:id="12" w:name="_Toc28359080"/>
      <w:r>
        <w:rPr>
          <w:rFonts w:hint="eastAsia" w:ascii="宋体" w:hAnsi="宋体" w:eastAsia="宋体" w:cs="宋体"/>
          <w:sz w:val="24"/>
          <w:szCs w:val="24"/>
          <w:highlight w:val="none"/>
        </w:rPr>
        <w:t>二、申请人的资格要求（须同时满足）</w:t>
      </w:r>
      <w:bookmarkEnd w:id="9"/>
      <w:bookmarkEnd w:id="10"/>
      <w:bookmarkEnd w:id="11"/>
      <w:bookmarkEnd w:id="12"/>
    </w:p>
    <w:p w14:paraId="148E019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6DEA1A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45EBF0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 中小企业政策</w:t>
      </w:r>
    </w:p>
    <w:p w14:paraId="0775B21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93D1B0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■本项目专门面向</w:t>
      </w:r>
      <w:r>
        <w:rPr>
          <w:rFonts w:hint="eastAsia" w:ascii="宋体" w:hAnsi="宋体" w:cs="宋体"/>
          <w:sz w:val="24"/>
          <w:highlight w:val="none"/>
          <w:lang w:val="en-US" w:eastAsia="zh-CN"/>
        </w:rPr>
        <w:t>中小</w:t>
      </w:r>
      <w:r>
        <w:rPr>
          <w:rFonts w:hint="eastAsia" w:ascii="宋体" w:hAnsi="宋体" w:cs="宋体"/>
          <w:sz w:val="24"/>
          <w:highlight w:val="none"/>
        </w:rPr>
        <w:t>企业采购。即：提供的货物全部由符合政策要求的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企业制造、服务全部由符合政策要求的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企业承接。</w:t>
      </w:r>
    </w:p>
    <w:p w14:paraId="4842C8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503E1F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40FFB9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3.本项目的特定资格要求：</w:t>
      </w:r>
    </w:p>
    <w:p w14:paraId="2D7BA93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3.1本项目是否属于政府购买服务：</w:t>
      </w:r>
    </w:p>
    <w:p w14:paraId="7C1723F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■否</w:t>
      </w:r>
    </w:p>
    <w:p w14:paraId="1ECB2F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3E4056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其他特定资格要求：投标人须具备建筑工程施工总承包叁级及以上资质,具有有效的安全生产许可证，并在人员、设备、资金等方面具有相应的施工能力，其中：投标人拟派项目经理须具备建筑工程专业二级（含以上）注册建造师执业资格，具备有效的安全生产考核合格证书（B本），且不得担任其他在施建设工程项目的项目经理。</w:t>
      </w:r>
    </w:p>
    <w:bookmarkEnd w:id="13"/>
    <w:bookmarkEnd w:id="14"/>
    <w:p w14:paraId="0DB12B39">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三、获取采购文件</w:t>
      </w:r>
      <w:bookmarkEnd w:id="15"/>
      <w:bookmarkEnd w:id="16"/>
    </w:p>
    <w:p w14:paraId="60D3F0A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rPr>
        <w:t>2025年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日至2025年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r>
        <w:rPr>
          <w:rFonts w:hint="eastAsia" w:ascii="宋体" w:hAnsi="宋体" w:cs="宋体"/>
          <w:sz w:val="24"/>
          <w:highlight w:val="none"/>
          <w:lang w:bidi="ar"/>
        </w:rPr>
        <w:t>，每天上午09:30至12:00，下午12:00至16:00（北京时间，法定节假日除外）。</w:t>
      </w:r>
    </w:p>
    <w:p w14:paraId="3DC4841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w:t>
      </w:r>
    </w:p>
    <w:p w14:paraId="370D755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3.方式：</w:t>
      </w:r>
      <w:r>
        <w:rPr>
          <w:rFonts w:hint="eastAsia" w:ascii="宋体" w:hAnsi="宋体" w:cs="宋体"/>
          <w:sz w:val="24"/>
          <w:highlight w:val="none"/>
        </w:rPr>
        <w:t>供应商使用CA数字证书或电子营业执照登录北京市政府采购电子交易平台（http://zbcg-bjzc.zhongcy.com/bjczj-portal-site/index.html#/home）获取电子版竞争性磋商文件</w:t>
      </w:r>
      <w:r>
        <w:rPr>
          <w:rFonts w:hint="eastAsia" w:ascii="宋体" w:hAnsi="宋体" w:cs="宋体"/>
          <w:sz w:val="24"/>
          <w:highlight w:val="none"/>
          <w:lang w:bidi="ar"/>
        </w:rPr>
        <w:t>。</w:t>
      </w:r>
    </w:p>
    <w:p w14:paraId="1A5BBA3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lang w:bidi="ar"/>
        </w:rPr>
        <w:t>4.售价：采购文件人民币0元。</w:t>
      </w:r>
    </w:p>
    <w:p w14:paraId="4C048702">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7" w:name="_Toc35393793"/>
      <w:bookmarkStart w:id="18" w:name="_Toc28359082"/>
      <w:bookmarkStart w:id="19" w:name="_Toc35393624"/>
      <w:bookmarkStart w:id="20" w:name="_Toc28359005"/>
      <w:r>
        <w:rPr>
          <w:rFonts w:hint="eastAsia" w:ascii="宋体" w:hAnsi="宋体" w:eastAsia="宋体" w:cs="宋体"/>
          <w:sz w:val="24"/>
          <w:szCs w:val="24"/>
          <w:highlight w:val="none"/>
        </w:rPr>
        <w:t>四、</w:t>
      </w:r>
      <w:bookmarkEnd w:id="17"/>
      <w:bookmarkEnd w:id="18"/>
      <w:bookmarkEnd w:id="19"/>
      <w:bookmarkEnd w:id="20"/>
      <w:r>
        <w:rPr>
          <w:rFonts w:hint="eastAsia" w:ascii="宋体" w:hAnsi="宋体" w:eastAsia="宋体" w:cs="宋体"/>
          <w:sz w:val="24"/>
          <w:szCs w:val="24"/>
          <w:highlight w:val="none"/>
        </w:rPr>
        <w:t>响应文件提交</w:t>
      </w:r>
    </w:p>
    <w:p w14:paraId="64BC313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截止时间：2025年</w:t>
      </w:r>
      <w:r>
        <w:rPr>
          <w:rFonts w:hint="eastAsia" w:ascii="宋体" w:hAnsi="宋体" w:cs="宋体"/>
          <w:sz w:val="24"/>
          <w:highlight w:val="none"/>
          <w:lang w:val="en-US" w:eastAsia="zh-CN" w:bidi="ar"/>
        </w:rPr>
        <w:t>11</w:t>
      </w:r>
      <w:r>
        <w:rPr>
          <w:rFonts w:hint="eastAsia" w:ascii="宋体" w:hAnsi="宋体" w:cs="宋体"/>
          <w:sz w:val="24"/>
          <w:highlight w:val="none"/>
          <w:lang w:bidi="ar"/>
        </w:rPr>
        <w:t>月</w:t>
      </w:r>
      <w:r>
        <w:rPr>
          <w:rFonts w:hint="eastAsia" w:ascii="宋体" w:hAnsi="宋体" w:cs="宋体"/>
          <w:sz w:val="24"/>
          <w:highlight w:val="none"/>
          <w:lang w:val="en-US" w:eastAsia="zh-CN" w:bidi="ar"/>
        </w:rPr>
        <w:t>03</w:t>
      </w:r>
      <w:r>
        <w:rPr>
          <w:rFonts w:hint="eastAsia" w:ascii="宋体" w:hAnsi="宋体" w:cs="宋体"/>
          <w:sz w:val="24"/>
          <w:highlight w:val="none"/>
          <w:lang w:bidi="ar"/>
        </w:rPr>
        <w:t>日</w:t>
      </w:r>
      <w:r>
        <w:rPr>
          <w:rFonts w:hint="eastAsia" w:ascii="宋体" w:hAnsi="宋体" w:cs="宋体"/>
          <w:sz w:val="24"/>
          <w:highlight w:val="none"/>
          <w:lang w:val="en-US" w:eastAsia="zh-CN" w:bidi="ar"/>
        </w:rPr>
        <w:t>09</w:t>
      </w:r>
      <w:r>
        <w:rPr>
          <w:rFonts w:hint="eastAsia" w:ascii="宋体" w:hAnsi="宋体" w:cs="宋体"/>
          <w:sz w:val="24"/>
          <w:highlight w:val="none"/>
          <w:lang w:bidi="ar"/>
        </w:rPr>
        <w:t>点</w:t>
      </w:r>
      <w:r>
        <w:rPr>
          <w:rFonts w:hint="eastAsia" w:ascii="宋体" w:hAnsi="宋体" w:cs="宋体"/>
          <w:sz w:val="24"/>
          <w:highlight w:val="none"/>
          <w:lang w:val="en-US" w:eastAsia="zh-CN" w:bidi="ar"/>
        </w:rPr>
        <w:t>30</w:t>
      </w:r>
      <w:r>
        <w:rPr>
          <w:rFonts w:hint="eastAsia" w:ascii="宋体" w:hAnsi="宋体" w:cs="宋体"/>
          <w:sz w:val="24"/>
          <w:highlight w:val="none"/>
          <w:lang w:bidi="ar"/>
        </w:rPr>
        <w:t>分（北京时间）。</w:t>
      </w:r>
    </w:p>
    <w:p w14:paraId="22B7F9FF">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6FE734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A98EA6B">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时间：2025年</w:t>
      </w:r>
      <w:r>
        <w:rPr>
          <w:rFonts w:hint="eastAsia" w:ascii="宋体" w:hAnsi="宋体" w:cs="宋体"/>
          <w:sz w:val="24"/>
          <w:highlight w:val="none"/>
          <w:lang w:val="en-US" w:eastAsia="zh-CN" w:bidi="ar"/>
        </w:rPr>
        <w:t>11</w:t>
      </w:r>
      <w:r>
        <w:rPr>
          <w:rFonts w:hint="eastAsia" w:ascii="宋体" w:hAnsi="宋体" w:cs="宋体"/>
          <w:sz w:val="24"/>
          <w:highlight w:val="none"/>
          <w:lang w:bidi="ar"/>
        </w:rPr>
        <w:t>月</w:t>
      </w:r>
      <w:r>
        <w:rPr>
          <w:rFonts w:hint="eastAsia" w:ascii="宋体" w:hAnsi="宋体" w:cs="宋体"/>
          <w:sz w:val="24"/>
          <w:highlight w:val="none"/>
          <w:lang w:val="en-US" w:eastAsia="zh-CN" w:bidi="ar"/>
        </w:rPr>
        <w:t>03</w:t>
      </w:r>
      <w:r>
        <w:rPr>
          <w:rFonts w:hint="eastAsia" w:ascii="宋体" w:hAnsi="宋体" w:cs="宋体"/>
          <w:sz w:val="24"/>
          <w:highlight w:val="none"/>
          <w:lang w:bidi="ar"/>
        </w:rPr>
        <w:t>日</w:t>
      </w:r>
      <w:r>
        <w:rPr>
          <w:rFonts w:hint="eastAsia" w:ascii="宋体" w:hAnsi="宋体" w:cs="宋体"/>
          <w:sz w:val="24"/>
          <w:highlight w:val="none"/>
          <w:lang w:val="en-US" w:eastAsia="zh-CN" w:bidi="ar"/>
        </w:rPr>
        <w:t>09</w:t>
      </w:r>
      <w:r>
        <w:rPr>
          <w:rFonts w:hint="eastAsia" w:ascii="宋体" w:hAnsi="宋体" w:cs="宋体"/>
          <w:sz w:val="24"/>
          <w:highlight w:val="none"/>
          <w:lang w:bidi="ar"/>
        </w:rPr>
        <w:t>点</w:t>
      </w:r>
      <w:r>
        <w:rPr>
          <w:rFonts w:hint="eastAsia" w:ascii="宋体" w:hAnsi="宋体" w:cs="宋体"/>
          <w:sz w:val="24"/>
          <w:highlight w:val="none"/>
          <w:lang w:val="en-US" w:eastAsia="zh-CN" w:bidi="ar"/>
        </w:rPr>
        <w:t>30</w:t>
      </w:r>
      <w:r>
        <w:rPr>
          <w:rFonts w:hint="eastAsia" w:ascii="宋体" w:hAnsi="宋体" w:cs="宋体"/>
          <w:sz w:val="24"/>
          <w:highlight w:val="none"/>
          <w:lang w:bidi="ar"/>
        </w:rPr>
        <w:t>分（北京时间）。</w:t>
      </w:r>
    </w:p>
    <w:p w14:paraId="0765E83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6B8B05B5">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1" w:name="_Toc28359007"/>
      <w:bookmarkStart w:id="22" w:name="_Toc35393625"/>
      <w:bookmarkStart w:id="23" w:name="_Toc35393794"/>
      <w:bookmarkStart w:id="24" w:name="_Toc28359084"/>
      <w:r>
        <w:rPr>
          <w:rFonts w:hint="eastAsia" w:ascii="宋体" w:hAnsi="宋体" w:eastAsia="宋体" w:cs="宋体"/>
          <w:sz w:val="24"/>
          <w:szCs w:val="24"/>
          <w:highlight w:val="none"/>
        </w:rPr>
        <w:t>六、公告期限</w:t>
      </w:r>
      <w:bookmarkEnd w:id="21"/>
      <w:bookmarkEnd w:id="22"/>
      <w:bookmarkEnd w:id="23"/>
      <w:bookmarkEnd w:id="24"/>
    </w:p>
    <w:p w14:paraId="4F66EEA2">
      <w:pPr>
        <w:pageBreakBefore w:val="0"/>
        <w:wordWrap w:val="0"/>
        <w:topLinePunct w:val="0"/>
        <w:bidi w:val="0"/>
        <w:spacing w:after="0" w:line="360" w:lineRule="auto"/>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自本公告发布之日起3个工作日。</w:t>
      </w:r>
    </w:p>
    <w:p w14:paraId="3ADD9CAF">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5" w:name="_Toc35393795"/>
      <w:bookmarkStart w:id="26" w:name="_Toc35393626"/>
      <w:r>
        <w:rPr>
          <w:rFonts w:hint="eastAsia" w:ascii="宋体" w:hAnsi="宋体" w:eastAsia="宋体" w:cs="宋体"/>
          <w:sz w:val="24"/>
          <w:szCs w:val="24"/>
          <w:highlight w:val="none"/>
        </w:rPr>
        <w:t>七、其他补充事宜</w:t>
      </w:r>
      <w:bookmarkEnd w:id="25"/>
      <w:bookmarkEnd w:id="26"/>
    </w:p>
    <w:p w14:paraId="62D0CBA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eastAsia="zh-TW"/>
        </w:rPr>
      </w:pPr>
      <w:r>
        <w:rPr>
          <w:rFonts w:hint="eastAsia" w:ascii="宋体" w:hAnsi="宋体" w:cs="宋体"/>
          <w:sz w:val="24"/>
          <w:highlight w:val="none"/>
          <w:lang w:eastAsia="zh-TW"/>
        </w:rPr>
        <w:t>1.本项目需要落实的政府采购政策：</w:t>
      </w:r>
      <w:r>
        <w:rPr>
          <w:rFonts w:hint="eastAsia" w:ascii="宋体" w:hAnsi="宋体" w:cs="宋体"/>
          <w:sz w:val="24"/>
          <w:highlight w:val="none"/>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eastAsia="zh-TW"/>
        </w:rPr>
        <w:t>。</w:t>
      </w:r>
    </w:p>
    <w:p w14:paraId="7F20A219">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TW"/>
        </w:rPr>
        <w:t>.本项目公告在</w:t>
      </w:r>
      <w:r>
        <w:rPr>
          <w:rFonts w:hint="eastAsia" w:ascii="宋体" w:hAnsi="宋体" w:cs="宋体"/>
          <w:sz w:val="24"/>
          <w:highlight w:val="none"/>
          <w:lang w:bidi="ar"/>
        </w:rPr>
        <w:t>《中国政府采购网》《北京市政府采购网》</w:t>
      </w:r>
      <w:r>
        <w:rPr>
          <w:rFonts w:hint="eastAsia" w:ascii="宋体" w:hAnsi="宋体" w:cs="宋体"/>
          <w:sz w:val="24"/>
          <w:highlight w:val="none"/>
          <w:lang w:eastAsia="zh-TW"/>
        </w:rPr>
        <w:t>发布。</w:t>
      </w:r>
    </w:p>
    <w:p w14:paraId="21F7854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FC0D9B9">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CA数字证书服务热线010-58511086电子营业执照服务热线400-699-7000技术支持服务热线010-864838013.1办理CA数字证书或电子营业执照</w:t>
      </w:r>
    </w:p>
    <w:p w14:paraId="146D5B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42579BE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3.2注册</w:t>
      </w:r>
    </w:p>
    <w:p w14:paraId="360432C6">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A1CB19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19D4E72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17B3ECE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C95175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3.4获取电子竞争性磋商文件</w:t>
      </w:r>
    </w:p>
    <w:p w14:paraId="2EAC42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217BA037">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BE261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3.5编制电子响应文件</w:t>
      </w:r>
    </w:p>
    <w:p w14:paraId="7FC7039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0E262A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3.6提交电子响应文件</w:t>
      </w:r>
    </w:p>
    <w:p w14:paraId="57F022A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供应商应于响应文件提交截止时间前在北京市政府采购电子交易平台提交电子响应文件，上传电子响应文件过程中请保持与互联网的连接畅通。</w:t>
      </w:r>
    </w:p>
    <w:p w14:paraId="326DFCB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3.7开启响应文件</w:t>
      </w:r>
    </w:p>
    <w:p w14:paraId="4083E99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1FA5372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7" w:name="_Toc35393796"/>
      <w:bookmarkStart w:id="28" w:name="_Toc35393627"/>
      <w:bookmarkStart w:id="29" w:name="_Toc28359085"/>
      <w:bookmarkStart w:id="30" w:name="_Toc28359008"/>
      <w:r>
        <w:rPr>
          <w:rFonts w:hint="eastAsia" w:ascii="宋体" w:hAnsi="宋体" w:eastAsia="宋体" w:cs="宋体"/>
          <w:sz w:val="24"/>
          <w:szCs w:val="24"/>
          <w:highlight w:val="none"/>
        </w:rPr>
        <w:t>八、对本项目提出询问，请按以下方式联系。</w:t>
      </w:r>
      <w:bookmarkEnd w:id="27"/>
      <w:bookmarkEnd w:id="28"/>
      <w:bookmarkEnd w:id="29"/>
      <w:bookmarkEnd w:id="30"/>
    </w:p>
    <w:p w14:paraId="204178DC">
      <w:pPr>
        <w:pageBreakBefore w:val="0"/>
        <w:widowControl/>
        <w:wordWrap w:val="0"/>
        <w:topLinePunct w:val="0"/>
        <w:bidi w:val="0"/>
        <w:spacing w:after="0" w:line="360" w:lineRule="auto"/>
        <w:jc w:val="left"/>
        <w:textAlignment w:val="auto"/>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0AC6516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sz w:val="24"/>
          <w:highlight w:val="none"/>
          <w:lang w:eastAsia="zh-CN"/>
        </w:rPr>
      </w:pPr>
      <w:bookmarkStart w:id="31" w:name="_Toc28359086"/>
      <w:bookmarkStart w:id="32" w:name="_Toc28359009"/>
      <w:r>
        <w:rPr>
          <w:rFonts w:hint="eastAsia" w:ascii="宋体" w:hAnsi="宋体" w:cs="宋体"/>
          <w:sz w:val="24"/>
          <w:highlight w:val="none"/>
        </w:rPr>
        <w:t>名    称：</w:t>
      </w:r>
      <w:r>
        <w:rPr>
          <w:rFonts w:hint="eastAsia" w:ascii="宋体" w:hAnsi="宋体" w:cs="宋体"/>
          <w:sz w:val="24"/>
          <w:highlight w:val="none"/>
          <w:lang w:eastAsia="zh-CN"/>
        </w:rPr>
        <w:t>北京市丰台区人民政府马家堡街道办事处</w:t>
      </w:r>
    </w:p>
    <w:p w14:paraId="752DF98A">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址：北京市丰台区嘉园三里17号楼</w:t>
      </w:r>
    </w:p>
    <w:p w14:paraId="7FCB1F83">
      <w:pPr>
        <w:pageBreakBefore w:val="0"/>
        <w:wordWrap w:val="0"/>
        <w:topLinePunct w:val="0"/>
        <w:bidi w:val="0"/>
        <w:spacing w:after="0" w:line="360" w:lineRule="auto"/>
        <w:ind w:left="1079" w:leftChars="371" w:hanging="300" w:hangingChars="125"/>
        <w:jc w:val="left"/>
        <w:textAlignment w:val="auto"/>
        <w:rPr>
          <w:rFonts w:hint="default" w:ascii="宋体" w:hAnsi="宋体" w:eastAsia="宋体" w:cs="宋体"/>
          <w:sz w:val="24"/>
          <w:highlight w:val="none"/>
          <w:u w:val="single"/>
          <w:lang w:val="en-US" w:eastAsia="zh-CN"/>
        </w:rPr>
      </w:pPr>
      <w:r>
        <w:rPr>
          <w:rFonts w:hint="eastAsia" w:ascii="宋体" w:hAnsi="宋体" w:cs="宋体"/>
          <w:sz w:val="24"/>
          <w:highlight w:val="none"/>
        </w:rPr>
        <w:t>联系方式：马文升</w:t>
      </w:r>
      <w:r>
        <w:rPr>
          <w:rFonts w:hint="eastAsia" w:ascii="宋体" w:hAnsi="宋体" w:cs="宋体"/>
          <w:sz w:val="24"/>
          <w:highlight w:val="none"/>
          <w:lang w:val="en-US" w:eastAsia="zh-CN"/>
        </w:rPr>
        <w:t xml:space="preserve"> 010-87579852</w:t>
      </w:r>
    </w:p>
    <w:bookmarkEnd w:id="31"/>
    <w:bookmarkEnd w:id="32"/>
    <w:p w14:paraId="2E84D283">
      <w:pPr>
        <w:pageBreakBefore w:val="0"/>
        <w:wordWrap w:val="0"/>
        <w:topLinePunct w:val="0"/>
        <w:bidi w:val="0"/>
        <w:spacing w:after="0" w:line="360" w:lineRule="auto"/>
        <w:ind w:left="1080" w:leftChars="371" w:hanging="301" w:hangingChars="125"/>
        <w:jc w:val="left"/>
        <w:textAlignment w:val="auto"/>
        <w:rPr>
          <w:rFonts w:hint="eastAsia" w:ascii="宋体" w:hAnsi="宋体" w:cs="宋体"/>
          <w:b/>
          <w:sz w:val="24"/>
          <w:highlight w:val="none"/>
        </w:rPr>
      </w:pPr>
      <w:r>
        <w:rPr>
          <w:rFonts w:hint="eastAsia" w:ascii="宋体" w:hAnsi="宋体" w:cs="宋体"/>
          <w:b/>
          <w:sz w:val="24"/>
          <w:highlight w:val="none"/>
        </w:rPr>
        <w:t>2.采购代理机构信息</w:t>
      </w:r>
    </w:p>
    <w:p w14:paraId="388CB10D">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087101D0">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725F43FA">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4BBFCF99">
      <w:pPr>
        <w:pageBreakBefore w:val="0"/>
        <w:wordWrap w:val="0"/>
        <w:topLinePunct w:val="0"/>
        <w:bidi w:val="0"/>
        <w:spacing w:after="0" w:line="360" w:lineRule="auto"/>
        <w:ind w:firstLine="723" w:firstLineChars="300"/>
        <w:textAlignment w:val="auto"/>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188BEB23">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项目联系人：武冠雄、丁鑫龙</w:t>
      </w:r>
    </w:p>
    <w:p w14:paraId="7E2D5D70">
      <w:pPr>
        <w:pageBreakBefore w:val="0"/>
        <w:wordWrap w:val="0"/>
        <w:topLinePunct w:val="0"/>
        <w:bidi w:val="0"/>
        <w:spacing w:after="0" w:line="360" w:lineRule="auto"/>
        <w:ind w:left="1079" w:leftChars="371" w:hanging="300" w:hangingChars="125"/>
        <w:jc w:val="left"/>
        <w:textAlignment w:val="auto"/>
        <w:rPr>
          <w:rFonts w:hint="eastAsia" w:ascii="宋体" w:hAnsi="宋体" w:cs="宋体"/>
          <w:b/>
          <w:sz w:val="36"/>
          <w:szCs w:val="36"/>
          <w:highlight w:val="none"/>
        </w:rPr>
        <w:sectPr>
          <w:footerReference r:id="rId5" w:type="default"/>
          <w:pgSz w:w="11905" w:h="16838"/>
          <w:pgMar w:top="1474" w:right="1474" w:bottom="1474" w:left="1474" w:header="850" w:footer="992" w:gutter="0"/>
          <w:pgNumType w:fmt="decimal" w:start="1"/>
          <w:cols w:space="0" w:num="1"/>
          <w:rtlGutter w:val="0"/>
          <w:docGrid w:linePitch="462" w:charSpace="0"/>
        </w:sectPr>
      </w:pPr>
      <w:r>
        <w:rPr>
          <w:rFonts w:hint="eastAsia" w:ascii="宋体" w:hAnsi="宋体" w:cs="宋体"/>
          <w:sz w:val="24"/>
          <w:highlight w:val="none"/>
        </w:rPr>
        <w:t xml:space="preserve">电      话：010-53600601 </w:t>
      </w:r>
      <w:bookmarkStart w:id="35" w:name="_Toc305158854"/>
      <w:bookmarkStart w:id="36" w:name="_Toc353825548"/>
      <w:bookmarkStart w:id="37" w:name="_Toc127151777"/>
      <w:bookmarkStart w:id="38" w:name="_Toc264969275"/>
      <w:bookmarkStart w:id="39" w:name="_Toc9467"/>
      <w:bookmarkStart w:id="40" w:name="_Toc353873938"/>
      <w:bookmarkStart w:id="41" w:name="_Toc15006"/>
      <w:bookmarkStart w:id="42" w:name="_Toc150774783"/>
      <w:bookmarkStart w:id="43" w:name="_Toc512937850"/>
      <w:bookmarkStart w:id="44" w:name="_Toc305158928"/>
      <w:bookmarkStart w:id="45" w:name="_Toc265228423"/>
      <w:bookmarkStart w:id="46" w:name="_Toc226965856"/>
      <w:bookmarkStart w:id="47" w:name="_Toc127161488"/>
      <w:bookmarkStart w:id="48" w:name="_Toc195842950"/>
    </w:p>
    <w:p w14:paraId="57B19598">
      <w:pPr>
        <w:pageBreakBefore w:val="0"/>
        <w:wordWrap w:val="0"/>
        <w:topLinePunct w:val="0"/>
        <w:bidi w:val="0"/>
        <w:spacing w:after="0" w:line="360" w:lineRule="auto"/>
        <w:jc w:val="center"/>
        <w:textAlignment w:val="auto"/>
        <w:outlineLvl w:val="0"/>
        <w:rPr>
          <w:rFonts w:hint="eastAsia" w:ascii="宋体" w:hAnsi="宋体" w:cs="宋体"/>
          <w:b/>
          <w:sz w:val="32"/>
          <w:szCs w:val="32"/>
          <w:highlight w:val="none"/>
        </w:rPr>
      </w:pPr>
      <w:r>
        <w:rPr>
          <w:rFonts w:hint="eastAsia" w:ascii="宋体" w:hAnsi="宋体" w:cs="宋体"/>
          <w:b/>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2C4CA14">
      <w:pPr>
        <w:pStyle w:val="3"/>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b w:val="0"/>
          <w:sz w:val="28"/>
          <w:highlight w:val="none"/>
        </w:rPr>
      </w:pPr>
      <w:bookmarkStart w:id="49" w:name="_Toc164351613"/>
      <w:bookmarkStart w:id="50" w:name="_Toc164229214"/>
      <w:bookmarkStart w:id="51" w:name="_Toc142311021"/>
      <w:bookmarkStart w:id="52" w:name="_Toc520356144"/>
      <w:bookmarkStart w:id="53" w:name="_Toc164608788"/>
      <w:bookmarkStart w:id="54" w:name="_Toc127161433"/>
      <w:bookmarkStart w:id="55" w:name="_Toc164608633"/>
      <w:bookmarkStart w:id="56" w:name="_Toc164229360"/>
      <w:bookmarkStart w:id="57" w:name="_Toc226309763"/>
      <w:bookmarkStart w:id="58" w:name="_Toc150480757"/>
      <w:bookmarkStart w:id="59" w:name="_Toc150774724"/>
      <w:bookmarkStart w:id="60" w:name="_Toc151193617"/>
      <w:bookmarkStart w:id="61" w:name="_Toc151193907"/>
      <w:bookmarkStart w:id="62" w:name="_Toc226337215"/>
      <w:bookmarkStart w:id="63" w:name="_Toc195842884"/>
      <w:bookmarkStart w:id="64" w:name="_Toc226965709"/>
      <w:bookmarkStart w:id="65" w:name="_Toc127151720"/>
      <w:bookmarkStart w:id="66" w:name="_Toc151193689"/>
      <w:bookmarkStart w:id="67" w:name="_Toc149720812"/>
      <w:bookmarkStart w:id="68" w:name="_Toc226965792"/>
      <w:bookmarkStart w:id="69" w:name="_Toc151193833"/>
      <w:bookmarkStart w:id="70" w:name="_Toc150774619"/>
      <w:bookmarkStart w:id="71" w:name="_Toc151190146"/>
      <w:bookmarkStart w:id="72" w:name="_Toc151193761"/>
      <w:bookmarkStart w:id="73" w:name="_Toc127151519"/>
      <w:bookmarkStart w:id="74" w:name="_Toc150509270"/>
      <w:r>
        <w:rPr>
          <w:rFonts w:hint="eastAsia" w:ascii="宋体" w:hAnsi="宋体" w:eastAsia="宋体" w:cs="宋体"/>
          <w:sz w:val="28"/>
          <w:highlight w:val="none"/>
        </w:rPr>
        <w:t>供应商须知资料表</w:t>
      </w:r>
    </w:p>
    <w:p w14:paraId="62893449">
      <w:pPr>
        <w:pageBreakBefore w:val="0"/>
        <w:wordWrap w:val="0"/>
        <w:topLinePunct w:val="0"/>
        <w:bidi w:val="0"/>
        <w:spacing w:after="0" w:line="360" w:lineRule="auto"/>
        <w:ind w:firstLine="480"/>
        <w:textAlignment w:val="auto"/>
        <w:rPr>
          <w:rFonts w:hint="eastAsia" w:ascii="宋体" w:hAnsi="宋体" w:cs="宋体"/>
          <w:sz w:val="24"/>
          <w:highlight w:val="none"/>
        </w:rPr>
      </w:pPr>
      <w:r>
        <w:rPr>
          <w:rFonts w:hint="eastAsia" w:ascii="宋体" w:hAnsi="宋体" w:cs="宋体"/>
          <w:sz w:val="24"/>
          <w:highlight w:val="none"/>
        </w:rPr>
        <w:t>本表是对供应商须知的具体补充和修改，如有矛盾，均以本资料表为准。标记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w:t>
      </w:r>
      <w:r>
        <w:rPr>
          <w:rFonts w:hint="eastAsia" w:ascii="宋体" w:hAnsi="宋体" w:cs="宋体"/>
          <w:highlight w:val="none"/>
        </w:rPr>
        <w:t>□</w:t>
      </w:r>
      <w:r>
        <w:rPr>
          <w:rFonts w:hint="eastAsia" w:ascii="宋体" w:hAnsi="宋体" w:cs="宋体"/>
          <w:sz w:val="24"/>
          <w:highlight w:val="none"/>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6D8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7B840">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71544005">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条目</w:t>
            </w:r>
          </w:p>
        </w:tc>
        <w:tc>
          <w:tcPr>
            <w:tcW w:w="7253" w:type="dxa"/>
            <w:vAlign w:val="center"/>
          </w:tcPr>
          <w:p w14:paraId="4828F8AD">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内容</w:t>
            </w:r>
          </w:p>
        </w:tc>
      </w:tr>
      <w:tr w14:paraId="6A5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D29863">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2.2</w:t>
            </w:r>
          </w:p>
        </w:tc>
        <w:tc>
          <w:tcPr>
            <w:tcW w:w="1701" w:type="dxa"/>
            <w:vAlign w:val="center"/>
          </w:tcPr>
          <w:p w14:paraId="322CD9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项目属性</w:t>
            </w:r>
          </w:p>
        </w:tc>
        <w:tc>
          <w:tcPr>
            <w:tcW w:w="7253" w:type="dxa"/>
            <w:vAlign w:val="center"/>
          </w:tcPr>
          <w:p w14:paraId="7DA933D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项目属性：</w:t>
            </w:r>
          </w:p>
          <w:p w14:paraId="5F35E02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服务</w:t>
            </w:r>
          </w:p>
          <w:p w14:paraId="30E5CC9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货物</w:t>
            </w:r>
          </w:p>
          <w:p w14:paraId="7AE62660">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b/>
                <w:sz w:val="24"/>
                <w:highlight w:val="none"/>
              </w:rPr>
              <w:t>■</w:t>
            </w:r>
            <w:r>
              <w:rPr>
                <w:rFonts w:hint="eastAsia" w:ascii="宋体" w:hAnsi="宋体" w:cs="宋体"/>
                <w:sz w:val="24"/>
                <w:highlight w:val="none"/>
              </w:rPr>
              <w:t>工程</w:t>
            </w:r>
          </w:p>
        </w:tc>
      </w:tr>
      <w:tr w14:paraId="35F8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23E9A">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w:t>
            </w:r>
          </w:p>
        </w:tc>
        <w:tc>
          <w:tcPr>
            <w:tcW w:w="1701" w:type="dxa"/>
            <w:vAlign w:val="center"/>
          </w:tcPr>
          <w:p w14:paraId="1F487D01">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科研仪器设备</w:t>
            </w:r>
          </w:p>
        </w:tc>
        <w:tc>
          <w:tcPr>
            <w:tcW w:w="7253" w:type="dxa"/>
            <w:vAlign w:val="center"/>
          </w:tcPr>
          <w:p w14:paraId="3AF047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是否属于科研仪器设备采购项目：</w:t>
            </w:r>
          </w:p>
          <w:p w14:paraId="2EFEBB3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7D620F7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4C1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36E7BB">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3.1</w:t>
            </w:r>
          </w:p>
        </w:tc>
        <w:tc>
          <w:tcPr>
            <w:tcW w:w="1701" w:type="dxa"/>
            <w:vAlign w:val="center"/>
          </w:tcPr>
          <w:p w14:paraId="0E64B99E">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现场考察</w:t>
            </w:r>
          </w:p>
        </w:tc>
        <w:tc>
          <w:tcPr>
            <w:tcW w:w="7253" w:type="dxa"/>
            <w:vAlign w:val="center"/>
          </w:tcPr>
          <w:p w14:paraId="49319D3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0F693760">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27E230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3D5C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AF3CBD">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p>
        </w:tc>
        <w:tc>
          <w:tcPr>
            <w:tcW w:w="1701" w:type="dxa"/>
            <w:vAlign w:val="center"/>
          </w:tcPr>
          <w:p w14:paraId="7FB9D23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磋商前答疑会</w:t>
            </w:r>
          </w:p>
        </w:tc>
        <w:tc>
          <w:tcPr>
            <w:tcW w:w="7253" w:type="dxa"/>
            <w:vAlign w:val="center"/>
          </w:tcPr>
          <w:p w14:paraId="16C23A4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3441CB5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B21DE5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B2F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531C68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4.2.5</w:t>
            </w:r>
          </w:p>
        </w:tc>
        <w:tc>
          <w:tcPr>
            <w:tcW w:w="1701" w:type="dxa"/>
            <w:vAlign w:val="center"/>
          </w:tcPr>
          <w:p w14:paraId="3199953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标的所属行业</w:t>
            </w:r>
          </w:p>
        </w:tc>
        <w:tc>
          <w:tcPr>
            <w:tcW w:w="7253" w:type="dxa"/>
            <w:vAlign w:val="center"/>
          </w:tcPr>
          <w:p w14:paraId="6BFD271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900"/>
              <w:gridCol w:w="3104"/>
            </w:tblGrid>
            <w:tr w14:paraId="202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558" w:type="pct"/>
                  <w:tcBorders>
                    <w:top w:val="single" w:color="auto" w:sz="4" w:space="0"/>
                    <w:left w:val="single" w:color="auto" w:sz="4" w:space="0"/>
                    <w:bottom w:val="single" w:color="auto" w:sz="4" w:space="0"/>
                    <w:right w:val="single" w:color="auto" w:sz="4" w:space="0"/>
                  </w:tcBorders>
                  <w:vAlign w:val="center"/>
                </w:tcPr>
                <w:p w14:paraId="69D21A63">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包号</w:t>
                  </w:r>
                </w:p>
              </w:tc>
              <w:tc>
                <w:tcPr>
                  <w:tcW w:w="2145" w:type="pct"/>
                  <w:tcBorders>
                    <w:top w:val="single" w:color="auto" w:sz="4" w:space="0"/>
                    <w:left w:val="single" w:color="auto" w:sz="4" w:space="0"/>
                    <w:bottom w:val="single" w:color="auto" w:sz="4" w:space="0"/>
                    <w:right w:val="single" w:color="auto" w:sz="4" w:space="0"/>
                  </w:tcBorders>
                  <w:vAlign w:val="center"/>
                </w:tcPr>
                <w:p w14:paraId="3C4B313D">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bCs/>
                      <w:sz w:val="24"/>
                      <w:highlight w:val="none"/>
                    </w:rPr>
                    <w:t>标的名称</w:t>
                  </w:r>
                </w:p>
              </w:tc>
              <w:tc>
                <w:tcPr>
                  <w:tcW w:w="2296" w:type="pct"/>
                  <w:tcBorders>
                    <w:top w:val="single" w:color="auto" w:sz="4" w:space="0"/>
                    <w:left w:val="single" w:color="auto" w:sz="4" w:space="0"/>
                    <w:bottom w:val="single" w:color="auto" w:sz="4" w:space="0"/>
                    <w:right w:val="single" w:color="auto" w:sz="4" w:space="0"/>
                  </w:tcBorders>
                  <w:vAlign w:val="center"/>
                </w:tcPr>
                <w:p w14:paraId="2BACD2DE">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中小企业划分标准所属行业</w:t>
                  </w:r>
                </w:p>
              </w:tc>
            </w:tr>
            <w:tr w14:paraId="5D59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58" w:type="pct"/>
                  <w:tcBorders>
                    <w:top w:val="single" w:color="auto" w:sz="4" w:space="0"/>
                    <w:left w:val="single" w:color="auto" w:sz="4" w:space="0"/>
                    <w:bottom w:val="single" w:color="auto" w:sz="4" w:space="0"/>
                    <w:right w:val="single" w:color="auto" w:sz="4" w:space="0"/>
                  </w:tcBorders>
                  <w:vAlign w:val="center"/>
                </w:tcPr>
                <w:p w14:paraId="62405E64">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01</w:t>
                  </w:r>
                </w:p>
              </w:tc>
              <w:tc>
                <w:tcPr>
                  <w:tcW w:w="2145" w:type="pct"/>
                  <w:tcBorders>
                    <w:top w:val="single" w:color="auto" w:sz="4" w:space="0"/>
                    <w:left w:val="single" w:color="auto" w:sz="4" w:space="0"/>
                    <w:bottom w:val="single" w:color="auto" w:sz="4" w:space="0"/>
                    <w:right w:val="single" w:color="auto" w:sz="4" w:space="0"/>
                  </w:tcBorders>
                  <w:vAlign w:val="center"/>
                </w:tcPr>
                <w:p w14:paraId="5A7217E4">
                  <w:pPr>
                    <w:pageBreakBefore w:val="0"/>
                    <w:wordWrap w:val="0"/>
                    <w:topLinePunct w:val="0"/>
                    <w:bidi w:val="0"/>
                    <w:spacing w:line="360" w:lineRule="auto"/>
                    <w:jc w:val="center"/>
                    <w:textAlignment w:val="auto"/>
                    <w:rPr>
                      <w:rFonts w:hint="eastAsia" w:ascii="宋体" w:hAnsi="宋体" w:eastAsia="宋体" w:cs="宋体"/>
                      <w:kern w:val="0"/>
                      <w:sz w:val="24"/>
                      <w:highlight w:val="none"/>
                      <w:lang w:eastAsia="zh-CN"/>
                    </w:rPr>
                  </w:pPr>
                  <w:r>
                    <w:rPr>
                      <w:rFonts w:hint="eastAsia" w:ascii="宋体" w:hAnsi="宋体" w:cs="宋体"/>
                      <w:sz w:val="24"/>
                      <w:highlight w:val="none"/>
                      <w:lang w:eastAsia="zh-CN"/>
                    </w:rPr>
                    <w:t>乐乎公寓（曾用名“禾苗公寓”）拆除工程</w:t>
                  </w:r>
                </w:p>
              </w:tc>
              <w:tc>
                <w:tcPr>
                  <w:tcW w:w="2296" w:type="pct"/>
                  <w:tcBorders>
                    <w:top w:val="single" w:color="auto" w:sz="4" w:space="0"/>
                    <w:left w:val="single" w:color="auto" w:sz="4" w:space="0"/>
                    <w:bottom w:val="single" w:color="auto" w:sz="4" w:space="0"/>
                    <w:right w:val="single" w:color="auto" w:sz="4" w:space="0"/>
                  </w:tcBorders>
                  <w:vAlign w:val="center"/>
                </w:tcPr>
                <w:p w14:paraId="660B5F71">
                  <w:pPr>
                    <w:pageBreakBefore w:val="0"/>
                    <w:wordWrap w:val="0"/>
                    <w:topLinePunct w:val="0"/>
                    <w:bidi w:val="0"/>
                    <w:spacing w:line="360" w:lineRule="auto"/>
                    <w:jc w:val="center"/>
                    <w:textAlignment w:val="auto"/>
                    <w:rPr>
                      <w:rFonts w:hint="eastAsia" w:ascii="宋体" w:hAnsi="宋体" w:cs="宋体"/>
                      <w:kern w:val="0"/>
                      <w:sz w:val="24"/>
                      <w:highlight w:val="none"/>
                    </w:rPr>
                  </w:pPr>
                  <w:r>
                    <w:rPr>
                      <w:rFonts w:hint="eastAsia" w:ascii="宋体" w:hAnsi="宋体" w:cs="宋体"/>
                      <w:kern w:val="0"/>
                      <w:sz w:val="24"/>
                      <w:highlight w:val="none"/>
                    </w:rPr>
                    <w:t>建筑业</w:t>
                  </w:r>
                </w:p>
              </w:tc>
            </w:tr>
          </w:tbl>
          <w:p w14:paraId="4725AB77">
            <w:pPr>
              <w:pageBreakBefore w:val="0"/>
              <w:wordWrap w:val="0"/>
              <w:topLinePunct w:val="0"/>
              <w:bidi w:val="0"/>
              <w:spacing w:after="0" w:line="360" w:lineRule="auto"/>
              <w:jc w:val="left"/>
              <w:textAlignment w:val="auto"/>
              <w:rPr>
                <w:rFonts w:hint="eastAsia" w:ascii="宋体" w:hAnsi="宋体" w:cs="宋体"/>
                <w:sz w:val="24"/>
                <w:highlight w:val="none"/>
              </w:rPr>
            </w:pPr>
          </w:p>
        </w:tc>
      </w:tr>
      <w:tr w14:paraId="467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218B03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10.2</w:t>
            </w:r>
          </w:p>
        </w:tc>
        <w:tc>
          <w:tcPr>
            <w:tcW w:w="1701" w:type="dxa"/>
            <w:vAlign w:val="center"/>
          </w:tcPr>
          <w:p w14:paraId="482C519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报价</w:t>
            </w:r>
          </w:p>
        </w:tc>
        <w:tc>
          <w:tcPr>
            <w:tcW w:w="7253" w:type="dxa"/>
            <w:vAlign w:val="center"/>
          </w:tcPr>
          <w:p w14:paraId="67430F7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报价的特殊规定：</w:t>
            </w:r>
          </w:p>
          <w:p w14:paraId="12B5C4A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6246859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A3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ACDF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11.1</w:t>
            </w:r>
          </w:p>
        </w:tc>
        <w:tc>
          <w:tcPr>
            <w:tcW w:w="1701" w:type="dxa"/>
            <w:vMerge w:val="restart"/>
            <w:vAlign w:val="center"/>
          </w:tcPr>
          <w:p w14:paraId="718BF41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磋商保证金</w:t>
            </w:r>
          </w:p>
        </w:tc>
        <w:tc>
          <w:tcPr>
            <w:tcW w:w="7253" w:type="dxa"/>
            <w:vAlign w:val="center"/>
          </w:tcPr>
          <w:p w14:paraId="2120DA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磋商保证金金额：</w:t>
            </w:r>
            <w:r>
              <w:rPr>
                <w:rFonts w:hint="eastAsia" w:ascii="宋体" w:hAnsi="宋体" w:cs="宋体"/>
                <w:sz w:val="24"/>
                <w:highlight w:val="none"/>
                <w:lang w:val="en-US" w:eastAsia="zh-CN"/>
              </w:rPr>
              <w:t>10</w:t>
            </w:r>
            <w:r>
              <w:rPr>
                <w:rFonts w:hint="eastAsia" w:ascii="宋体" w:hAnsi="宋体" w:cs="宋体"/>
                <w:sz w:val="24"/>
                <w:highlight w:val="none"/>
              </w:rPr>
              <w:t>,000.00（</w:t>
            </w:r>
            <w:r>
              <w:rPr>
                <w:rFonts w:hint="eastAsia" w:ascii="宋体" w:hAnsi="宋体" w:cs="宋体"/>
                <w:sz w:val="24"/>
                <w:highlight w:val="none"/>
                <w:lang w:val="en-US" w:eastAsia="zh-CN"/>
              </w:rPr>
              <w:t>壹万</w:t>
            </w:r>
            <w:r>
              <w:rPr>
                <w:rFonts w:hint="eastAsia" w:ascii="宋体" w:hAnsi="宋体" w:cs="宋体"/>
                <w:sz w:val="24"/>
                <w:highlight w:val="none"/>
              </w:rPr>
              <w:t>元整）</w:t>
            </w:r>
          </w:p>
          <w:p w14:paraId="0470CB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磋商保证金收受人信息： </w:t>
            </w:r>
          </w:p>
          <w:p w14:paraId="762F520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户    名：北京德音工程咨询有限公司</w:t>
            </w:r>
          </w:p>
          <w:p w14:paraId="106A47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5833E7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账    号：1105 0110 0701 0000 0064</w:t>
            </w:r>
          </w:p>
        </w:tc>
      </w:tr>
      <w:tr w14:paraId="047C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FB2A51">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11.7.5</w:t>
            </w:r>
          </w:p>
        </w:tc>
        <w:tc>
          <w:tcPr>
            <w:tcW w:w="1701" w:type="dxa"/>
            <w:vMerge w:val="continue"/>
            <w:vAlign w:val="center"/>
          </w:tcPr>
          <w:p w14:paraId="7D933419">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7253" w:type="dxa"/>
            <w:vAlign w:val="center"/>
          </w:tcPr>
          <w:p w14:paraId="134298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磋商保证金不予退还的其他情形：</w:t>
            </w:r>
          </w:p>
          <w:p w14:paraId="7CE6CBA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□无</w:t>
            </w:r>
          </w:p>
          <w:p w14:paraId="3D1EC99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有，具体情形：</w:t>
            </w:r>
          </w:p>
          <w:p w14:paraId="6128611F">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（1）供应商在其竞争性磋商文件中规定的有效期内撤回其响应文件。</w:t>
            </w:r>
          </w:p>
          <w:p w14:paraId="6522D619">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（2）中标通知书发出后，供应商放弃中标项目的，无正当理由不与采购人签订合同的。</w:t>
            </w:r>
          </w:p>
        </w:tc>
      </w:tr>
      <w:tr w14:paraId="16EF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D0F75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12.1</w:t>
            </w:r>
          </w:p>
        </w:tc>
        <w:tc>
          <w:tcPr>
            <w:tcW w:w="1701" w:type="dxa"/>
            <w:vAlign w:val="center"/>
          </w:tcPr>
          <w:p w14:paraId="2CADEE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响应有效期</w:t>
            </w:r>
          </w:p>
        </w:tc>
        <w:tc>
          <w:tcPr>
            <w:tcW w:w="7253" w:type="dxa"/>
            <w:vAlign w:val="center"/>
          </w:tcPr>
          <w:p w14:paraId="27A242F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自提交响应文件的截止之日起算90日历天。</w:t>
            </w:r>
          </w:p>
        </w:tc>
      </w:tr>
      <w:tr w14:paraId="3D4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AEFC6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17.2</w:t>
            </w:r>
          </w:p>
        </w:tc>
        <w:tc>
          <w:tcPr>
            <w:tcW w:w="1701" w:type="dxa"/>
          </w:tcPr>
          <w:p w14:paraId="531505DB">
            <w:pPr>
              <w:pStyle w:val="24"/>
              <w:pageBreakBefore w:val="0"/>
              <w:wordWrap w:val="0"/>
              <w:topLinePunct w:val="0"/>
              <w:bidi w:val="0"/>
              <w:adjustRightInd w:val="0"/>
              <w:snapToGrid w:val="0"/>
              <w:spacing w:after="0" w:line="360" w:lineRule="auto"/>
              <w:jc w:val="center"/>
              <w:textAlignment w:val="auto"/>
              <w:rPr>
                <w:rFonts w:hAnsi="宋体" w:cs="宋体"/>
                <w:sz w:val="24"/>
                <w:highlight w:val="none"/>
              </w:rPr>
            </w:pPr>
            <w:r>
              <w:rPr>
                <w:rFonts w:hAnsi="宋体" w:cs="宋体"/>
                <w:sz w:val="24"/>
                <w:szCs w:val="24"/>
                <w:highlight w:val="none"/>
              </w:rPr>
              <w:t>解密时间</w:t>
            </w:r>
          </w:p>
        </w:tc>
        <w:tc>
          <w:tcPr>
            <w:tcW w:w="7253" w:type="dxa"/>
          </w:tcPr>
          <w:p w14:paraId="688E7C9F">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解密时间：15分钟</w:t>
            </w:r>
          </w:p>
        </w:tc>
      </w:tr>
      <w:tr w14:paraId="1C0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78C4A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20.1</w:t>
            </w:r>
          </w:p>
        </w:tc>
        <w:tc>
          <w:tcPr>
            <w:tcW w:w="1701" w:type="dxa"/>
            <w:vAlign w:val="center"/>
          </w:tcPr>
          <w:p w14:paraId="0C1C4A3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确定</w:t>
            </w:r>
          </w:p>
          <w:p w14:paraId="34576E1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成交供应商</w:t>
            </w:r>
          </w:p>
        </w:tc>
        <w:tc>
          <w:tcPr>
            <w:tcW w:w="7253" w:type="dxa"/>
            <w:vAlign w:val="center"/>
          </w:tcPr>
          <w:p w14:paraId="1926D02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采购人是否授权磋商小组直接确定成交供应商：</w:t>
            </w:r>
          </w:p>
          <w:p w14:paraId="010C4EAD">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bCs/>
                <w:sz w:val="24"/>
                <w:highlight w:val="none"/>
              </w:rPr>
              <w:t>■否</w:t>
            </w:r>
          </w:p>
          <w:p w14:paraId="5032E28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w:t>
            </w:r>
          </w:p>
          <w:p w14:paraId="4B29C1F8">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成交候选人并列的，按照以下方式确定成交供应商：</w:t>
            </w:r>
            <w:r>
              <w:rPr>
                <w:rFonts w:hint="eastAsia" w:ascii="宋体" w:hAnsi="宋体" w:cs="宋体"/>
                <w:sz w:val="24"/>
                <w:highlight w:val="none"/>
                <w:u w:val="single"/>
              </w:rPr>
              <w:t>按技术方案得分高低排序</w:t>
            </w:r>
            <w:r>
              <w:rPr>
                <w:rFonts w:hint="eastAsia" w:ascii="宋体" w:hAnsi="宋体" w:cs="宋体"/>
                <w:sz w:val="24"/>
                <w:highlight w:val="none"/>
              </w:rPr>
              <w:t>。</w:t>
            </w:r>
          </w:p>
        </w:tc>
      </w:tr>
      <w:tr w14:paraId="3153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0AF9E8">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23.5</w:t>
            </w:r>
          </w:p>
        </w:tc>
        <w:tc>
          <w:tcPr>
            <w:tcW w:w="1701" w:type="dxa"/>
            <w:vAlign w:val="center"/>
          </w:tcPr>
          <w:p w14:paraId="6921FD5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分包</w:t>
            </w:r>
          </w:p>
        </w:tc>
        <w:tc>
          <w:tcPr>
            <w:tcW w:w="7253" w:type="dxa"/>
            <w:vAlign w:val="center"/>
          </w:tcPr>
          <w:p w14:paraId="57FFE39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本项目是否允许分包： </w:t>
            </w:r>
          </w:p>
          <w:p w14:paraId="0ECA15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7995A83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□允许，具体要求：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D6293A0">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9C65EE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5A34A966">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5B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0F25A4">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23.6</w:t>
            </w:r>
          </w:p>
        </w:tc>
        <w:tc>
          <w:tcPr>
            <w:tcW w:w="1701" w:type="dxa"/>
            <w:vAlign w:val="center"/>
          </w:tcPr>
          <w:p w14:paraId="1023F4A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政采贷</w:t>
            </w:r>
          </w:p>
        </w:tc>
        <w:tc>
          <w:tcPr>
            <w:tcW w:w="7253" w:type="dxa"/>
            <w:vAlign w:val="center"/>
          </w:tcPr>
          <w:p w14:paraId="4E6E3A2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FB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E37E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24.1.1</w:t>
            </w:r>
          </w:p>
        </w:tc>
        <w:tc>
          <w:tcPr>
            <w:tcW w:w="1701" w:type="dxa"/>
            <w:vAlign w:val="center"/>
          </w:tcPr>
          <w:p w14:paraId="7793CD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询问</w:t>
            </w:r>
          </w:p>
        </w:tc>
        <w:tc>
          <w:tcPr>
            <w:tcW w:w="7253" w:type="dxa"/>
            <w:vAlign w:val="center"/>
          </w:tcPr>
          <w:p w14:paraId="7C47F125">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询问送达形式：书面形式。</w:t>
            </w:r>
          </w:p>
        </w:tc>
      </w:tr>
      <w:tr w14:paraId="2583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88" w:type="dxa"/>
            <w:vAlign w:val="center"/>
          </w:tcPr>
          <w:p w14:paraId="2F805FA0">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24.3</w:t>
            </w:r>
          </w:p>
        </w:tc>
        <w:tc>
          <w:tcPr>
            <w:tcW w:w="1701" w:type="dxa"/>
            <w:vAlign w:val="center"/>
          </w:tcPr>
          <w:p w14:paraId="6AE13EF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联系方式</w:t>
            </w:r>
          </w:p>
        </w:tc>
        <w:tc>
          <w:tcPr>
            <w:tcW w:w="7253" w:type="dxa"/>
            <w:vAlign w:val="center"/>
          </w:tcPr>
          <w:p w14:paraId="5E3A3C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接收询问和质疑的联系方式</w:t>
            </w:r>
          </w:p>
          <w:p w14:paraId="7B3AD2F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1ABB654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联系电话：010-53600601；</w:t>
            </w:r>
          </w:p>
          <w:p w14:paraId="22294D3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7AE4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E8776">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25</w:t>
            </w:r>
          </w:p>
        </w:tc>
        <w:tc>
          <w:tcPr>
            <w:tcW w:w="1701" w:type="dxa"/>
            <w:vAlign w:val="center"/>
          </w:tcPr>
          <w:p w14:paraId="768F877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代理费</w:t>
            </w:r>
          </w:p>
        </w:tc>
        <w:tc>
          <w:tcPr>
            <w:tcW w:w="7253" w:type="dxa"/>
            <w:vAlign w:val="center"/>
          </w:tcPr>
          <w:p w14:paraId="7B4DCD8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收费对象：</w:t>
            </w:r>
          </w:p>
          <w:p w14:paraId="72D1BAE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□采购人</w:t>
            </w:r>
          </w:p>
          <w:p w14:paraId="72FB5507">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成交供应商</w:t>
            </w:r>
          </w:p>
          <w:p w14:paraId="2EF9E12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标准：《关于降低部分建设项目收费标准规范收费行为等有关问题的通知》〔2011〕534号和《招标代理服务收费管理暂行办法》（计价格〔2002〕1980号）以及《关于招标代理服务收费有关问题的通知》（发改办价格〔2003〕857号）计取；不足3000元的按照3000收取。</w:t>
            </w:r>
          </w:p>
          <w:p w14:paraId="433F9FDC">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缴纳时间：成交供应商在领取成交通知书时一次性向采购代理机构交纳所有服务费。</w:t>
            </w:r>
          </w:p>
        </w:tc>
      </w:tr>
    </w:tbl>
    <w:p w14:paraId="2F6AE028">
      <w:pPr>
        <w:pageBreakBefore w:val="0"/>
        <w:tabs>
          <w:tab w:val="left" w:pos="5580"/>
        </w:tabs>
        <w:wordWrap w:val="0"/>
        <w:topLinePunct w:val="0"/>
        <w:bidi w:val="0"/>
        <w:adjustRightInd w:val="0"/>
        <w:spacing w:after="0" w:line="360" w:lineRule="auto"/>
        <w:jc w:val="distribute"/>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2263AEB">
      <w:pPr>
        <w:pageBreakBefore w:val="0"/>
        <w:wordWrap w:val="0"/>
        <w:topLinePunct w:val="0"/>
        <w:bidi w:val="0"/>
        <w:spacing w:before="240" w:beforeLines="100" w:after="0" w:line="360" w:lineRule="auto"/>
        <w:jc w:val="center"/>
        <w:textAlignment w:val="auto"/>
        <w:rPr>
          <w:rFonts w:hint="eastAsia" w:ascii="宋体" w:hAnsi="宋体" w:cs="宋体"/>
          <w:b/>
          <w:sz w:val="28"/>
          <w:szCs w:val="28"/>
          <w:highlight w:val="none"/>
        </w:rPr>
      </w:pPr>
      <w:r>
        <w:rPr>
          <w:rFonts w:hint="eastAsia" w:ascii="宋体" w:hAnsi="宋体" w:cs="宋体"/>
          <w:b/>
          <w:sz w:val="28"/>
          <w:szCs w:val="28"/>
          <w:highlight w:val="none"/>
        </w:rPr>
        <w:t>供应商须知</w:t>
      </w:r>
    </w:p>
    <w:p w14:paraId="7FAF21C8">
      <w:pPr>
        <w:pStyle w:val="3"/>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sz w:val="28"/>
          <w:highlight w:val="none"/>
        </w:rPr>
      </w:pPr>
      <w:bookmarkStart w:id="75" w:name="_Toc520356143"/>
      <w:bookmarkStart w:id="76" w:name="_Toc127151518"/>
      <w:r>
        <w:rPr>
          <w:rFonts w:hint="eastAsia" w:ascii="宋体" w:hAnsi="宋体" w:eastAsia="宋体" w:cs="宋体"/>
          <w:sz w:val="28"/>
          <w:highlight w:val="none"/>
        </w:rPr>
        <w:tab/>
      </w:r>
      <w:bookmarkStart w:id="77" w:name="_Toc151193688"/>
      <w:bookmarkStart w:id="78" w:name="_Toc264969208"/>
      <w:bookmarkStart w:id="79" w:name="_Toc150774723"/>
      <w:bookmarkStart w:id="80" w:name="_Toc150480756"/>
      <w:bookmarkStart w:id="81" w:name="_Toc151190145"/>
      <w:bookmarkStart w:id="82" w:name="_Toc151193760"/>
      <w:bookmarkStart w:id="83" w:name="_Toc226337214"/>
      <w:bookmarkStart w:id="84" w:name="_Toc305158860"/>
      <w:bookmarkStart w:id="85" w:name="_Toc150509269"/>
      <w:bookmarkStart w:id="86" w:name="_Toc226965708"/>
      <w:bookmarkStart w:id="87" w:name="_Toc142311020"/>
      <w:bookmarkStart w:id="88" w:name="_Toc151193832"/>
      <w:bookmarkStart w:id="89" w:name="_Toc305158786"/>
      <w:bookmarkStart w:id="90" w:name="_Toc151193906"/>
      <w:bookmarkStart w:id="91" w:name="_Toc265228356"/>
      <w:bookmarkStart w:id="92" w:name="_Toc195842883"/>
      <w:bookmarkStart w:id="93" w:name="_Toc226965791"/>
      <w:bookmarkStart w:id="94" w:name="_Toc150774618"/>
      <w:bookmarkStart w:id="95" w:name="_Toc226309762"/>
      <w:bookmarkStart w:id="96" w:name="_Toc151193616"/>
      <w:r>
        <w:rPr>
          <w:rFonts w:hint="eastAsia" w:ascii="宋体" w:hAnsi="宋体" w:eastAsia="宋体" w:cs="宋体"/>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cs="宋体"/>
          <w:sz w:val="28"/>
          <w:highlight w:val="none"/>
        </w:rPr>
        <w:tab/>
      </w:r>
    </w:p>
    <w:p w14:paraId="7CB002BE">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97" w:name="_Toc305158787"/>
      <w:bookmarkStart w:id="98" w:name="_Toc305158861"/>
      <w:bookmarkStart w:id="99" w:name="_Toc264969209"/>
      <w:bookmarkStart w:id="100" w:name="_Toc265228357"/>
      <w:r>
        <w:rPr>
          <w:rFonts w:hint="eastAsia" w:ascii="宋体" w:hAnsi="宋体" w:cs="宋体"/>
          <w:sz w:val="24"/>
          <w:highlight w:val="none"/>
        </w:rPr>
        <w:t>采购人、采购代理机构、供应商</w:t>
      </w:r>
      <w:bookmarkEnd w:id="97"/>
      <w:bookmarkEnd w:id="98"/>
      <w:bookmarkEnd w:id="99"/>
      <w:bookmarkEnd w:id="100"/>
      <w:r>
        <w:rPr>
          <w:rFonts w:hint="eastAsia" w:ascii="宋体" w:hAnsi="宋体" w:cs="宋体"/>
          <w:sz w:val="24"/>
          <w:highlight w:val="none"/>
        </w:rPr>
        <w:t>、联合体</w:t>
      </w:r>
    </w:p>
    <w:p w14:paraId="0766346E">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76F607BF">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57941588">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670AF904">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01" w:name="_Toc127151721"/>
      <w:bookmarkStart w:id="102" w:name="_Toc305158788"/>
      <w:bookmarkStart w:id="103" w:name="_Toc149720813"/>
      <w:bookmarkStart w:id="104" w:name="_Toc151193908"/>
      <w:bookmarkStart w:id="105" w:name="_Toc150480758"/>
      <w:bookmarkStart w:id="106" w:name="_Toc265228358"/>
      <w:bookmarkStart w:id="107" w:name="_Toc127161434"/>
      <w:bookmarkStart w:id="108" w:name="_Toc150774620"/>
      <w:bookmarkStart w:id="109" w:name="_Toc150774725"/>
      <w:bookmarkStart w:id="110" w:name="_Toc151193834"/>
      <w:bookmarkStart w:id="111" w:name="_Toc195842885"/>
      <w:bookmarkStart w:id="112" w:name="_Toc226309764"/>
      <w:bookmarkStart w:id="113" w:name="_Toc164608634"/>
      <w:bookmarkStart w:id="114" w:name="_Toc127151520"/>
      <w:bookmarkStart w:id="115" w:name="_Toc142311022"/>
      <w:bookmarkStart w:id="116" w:name="_Toc305158862"/>
      <w:bookmarkStart w:id="117" w:name="_Toc164229215"/>
      <w:bookmarkStart w:id="118" w:name="_Toc226337216"/>
      <w:bookmarkStart w:id="119" w:name="_Toc151193762"/>
      <w:bookmarkStart w:id="120" w:name="_Toc264969210"/>
      <w:bookmarkStart w:id="121" w:name="_Toc164351614"/>
      <w:bookmarkStart w:id="122" w:name="_Toc151190147"/>
      <w:bookmarkStart w:id="123" w:name="_Toc164608789"/>
      <w:bookmarkStart w:id="124" w:name="_Toc164229361"/>
      <w:bookmarkStart w:id="125" w:name="_Toc151193690"/>
      <w:bookmarkStart w:id="126" w:name="_Toc150509271"/>
      <w:bookmarkStart w:id="127" w:name="_Toc226965793"/>
      <w:bookmarkStart w:id="128" w:name="_Toc226965710"/>
      <w:bookmarkStart w:id="129" w:name="_Toc151193618"/>
      <w:r>
        <w:rPr>
          <w:rFonts w:hint="eastAsia" w:ascii="宋体" w:hAnsi="宋体" w:cs="宋体"/>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highlight w:val="none"/>
        </w:rPr>
        <w:t>、项目属性、科研仪器设备采购</w:t>
      </w:r>
    </w:p>
    <w:p w14:paraId="2AFFFCE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3995D35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项目属性见《供应商须知资料表》。</w:t>
      </w:r>
    </w:p>
    <w:p w14:paraId="43DA0E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是否属于科研仪器设备采购见《供应商须知资料表》。</w:t>
      </w:r>
    </w:p>
    <w:p w14:paraId="1F7284D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现场考察、磋商前答疑会</w:t>
      </w:r>
    </w:p>
    <w:p w14:paraId="075E7B6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30" w:name="_Toc150509273"/>
      <w:bookmarkStart w:id="131" w:name="_Toc150480760"/>
      <w:bookmarkStart w:id="132" w:name="_Toc226965712"/>
      <w:bookmarkStart w:id="133" w:name="_Toc264969212"/>
      <w:bookmarkStart w:id="134" w:name="_Toc305158790"/>
      <w:bookmarkStart w:id="135" w:name="_Toc151193910"/>
      <w:bookmarkStart w:id="136" w:name="_Toc520356146"/>
      <w:bookmarkStart w:id="137" w:name="_Toc151193764"/>
      <w:bookmarkStart w:id="138" w:name="_Toc195842887"/>
      <w:bookmarkStart w:id="139" w:name="_Toc265228360"/>
      <w:bookmarkStart w:id="140" w:name="_Toc151193620"/>
      <w:bookmarkStart w:id="141" w:name="_Toc150774727"/>
      <w:bookmarkStart w:id="142" w:name="_Toc305158864"/>
      <w:bookmarkStart w:id="143" w:name="_Toc151190149"/>
      <w:bookmarkStart w:id="144" w:name="_Toc226965795"/>
      <w:bookmarkStart w:id="145" w:name="_Toc151193836"/>
      <w:bookmarkStart w:id="146" w:name="_Toc142311024"/>
      <w:bookmarkStart w:id="147" w:name="_Toc150774622"/>
      <w:bookmarkStart w:id="148" w:name="_Toc151193692"/>
      <w:bookmarkStart w:id="149" w:name="_Toc226309766"/>
      <w:bookmarkStart w:id="150" w:name="_Toc226337218"/>
      <w:bookmarkStart w:id="151" w:name="_Toc127151522"/>
    </w:p>
    <w:p w14:paraId="4EB0F5B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5CF120B">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23F4226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采购本国货物、工程和服务</w:t>
      </w:r>
    </w:p>
    <w:p w14:paraId="67D8FE1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A97CFE9">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0FC92D">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A5B1A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2C9CC8C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中小企业定义：</w:t>
      </w:r>
    </w:p>
    <w:p w14:paraId="15D053B7">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42854E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A4D9E9F">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1ECB13E7">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6FC74C19">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4BBF4A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04942E7F">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3C882C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4DA81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36631C">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 人（含10 人）；</w:t>
      </w:r>
    </w:p>
    <w:p w14:paraId="3584DA40">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44B5A21D">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07191CB6">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696F34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A38506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1C5A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60B96F8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44F7E3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74DEDF4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政府采购节能产品、环境标志产品</w:t>
      </w:r>
    </w:p>
    <w:p w14:paraId="2529128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83CE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043EE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w:t>
      </w:r>
    </w:p>
    <w:p w14:paraId="43EF1D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47451CC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正版软件</w:t>
      </w:r>
    </w:p>
    <w:p w14:paraId="416E8C8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9132A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网络安全专用产品</w:t>
      </w:r>
    </w:p>
    <w:p w14:paraId="7F566248">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056C87">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推广使用低挥发性有机化合物（VOCs）</w:t>
      </w:r>
    </w:p>
    <w:p w14:paraId="5B2140F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；属于推荐性标准的，优先采购，具体见第三章《评审方法和评审标准》。</w:t>
      </w:r>
    </w:p>
    <w:p w14:paraId="25C75B3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采购需求标准</w:t>
      </w:r>
    </w:p>
    <w:p w14:paraId="6C02377F">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2C17F507">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E1FEAFB">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19866612">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4066D9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响应费用</w:t>
      </w:r>
    </w:p>
    <w:p w14:paraId="15A65A4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29E1056B">
      <w:pPr>
        <w:pageBreakBefore w:val="0"/>
        <w:tabs>
          <w:tab w:val="left" w:pos="1080"/>
        </w:tabs>
        <w:wordWrap w:val="0"/>
        <w:topLinePunct w:val="0"/>
        <w:bidi w:val="0"/>
        <w:snapToGrid w:val="0"/>
        <w:spacing w:after="0" w:line="360" w:lineRule="auto"/>
        <w:ind w:left="1080"/>
        <w:textAlignment w:val="auto"/>
        <w:rPr>
          <w:rFonts w:hint="eastAsia" w:ascii="宋体" w:hAnsi="宋体" w:cs="宋体"/>
          <w:sz w:val="28"/>
          <w:highlight w:val="none"/>
        </w:rPr>
      </w:pPr>
      <w:bookmarkStart w:id="152" w:name="_1.8_计量单位"/>
      <w:bookmarkEnd w:id="152"/>
    </w:p>
    <w:p w14:paraId="3899AE3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ABE483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53" w:name="_Toc226337219"/>
      <w:bookmarkStart w:id="154" w:name="_Toc150774728"/>
      <w:bookmarkStart w:id="155" w:name="_Toc264969213"/>
      <w:bookmarkStart w:id="156" w:name="_Toc149720816"/>
      <w:bookmarkStart w:id="157" w:name="_Toc265228361"/>
      <w:bookmarkStart w:id="158" w:name="_Toc226965713"/>
      <w:bookmarkStart w:id="159" w:name="_Toc150774623"/>
      <w:bookmarkStart w:id="160" w:name="_Toc226965796"/>
      <w:bookmarkStart w:id="161" w:name="_Toc151193621"/>
      <w:bookmarkStart w:id="162" w:name="_Toc127151724"/>
      <w:bookmarkStart w:id="163" w:name="_Toc151193837"/>
      <w:bookmarkStart w:id="164" w:name="_Toc164229364"/>
      <w:bookmarkStart w:id="165" w:name="_Toc151193765"/>
      <w:bookmarkStart w:id="166" w:name="_Toc150509274"/>
      <w:bookmarkStart w:id="167" w:name="_Toc164229218"/>
      <w:bookmarkStart w:id="168" w:name="_Toc520356147"/>
      <w:bookmarkStart w:id="169" w:name="_Toc127161437"/>
      <w:bookmarkStart w:id="170" w:name="_Toc226309767"/>
      <w:bookmarkStart w:id="171" w:name="_Toc305158865"/>
      <w:bookmarkStart w:id="172" w:name="_Toc151190150"/>
      <w:bookmarkStart w:id="173" w:name="_Toc305158791"/>
      <w:bookmarkStart w:id="174" w:name="_Toc164351617"/>
      <w:bookmarkStart w:id="175" w:name="_Toc150480761"/>
      <w:bookmarkStart w:id="176" w:name="_Toc164608792"/>
      <w:bookmarkStart w:id="177" w:name="_Toc151193911"/>
      <w:bookmarkStart w:id="178" w:name="_Toc164608637"/>
      <w:bookmarkStart w:id="179" w:name="_Toc127151523"/>
      <w:bookmarkStart w:id="180" w:name="_Toc151193693"/>
      <w:bookmarkStart w:id="181" w:name="_Toc195842888"/>
      <w:bookmarkStart w:id="182" w:name="_Toc142311025"/>
      <w:r>
        <w:rPr>
          <w:rFonts w:hint="eastAsia" w:ascii="宋体" w:hAnsi="宋体" w:cs="宋体"/>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highlight w:val="none"/>
        </w:rPr>
        <w:t>成</w:t>
      </w:r>
    </w:p>
    <w:p w14:paraId="70E5D2C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竞争性磋商文件包括以下部分：</w:t>
      </w:r>
    </w:p>
    <w:p w14:paraId="3BD30F5A">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采购邀请</w:t>
      </w:r>
    </w:p>
    <w:p w14:paraId="2B00D66C">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供应商须知</w:t>
      </w:r>
    </w:p>
    <w:p w14:paraId="5A2EC83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评审方法和评审标准</w:t>
      </w:r>
    </w:p>
    <w:p w14:paraId="4FC313A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采购需求</w:t>
      </w:r>
    </w:p>
    <w:p w14:paraId="09D51628">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合同草案条款</w:t>
      </w:r>
    </w:p>
    <w:p w14:paraId="4EBFAA03">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响应文件格式</w:t>
      </w:r>
    </w:p>
    <w:p w14:paraId="29EA18B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14C42132">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对竞争性磋商文件的澄清或修改</w:t>
      </w:r>
    </w:p>
    <w:p w14:paraId="433A2B6B">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A080D0">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0D7A7658">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2E1ACC16">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cs="宋体"/>
          <w:sz w:val="28"/>
          <w:highlight w:val="none"/>
        </w:rPr>
      </w:pPr>
      <w:bookmarkStart w:id="183" w:name="_Toc516367020"/>
      <w:bookmarkStart w:id="184" w:name="_Toc264969216"/>
      <w:bookmarkStart w:id="185" w:name="_Toc226965716"/>
      <w:bookmarkStart w:id="186" w:name="_Toc305158794"/>
      <w:bookmarkStart w:id="187" w:name="_Toc151193840"/>
      <w:bookmarkStart w:id="188" w:name="_Toc151193696"/>
      <w:bookmarkStart w:id="189" w:name="_Toc226309770"/>
      <w:bookmarkStart w:id="190" w:name="_Toc150774626"/>
      <w:bookmarkStart w:id="191" w:name="_Toc151193624"/>
      <w:bookmarkStart w:id="192" w:name="_Toc142311028"/>
      <w:bookmarkStart w:id="193" w:name="_Toc150480764"/>
      <w:bookmarkStart w:id="194" w:name="_Toc265228364"/>
      <w:bookmarkStart w:id="195" w:name="_Toc520356150"/>
      <w:bookmarkStart w:id="196" w:name="_Toc151190153"/>
      <w:bookmarkStart w:id="197" w:name="_Toc151193914"/>
      <w:bookmarkStart w:id="198" w:name="_Toc195842891"/>
      <w:bookmarkStart w:id="199" w:name="_Toc150509277"/>
      <w:bookmarkStart w:id="200" w:name="_Toc305158868"/>
      <w:bookmarkStart w:id="201" w:name="_Toc127151526"/>
      <w:bookmarkStart w:id="202" w:name="_Toc226337222"/>
      <w:bookmarkStart w:id="203" w:name="_Toc150774731"/>
      <w:bookmarkStart w:id="204" w:name="_Toc151193768"/>
      <w:bookmarkStart w:id="205" w:name="_Toc226965799"/>
    </w:p>
    <w:p w14:paraId="551431B8">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83"/>
      <w:r>
        <w:rPr>
          <w:rFonts w:hint="eastAsia" w:ascii="宋体" w:hAnsi="宋体" w:eastAsia="宋体" w:cs="宋体"/>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2C455DC">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06" w:name="_Toc164229368"/>
      <w:bookmarkStart w:id="207" w:name="_Toc127161441"/>
      <w:bookmarkStart w:id="208" w:name="_Toc164608796"/>
      <w:bookmarkStart w:id="209" w:name="_Toc150509278"/>
      <w:bookmarkStart w:id="210" w:name="_Toc265228365"/>
      <w:bookmarkStart w:id="211" w:name="_Toc164351621"/>
      <w:bookmarkStart w:id="212" w:name="_Toc164608641"/>
      <w:bookmarkStart w:id="213" w:name="_Toc150480765"/>
      <w:bookmarkStart w:id="214" w:name="_Toc150774627"/>
      <w:bookmarkStart w:id="215" w:name="_Toc150774732"/>
      <w:bookmarkStart w:id="216" w:name="_Toc127151527"/>
      <w:bookmarkStart w:id="217" w:name="_Toc226337223"/>
      <w:bookmarkStart w:id="218" w:name="_Toc305158795"/>
      <w:bookmarkStart w:id="219" w:name="_Toc151193841"/>
      <w:bookmarkStart w:id="220" w:name="_Toc516367021"/>
      <w:bookmarkStart w:id="221" w:name="_Toc151193915"/>
      <w:bookmarkStart w:id="222" w:name="_Toc142311029"/>
      <w:bookmarkStart w:id="223" w:name="_Toc151193769"/>
      <w:bookmarkStart w:id="224" w:name="_Toc151193697"/>
      <w:bookmarkStart w:id="225" w:name="_Toc127151728"/>
      <w:bookmarkStart w:id="226" w:name="_Toc226965800"/>
      <w:bookmarkStart w:id="227" w:name="_Toc226309771"/>
      <w:bookmarkStart w:id="228" w:name="_Toc151193625"/>
      <w:bookmarkStart w:id="229" w:name="_Toc226965717"/>
      <w:bookmarkStart w:id="230" w:name="_Toc195842892"/>
      <w:bookmarkStart w:id="231" w:name="_Toc164229222"/>
      <w:bookmarkStart w:id="232" w:name="_Toc149720820"/>
      <w:bookmarkStart w:id="233" w:name="_Toc305158869"/>
      <w:bookmarkStart w:id="234" w:name="_Toc520356151"/>
      <w:bookmarkStart w:id="235" w:name="_Toc264969217"/>
      <w:bookmarkStart w:id="236" w:name="_Toc151190154"/>
      <w:r>
        <w:rPr>
          <w:rFonts w:hint="eastAsia" w:ascii="宋体" w:hAnsi="宋体" w:cs="宋体"/>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highlight w:val="none"/>
        </w:rPr>
        <w:t>及磋商语言</w:t>
      </w:r>
    </w:p>
    <w:p w14:paraId="411E8F9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C78912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4865F74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CB9A9D">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37" w:name="_Toc516367022"/>
      <w:bookmarkStart w:id="238" w:name="_Ref467306676"/>
      <w:bookmarkStart w:id="239" w:name="_Ref467306195"/>
      <w:bookmarkStart w:id="240" w:name="_Toc264969218"/>
      <w:bookmarkStart w:id="241" w:name="_Toc265228366"/>
      <w:bookmarkStart w:id="242" w:name="_Toc142311030"/>
      <w:bookmarkStart w:id="243" w:name="_Toc151193842"/>
      <w:bookmarkStart w:id="244" w:name="_Toc151193916"/>
      <w:bookmarkStart w:id="245" w:name="_Toc149720821"/>
      <w:bookmarkStart w:id="246" w:name="_Toc226337224"/>
      <w:bookmarkStart w:id="247" w:name="_Toc164229369"/>
      <w:bookmarkStart w:id="248" w:name="_Toc150774733"/>
      <w:bookmarkStart w:id="249" w:name="_Toc226965801"/>
      <w:bookmarkStart w:id="250" w:name="_Toc195842893"/>
      <w:bookmarkStart w:id="251" w:name="_Toc150509279"/>
      <w:bookmarkStart w:id="252" w:name="_Toc305158870"/>
      <w:bookmarkStart w:id="253" w:name="_Toc150774628"/>
      <w:bookmarkStart w:id="254" w:name="_Toc164351622"/>
      <w:bookmarkStart w:id="255" w:name="_Toc226309772"/>
      <w:bookmarkStart w:id="256" w:name="_Toc164608642"/>
      <w:bookmarkStart w:id="257" w:name="_Toc164608797"/>
      <w:bookmarkStart w:id="258" w:name="_Toc164229223"/>
      <w:bookmarkStart w:id="259" w:name="_Toc127151528"/>
      <w:bookmarkStart w:id="260" w:name="_Toc127161442"/>
      <w:bookmarkStart w:id="261" w:name="_Toc151190155"/>
      <w:bookmarkStart w:id="262" w:name="_Toc151193698"/>
      <w:bookmarkStart w:id="263" w:name="_Toc151193626"/>
      <w:bookmarkStart w:id="264" w:name="_Toc305158796"/>
      <w:bookmarkStart w:id="265" w:name="_Toc226965718"/>
      <w:bookmarkStart w:id="266" w:name="_Toc151193770"/>
      <w:bookmarkStart w:id="267" w:name="_Toc520356152"/>
      <w:bookmarkStart w:id="268" w:name="_Toc127151729"/>
      <w:bookmarkStart w:id="269" w:name="_Toc150480766"/>
      <w:r>
        <w:rPr>
          <w:rFonts w:hint="eastAsia" w:ascii="宋体" w:hAnsi="宋体" w:cs="宋体"/>
          <w:sz w:val="24"/>
          <w:highlight w:val="none"/>
        </w:rPr>
        <w:t>响应文件</w:t>
      </w:r>
      <w:bookmarkEnd w:id="237"/>
      <w:bookmarkEnd w:id="238"/>
      <w:bookmarkEnd w:id="239"/>
      <w:r>
        <w:rPr>
          <w:rFonts w:hint="eastAsia" w:ascii="宋体" w:hAnsi="宋体" w:cs="宋体"/>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FF7214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270" w:name="_Ref467052588"/>
      <w:r>
        <w:rPr>
          <w:rFonts w:hint="eastAsia" w:ascii="宋体" w:hAnsi="宋体" w:cs="宋体"/>
          <w:sz w:val="24"/>
          <w:highlight w:val="none"/>
        </w:rPr>
        <w:t>供应商应当按照竞争性磋商文件的要求编制响应文件，</w:t>
      </w:r>
      <w:r>
        <w:rPr>
          <w:rFonts w:hint="eastAsia" w:ascii="宋体" w:hAnsi="宋体" w:cs="宋体"/>
          <w:kern w:val="0"/>
          <w:sz w:val="24"/>
          <w:highlight w:val="none"/>
        </w:rPr>
        <w:t>并对其提交的响应文件的真实性、合法性承担法律责任</w:t>
      </w:r>
      <w:r>
        <w:rPr>
          <w:rFonts w:hint="eastAsia" w:ascii="宋体" w:hAnsi="宋体" w:cs="宋体"/>
          <w:sz w:val="24"/>
          <w:highlight w:val="none"/>
        </w:rPr>
        <w:t>。响应文件的部分格式要求，见第六章《响应文件格式》。</w:t>
      </w:r>
    </w:p>
    <w:p w14:paraId="06C442A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对于竞争性磋商文件中标记了“实质性格式”文件的，</w:t>
      </w:r>
      <w:r>
        <w:rPr>
          <w:rFonts w:hint="eastAsia" w:ascii="宋体" w:hAnsi="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23E2B2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第三章《评审方法和评审标准》中涉及的证明文件。</w:t>
      </w:r>
    </w:p>
    <w:p w14:paraId="160973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AA294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供应商认为应附的其他材料。</w:t>
      </w:r>
      <w:bookmarkEnd w:id="270"/>
    </w:p>
    <w:p w14:paraId="31FF2A51">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71" w:name="_Toc520356155"/>
      <w:bookmarkStart w:id="272" w:name="_Toc164229225"/>
      <w:bookmarkStart w:id="273" w:name="_Toc164229371"/>
      <w:bookmarkStart w:id="274" w:name="_Toc151190157"/>
      <w:bookmarkStart w:id="275" w:name="_Toc164608644"/>
      <w:bookmarkStart w:id="276" w:name="_Toc151193844"/>
      <w:bookmarkStart w:id="277" w:name="_Toc150480768"/>
      <w:bookmarkStart w:id="278" w:name="_Toc151193772"/>
      <w:bookmarkStart w:id="279" w:name="_Toc164351624"/>
      <w:bookmarkStart w:id="280" w:name="_Toc127151731"/>
      <w:bookmarkStart w:id="281" w:name="_Toc164608799"/>
      <w:bookmarkStart w:id="282" w:name="_Toc142311032"/>
      <w:bookmarkStart w:id="283" w:name="_Toc127161444"/>
      <w:bookmarkStart w:id="284" w:name="_Toc150774630"/>
      <w:bookmarkStart w:id="285" w:name="_Toc150509281"/>
      <w:bookmarkStart w:id="286" w:name="_Toc149720823"/>
      <w:bookmarkStart w:id="287" w:name="_Toc195842895"/>
      <w:bookmarkStart w:id="288" w:name="_Toc151193918"/>
      <w:bookmarkStart w:id="289" w:name="_Toc151193700"/>
      <w:bookmarkStart w:id="290" w:name="_Toc127151530"/>
      <w:bookmarkStart w:id="291" w:name="_Toc150774735"/>
      <w:bookmarkStart w:id="292" w:name="_Toc151193628"/>
      <w:r>
        <w:rPr>
          <w:rFonts w:hint="eastAsia" w:ascii="宋体" w:hAnsi="宋体" w:cs="宋体"/>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50739D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所有响应均以人民币为计价货币。</w:t>
      </w:r>
    </w:p>
    <w:p w14:paraId="2143EEB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28A52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05409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按照竞争性磋商文件要求完成本项目的全部相关费用。</w:t>
      </w:r>
    </w:p>
    <w:p w14:paraId="52F6BEA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EFCA5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color w:val="000000"/>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1D6D6AC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磋商保证金</w:t>
      </w:r>
    </w:p>
    <w:p w14:paraId="09A5B78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供应商应按《供应商须知资料表》中规定的金额及要求交纳磋商保证金。供应商自愿超额缴纳磋商保证金的，响应文件不做无效处理。</w:t>
      </w:r>
    </w:p>
    <w:p w14:paraId="357E4C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495316A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1398C14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供应商除需在响应文件中提供“磋商保证金凭证/交款单据电子件”，还需在首次响应文件提交截止时间前，通过电子交易平台上传“磋商保证金凭证/交款单据电子件”。</w:t>
      </w:r>
    </w:p>
    <w:p w14:paraId="663BE5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磋商保证金有效期同响应有效期。</w:t>
      </w:r>
    </w:p>
    <w:p w14:paraId="22D9E99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供应商为联合体的，可以由联合体中的一方或者多方共同交纳磋商保证金，其交纳的保证金对联合体各方均具有约束力。</w:t>
      </w:r>
    </w:p>
    <w:p w14:paraId="1CE2F51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E02AE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37DB7DD8">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7A77A6B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5B431C0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38984F2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供应商在提交响应文件截止时间后撤回响应文件的；</w:t>
      </w:r>
    </w:p>
    <w:p w14:paraId="462268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供应商在响应文件中提供虚假材料的；</w:t>
      </w:r>
    </w:p>
    <w:p w14:paraId="310F2F8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2E9FC0D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供应商与采购人、其他供应商或者采购代理机构恶意串通的；</w:t>
      </w:r>
    </w:p>
    <w:p w14:paraId="41B4B2D2">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《供应商须知资料表》规定的其他情形。</w:t>
      </w:r>
    </w:p>
    <w:p w14:paraId="4C3CF22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响应有效期</w:t>
      </w:r>
    </w:p>
    <w:p w14:paraId="592300D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2EE4DC5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93" w:name="_Toc151193703"/>
      <w:bookmarkStart w:id="294" w:name="_Toc127151533"/>
      <w:bookmarkStart w:id="295" w:name="_Toc226965806"/>
      <w:bookmarkStart w:id="296" w:name="_Toc226965723"/>
      <w:bookmarkStart w:id="297" w:name="_Toc305158875"/>
      <w:bookmarkStart w:id="298" w:name="_Toc127161447"/>
      <w:bookmarkStart w:id="299" w:name="_Toc127151734"/>
      <w:bookmarkStart w:id="300" w:name="_Toc164351627"/>
      <w:bookmarkStart w:id="301" w:name="_Toc142311035"/>
      <w:bookmarkStart w:id="302" w:name="_Toc305158801"/>
      <w:bookmarkStart w:id="303" w:name="_Toc226309777"/>
      <w:bookmarkStart w:id="304" w:name="_Toc164229228"/>
      <w:bookmarkStart w:id="305" w:name="_Toc151193847"/>
      <w:bookmarkStart w:id="306" w:name="_Toc226337229"/>
      <w:bookmarkStart w:id="307" w:name="_Toc151193775"/>
      <w:bookmarkStart w:id="308" w:name="_Toc264969223"/>
      <w:bookmarkStart w:id="309" w:name="_Toc164608802"/>
      <w:bookmarkStart w:id="310" w:name="_Toc164229374"/>
      <w:bookmarkStart w:id="311" w:name="_Toc151190160"/>
      <w:bookmarkStart w:id="312" w:name="_Toc520356158"/>
      <w:bookmarkStart w:id="313" w:name="_Toc195842898"/>
      <w:bookmarkStart w:id="314" w:name="_Toc150774738"/>
      <w:bookmarkStart w:id="315" w:name="_Toc151193631"/>
      <w:bookmarkStart w:id="316" w:name="_Toc150480771"/>
      <w:bookmarkStart w:id="317" w:name="_Toc164608647"/>
      <w:bookmarkStart w:id="318" w:name="_Toc149720826"/>
      <w:bookmarkStart w:id="319" w:name="_Toc265228371"/>
      <w:bookmarkStart w:id="320" w:name="_Toc150774633"/>
      <w:bookmarkStart w:id="321" w:name="_Toc151193921"/>
      <w:bookmarkStart w:id="322" w:name="_Toc150509284"/>
      <w:r>
        <w:rPr>
          <w:rFonts w:hint="eastAsia" w:ascii="宋体" w:hAnsi="宋体" w:cs="宋体"/>
          <w:sz w:val="24"/>
          <w:highlight w:val="none"/>
        </w:rPr>
        <w:t>各包响应文件的签署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cs="宋体"/>
          <w:sz w:val="24"/>
          <w:highlight w:val="none"/>
        </w:rPr>
        <w:t>、盖章</w:t>
      </w:r>
    </w:p>
    <w:p w14:paraId="1CE5454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323" w:name="_Toc226965807"/>
      <w:bookmarkStart w:id="324" w:name="_Toc151193848"/>
      <w:bookmarkStart w:id="325" w:name="_Toc150774634"/>
      <w:bookmarkStart w:id="326" w:name="_Toc150509285"/>
      <w:bookmarkStart w:id="327" w:name="_Toc264969224"/>
      <w:bookmarkStart w:id="328" w:name="_Toc150774739"/>
      <w:bookmarkStart w:id="329" w:name="_Toc151193922"/>
      <w:bookmarkStart w:id="330" w:name="_Toc151193632"/>
      <w:bookmarkStart w:id="331" w:name="_Toc226965724"/>
      <w:bookmarkStart w:id="332" w:name="_Toc520356159"/>
      <w:bookmarkStart w:id="333" w:name="_Toc265228372"/>
      <w:bookmarkStart w:id="334" w:name="_Toc151193776"/>
      <w:bookmarkStart w:id="335" w:name="_Toc151193704"/>
      <w:bookmarkStart w:id="336" w:name="_Toc195842899"/>
      <w:bookmarkStart w:id="337" w:name="_Toc150480772"/>
      <w:bookmarkStart w:id="338" w:name="_Toc226337230"/>
      <w:bookmarkStart w:id="339" w:name="_Toc305158876"/>
      <w:bookmarkStart w:id="340" w:name="_Toc142311036"/>
      <w:bookmarkStart w:id="341" w:name="_Toc226309778"/>
      <w:bookmarkStart w:id="342" w:name="_Toc151190161"/>
      <w:bookmarkStart w:id="343" w:name="_Toc127151534"/>
      <w:bookmarkStart w:id="344" w:name="_Toc305158802"/>
      <w:r>
        <w:rPr>
          <w:rFonts w:hint="eastAsia" w:ascii="宋体" w:hAnsi="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29F889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竞争性磋商文件要求盖章的内容，一般通过投标文件编制工具加盖电子签章。</w:t>
      </w:r>
    </w:p>
    <w:p w14:paraId="5D46D8FF">
      <w:pPr>
        <w:pageBreakBefore w:val="0"/>
        <w:tabs>
          <w:tab w:val="left" w:pos="900"/>
          <w:tab w:val="left" w:pos="1080"/>
        </w:tabs>
        <w:wordWrap w:val="0"/>
        <w:topLinePunct w:val="0"/>
        <w:bidi w:val="0"/>
        <w:snapToGrid w:val="0"/>
        <w:spacing w:after="0" w:line="360" w:lineRule="auto"/>
        <w:ind w:left="357"/>
        <w:textAlignment w:val="auto"/>
        <w:rPr>
          <w:rFonts w:hint="eastAsia" w:ascii="宋体" w:hAnsi="宋体" w:cs="宋体"/>
          <w:highlight w:val="none"/>
        </w:rPr>
      </w:pPr>
    </w:p>
    <w:p w14:paraId="01FFA2E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71A3457">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45" w:name="_Toc164608804"/>
      <w:bookmarkStart w:id="346" w:name="_Toc151193923"/>
      <w:bookmarkStart w:id="347" w:name="_Toc195842900"/>
      <w:bookmarkStart w:id="348" w:name="_Toc150774635"/>
      <w:bookmarkStart w:id="349" w:name="_Toc164608649"/>
      <w:bookmarkStart w:id="350" w:name="_Toc127151535"/>
      <w:bookmarkStart w:id="351" w:name="_Toc150509286"/>
      <w:bookmarkStart w:id="352" w:name="_Toc265228373"/>
      <w:bookmarkStart w:id="353" w:name="_Toc127161449"/>
      <w:bookmarkStart w:id="354" w:name="_Toc520356160"/>
      <w:bookmarkStart w:id="355" w:name="_Toc150480773"/>
      <w:bookmarkStart w:id="356" w:name="_Toc226337231"/>
      <w:bookmarkStart w:id="357" w:name="_Toc226965725"/>
      <w:bookmarkStart w:id="358" w:name="_Toc151193633"/>
      <w:bookmarkStart w:id="359" w:name="_Toc264969225"/>
      <w:bookmarkStart w:id="360" w:name="_Toc226965808"/>
      <w:bookmarkStart w:id="361" w:name="_Toc142311037"/>
      <w:bookmarkStart w:id="362" w:name="_Toc305158877"/>
      <w:bookmarkStart w:id="363" w:name="_Toc151193705"/>
      <w:bookmarkStart w:id="364" w:name="_Toc151190162"/>
      <w:bookmarkStart w:id="365" w:name="_Toc151193777"/>
      <w:bookmarkStart w:id="366" w:name="_Toc226309779"/>
      <w:bookmarkStart w:id="367" w:name="_Toc305158803"/>
      <w:bookmarkStart w:id="368" w:name="_Toc127151736"/>
      <w:bookmarkStart w:id="369" w:name="_Toc164351629"/>
      <w:bookmarkStart w:id="370" w:name="_Toc149720828"/>
      <w:bookmarkStart w:id="371" w:name="_Toc151193849"/>
      <w:bookmarkStart w:id="372" w:name="_Toc164229230"/>
      <w:bookmarkStart w:id="373" w:name="_Toc164229376"/>
      <w:bookmarkStart w:id="374" w:name="_Toc150774740"/>
      <w:r>
        <w:rPr>
          <w:rFonts w:hint="eastAsia" w:ascii="宋体" w:hAnsi="宋体" w:cs="宋体"/>
          <w:sz w:val="24"/>
          <w:highlight w:val="none"/>
        </w:rPr>
        <w:t>各包响应文件的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cs="宋体"/>
          <w:sz w:val="24"/>
          <w:highlight w:val="none"/>
        </w:rPr>
        <w:t>提交</w:t>
      </w:r>
    </w:p>
    <w:p w14:paraId="5356CA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本项目使用北京市政府采购电子交易平台。供应商根据竞争性磋商文件及电子交易平台供应商操作手册要求编制、生成并提交电子响应文件。</w:t>
      </w:r>
    </w:p>
    <w:p w14:paraId="4392E49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采购人及采购代理机构拒绝接受通过电子交易平台以外任何形式提交的首次响应文件，磋商保证金除外。</w:t>
      </w:r>
    </w:p>
    <w:p w14:paraId="755741D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75" w:name="_Toc226965809"/>
      <w:bookmarkStart w:id="376" w:name="_Toc195842901"/>
      <w:bookmarkStart w:id="377" w:name="_Toc305158878"/>
      <w:bookmarkStart w:id="378" w:name="_Toc150509287"/>
      <w:bookmarkStart w:id="379" w:name="_Toc164351630"/>
      <w:bookmarkStart w:id="380" w:name="_Toc226337232"/>
      <w:bookmarkStart w:id="381" w:name="_Toc127161450"/>
      <w:bookmarkStart w:id="382" w:name="_Toc149720829"/>
      <w:bookmarkStart w:id="383" w:name="_Toc127151737"/>
      <w:bookmarkStart w:id="384" w:name="_Toc151193850"/>
      <w:bookmarkStart w:id="385" w:name="_Toc164608650"/>
      <w:bookmarkStart w:id="386" w:name="_Toc151193778"/>
      <w:bookmarkStart w:id="387" w:name="_Toc264969226"/>
      <w:bookmarkStart w:id="388" w:name="_Toc265228374"/>
      <w:bookmarkStart w:id="389" w:name="_Toc150774636"/>
      <w:bookmarkStart w:id="390" w:name="_Toc151193706"/>
      <w:bookmarkStart w:id="391" w:name="_Toc151193924"/>
      <w:bookmarkStart w:id="392" w:name="_Toc151190163"/>
      <w:bookmarkStart w:id="393" w:name="_Toc305158804"/>
      <w:bookmarkStart w:id="394" w:name="_Toc142311038"/>
      <w:bookmarkStart w:id="395" w:name="_Toc520356161"/>
      <w:bookmarkStart w:id="396" w:name="_Toc150480774"/>
      <w:bookmarkStart w:id="397" w:name="_Toc226965726"/>
      <w:bookmarkStart w:id="398" w:name="_Toc150774741"/>
      <w:bookmarkStart w:id="399" w:name="_Toc151193634"/>
      <w:bookmarkStart w:id="400" w:name="_Toc164229377"/>
      <w:bookmarkStart w:id="401" w:name="_Toc164608805"/>
      <w:bookmarkStart w:id="402" w:name="_Toc127151536"/>
      <w:bookmarkStart w:id="403" w:name="_Toc164229231"/>
      <w:bookmarkStart w:id="404" w:name="_Toc226309780"/>
      <w:r>
        <w:rPr>
          <w:rFonts w:hint="eastAsia" w:ascii="宋体" w:hAnsi="宋体" w:cs="宋体"/>
          <w:sz w:val="24"/>
          <w:highlight w:val="none"/>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sz w:val="24"/>
          <w:highlight w:val="none"/>
        </w:rPr>
        <w:t>时间</w:t>
      </w:r>
    </w:p>
    <w:p w14:paraId="2F86245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05" w:name="_Toc142311039"/>
      <w:bookmarkStart w:id="406" w:name="_Toc150480775"/>
      <w:bookmarkStart w:id="407" w:name="_Toc264969227"/>
      <w:bookmarkStart w:id="408" w:name="_Toc164608651"/>
      <w:bookmarkStart w:id="409" w:name="_Toc127151537"/>
      <w:bookmarkStart w:id="410" w:name="_Toc151193779"/>
      <w:bookmarkStart w:id="411" w:name="_Toc164229378"/>
      <w:bookmarkStart w:id="412" w:name="_Toc164229232"/>
      <w:bookmarkStart w:id="413" w:name="_Toc195842902"/>
      <w:bookmarkStart w:id="414" w:name="_Toc127151738"/>
      <w:bookmarkStart w:id="415" w:name="_Toc226337233"/>
      <w:bookmarkStart w:id="416" w:name="_Toc150509288"/>
      <w:bookmarkStart w:id="417" w:name="_Toc150774742"/>
      <w:bookmarkStart w:id="418" w:name="_Toc151193707"/>
      <w:bookmarkStart w:id="419" w:name="_Toc150774637"/>
      <w:bookmarkStart w:id="420" w:name="_Toc151190164"/>
      <w:bookmarkStart w:id="421" w:name="_Toc151193635"/>
      <w:bookmarkStart w:id="422" w:name="_Toc226965810"/>
      <w:bookmarkStart w:id="423" w:name="_Toc520356162"/>
      <w:bookmarkStart w:id="424" w:name="_Toc151193851"/>
      <w:bookmarkStart w:id="425" w:name="_Toc151193925"/>
      <w:bookmarkStart w:id="426" w:name="_Toc149720830"/>
      <w:bookmarkStart w:id="427" w:name="_Toc226965727"/>
      <w:bookmarkStart w:id="428" w:name="_Toc164351631"/>
      <w:bookmarkStart w:id="429" w:name="_Toc226309781"/>
      <w:bookmarkStart w:id="430" w:name="_Toc265228375"/>
      <w:bookmarkStart w:id="431" w:name="_Toc305158805"/>
      <w:bookmarkStart w:id="432" w:name="_Toc305158879"/>
      <w:bookmarkStart w:id="433" w:name="_Toc127161451"/>
      <w:bookmarkStart w:id="434" w:name="_Toc164608806"/>
      <w:r>
        <w:rPr>
          <w:rFonts w:hint="eastAsia" w:ascii="宋体" w:hAnsi="宋体" w:cs="宋体"/>
          <w:sz w:val="24"/>
          <w:highlight w:val="none"/>
        </w:rPr>
        <w:t>供应商应在竞争性磋商文件要求响应文件提交截止时间前，将电子响应文件 提交至电子交易平台。</w:t>
      </w:r>
    </w:p>
    <w:p w14:paraId="482DA11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9897D4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A9877D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供应商对响应文件的补充、修改的内容应当按照竞争性磋商文件要求签署、盖章，作为响应文件的组成部分。补充、修改的内容与响应文件不一致的，以补充、修改的内容为准</w:t>
      </w:r>
      <w:r>
        <w:rPr>
          <w:rFonts w:hint="eastAsia" w:ascii="宋体" w:hAnsi="宋体" w:cs="宋体"/>
          <w:kern w:val="0"/>
          <w:sz w:val="24"/>
          <w:highlight w:val="none"/>
        </w:rPr>
        <w:t>。</w:t>
      </w:r>
    </w:p>
    <w:p w14:paraId="563A6BE4">
      <w:pPr>
        <w:pageBreakBefore w:val="0"/>
        <w:tabs>
          <w:tab w:val="left" w:pos="900"/>
          <w:tab w:val="left" w:pos="1080"/>
          <w:tab w:val="left" w:pos="1589"/>
        </w:tabs>
        <w:wordWrap w:val="0"/>
        <w:topLinePunct w:val="0"/>
        <w:bidi w:val="0"/>
        <w:snapToGrid w:val="0"/>
        <w:spacing w:after="0" w:line="360" w:lineRule="auto"/>
        <w:ind w:left="357"/>
        <w:textAlignment w:val="auto"/>
        <w:rPr>
          <w:rFonts w:hint="eastAsia" w:ascii="宋体" w:hAnsi="宋体" w:cs="宋体"/>
          <w:sz w:val="24"/>
          <w:highlight w:val="none"/>
        </w:rPr>
      </w:pPr>
    </w:p>
    <w:p w14:paraId="1A49DC2D">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35" w:name="_Toc305158880"/>
      <w:bookmarkStart w:id="436" w:name="_Toc150480776"/>
      <w:bookmarkStart w:id="437" w:name="_Toc195842903"/>
      <w:bookmarkStart w:id="438" w:name="_Toc520356163"/>
      <w:bookmarkStart w:id="439" w:name="_Toc151193926"/>
      <w:bookmarkStart w:id="440" w:name="_Toc150774638"/>
      <w:bookmarkStart w:id="441" w:name="_Toc127151538"/>
      <w:bookmarkStart w:id="442" w:name="_Toc151190165"/>
      <w:bookmarkStart w:id="443" w:name="_Toc226965728"/>
      <w:bookmarkStart w:id="444" w:name="_Toc305158806"/>
      <w:bookmarkStart w:id="445" w:name="_Toc151193780"/>
      <w:bookmarkStart w:id="446" w:name="_Toc265228376"/>
      <w:bookmarkStart w:id="447" w:name="_Toc151193636"/>
      <w:bookmarkStart w:id="448" w:name="_Toc150774743"/>
      <w:bookmarkStart w:id="449" w:name="_Toc151193852"/>
      <w:bookmarkStart w:id="450" w:name="_Toc264969228"/>
      <w:bookmarkStart w:id="451" w:name="_Toc226337234"/>
      <w:bookmarkStart w:id="452" w:name="_Toc150509289"/>
      <w:bookmarkStart w:id="453" w:name="_Toc226965811"/>
      <w:bookmarkStart w:id="454" w:name="_Toc226309782"/>
      <w:bookmarkStart w:id="455" w:name="_Toc142311040"/>
      <w:bookmarkStart w:id="456" w:name="_Toc151193708"/>
      <w:r>
        <w:rPr>
          <w:rFonts w:hint="eastAsia" w:ascii="宋体" w:hAnsi="宋体" w:eastAsia="宋体" w:cs="宋体"/>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sz w:val="28"/>
          <w:highlight w:val="none"/>
        </w:rPr>
        <w:t>评审</w:t>
      </w:r>
    </w:p>
    <w:p w14:paraId="1E9075B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响应文件的开启</w:t>
      </w:r>
    </w:p>
    <w:p w14:paraId="270130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采购人或采购代理机构将按竞争性磋商文件的规定，在响应文件提交截止时间的同一时间和竞争性磋商文件预先确定的地点开启响应文件。</w:t>
      </w:r>
    </w:p>
    <w:p w14:paraId="739DF1A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本项目解密使用北京市政府采购电子交易平台。供应商应在《供应商须知资料表》规定的时间内对响应文件进行解密，因非系统原因导致的解密失败，视为无效响应。</w:t>
      </w:r>
    </w:p>
    <w:p w14:paraId="0D4CD96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57" w:name="_Toc520356165"/>
      <w:r>
        <w:rPr>
          <w:rFonts w:hint="eastAsia" w:ascii="宋体" w:hAnsi="宋体" w:cs="宋体"/>
          <w:sz w:val="24"/>
          <w:highlight w:val="none"/>
        </w:rPr>
        <w:t>供应商不足3家的，不予开启。</w:t>
      </w:r>
    </w:p>
    <w:bookmarkEnd w:id="457"/>
    <w:p w14:paraId="583D2BB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本项目不公开报价。</w:t>
      </w:r>
    </w:p>
    <w:p w14:paraId="3DC4045F">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磋商小组</w:t>
      </w:r>
    </w:p>
    <w:p w14:paraId="23E87D0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磋商小组根据政府采购有关规定和本次采购项目的特点进行组建，并负责具 体评审与磋商事务，独立履行职责。</w:t>
      </w:r>
      <w:bookmarkStart w:id="458" w:name="_Toc520356166"/>
    </w:p>
    <w:p w14:paraId="2910C76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03BDFF01">
      <w:pPr>
        <w:pageBreakBefore w:val="0"/>
        <w:numPr>
          <w:ilvl w:val="0"/>
          <w:numId w:val="8"/>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2AEC7B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见第三章《评审方法和评审标准》。</w:t>
      </w:r>
    </w:p>
    <w:p w14:paraId="4D41B87E">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cs="宋体"/>
          <w:sz w:val="24"/>
          <w:highlight w:val="none"/>
        </w:rPr>
      </w:pPr>
    </w:p>
    <w:p w14:paraId="6D4F9CFA">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60" w:name="_Toc226965818"/>
      <w:bookmarkStart w:id="461" w:name="_Toc151193787"/>
      <w:bookmarkStart w:id="462" w:name="_Toc264969235"/>
      <w:bookmarkStart w:id="463" w:name="_Toc195842910"/>
      <w:bookmarkStart w:id="464" w:name="_Toc265228383"/>
      <w:bookmarkStart w:id="465" w:name="_Toc305158887"/>
      <w:bookmarkStart w:id="466" w:name="_Toc150774750"/>
      <w:bookmarkStart w:id="467" w:name="_Toc226965735"/>
      <w:bookmarkStart w:id="468" w:name="_Toc142311047"/>
      <w:bookmarkStart w:id="469" w:name="_Toc127151545"/>
      <w:bookmarkStart w:id="470" w:name="_Toc150774645"/>
      <w:bookmarkStart w:id="471" w:name="_Toc226309789"/>
      <w:bookmarkStart w:id="472" w:name="_Toc151193933"/>
      <w:bookmarkStart w:id="473" w:name="_Toc151193643"/>
      <w:bookmarkStart w:id="474" w:name="_Toc151193859"/>
      <w:bookmarkStart w:id="475" w:name="_Toc151193715"/>
      <w:bookmarkStart w:id="476" w:name="_Toc305158813"/>
      <w:bookmarkStart w:id="477" w:name="_Toc151190172"/>
      <w:bookmarkStart w:id="478" w:name="_Toc226337241"/>
      <w:bookmarkStart w:id="479" w:name="_Toc150509296"/>
      <w:bookmarkStart w:id="480" w:name="_Toc150480783"/>
      <w:r>
        <w:rPr>
          <w:rFonts w:hint="eastAsia" w:ascii="宋体" w:hAnsi="宋体" w:eastAsia="宋体" w:cs="宋体"/>
          <w:sz w:val="28"/>
          <w:highlight w:val="none"/>
        </w:rPr>
        <w:t xml:space="preserve">六   </w:t>
      </w:r>
      <w:bookmarkEnd w:id="459"/>
      <w:r>
        <w:rPr>
          <w:rFonts w:hint="eastAsia" w:ascii="宋体" w:hAnsi="宋体" w:eastAsia="宋体" w:cs="宋体"/>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sz w:val="28"/>
          <w:highlight w:val="none"/>
        </w:rPr>
        <w:t>成交</w:t>
      </w:r>
    </w:p>
    <w:p w14:paraId="22460F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481" w:name="_Toc226337243"/>
      <w:bookmarkStart w:id="482" w:name="_Toc164351641"/>
      <w:bookmarkStart w:id="483" w:name="_Toc151193861"/>
      <w:bookmarkStart w:id="484" w:name="_Toc305158889"/>
      <w:bookmarkStart w:id="485" w:name="_Toc127161461"/>
      <w:bookmarkStart w:id="486" w:name="_Toc151193645"/>
      <w:bookmarkStart w:id="487" w:name="_Toc164229388"/>
      <w:bookmarkStart w:id="488" w:name="_Toc226965820"/>
      <w:bookmarkStart w:id="489" w:name="_Toc226309791"/>
      <w:bookmarkStart w:id="490" w:name="_Toc151193789"/>
      <w:bookmarkStart w:id="491" w:name="_Toc149720840"/>
      <w:bookmarkStart w:id="492" w:name="_Toc151193717"/>
      <w:bookmarkStart w:id="493" w:name="_Toc150774752"/>
      <w:bookmarkStart w:id="494" w:name="_Toc265228385"/>
      <w:bookmarkStart w:id="495" w:name="_Toc164608661"/>
      <w:bookmarkStart w:id="496" w:name="_Toc164608816"/>
      <w:bookmarkStart w:id="497" w:name="_Toc127151547"/>
      <w:bookmarkStart w:id="498" w:name="_Toc150774647"/>
      <w:bookmarkStart w:id="499" w:name="_Toc151190174"/>
      <w:bookmarkStart w:id="500" w:name="_Toc226965737"/>
      <w:bookmarkStart w:id="501" w:name="_Toc164229242"/>
      <w:bookmarkStart w:id="502" w:name="_Toc264969237"/>
      <w:bookmarkStart w:id="503" w:name="_Toc127151748"/>
      <w:bookmarkStart w:id="504" w:name="_Toc151193935"/>
      <w:bookmarkStart w:id="505" w:name="_Toc150509298"/>
      <w:bookmarkStart w:id="506" w:name="_Toc305158815"/>
      <w:bookmarkStart w:id="507" w:name="_Toc195842912"/>
      <w:bookmarkStart w:id="508" w:name="_Toc150480785"/>
      <w:bookmarkStart w:id="509" w:name="_Toc142311049"/>
      <w:r>
        <w:rPr>
          <w:rFonts w:hint="eastAsia" w:ascii="宋体" w:hAnsi="宋体" w:cs="宋体"/>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CF108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BACEE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10" w:name="_Toc305158891"/>
      <w:bookmarkStart w:id="511" w:name="_Toc305158817"/>
      <w:bookmarkStart w:id="512" w:name="_Toc264969239"/>
      <w:bookmarkStart w:id="513" w:name="_Toc226965822"/>
      <w:bookmarkStart w:id="514" w:name="_Toc164608663"/>
      <w:bookmarkStart w:id="515" w:name="_Toc151190176"/>
      <w:bookmarkStart w:id="516" w:name="_Toc195842914"/>
      <w:bookmarkStart w:id="517" w:name="_Toc150480787"/>
      <w:bookmarkStart w:id="518" w:name="_Toc151193791"/>
      <w:bookmarkStart w:id="519" w:name="_Toc151193719"/>
      <w:bookmarkStart w:id="520" w:name="_Toc150509300"/>
      <w:bookmarkStart w:id="521" w:name="_Toc151193647"/>
      <w:bookmarkStart w:id="522" w:name="_Toc127151549"/>
      <w:bookmarkStart w:id="523" w:name="_Toc265228387"/>
      <w:bookmarkStart w:id="524" w:name="_Toc142311051"/>
      <w:bookmarkStart w:id="525" w:name="_Toc127151750"/>
      <w:bookmarkStart w:id="526" w:name="_Toc226309793"/>
      <w:bookmarkStart w:id="527" w:name="_Toc127161463"/>
      <w:bookmarkStart w:id="528" w:name="_Toc149720842"/>
      <w:bookmarkStart w:id="529" w:name="_Toc164229244"/>
      <w:bookmarkStart w:id="530" w:name="_Toc164608818"/>
      <w:bookmarkStart w:id="531" w:name="_Toc226965739"/>
      <w:bookmarkStart w:id="532" w:name="_Toc164351643"/>
      <w:bookmarkStart w:id="533" w:name="_Toc151193937"/>
      <w:bookmarkStart w:id="534" w:name="_Toc226337245"/>
      <w:bookmarkStart w:id="535" w:name="_Toc150774754"/>
      <w:bookmarkStart w:id="536" w:name="_Toc164229390"/>
      <w:bookmarkStart w:id="537" w:name="_Toc150774649"/>
      <w:bookmarkStart w:id="538" w:name="_Toc151193863"/>
      <w:bookmarkStart w:id="539" w:name="_Ref467306425"/>
      <w:bookmarkStart w:id="540" w:name="_Toc520356176"/>
      <w:bookmarkStart w:id="541" w:name="_Ref467307090"/>
      <w:r>
        <w:rPr>
          <w:rFonts w:hint="eastAsia" w:ascii="宋体" w:hAnsi="宋体" w:cs="宋体"/>
          <w:sz w:val="24"/>
          <w:highlight w:val="none"/>
        </w:rPr>
        <w:t>成交公告与成交通知书</w:t>
      </w:r>
      <w:bookmarkEnd w:id="510"/>
      <w:bookmarkEnd w:id="511"/>
    </w:p>
    <w:p w14:paraId="079F900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w:t>
      </w:r>
      <w:r>
        <w:rPr>
          <w:rFonts w:hint="eastAsia" w:ascii="宋体" w:hAnsi="宋体" w:cs="宋体"/>
          <w:kern w:val="0"/>
          <w:sz w:val="24"/>
          <w:highlight w:val="none"/>
        </w:rPr>
        <w:t>在成交供应商确定后2个工作日内，在</w:t>
      </w:r>
      <w:r>
        <w:rPr>
          <w:rFonts w:hint="eastAsia" w:ascii="宋体" w:hAnsi="宋体" w:cs="宋体"/>
          <w:sz w:val="24"/>
          <w:highlight w:val="none"/>
        </w:rPr>
        <w:t>北京市政府采购网、中国政府采购网</w:t>
      </w:r>
      <w:r>
        <w:rPr>
          <w:rFonts w:hint="eastAsia" w:ascii="宋体" w:hAnsi="宋体" w:cs="宋体"/>
          <w:kern w:val="0"/>
          <w:sz w:val="24"/>
          <w:highlight w:val="none"/>
        </w:rPr>
        <w:t>公告成交结果，同时向成交供应商发出成交通知书，</w:t>
      </w:r>
      <w:r>
        <w:rPr>
          <w:rFonts w:hint="eastAsia" w:ascii="宋体" w:hAnsi="宋体" w:cs="宋体"/>
          <w:sz w:val="24"/>
          <w:highlight w:val="none"/>
        </w:rPr>
        <w:t>成交公告期限为1个工作日。</w:t>
      </w:r>
    </w:p>
    <w:p w14:paraId="0F65A4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成交通知书对采购人和成交供应商均具有法律效力。成交通知书发出后，采购人改变成交结果的，或者成交供应商放弃成交项目的，将依法承担法律责任。</w:t>
      </w:r>
    </w:p>
    <w:p w14:paraId="4968810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终止</w:t>
      </w:r>
    </w:p>
    <w:p w14:paraId="492B0E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在采购中，出现下列情形之一的，采购人或采购代理机构将终止竞争性磋商采购活动，发布项目终止公告并说明原因，重新开展采购活动：</w:t>
      </w:r>
    </w:p>
    <w:p w14:paraId="13EAB5C9">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因情况变化，不再符合规定的竞争性磋商采购方式适用情形的；</w:t>
      </w:r>
    </w:p>
    <w:p w14:paraId="2E4CAA8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4E35B91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7E0B1B0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42" w:name="_Toc164351644"/>
      <w:bookmarkStart w:id="543" w:name="_Ref467307204"/>
      <w:bookmarkStart w:id="544" w:name="_Toc164608819"/>
      <w:bookmarkStart w:id="545" w:name="_Toc195842915"/>
      <w:bookmarkStart w:id="546" w:name="_Ref467306377"/>
      <w:bookmarkStart w:id="547" w:name="_Toc142311052"/>
      <w:bookmarkStart w:id="548" w:name="_Toc149720843"/>
      <w:bookmarkStart w:id="549" w:name="_Toc164229245"/>
      <w:bookmarkStart w:id="550" w:name="_Toc127151751"/>
      <w:bookmarkStart w:id="551" w:name="_Toc151193720"/>
      <w:bookmarkStart w:id="552" w:name="_Toc164608664"/>
      <w:bookmarkStart w:id="553" w:name="_Toc151190177"/>
      <w:bookmarkStart w:id="554" w:name="_Toc151193938"/>
      <w:bookmarkStart w:id="555" w:name="_Toc226337246"/>
      <w:bookmarkStart w:id="556" w:name="_Toc151193864"/>
      <w:bookmarkStart w:id="557" w:name="_Ref467307062"/>
      <w:bookmarkStart w:id="558" w:name="_Toc150774650"/>
      <w:bookmarkStart w:id="559" w:name="_Toc305158892"/>
      <w:bookmarkStart w:id="560" w:name="_Toc127151550"/>
      <w:bookmarkStart w:id="561" w:name="_Toc226965740"/>
      <w:bookmarkStart w:id="562" w:name="_Toc150480788"/>
      <w:bookmarkStart w:id="563" w:name="_Toc264969240"/>
      <w:bookmarkStart w:id="564" w:name="_Toc265228388"/>
      <w:bookmarkStart w:id="565" w:name="_Toc226965823"/>
      <w:bookmarkStart w:id="566" w:name="_Toc164229391"/>
      <w:bookmarkStart w:id="567" w:name="_Toc520356175"/>
      <w:bookmarkStart w:id="568" w:name="_Toc151193648"/>
      <w:bookmarkStart w:id="569" w:name="_Toc151193792"/>
      <w:bookmarkStart w:id="570" w:name="_Toc150774755"/>
      <w:bookmarkStart w:id="571" w:name="_Ref467306978"/>
      <w:bookmarkStart w:id="572" w:name="_Toc150509301"/>
      <w:bookmarkStart w:id="573" w:name="_Toc305158818"/>
      <w:bookmarkStart w:id="574" w:name="_Toc226309794"/>
      <w:bookmarkStart w:id="575" w:name="_Toc127161464"/>
      <w:r>
        <w:rPr>
          <w:rFonts w:hint="eastAsia" w:ascii="宋体" w:hAnsi="宋体" w:cs="宋体"/>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B1883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7318B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88E1B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联合体获得成交资格的，联合体各方应当共同与采购人签订合同，就采购合同约定的事项向采购人承担连带责任。</w:t>
      </w:r>
    </w:p>
    <w:p w14:paraId="464878F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政府采购合同不能转包。</w:t>
      </w:r>
    </w:p>
    <w:p w14:paraId="6555276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highlight w:val="none"/>
        </w:rPr>
        <w:t>否则响应无效</w:t>
      </w:r>
      <w:r>
        <w:rPr>
          <w:rFonts w:hint="eastAsia" w:ascii="宋体" w:hAnsi="宋体" w:cs="宋体"/>
          <w:sz w:val="24"/>
          <w:highlight w:val="none"/>
        </w:rPr>
        <w:t>。成交供应商就采购项目和分包项目向采购人负责，分包供应商就分包项目承担责任。</w:t>
      </w:r>
    </w:p>
    <w:p w14:paraId="0ED61A9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“政采贷 ”融资指引：详见《供应商须知资料表》。</w:t>
      </w:r>
    </w:p>
    <w:bookmarkEnd w:id="539"/>
    <w:bookmarkEnd w:id="540"/>
    <w:bookmarkEnd w:id="541"/>
    <w:p w14:paraId="46C73A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询问与质疑</w:t>
      </w:r>
    </w:p>
    <w:p w14:paraId="641DD3F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询问</w:t>
      </w:r>
    </w:p>
    <w:p w14:paraId="6759930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供应商对政府采购活动事项有疑问的，可依法向采购人或采购代理机构提出询问，提出形式见《供应商须知资料表》。</w:t>
      </w:r>
    </w:p>
    <w:p w14:paraId="726A6DC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7801426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质疑</w:t>
      </w:r>
    </w:p>
    <w:p w14:paraId="635D59B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F4865E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77B0CC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A5829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供应商应在法定质疑期内一次性提出针对同一采购程序环节的质疑，法定质疑期内针对同一采购程序环节再次提出的质疑，采购人、采购代理机构有权不予答复。</w:t>
      </w:r>
    </w:p>
    <w:p w14:paraId="4690787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接收询问和质疑的联系部门、联系电话和通讯地址见《供应商须知资料表》。</w:t>
      </w:r>
    </w:p>
    <w:p w14:paraId="2F6AF06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代理费</w:t>
      </w:r>
    </w:p>
    <w:p w14:paraId="3495AAE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收费对象、收费标准及缴纳时间见《供应商须知资料表》。由成交供应商支付的，成交供应商须一次性向采购代理机构缴纳代理费，报价应包含代理费用。</w:t>
      </w:r>
    </w:p>
    <w:p w14:paraId="6CCB74E7">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cs="宋体"/>
          <w:sz w:val="24"/>
          <w:highlight w:val="none"/>
        </w:rPr>
      </w:pPr>
    </w:p>
    <w:p w14:paraId="5450B934">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576" w:name="_Toc353873664"/>
      <w:bookmarkStart w:id="577" w:name="_Toc226965827"/>
      <w:bookmarkStart w:id="578" w:name="_Toc305158896"/>
      <w:bookmarkStart w:id="579" w:name="_Toc305158822"/>
      <w:bookmarkStart w:id="580" w:name="_Toc265228392"/>
      <w:bookmarkStart w:id="581" w:name="_Toc150480792"/>
      <w:bookmarkStart w:id="582" w:name="_Toc264969244"/>
      <w:bookmarkStart w:id="583" w:name="_Toc353825544"/>
      <w:bookmarkStart w:id="584" w:name="_Toc150774759"/>
      <w:bookmarkStart w:id="585" w:name="_Toc226337250"/>
      <w:bookmarkStart w:id="586" w:name="_Toc142311056"/>
      <w:bookmarkStart w:id="587" w:name="_Toc127151554"/>
      <w:bookmarkStart w:id="588" w:name="_Toc353873934"/>
      <w:r>
        <w:rPr>
          <w:rFonts w:hint="eastAsia" w:ascii="宋体" w:hAnsi="宋体" w:cs="宋体"/>
          <w:sz w:val="24"/>
          <w:highlight w:val="none"/>
        </w:rPr>
        <w:br w:type="page"/>
      </w:r>
      <w:bookmarkStart w:id="589" w:name="_Toc8458"/>
      <w:bookmarkStart w:id="590" w:name="_Toc19126"/>
      <w:r>
        <w:rPr>
          <w:rFonts w:hint="eastAsia" w:ascii="宋体" w:hAnsi="宋体" w:cs="宋体"/>
          <w:b/>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cs="宋体"/>
          <w:b/>
          <w:sz w:val="36"/>
          <w:szCs w:val="36"/>
          <w:highlight w:val="none"/>
        </w:rPr>
        <w:t>评审方法和评审标准</w:t>
      </w:r>
      <w:bookmarkEnd w:id="589"/>
      <w:bookmarkEnd w:id="590"/>
      <w:bookmarkStart w:id="591" w:name="_Toc487900382"/>
    </w:p>
    <w:p w14:paraId="37DDE053">
      <w:pPr>
        <w:pStyle w:val="3"/>
        <w:pageBreakBefore w:val="0"/>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一、资格审查程序</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p w14:paraId="55F3A139">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bookmarkStart w:id="592" w:name="_Toc150774641"/>
      <w:bookmarkStart w:id="593" w:name="_Toc151193783"/>
      <w:bookmarkStart w:id="594" w:name="_Toc226337237"/>
      <w:bookmarkStart w:id="595" w:name="_Toc127151742"/>
      <w:bookmarkStart w:id="596" w:name="_Toc164351635"/>
      <w:bookmarkStart w:id="597" w:name="_Toc264969231"/>
      <w:bookmarkStart w:id="598" w:name="_Toc150774746"/>
      <w:bookmarkStart w:id="599" w:name="_Toc226965731"/>
      <w:bookmarkStart w:id="600" w:name="_Toc151193639"/>
      <w:bookmarkStart w:id="601" w:name="_Toc127161455"/>
      <w:bookmarkStart w:id="602" w:name="_Toc305158809"/>
      <w:bookmarkStart w:id="603" w:name="_Toc305158883"/>
      <w:bookmarkStart w:id="604" w:name="_Toc164229236"/>
      <w:bookmarkStart w:id="605" w:name="_Toc150509292"/>
      <w:bookmarkStart w:id="606" w:name="_Toc150480779"/>
      <w:bookmarkStart w:id="607" w:name="_Toc265228379"/>
      <w:bookmarkStart w:id="608" w:name="_Toc151190168"/>
      <w:bookmarkStart w:id="609" w:name="_Toc226965814"/>
      <w:bookmarkStart w:id="610" w:name="_Toc164608655"/>
      <w:bookmarkStart w:id="611" w:name="_Toc151193855"/>
      <w:bookmarkStart w:id="612" w:name="_Toc164229382"/>
      <w:bookmarkStart w:id="613" w:name="_Toc195842906"/>
      <w:bookmarkStart w:id="614" w:name="_Toc164608810"/>
      <w:bookmarkStart w:id="615" w:name="_Toc149720834"/>
      <w:bookmarkStart w:id="616" w:name="_Toc226309785"/>
      <w:bookmarkStart w:id="617" w:name="_Toc151193711"/>
      <w:bookmarkStart w:id="618" w:name="_Toc151193929"/>
      <w:bookmarkStart w:id="619" w:name="_Toc142311043"/>
      <w:bookmarkStart w:id="620" w:name="_Toc127151541"/>
      <w:bookmarkStart w:id="621" w:name="_Toc353873941"/>
      <w:bookmarkStart w:id="622" w:name="_Toc353825551"/>
      <w:bookmarkStart w:id="623" w:name="_Toc127151555"/>
      <w:bookmarkStart w:id="624" w:name="_Toc353873665"/>
      <w:bookmarkStart w:id="625" w:name="_Toc150480793"/>
      <w:bookmarkStart w:id="626" w:name="_Toc305158897"/>
      <w:bookmarkStart w:id="627" w:name="_Toc353873935"/>
      <w:bookmarkStart w:id="628" w:name="_Toc142311057"/>
      <w:bookmarkStart w:id="629" w:name="_Toc353825545"/>
      <w:bookmarkStart w:id="630" w:name="_Toc305158823"/>
      <w:bookmarkStart w:id="631" w:name="_Toc226337251"/>
      <w:bookmarkStart w:id="632" w:name="_Toc195842920"/>
      <w:bookmarkStart w:id="633" w:name="_Toc264969245"/>
      <w:bookmarkStart w:id="634" w:name="_Toc150774760"/>
      <w:bookmarkStart w:id="635" w:name="_Toc265228393"/>
      <w:bookmarkStart w:id="636" w:name="_Toc226965828"/>
      <w:r>
        <w:rPr>
          <w:rFonts w:hint="eastAsia" w:ascii="宋体" w:hAnsi="宋体" w:cs="宋体"/>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cs="宋体"/>
          <w:sz w:val="24"/>
          <w:highlight w:val="none"/>
        </w:rPr>
        <w:t>资格性检查和符合性审查</w:t>
      </w:r>
    </w:p>
    <w:p w14:paraId="7E7CF61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highlight w:val="none"/>
        </w:rPr>
        <w:t>无效响应</w:t>
      </w:r>
      <w:r>
        <w:rPr>
          <w:rFonts w:hint="eastAsia" w:ascii="宋体" w:hAnsi="宋体" w:cs="宋体"/>
          <w:sz w:val="24"/>
          <w:highlight w:val="none"/>
        </w:rPr>
        <w:t>处理，磋商小组应当告知提交响应文件的供应商。</w:t>
      </w:r>
    </w:p>
    <w:p w14:paraId="1AF92619">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《资格性检查要求》中对格式有要求的，除竞争性磋商文件另有规定外，均为“实质性格式”文件。</w:t>
      </w:r>
    </w:p>
    <w:p w14:paraId="633755D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《资格性检查要求》见下表：</w:t>
      </w:r>
    </w:p>
    <w:p w14:paraId="5CE4DAE4">
      <w:pPr>
        <w:pageBreakBefore w:val="0"/>
        <w:tabs>
          <w:tab w:val="left" w:pos="900"/>
          <w:tab w:val="left" w:pos="1080"/>
        </w:tabs>
        <w:wordWrap w:val="0"/>
        <w:topLinePunct w:val="0"/>
        <w:bidi w:val="0"/>
        <w:snapToGrid w:val="0"/>
        <w:spacing w:after="0" w:line="360" w:lineRule="auto"/>
        <w:ind w:left="1077" w:firstLine="2650" w:firstLineChars="1100"/>
        <w:textAlignment w:val="auto"/>
        <w:rPr>
          <w:rFonts w:hint="eastAsia" w:ascii="宋体" w:hAnsi="宋体" w:cs="宋体"/>
          <w:b/>
          <w:sz w:val="24"/>
          <w:highlight w:val="none"/>
        </w:rPr>
      </w:pPr>
      <w:r>
        <w:rPr>
          <w:rFonts w:hint="eastAsia" w:ascii="宋体" w:hAnsi="宋体" w:cs="宋体"/>
          <w:b/>
          <w:sz w:val="24"/>
          <w:highlight w:val="none"/>
        </w:rPr>
        <w:t>资格性检查要求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49FC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2AE4919">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bookmarkStart w:id="637" w:name="_Hlt487972895"/>
            <w:bookmarkEnd w:id="637"/>
            <w:r>
              <w:rPr>
                <w:rFonts w:hint="eastAsia" w:ascii="宋体" w:hAnsi="宋体" w:cs="宋体"/>
                <w:b/>
                <w:sz w:val="24"/>
                <w:highlight w:val="none"/>
              </w:rPr>
              <w:t>序号</w:t>
            </w:r>
          </w:p>
        </w:tc>
        <w:tc>
          <w:tcPr>
            <w:tcW w:w="937" w:type="pct"/>
            <w:vAlign w:val="center"/>
          </w:tcPr>
          <w:p w14:paraId="03372FF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检查因素</w:t>
            </w:r>
          </w:p>
        </w:tc>
        <w:tc>
          <w:tcPr>
            <w:tcW w:w="2579" w:type="pct"/>
            <w:vAlign w:val="center"/>
          </w:tcPr>
          <w:p w14:paraId="7738793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检查内容</w:t>
            </w:r>
          </w:p>
        </w:tc>
        <w:tc>
          <w:tcPr>
            <w:tcW w:w="1027" w:type="pct"/>
            <w:vAlign w:val="center"/>
          </w:tcPr>
          <w:p w14:paraId="4C8FF6D3">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格式要求</w:t>
            </w:r>
          </w:p>
        </w:tc>
      </w:tr>
      <w:tr w14:paraId="7DEF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1BDC87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937" w:type="pct"/>
            <w:vAlign w:val="center"/>
          </w:tcPr>
          <w:p w14:paraId="68C05B43">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79" w:type="pct"/>
            <w:vAlign w:val="center"/>
          </w:tcPr>
          <w:p w14:paraId="367A17F9">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具体规定见第一章《采购邀请》。</w:t>
            </w:r>
          </w:p>
        </w:tc>
        <w:tc>
          <w:tcPr>
            <w:tcW w:w="1027" w:type="pct"/>
            <w:vAlign w:val="center"/>
          </w:tcPr>
          <w:p w14:paraId="04F674E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655F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543BB7D">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1-1</w:t>
            </w:r>
          </w:p>
        </w:tc>
        <w:tc>
          <w:tcPr>
            <w:tcW w:w="937" w:type="pct"/>
            <w:vAlign w:val="center"/>
          </w:tcPr>
          <w:p w14:paraId="227C99D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营业执照等证明文件</w:t>
            </w:r>
          </w:p>
        </w:tc>
        <w:tc>
          <w:tcPr>
            <w:tcW w:w="2579" w:type="pct"/>
            <w:vAlign w:val="center"/>
          </w:tcPr>
          <w:p w14:paraId="212637AE">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供应商为企业（包括合伙企业）的，应提供有效的“营业执照”；</w:t>
            </w:r>
          </w:p>
          <w:p w14:paraId="5232C3A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供应商为事业单位的，应提供有效的“事业单位法人证书”；</w:t>
            </w:r>
          </w:p>
          <w:p w14:paraId="00880B4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7E2451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供应商是个体工商户的，应提供有效的“个体工商户营业执照”；</w:t>
            </w:r>
          </w:p>
          <w:p w14:paraId="524CA94F">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供应商是自然人的，应提供有效的自然人身份证明。</w:t>
            </w:r>
          </w:p>
          <w:p w14:paraId="62082A84">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分支机构参加响应的，应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E53FC97">
            <w:pPr>
              <w:pageBreakBefore w:val="0"/>
              <w:tabs>
                <w:tab w:val="left" w:pos="1080"/>
              </w:tabs>
              <w:wordWrap w:val="0"/>
              <w:topLinePunct w:val="0"/>
              <w:bidi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1027" w:type="pct"/>
            <w:vAlign w:val="center"/>
          </w:tcPr>
          <w:p w14:paraId="270E299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0848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FC6D98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1-2</w:t>
            </w:r>
          </w:p>
        </w:tc>
        <w:tc>
          <w:tcPr>
            <w:tcW w:w="937" w:type="pct"/>
            <w:vAlign w:val="center"/>
          </w:tcPr>
          <w:p w14:paraId="5A94D57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供应商资格声明书</w:t>
            </w:r>
          </w:p>
        </w:tc>
        <w:tc>
          <w:tcPr>
            <w:tcW w:w="2579" w:type="pct"/>
            <w:vAlign w:val="center"/>
          </w:tcPr>
          <w:p w14:paraId="1ACDBE2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027" w:type="pct"/>
            <w:vAlign w:val="center"/>
          </w:tcPr>
          <w:p w14:paraId="6205819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3F9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AC52E5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1-3</w:t>
            </w:r>
          </w:p>
        </w:tc>
        <w:tc>
          <w:tcPr>
            <w:tcW w:w="937" w:type="pct"/>
            <w:vAlign w:val="center"/>
          </w:tcPr>
          <w:p w14:paraId="598F251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供应商信用记录</w:t>
            </w:r>
          </w:p>
        </w:tc>
        <w:tc>
          <w:tcPr>
            <w:tcW w:w="2579" w:type="pct"/>
            <w:vAlign w:val="center"/>
          </w:tcPr>
          <w:p w14:paraId="638E64ED">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68C2D12E">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.cn）；</w:t>
            </w:r>
          </w:p>
          <w:p w14:paraId="14DFBFEF">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截止时点：首次响应文件提交截止时间以后、资格性检查阶段采购人或采购代理机构的实际查询时间为准；</w:t>
            </w:r>
          </w:p>
          <w:p w14:paraId="66D2EEB7">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451CD9D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027" w:type="pct"/>
            <w:vAlign w:val="center"/>
          </w:tcPr>
          <w:p w14:paraId="7EDDF48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无须供应商提供，由采购人或采购代理机构查询。</w:t>
            </w:r>
          </w:p>
        </w:tc>
      </w:tr>
      <w:tr w14:paraId="51E45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5E6692B">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1-4</w:t>
            </w:r>
          </w:p>
        </w:tc>
        <w:tc>
          <w:tcPr>
            <w:tcW w:w="937" w:type="pct"/>
            <w:vAlign w:val="center"/>
          </w:tcPr>
          <w:p w14:paraId="335D62E6">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w:t>
            </w:r>
          </w:p>
          <w:p w14:paraId="20A7E7F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规规定的其他条件</w:t>
            </w:r>
          </w:p>
        </w:tc>
        <w:tc>
          <w:tcPr>
            <w:tcW w:w="2579" w:type="pct"/>
            <w:vAlign w:val="center"/>
          </w:tcPr>
          <w:p w14:paraId="647A194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法律、行政法规规定的其他条件。</w:t>
            </w:r>
          </w:p>
        </w:tc>
        <w:tc>
          <w:tcPr>
            <w:tcW w:w="1027" w:type="pct"/>
            <w:vAlign w:val="center"/>
          </w:tcPr>
          <w:p w14:paraId="3B29E93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AE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F5A6C2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937" w:type="pct"/>
            <w:vAlign w:val="center"/>
          </w:tcPr>
          <w:p w14:paraId="0AF507D1">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79" w:type="pct"/>
            <w:vAlign w:val="center"/>
          </w:tcPr>
          <w:p w14:paraId="75398E0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027" w:type="pct"/>
            <w:vAlign w:val="center"/>
          </w:tcPr>
          <w:p w14:paraId="3C0995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1C8F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87E3ED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w:t>
            </w:r>
          </w:p>
        </w:tc>
        <w:tc>
          <w:tcPr>
            <w:tcW w:w="1720" w:type="dxa"/>
            <w:vAlign w:val="center"/>
          </w:tcPr>
          <w:p w14:paraId="6E3E8BC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中小企业政策</w:t>
            </w:r>
          </w:p>
        </w:tc>
        <w:tc>
          <w:tcPr>
            <w:tcW w:w="4732" w:type="dxa"/>
            <w:vAlign w:val="center"/>
          </w:tcPr>
          <w:p w14:paraId="70848BC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885" w:type="dxa"/>
            <w:vAlign w:val="center"/>
          </w:tcPr>
          <w:p w14:paraId="27F27C1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28E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507423D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2-1-1</w:t>
            </w:r>
          </w:p>
        </w:tc>
        <w:tc>
          <w:tcPr>
            <w:tcW w:w="1720" w:type="dxa"/>
            <w:vAlign w:val="center"/>
          </w:tcPr>
          <w:p w14:paraId="1290337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中小企业证明文件</w:t>
            </w:r>
          </w:p>
        </w:tc>
        <w:tc>
          <w:tcPr>
            <w:tcW w:w="4732" w:type="dxa"/>
            <w:vAlign w:val="center"/>
          </w:tcPr>
          <w:p w14:paraId="411445A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当本项目（包）涉及预留份额专门面向中小企业采购，提供如下资料：</w:t>
            </w:r>
          </w:p>
          <w:p w14:paraId="41C22D6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154B8A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3A3D08FB">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46E5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3A1FA38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2-1-2</w:t>
            </w:r>
          </w:p>
        </w:tc>
        <w:tc>
          <w:tcPr>
            <w:tcW w:w="1720" w:type="dxa"/>
            <w:vAlign w:val="center"/>
          </w:tcPr>
          <w:p w14:paraId="6AD0DFE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4732" w:type="dxa"/>
            <w:vAlign w:val="center"/>
          </w:tcPr>
          <w:p w14:paraId="6A2AC92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0672EEF4">
            <w:pPr>
              <w:pageBreakBefore w:val="0"/>
              <w:tabs>
                <w:tab w:val="left" w:pos="1080"/>
              </w:tabs>
              <w:wordWrap w:val="0"/>
              <w:topLinePunct w:val="0"/>
              <w:bidi w:val="0"/>
              <w:snapToGrid w:val="0"/>
              <w:spacing w:after="0" w:line="360" w:lineRule="auto"/>
              <w:textAlignment w:val="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0245B2B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00EE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622E141">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2-2</w:t>
            </w:r>
          </w:p>
        </w:tc>
        <w:tc>
          <w:tcPr>
            <w:tcW w:w="937" w:type="pct"/>
            <w:vAlign w:val="center"/>
          </w:tcPr>
          <w:p w14:paraId="6328611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79" w:type="pct"/>
            <w:vAlign w:val="center"/>
          </w:tcPr>
          <w:p w14:paraId="1F2281F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09E0677A">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769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56EA1AC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w:t>
            </w:r>
          </w:p>
        </w:tc>
        <w:tc>
          <w:tcPr>
            <w:tcW w:w="937" w:type="pct"/>
            <w:vAlign w:val="center"/>
          </w:tcPr>
          <w:p w14:paraId="6E117F9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本项目的特定资格要求</w:t>
            </w:r>
          </w:p>
        </w:tc>
        <w:tc>
          <w:tcPr>
            <w:tcW w:w="2579" w:type="pct"/>
            <w:vAlign w:val="center"/>
          </w:tcPr>
          <w:p w14:paraId="30586D2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4B5FDB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56C5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69ECC69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3-1</w:t>
            </w:r>
          </w:p>
        </w:tc>
        <w:tc>
          <w:tcPr>
            <w:tcW w:w="1720" w:type="dxa"/>
            <w:vAlign w:val="center"/>
          </w:tcPr>
          <w:p w14:paraId="3B8AD41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本项目对于联合体的要求</w:t>
            </w:r>
          </w:p>
        </w:tc>
        <w:tc>
          <w:tcPr>
            <w:tcW w:w="4732" w:type="dxa"/>
            <w:vAlign w:val="center"/>
          </w:tcPr>
          <w:p w14:paraId="57F826C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宋体" w:hAnsi="宋体" w:cs="宋体"/>
                <w:color w:val="000000"/>
                <w:kern w:val="0"/>
                <w:sz w:val="24"/>
                <w:highlight w:val="none"/>
              </w:rPr>
              <w:t>响应</w:t>
            </w:r>
            <w:r>
              <w:rPr>
                <w:rFonts w:hint="eastAsia" w:ascii="宋体" w:hAnsi="宋体" w:cs="宋体"/>
                <w:sz w:val="24"/>
                <w:highlight w:val="none"/>
              </w:rPr>
              <w:t>文件的组成部分，与响应文件其他内容同时递交。</w:t>
            </w:r>
          </w:p>
          <w:p w14:paraId="65F4ED7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004614F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1BA0214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692A565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183E7DB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306A1EA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1885" w:type="dxa"/>
            <w:vAlign w:val="center"/>
          </w:tcPr>
          <w:p w14:paraId="72272E4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提供《联合协议》原件的电子件</w:t>
            </w:r>
          </w:p>
          <w:p w14:paraId="642767C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1956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690B74D7">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3-2</w:t>
            </w:r>
          </w:p>
        </w:tc>
        <w:tc>
          <w:tcPr>
            <w:tcW w:w="1720" w:type="dxa"/>
            <w:vAlign w:val="center"/>
          </w:tcPr>
          <w:p w14:paraId="778E44C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4732" w:type="dxa"/>
            <w:vAlign w:val="center"/>
          </w:tcPr>
          <w:p w14:paraId="27F17CF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1885" w:type="dxa"/>
            <w:vAlign w:val="center"/>
          </w:tcPr>
          <w:p w14:paraId="765478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7AE1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AC94A7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3-3</w:t>
            </w:r>
          </w:p>
        </w:tc>
        <w:tc>
          <w:tcPr>
            <w:tcW w:w="937" w:type="pct"/>
            <w:vAlign w:val="center"/>
          </w:tcPr>
          <w:p w14:paraId="173B1D4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其他特定资格要求</w:t>
            </w:r>
          </w:p>
        </w:tc>
        <w:tc>
          <w:tcPr>
            <w:tcW w:w="2579" w:type="pct"/>
            <w:vAlign w:val="center"/>
          </w:tcPr>
          <w:p w14:paraId="51DE5F6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如有，见第一章《采购邀请》</w:t>
            </w:r>
          </w:p>
          <w:p w14:paraId="5AFE672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1027" w:type="pct"/>
            <w:vAlign w:val="center"/>
          </w:tcPr>
          <w:p w14:paraId="6CC9201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E91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DFE275C">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4</w:t>
            </w:r>
          </w:p>
        </w:tc>
        <w:tc>
          <w:tcPr>
            <w:tcW w:w="937" w:type="pct"/>
            <w:vAlign w:val="center"/>
          </w:tcPr>
          <w:p w14:paraId="5A38B9E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color w:val="000000"/>
                <w:kern w:val="0"/>
                <w:sz w:val="24"/>
                <w:highlight w:val="none"/>
              </w:rPr>
              <w:t>磋商保证金</w:t>
            </w:r>
          </w:p>
        </w:tc>
        <w:tc>
          <w:tcPr>
            <w:tcW w:w="2579" w:type="pct"/>
            <w:vAlign w:val="center"/>
          </w:tcPr>
          <w:p w14:paraId="4D3FD530">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kern w:val="0"/>
                <w:sz w:val="24"/>
                <w:highlight w:val="none"/>
              </w:rPr>
              <w:t>按照竞争性磋商文件的要求提交磋商保证金。</w:t>
            </w:r>
          </w:p>
        </w:tc>
        <w:tc>
          <w:tcPr>
            <w:tcW w:w="1027" w:type="pct"/>
            <w:vAlign w:val="center"/>
          </w:tcPr>
          <w:p w14:paraId="24E2743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E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4AACD40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5</w:t>
            </w:r>
          </w:p>
        </w:tc>
        <w:tc>
          <w:tcPr>
            <w:tcW w:w="1720" w:type="dxa"/>
            <w:vAlign w:val="center"/>
          </w:tcPr>
          <w:p w14:paraId="634F067A">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获取磋商文件</w:t>
            </w:r>
          </w:p>
        </w:tc>
        <w:tc>
          <w:tcPr>
            <w:tcW w:w="4732" w:type="dxa"/>
            <w:vAlign w:val="center"/>
          </w:tcPr>
          <w:p w14:paraId="69B872C6">
            <w:pPr>
              <w:pageBreakBefore w:val="0"/>
              <w:tabs>
                <w:tab w:val="left" w:pos="1080"/>
              </w:tabs>
              <w:wordWrap w:val="0"/>
              <w:topLinePunct w:val="0"/>
              <w:bidi w:val="0"/>
              <w:snapToGrid w:val="0"/>
              <w:spacing w:after="0"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在规定期限内通过北京市政府采购电子交易平台获取所参与包的磋商文件。</w:t>
            </w:r>
          </w:p>
          <w:p w14:paraId="64180AD1">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注：如本项目接受联合体，且供应商为联合体时，联合体中任一成员获取文件即视为满足要求。</w:t>
            </w:r>
          </w:p>
        </w:tc>
        <w:tc>
          <w:tcPr>
            <w:tcW w:w="1027" w:type="pct"/>
            <w:vAlign w:val="center"/>
          </w:tcPr>
          <w:p w14:paraId="0963DB8E">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tc>
      </w:tr>
    </w:tbl>
    <w:p w14:paraId="7FF2EBA5">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254705BD">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《符合性审查要求》见下表：</w:t>
      </w:r>
    </w:p>
    <w:p w14:paraId="30B3F39C">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269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2957A3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21" w:type="pct"/>
            <w:shd w:val="clear" w:color="auto" w:fill="auto"/>
            <w:vAlign w:val="center"/>
          </w:tcPr>
          <w:p w14:paraId="3B7F7CC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因素</w:t>
            </w:r>
          </w:p>
        </w:tc>
        <w:tc>
          <w:tcPr>
            <w:tcW w:w="2505" w:type="pct"/>
            <w:shd w:val="clear" w:color="auto" w:fill="auto"/>
            <w:vAlign w:val="center"/>
          </w:tcPr>
          <w:p w14:paraId="24E3D45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内容</w:t>
            </w:r>
          </w:p>
        </w:tc>
        <w:tc>
          <w:tcPr>
            <w:tcW w:w="1028" w:type="pct"/>
            <w:shd w:val="clear" w:color="auto" w:fill="auto"/>
            <w:vAlign w:val="center"/>
          </w:tcPr>
          <w:p w14:paraId="5355CE7E">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是否允许澄清、</w:t>
            </w:r>
          </w:p>
          <w:p w14:paraId="1DDF9D2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说明或者更正</w:t>
            </w:r>
          </w:p>
        </w:tc>
      </w:tr>
      <w:tr w14:paraId="0A0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45D7D4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21" w:type="pct"/>
            <w:shd w:val="clear" w:color="auto" w:fill="auto"/>
            <w:vAlign w:val="center"/>
          </w:tcPr>
          <w:p w14:paraId="719CFAE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2505" w:type="pct"/>
            <w:shd w:val="clear" w:color="auto" w:fill="auto"/>
            <w:vAlign w:val="center"/>
          </w:tcPr>
          <w:p w14:paraId="2E51E9B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按</w:t>
            </w:r>
            <w:r>
              <w:rPr>
                <w:rFonts w:hint="eastAsia" w:ascii="宋体" w:hAnsi="宋体" w:cs="宋体"/>
                <w:sz w:val="24"/>
                <w:highlight w:val="none"/>
              </w:rPr>
              <w:t>磋商</w:t>
            </w:r>
            <w:r>
              <w:rPr>
                <w:rFonts w:hint="eastAsia" w:ascii="宋体" w:hAnsi="宋体" w:cs="宋体"/>
                <w:color w:val="000000"/>
                <w:kern w:val="0"/>
                <w:sz w:val="24"/>
                <w:highlight w:val="none"/>
              </w:rPr>
              <w:t>文件要求提供授权委托书；</w:t>
            </w:r>
          </w:p>
        </w:tc>
        <w:tc>
          <w:tcPr>
            <w:tcW w:w="1028" w:type="pct"/>
            <w:shd w:val="clear" w:color="auto" w:fill="auto"/>
            <w:vAlign w:val="center"/>
          </w:tcPr>
          <w:p w14:paraId="177F4F0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07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46B025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21" w:type="pct"/>
            <w:shd w:val="clear" w:color="auto" w:fill="auto"/>
            <w:vAlign w:val="center"/>
          </w:tcPr>
          <w:p w14:paraId="28455D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2505" w:type="pct"/>
            <w:shd w:val="clear" w:color="auto" w:fill="auto"/>
            <w:vAlign w:val="center"/>
          </w:tcPr>
          <w:p w14:paraId="08167EE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c>
          <w:tcPr>
            <w:tcW w:w="1028" w:type="pct"/>
            <w:shd w:val="clear" w:color="auto" w:fill="auto"/>
            <w:vAlign w:val="center"/>
          </w:tcPr>
          <w:p w14:paraId="620FD91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7A4F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A51BB8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21" w:type="pct"/>
            <w:shd w:val="clear" w:color="auto" w:fill="auto"/>
            <w:vAlign w:val="center"/>
          </w:tcPr>
          <w:p w14:paraId="5C9474B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2505" w:type="pct"/>
            <w:shd w:val="clear" w:color="auto" w:fill="auto"/>
            <w:vAlign w:val="center"/>
          </w:tcPr>
          <w:p w14:paraId="464EC40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w:t>
            </w:r>
            <w:r>
              <w:rPr>
                <w:rFonts w:hint="eastAsia" w:ascii="宋体" w:hAnsi="宋体" w:cs="宋体"/>
                <w:sz w:val="24"/>
                <w:highlight w:val="none"/>
              </w:rPr>
              <w:t>磋商</w:t>
            </w:r>
            <w:r>
              <w:rPr>
                <w:rFonts w:hint="eastAsia" w:ascii="宋体" w:hAnsi="宋体" w:cs="宋体"/>
                <w:color w:val="000000"/>
                <w:sz w:val="24"/>
                <w:highlight w:val="none"/>
              </w:rPr>
              <w:t>文件中规定的项目/采购包预算金额或者项目/采购包最高限价</w:t>
            </w:r>
            <w:r>
              <w:rPr>
                <w:rFonts w:hint="eastAsia" w:ascii="宋体" w:hAnsi="宋体" w:cs="宋体"/>
                <w:color w:val="000000"/>
                <w:kern w:val="0"/>
                <w:sz w:val="24"/>
                <w:highlight w:val="none"/>
              </w:rPr>
              <w:t>；</w:t>
            </w:r>
          </w:p>
        </w:tc>
        <w:tc>
          <w:tcPr>
            <w:tcW w:w="1028" w:type="pct"/>
            <w:shd w:val="clear" w:color="auto" w:fill="auto"/>
            <w:vAlign w:val="center"/>
          </w:tcPr>
          <w:p w14:paraId="56C262A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7C6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E2E61E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21" w:type="pct"/>
            <w:shd w:val="clear" w:color="auto" w:fill="auto"/>
            <w:vAlign w:val="center"/>
          </w:tcPr>
          <w:p w14:paraId="346F1E68">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2505" w:type="pct"/>
            <w:shd w:val="clear" w:color="auto" w:fill="auto"/>
            <w:vAlign w:val="center"/>
          </w:tcPr>
          <w:p w14:paraId="25EE51C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响应文件未</w:t>
            </w:r>
            <w:r>
              <w:rPr>
                <w:rFonts w:hint="eastAsia" w:ascii="宋体" w:hAnsi="宋体" w:cs="宋体"/>
                <w:sz w:val="24"/>
                <w:highlight w:val="none"/>
              </w:rPr>
              <w:t>出现可选择性或可调整的报价（磋商文件另有规定的除外）</w:t>
            </w:r>
            <w:r>
              <w:rPr>
                <w:rFonts w:hint="eastAsia" w:ascii="宋体" w:hAnsi="宋体" w:cs="宋体"/>
                <w:color w:val="000000"/>
                <w:kern w:val="0"/>
                <w:sz w:val="24"/>
                <w:highlight w:val="none"/>
              </w:rPr>
              <w:t>；</w:t>
            </w:r>
          </w:p>
        </w:tc>
        <w:tc>
          <w:tcPr>
            <w:tcW w:w="1028" w:type="pct"/>
            <w:shd w:val="clear" w:color="auto" w:fill="auto"/>
            <w:vAlign w:val="center"/>
          </w:tcPr>
          <w:p w14:paraId="42C4ED0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54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92255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21" w:type="pct"/>
            <w:shd w:val="clear" w:color="auto" w:fill="auto"/>
            <w:vAlign w:val="center"/>
          </w:tcPr>
          <w:p w14:paraId="15B046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响应有效期</w:t>
            </w:r>
          </w:p>
        </w:tc>
        <w:tc>
          <w:tcPr>
            <w:tcW w:w="2505" w:type="pct"/>
            <w:shd w:val="clear" w:color="auto" w:fill="auto"/>
            <w:vAlign w:val="center"/>
          </w:tcPr>
          <w:p w14:paraId="2694A8F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响应文件中承诺的响应有效期满足</w:t>
            </w:r>
            <w:r>
              <w:rPr>
                <w:rFonts w:hint="eastAsia" w:ascii="宋体" w:hAnsi="宋体" w:cs="宋体"/>
                <w:sz w:val="24"/>
                <w:highlight w:val="none"/>
              </w:rPr>
              <w:t>磋商</w:t>
            </w:r>
            <w:r>
              <w:rPr>
                <w:rFonts w:hint="eastAsia" w:ascii="宋体" w:hAnsi="宋体" w:cs="宋体"/>
                <w:color w:val="000000"/>
                <w:kern w:val="0"/>
                <w:sz w:val="24"/>
                <w:highlight w:val="none"/>
              </w:rPr>
              <w:t>文件中载明的响应有效期的；</w:t>
            </w:r>
          </w:p>
        </w:tc>
        <w:tc>
          <w:tcPr>
            <w:tcW w:w="1028" w:type="pct"/>
            <w:shd w:val="clear" w:color="auto" w:fill="auto"/>
            <w:vAlign w:val="center"/>
          </w:tcPr>
          <w:p w14:paraId="30234CE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763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shd w:val="clear" w:color="auto" w:fill="auto"/>
            <w:vAlign w:val="center"/>
          </w:tcPr>
          <w:p w14:paraId="0BF1FDB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21" w:type="pct"/>
            <w:shd w:val="clear" w:color="auto" w:fill="auto"/>
            <w:vAlign w:val="center"/>
          </w:tcPr>
          <w:p w14:paraId="5D9FCF1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2505" w:type="pct"/>
            <w:shd w:val="clear" w:color="auto" w:fill="auto"/>
            <w:vAlign w:val="center"/>
          </w:tcPr>
          <w:p w14:paraId="56D79AB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w:t>
            </w:r>
            <w:r>
              <w:rPr>
                <w:rFonts w:hint="eastAsia" w:ascii="宋体" w:hAnsi="宋体" w:cs="宋体"/>
                <w:sz w:val="24"/>
                <w:highlight w:val="none"/>
              </w:rPr>
              <w:t>磋商</w:t>
            </w:r>
            <w:r>
              <w:rPr>
                <w:rFonts w:hint="eastAsia" w:ascii="宋体" w:hAnsi="宋体" w:cs="宋体"/>
                <w:kern w:val="0"/>
                <w:sz w:val="24"/>
                <w:highlight w:val="none"/>
              </w:rPr>
              <w:t>文件要求提供且签署、盖章的；</w:t>
            </w:r>
          </w:p>
        </w:tc>
        <w:tc>
          <w:tcPr>
            <w:tcW w:w="1028" w:type="pct"/>
            <w:shd w:val="clear" w:color="auto" w:fill="auto"/>
            <w:vAlign w:val="center"/>
          </w:tcPr>
          <w:p w14:paraId="28581D2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64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2158D5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21" w:type="pct"/>
            <w:shd w:val="clear" w:color="auto" w:fill="auto"/>
            <w:vAlign w:val="center"/>
          </w:tcPr>
          <w:p w14:paraId="5FDC307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2505" w:type="pct"/>
            <w:shd w:val="clear" w:color="auto" w:fill="auto"/>
            <w:vAlign w:val="center"/>
          </w:tcPr>
          <w:p w14:paraId="1D3B90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响应文件满足</w:t>
            </w:r>
            <w:r>
              <w:rPr>
                <w:rFonts w:hint="eastAsia" w:ascii="宋体" w:hAnsi="宋体" w:cs="宋体"/>
                <w:sz w:val="24"/>
                <w:highlight w:val="none"/>
              </w:rPr>
              <w:t>磋商</w:t>
            </w:r>
            <w:r>
              <w:rPr>
                <w:rFonts w:hint="eastAsia" w:ascii="宋体" w:hAnsi="宋体" w:cs="宋体"/>
                <w:color w:val="000000"/>
                <w:kern w:val="0"/>
                <w:sz w:val="24"/>
                <w:highlight w:val="none"/>
              </w:rPr>
              <w:t>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c>
          <w:tcPr>
            <w:tcW w:w="1028" w:type="pct"/>
            <w:shd w:val="clear" w:color="auto" w:fill="auto"/>
            <w:vAlign w:val="center"/>
          </w:tcPr>
          <w:p w14:paraId="11257D3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09F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37A054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21" w:type="pct"/>
            <w:shd w:val="clear" w:color="auto" w:fill="auto"/>
            <w:vAlign w:val="center"/>
          </w:tcPr>
          <w:p w14:paraId="0B29CA9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2505" w:type="pct"/>
            <w:shd w:val="clear" w:color="auto" w:fill="auto"/>
            <w:vAlign w:val="center"/>
          </w:tcPr>
          <w:p w14:paraId="5D4CD89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c>
          <w:tcPr>
            <w:tcW w:w="1028" w:type="pct"/>
            <w:shd w:val="clear" w:color="auto" w:fill="auto"/>
            <w:vAlign w:val="center"/>
          </w:tcPr>
          <w:p w14:paraId="681F0B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429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4202B4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21" w:type="pct"/>
            <w:shd w:val="clear" w:color="auto" w:fill="auto"/>
            <w:vAlign w:val="center"/>
          </w:tcPr>
          <w:p w14:paraId="612900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2505" w:type="pct"/>
            <w:shd w:val="clear" w:color="auto" w:fill="auto"/>
            <w:vAlign w:val="center"/>
          </w:tcPr>
          <w:p w14:paraId="7CFAD589">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3DDEDD8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c>
          <w:tcPr>
            <w:tcW w:w="1028" w:type="pct"/>
            <w:shd w:val="clear" w:color="auto" w:fill="auto"/>
            <w:vAlign w:val="center"/>
          </w:tcPr>
          <w:p w14:paraId="29E49E1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E69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6B635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21" w:type="pct"/>
            <w:shd w:val="clear" w:color="auto" w:fill="auto"/>
            <w:vAlign w:val="center"/>
          </w:tcPr>
          <w:p w14:paraId="572499E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2505" w:type="pct"/>
            <w:shd w:val="clear" w:color="auto" w:fill="auto"/>
            <w:vAlign w:val="center"/>
          </w:tcPr>
          <w:p w14:paraId="3232319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不涉及报价修正，或响应文件报价出现前后不一致时，投标人对修正后的报价予以确认；（如有）</w:t>
            </w:r>
          </w:p>
        </w:tc>
        <w:tc>
          <w:tcPr>
            <w:tcW w:w="1028" w:type="pct"/>
            <w:shd w:val="clear" w:color="auto" w:fill="auto"/>
            <w:vAlign w:val="center"/>
          </w:tcPr>
          <w:p w14:paraId="4AA4C6B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6931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7F863C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21" w:type="pct"/>
            <w:shd w:val="clear" w:color="auto" w:fill="auto"/>
            <w:vAlign w:val="center"/>
          </w:tcPr>
          <w:p w14:paraId="2F19851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2505" w:type="pct"/>
            <w:shd w:val="clear" w:color="auto" w:fill="auto"/>
            <w:vAlign w:val="center"/>
          </w:tcPr>
          <w:p w14:paraId="01149AF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c>
          <w:tcPr>
            <w:tcW w:w="1886" w:type="dxa"/>
            <w:shd w:val="clear" w:color="auto" w:fill="auto"/>
            <w:vAlign w:val="center"/>
          </w:tcPr>
          <w:p w14:paraId="0E8A42D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1E1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93D87D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21" w:type="pct"/>
            <w:shd w:val="clear" w:color="auto" w:fill="auto"/>
            <w:vAlign w:val="center"/>
          </w:tcPr>
          <w:p w14:paraId="08916D7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4E2256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2505" w:type="pct"/>
            <w:shd w:val="clear" w:color="auto" w:fill="auto"/>
            <w:vAlign w:val="center"/>
          </w:tcPr>
          <w:p w14:paraId="165F995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磋商文件不接受进口产品投标的内容时，投标人所投产品非进口产品的；</w:t>
            </w:r>
          </w:p>
        </w:tc>
        <w:tc>
          <w:tcPr>
            <w:tcW w:w="1028" w:type="pct"/>
            <w:shd w:val="clear" w:color="auto" w:fill="auto"/>
            <w:vAlign w:val="center"/>
          </w:tcPr>
          <w:p w14:paraId="6C8AA6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DC1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0DC6D9F">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21" w:type="pct"/>
            <w:shd w:val="clear" w:color="auto" w:fill="auto"/>
            <w:vAlign w:val="center"/>
          </w:tcPr>
          <w:p w14:paraId="236621A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2505" w:type="pct"/>
            <w:shd w:val="clear" w:color="auto" w:fill="auto"/>
            <w:vAlign w:val="center"/>
          </w:tcPr>
          <w:p w14:paraId="2026336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48DCD3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F05B4C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w:t>
            </w:r>
          </w:p>
          <w:p w14:paraId="18F5A5D7">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2E7F7B5">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816A2F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5）项目中涉及涂料、胶黏剂、油墨、清洗剂等挥发性有机物产品，且属于强制性标准的，供应商应执行符合本市和国家的VOCs 含量限制标准。</w:t>
            </w:r>
          </w:p>
        </w:tc>
        <w:tc>
          <w:tcPr>
            <w:tcW w:w="1028" w:type="pct"/>
            <w:shd w:val="clear" w:color="auto" w:fill="auto"/>
            <w:vAlign w:val="center"/>
          </w:tcPr>
          <w:p w14:paraId="57777B4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322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DEFE2E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21" w:type="pct"/>
            <w:shd w:val="clear" w:color="auto" w:fill="auto"/>
            <w:vAlign w:val="center"/>
          </w:tcPr>
          <w:p w14:paraId="16E1331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2505" w:type="pct"/>
            <w:shd w:val="clear" w:color="auto" w:fill="auto"/>
            <w:vAlign w:val="center"/>
          </w:tcPr>
          <w:p w14:paraId="58715AB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c>
          <w:tcPr>
            <w:tcW w:w="1028" w:type="pct"/>
            <w:shd w:val="clear" w:color="auto" w:fill="auto"/>
            <w:vAlign w:val="center"/>
          </w:tcPr>
          <w:p w14:paraId="0FB1C6C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BFC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043A58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21" w:type="pct"/>
            <w:shd w:val="clear" w:color="auto" w:fill="auto"/>
            <w:vAlign w:val="center"/>
          </w:tcPr>
          <w:p w14:paraId="2E320F2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2505" w:type="pct"/>
            <w:shd w:val="clear" w:color="auto" w:fill="auto"/>
            <w:vAlign w:val="center"/>
          </w:tcPr>
          <w:p w14:paraId="517CF0B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shd w:val="clear" w:color="auto" w:fill="auto"/>
            <w:vAlign w:val="center"/>
          </w:tcPr>
          <w:p w14:paraId="412C4FC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70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AB15BF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21" w:type="pct"/>
            <w:shd w:val="clear" w:color="auto" w:fill="auto"/>
            <w:vAlign w:val="center"/>
          </w:tcPr>
          <w:p w14:paraId="5121C7A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2505" w:type="pct"/>
            <w:shd w:val="clear" w:color="auto" w:fill="auto"/>
            <w:vAlign w:val="center"/>
          </w:tcPr>
          <w:p w14:paraId="17F44E7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响应</w:t>
            </w:r>
            <w:r>
              <w:rPr>
                <w:rFonts w:hint="eastAsia" w:ascii="宋体" w:hAnsi="宋体" w:cs="宋体"/>
                <w:color w:val="000000"/>
                <w:kern w:val="0"/>
                <w:sz w:val="24"/>
                <w:highlight w:val="none"/>
              </w:rPr>
              <w:t>文件未含有采购人不能接受的附加条件的；</w:t>
            </w:r>
          </w:p>
        </w:tc>
        <w:tc>
          <w:tcPr>
            <w:tcW w:w="1028" w:type="pct"/>
            <w:shd w:val="clear" w:color="auto" w:fill="auto"/>
            <w:vAlign w:val="center"/>
          </w:tcPr>
          <w:p w14:paraId="1273296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D7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AB66EF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21" w:type="pct"/>
            <w:shd w:val="clear" w:color="auto" w:fill="auto"/>
            <w:vAlign w:val="center"/>
          </w:tcPr>
          <w:p w14:paraId="53CC574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2505" w:type="pct"/>
            <w:shd w:val="clear" w:color="auto" w:fill="auto"/>
            <w:vAlign w:val="center"/>
          </w:tcPr>
          <w:p w14:paraId="613DB65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供应商、响应文件不存在不符合法律、法规和磋商文件规定的其他无效情形。</w:t>
            </w:r>
          </w:p>
        </w:tc>
        <w:tc>
          <w:tcPr>
            <w:tcW w:w="1028" w:type="pct"/>
            <w:shd w:val="clear" w:color="auto" w:fill="auto"/>
            <w:vAlign w:val="center"/>
          </w:tcPr>
          <w:p w14:paraId="1789A0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572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7BA2C19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18</w:t>
            </w:r>
          </w:p>
        </w:tc>
        <w:tc>
          <w:tcPr>
            <w:tcW w:w="921" w:type="pct"/>
            <w:shd w:val="clear" w:color="auto" w:fill="auto"/>
            <w:vAlign w:val="center"/>
          </w:tcPr>
          <w:p w14:paraId="2DE980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含义不明确</w:t>
            </w:r>
          </w:p>
        </w:tc>
        <w:tc>
          <w:tcPr>
            <w:tcW w:w="2505" w:type="pct"/>
            <w:shd w:val="clear" w:color="auto" w:fill="auto"/>
            <w:vAlign w:val="center"/>
          </w:tcPr>
          <w:p w14:paraId="71FAE109">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含义不明确的情形。</w:t>
            </w:r>
          </w:p>
        </w:tc>
        <w:tc>
          <w:tcPr>
            <w:tcW w:w="1028" w:type="pct"/>
            <w:shd w:val="clear" w:color="auto" w:fill="auto"/>
            <w:vAlign w:val="center"/>
          </w:tcPr>
          <w:p w14:paraId="4098153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0A38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753E7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19</w:t>
            </w:r>
          </w:p>
        </w:tc>
        <w:tc>
          <w:tcPr>
            <w:tcW w:w="921" w:type="pct"/>
            <w:shd w:val="clear" w:color="auto" w:fill="auto"/>
            <w:vAlign w:val="center"/>
          </w:tcPr>
          <w:p w14:paraId="40EAB44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同类问题表述不一致</w:t>
            </w:r>
          </w:p>
        </w:tc>
        <w:tc>
          <w:tcPr>
            <w:tcW w:w="4597" w:type="dxa"/>
            <w:shd w:val="clear" w:color="auto" w:fill="auto"/>
            <w:vAlign w:val="center"/>
          </w:tcPr>
          <w:p w14:paraId="0713A99F">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同类问题表述不一致的情形。</w:t>
            </w:r>
          </w:p>
        </w:tc>
        <w:tc>
          <w:tcPr>
            <w:tcW w:w="1886" w:type="dxa"/>
            <w:shd w:val="clear" w:color="auto" w:fill="auto"/>
            <w:vAlign w:val="center"/>
          </w:tcPr>
          <w:p w14:paraId="185EDC5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178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CF860F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20</w:t>
            </w:r>
          </w:p>
        </w:tc>
        <w:tc>
          <w:tcPr>
            <w:tcW w:w="921" w:type="pct"/>
            <w:shd w:val="clear" w:color="auto" w:fill="auto"/>
            <w:vAlign w:val="center"/>
          </w:tcPr>
          <w:p w14:paraId="4FAC15C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有明显文字和计算错误的内容</w:t>
            </w:r>
          </w:p>
        </w:tc>
        <w:tc>
          <w:tcPr>
            <w:tcW w:w="4597" w:type="dxa"/>
            <w:shd w:val="clear" w:color="auto" w:fill="auto"/>
            <w:vAlign w:val="center"/>
          </w:tcPr>
          <w:p w14:paraId="17CD5D46">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有明显文字和计算错误的内容的情形。</w:t>
            </w:r>
          </w:p>
        </w:tc>
        <w:tc>
          <w:tcPr>
            <w:tcW w:w="1886" w:type="dxa"/>
            <w:shd w:val="clear" w:color="auto" w:fill="auto"/>
            <w:vAlign w:val="center"/>
          </w:tcPr>
          <w:p w14:paraId="3C800D5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bl>
    <w:p w14:paraId="5F252DB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磋商、响应文件有关事项的澄清、说明或者更正和最后报价</w:t>
      </w:r>
    </w:p>
    <w:p w14:paraId="305781A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磋商小组所有成员应当集中与单一供应商分别进行磋商，并给予所有参加磋商的供应商平等的磋商机会。</w:t>
      </w:r>
    </w:p>
    <w:p w14:paraId="281591A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E82618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对磋商文件作出的实质性变动是磋商文件的有效组成部分，磋商小组应当及时以书面形式同时通知所有参加磋商的供应商。</w:t>
      </w:r>
    </w:p>
    <w:p w14:paraId="4AE557E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B6A3885">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响应文件的澄清、说明或者更正：</w:t>
      </w:r>
    </w:p>
    <w:p w14:paraId="15072CF9">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F54FA1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highlight w:val="none"/>
        </w:rPr>
        <w:t>无效处理</w:t>
      </w:r>
      <w:r>
        <w:rPr>
          <w:rFonts w:hint="eastAsia" w:ascii="宋体" w:hAnsi="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highlight w:val="none"/>
        </w:rPr>
        <w:t>无效处理</w:t>
      </w:r>
      <w:r>
        <w:rPr>
          <w:rFonts w:hint="eastAsia" w:ascii="宋体" w:hAnsi="宋体" w:cs="宋体"/>
          <w:sz w:val="24"/>
          <w:highlight w:val="none"/>
        </w:rPr>
        <w:t>。</w:t>
      </w:r>
    </w:p>
    <w:p w14:paraId="0A0B0F9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6561AF0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磋商结束后，磋商小组将要求所有实质性响应的供应商在规定时间内提交最后报价。最后报价时间为磋商小组指定的时间，具体时间根据磋商进度另行通知。</w:t>
      </w:r>
    </w:p>
    <w:p w14:paraId="6F85837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10CB0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最后报价是供应商响应文件的有效组成部分。</w:t>
      </w:r>
    </w:p>
    <w:p w14:paraId="4F4A06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已提交响应文件的供应商，在提交最后报价之前，可以根据磋商情况退出磋商。</w:t>
      </w:r>
    </w:p>
    <w:p w14:paraId="65ED8A7B">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最后报价的算术修正及政策调整</w:t>
      </w:r>
    </w:p>
    <w:p w14:paraId="64E686C5">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highlight w:val="none"/>
        </w:rPr>
        <w:t>响应无效</w:t>
      </w:r>
      <w:r>
        <w:rPr>
          <w:rFonts w:hint="eastAsia" w:ascii="宋体" w:hAnsi="宋体" w:cs="宋体"/>
          <w:sz w:val="24"/>
          <w:highlight w:val="none"/>
        </w:rPr>
        <w:t>。</w:t>
      </w:r>
    </w:p>
    <w:p w14:paraId="7ACD179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最后报价出现前后不一致的，按照下列规定修正：</w:t>
      </w:r>
    </w:p>
    <w:p w14:paraId="290F0EDE">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竞争性磋商文件对于报价修正是否另有规定：</w:t>
      </w:r>
    </w:p>
    <w:p w14:paraId="41BA1CCF">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u w:val="single"/>
        </w:rPr>
      </w:pPr>
      <w:r>
        <w:rPr>
          <w:rFonts w:hint="eastAsia" w:ascii="宋体" w:hAnsi="宋体" w:cs="宋体"/>
          <w:sz w:val="24"/>
          <w:highlight w:val="none"/>
        </w:rPr>
        <w:t>□有，具体规定为：___________</w:t>
      </w:r>
    </w:p>
    <w:p w14:paraId="1BF019F4">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■无，按下述3.2.2-3.2.6项规定修正。</w:t>
      </w:r>
    </w:p>
    <w:p w14:paraId="65205691">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24A5E9F8">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单价金额小数点或者百分比有明显错位的，以总价为准，并修改单价；</w:t>
      </w:r>
    </w:p>
    <w:p w14:paraId="0C0D9B26">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105C24C">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4FB87A5">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修正后的报价经供应商书面确认后产生约束力，供应商不确认的，</w:t>
      </w:r>
      <w:r>
        <w:rPr>
          <w:rFonts w:hint="eastAsia" w:ascii="宋体" w:hAnsi="宋体" w:cs="宋体"/>
          <w:b/>
          <w:sz w:val="24"/>
          <w:highlight w:val="none"/>
        </w:rPr>
        <w:t>其响应无效</w:t>
      </w:r>
      <w:r>
        <w:rPr>
          <w:rFonts w:hint="eastAsia" w:ascii="宋体" w:hAnsi="宋体" w:cs="宋体"/>
          <w:sz w:val="24"/>
          <w:highlight w:val="none"/>
        </w:rPr>
        <w:t>。</w:t>
      </w:r>
    </w:p>
    <w:p w14:paraId="508F9AF6">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落实政府采购政策的价格调整：只有符合第二章《供应商须知》4.2条规定情形的，可以享受中小企业扶持政策，用扣除后的价格参加评审；否则，评审时价格不予扣除。</w:t>
      </w:r>
    </w:p>
    <w:p w14:paraId="3038A2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5</w:t>
      </w:r>
      <w:r>
        <w:rPr>
          <w:rFonts w:hint="eastAsia" w:ascii="宋体" w:hAnsi="宋体" w:cs="宋体"/>
          <w:sz w:val="24"/>
          <w:highlight w:val="none"/>
        </w:rPr>
        <w:t>%的扣除，用扣除后的价格参加评审。</w:t>
      </w:r>
    </w:p>
    <w:p w14:paraId="07BA93B3">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lang w:val="en-US" w:eastAsia="zh-CN"/>
        </w:rPr>
        <w:t>2</w:t>
      </w:r>
      <w:r>
        <w:rPr>
          <w:rFonts w:hint="eastAsia" w:ascii="宋体" w:hAnsi="宋体" w:cs="宋体"/>
          <w:sz w:val="24"/>
          <w:highlight w:val="none"/>
        </w:rPr>
        <w:t>%的扣除，用扣除后的价格参加评审。</w:t>
      </w:r>
    </w:p>
    <w:p w14:paraId="1BC0E470">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2086F2F">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289E37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color w:val="000000"/>
          <w:sz w:val="24"/>
          <w:highlight w:val="none"/>
        </w:rPr>
        <w:t>中小企业参加政府采购活动，应当按照竞争性磋商文件给定的格式出具《中小企业声明函》，否则不得享受相关中小企业扶持政策。</w:t>
      </w:r>
    </w:p>
    <w:p w14:paraId="58BFBE95">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EFF505D">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残疾人福利性单位按竞争性磋商文件要求提供了《残疾人福利性单位声明函》的，视同小微企业。</w:t>
      </w:r>
    </w:p>
    <w:p w14:paraId="33BAF1C1">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若供应商同时属于小型或微型企业、监狱企业、残疾人福利性单位中的两种及以上，将不重复享受小微企业价格扣减的优惠政策。</w:t>
      </w:r>
    </w:p>
    <w:p w14:paraId="25D93728">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其他为落实政府采购政策实施的优先采购：无。</w:t>
      </w:r>
    </w:p>
    <w:p w14:paraId="1925BC4C">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磋商环节及提交最后报价后如出现以下情况的，供应商的</w:t>
      </w:r>
      <w:r>
        <w:rPr>
          <w:rFonts w:hint="eastAsia" w:ascii="宋体" w:hAnsi="宋体" w:cs="宋体"/>
          <w:b/>
          <w:sz w:val="24"/>
          <w:highlight w:val="none"/>
        </w:rPr>
        <w:t>响应文件无效</w:t>
      </w:r>
      <w:r>
        <w:rPr>
          <w:rFonts w:hint="eastAsia" w:ascii="宋体" w:hAnsi="宋体" w:cs="宋体"/>
          <w:sz w:val="24"/>
          <w:highlight w:val="none"/>
        </w:rPr>
        <w:t>：</w:t>
      </w:r>
    </w:p>
    <w:p w14:paraId="57B55D04">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供应商对实质性变动不予确认的；</w:t>
      </w:r>
    </w:p>
    <w:p w14:paraId="63BE3F2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不满足磋商文件★号条款或磋商文件技术指标超出磋商文件《采购需求》中主要技术参数允许偏差的最大范围的（如有）；</w:t>
      </w:r>
    </w:p>
    <w:p w14:paraId="1489160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未按照磋商小组规定的时间、逾期提交最后报价的；</w:t>
      </w:r>
    </w:p>
    <w:p w14:paraId="6A1DFA9A">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如供应商的最后报价超过竞争性磋商文件中规定的项目/采购包预算金额或者项目/采购包最高限价的；</w:t>
      </w:r>
    </w:p>
    <w:p w14:paraId="1B23E8C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响应文件中出现可选择性或可调整的报价的（竞争性磋商文件另有规定的除外）；</w:t>
      </w:r>
    </w:p>
    <w:p w14:paraId="4BA5ACF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最后报价出现前后不一致，供应商对修正后的报价不予确认的；</w:t>
      </w:r>
    </w:p>
    <w:p w14:paraId="2DE8C8E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其他：供应商、响应文件不存在不符合法律、法规和磋商文件规定的其他无效情形。</w:t>
      </w:r>
    </w:p>
    <w:bookmarkEnd w:id="621"/>
    <w:bookmarkEnd w:id="622"/>
    <w:p w14:paraId="566F6170">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09F9EFA4">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46B13E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竞争性磋商文件中没有规定的评审标准不得作为评审依据。</w:t>
      </w:r>
    </w:p>
    <w:p w14:paraId="2AE7A75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140C6CD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确定</w:t>
      </w:r>
      <w:bookmarkStart w:id="638" w:name="_Toc226965819"/>
      <w:bookmarkStart w:id="639" w:name="_Toc226337242"/>
      <w:bookmarkStart w:id="640" w:name="_Ref467307010"/>
      <w:bookmarkStart w:id="641" w:name="_Toc127161460"/>
      <w:bookmarkStart w:id="642" w:name="_Toc150509297"/>
      <w:bookmarkStart w:id="643" w:name="_Toc226965736"/>
      <w:bookmarkStart w:id="644" w:name="_Toc151193788"/>
      <w:bookmarkStart w:id="645" w:name="_Toc151193644"/>
      <w:bookmarkStart w:id="646" w:name="_Toc164229387"/>
      <w:bookmarkStart w:id="647" w:name="_Toc142311048"/>
      <w:bookmarkStart w:id="648" w:name="_Toc151193716"/>
      <w:bookmarkStart w:id="649" w:name="_Toc520356170"/>
      <w:bookmarkStart w:id="650" w:name="_Toc164229241"/>
      <w:bookmarkStart w:id="651" w:name="_Toc151193860"/>
      <w:bookmarkStart w:id="652" w:name="_Toc226309790"/>
      <w:bookmarkStart w:id="653" w:name="_Toc150480784"/>
      <w:bookmarkStart w:id="654" w:name="_Toc164608660"/>
      <w:bookmarkStart w:id="655" w:name="_Toc305158888"/>
      <w:bookmarkStart w:id="656" w:name="_Toc151193934"/>
      <w:bookmarkStart w:id="657" w:name="_Toc149720839"/>
      <w:bookmarkStart w:id="658" w:name="_Toc127151546"/>
      <w:bookmarkStart w:id="659" w:name="_Toc305158814"/>
      <w:bookmarkStart w:id="660" w:name="_Toc164351640"/>
      <w:bookmarkStart w:id="661" w:name="_Toc150774646"/>
      <w:bookmarkStart w:id="662" w:name="_Toc164608815"/>
      <w:bookmarkStart w:id="663" w:name="_Toc264969236"/>
      <w:bookmarkStart w:id="664" w:name="_Toc127151747"/>
      <w:bookmarkStart w:id="665" w:name="_Toc195842911"/>
      <w:bookmarkStart w:id="666" w:name="_Toc150774751"/>
      <w:bookmarkStart w:id="667" w:name="_Toc151190173"/>
      <w:bookmarkStart w:id="668" w:name="_Toc265228384"/>
      <w:r>
        <w:rPr>
          <w:rFonts w:hint="eastAsia" w:ascii="宋体" w:hAnsi="宋体" w:cs="宋体"/>
          <w:sz w:val="24"/>
          <w:highlight w:val="none"/>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BB7FD3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C7B39D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szCs w:val="20"/>
          <w:highlight w:val="none"/>
        </w:rPr>
        <w:t>磋商小组根据上述供应商排序，依次推荐排序前</w:t>
      </w:r>
      <w:r>
        <w:rPr>
          <w:rFonts w:hint="eastAsia" w:ascii="宋体" w:hAnsi="宋体" w:cs="宋体"/>
          <w:sz w:val="24"/>
          <w:highlight w:val="none"/>
        </w:rPr>
        <w:t>3名</w:t>
      </w:r>
      <w:r>
        <w:rPr>
          <w:rFonts w:hint="eastAsia" w:ascii="宋体" w:hAnsi="宋体" w:cs="宋体"/>
          <w:kern w:val="0"/>
          <w:sz w:val="24"/>
          <w:szCs w:val="20"/>
          <w:highlight w:val="none"/>
        </w:rPr>
        <w:t>的供应商为</w:t>
      </w:r>
      <w:r>
        <w:rPr>
          <w:rFonts w:hint="eastAsia" w:ascii="宋体" w:hAnsi="宋体" w:cs="宋体"/>
          <w:snapToGrid w:val="0"/>
          <w:kern w:val="0"/>
          <w:sz w:val="24"/>
          <w:szCs w:val="21"/>
          <w:highlight w:val="none"/>
        </w:rPr>
        <w:t>成交候选供应商</w:t>
      </w:r>
      <w:r>
        <w:rPr>
          <w:rFonts w:hint="eastAsia" w:ascii="宋体" w:hAnsi="宋体" w:cs="宋体"/>
          <w:kern w:val="0"/>
          <w:sz w:val="24"/>
          <w:szCs w:val="20"/>
          <w:highlight w:val="none"/>
        </w:rPr>
        <w:t>（若在磋商文件允许的情形下提交最后报价的供应商为二家，则依次推荐二名供应商为成交候选供应商），并编写评审报告。</w:t>
      </w:r>
    </w:p>
    <w:p w14:paraId="3E67ED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磋商小组要对评分汇总情况进行复核，特别是对排名第一的、报价最低的、响应文件被认定为无效的情形进行重点复核。</w:t>
      </w:r>
    </w:p>
    <w:p w14:paraId="341466F3">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报告违法行为</w:t>
      </w:r>
    </w:p>
    <w:p w14:paraId="0DBE3EDD">
      <w:pPr>
        <w:pageBreakBefore w:val="0"/>
        <w:widowControl/>
        <w:numPr>
          <w:ilvl w:val="1"/>
          <w:numId w:val="10"/>
        </w:numPr>
        <w:tabs>
          <w:tab w:val="left" w:pos="1080"/>
          <w:tab w:val="left" w:pos="1872"/>
        </w:tabs>
        <w:wordWrap w:val="0"/>
        <w:topLinePunct w:val="0"/>
        <w:bidi w:val="0"/>
        <w:snapToGrid w:val="0"/>
        <w:spacing w:after="0" w:line="360" w:lineRule="auto"/>
        <w:ind w:left="1077" w:hanging="720"/>
        <w:jc w:val="left"/>
        <w:textAlignment w:val="auto"/>
        <w:rPr>
          <w:rFonts w:hint="eastAsia" w:ascii="宋体" w:hAnsi="宋体" w:cs="宋体"/>
          <w:b/>
          <w:sz w:val="24"/>
          <w:highlight w:val="none"/>
        </w:rPr>
        <w:sectPr>
          <w:headerReference r:id="rId7" w:type="first"/>
          <w:footerReference r:id="rId9" w:type="first"/>
          <w:headerReference r:id="rId6" w:type="even"/>
          <w:footerReference r:id="rId8" w:type="even"/>
          <w:pgSz w:w="11905" w:h="16838"/>
          <w:pgMar w:top="1474" w:right="1474" w:bottom="1474" w:left="1474" w:header="850" w:footer="992" w:gutter="0"/>
          <w:pgNumType w:fmt="decimal"/>
          <w:cols w:space="0" w:num="1"/>
          <w:rtlGutter w:val="0"/>
          <w:docGrid w:linePitch="462" w:charSpace="0"/>
        </w:sectPr>
      </w:pPr>
      <w:r>
        <w:rPr>
          <w:rFonts w:hint="eastAsia" w:ascii="宋体" w:hAnsi="宋体" w:cs="宋体"/>
          <w:sz w:val="24"/>
          <w:highlight w:val="none"/>
        </w:rPr>
        <w:t>磋商小组在评审过程中发现供应商有行贿、提供虚假材料或者串通等违法行为时，应当及时向财政部门报告。</w:t>
      </w:r>
    </w:p>
    <w:p w14:paraId="567E5BCE">
      <w:pPr>
        <w:pStyle w:val="3"/>
        <w:pageBreakBefore w:val="0"/>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p w14:paraId="4839F6F5">
      <w:pPr>
        <w:spacing w:after="0"/>
        <w:rPr>
          <w:rFonts w:ascii="等线" w:hAnsi="等线" w:eastAsia="等线"/>
          <w:szCs w:val="22"/>
        </w:rPr>
      </w:pPr>
    </w:p>
    <w:tbl>
      <w:tblPr>
        <w:tblStyle w:val="4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87"/>
        <w:gridCol w:w="765"/>
        <w:gridCol w:w="5865"/>
      </w:tblGrid>
      <w:tr w14:paraId="66B5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2C99E28F">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序号</w:t>
            </w:r>
          </w:p>
        </w:tc>
        <w:tc>
          <w:tcPr>
            <w:tcW w:w="1587" w:type="dxa"/>
            <w:noWrap w:val="0"/>
            <w:vAlign w:val="center"/>
          </w:tcPr>
          <w:p w14:paraId="6D56DDFA">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评分因素</w:t>
            </w:r>
          </w:p>
        </w:tc>
        <w:tc>
          <w:tcPr>
            <w:tcW w:w="765" w:type="dxa"/>
            <w:noWrap w:val="0"/>
            <w:vAlign w:val="center"/>
          </w:tcPr>
          <w:p w14:paraId="660FCA39">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分值</w:t>
            </w:r>
          </w:p>
        </w:tc>
        <w:tc>
          <w:tcPr>
            <w:tcW w:w="5865" w:type="dxa"/>
            <w:noWrap w:val="0"/>
            <w:vAlign w:val="center"/>
          </w:tcPr>
          <w:p w14:paraId="39298766">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b/>
                <w:i w:val="0"/>
                <w:iCs w:val="0"/>
                <w:sz w:val="24"/>
                <w:highlight w:val="none"/>
              </w:rPr>
              <w:t>评分标准</w:t>
            </w:r>
          </w:p>
        </w:tc>
      </w:tr>
      <w:tr w14:paraId="1313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4"/>
            <w:noWrap w:val="0"/>
            <w:vAlign w:val="center"/>
          </w:tcPr>
          <w:p w14:paraId="15340688">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lang w:val="en-US" w:eastAsia="zh-CN"/>
              </w:rPr>
            </w:pPr>
            <w:r>
              <w:rPr>
                <w:rFonts w:hint="eastAsia" w:ascii="宋体" w:hAnsi="宋体" w:eastAsia="宋体" w:cs="宋体"/>
                <w:i w:val="0"/>
                <w:iCs w:val="0"/>
                <w:szCs w:val="24"/>
                <w:highlight w:val="none"/>
                <w:lang w:val="en-US" w:eastAsia="zh-CN"/>
              </w:rPr>
              <w:t>价格部分</w:t>
            </w:r>
          </w:p>
        </w:tc>
      </w:tr>
      <w:tr w14:paraId="67FC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780" w:type="dxa"/>
            <w:noWrap w:val="0"/>
            <w:vAlign w:val="center"/>
          </w:tcPr>
          <w:p w14:paraId="1A7F4F88">
            <w:pPr>
              <w:pageBreakBefore w:val="0"/>
              <w:topLinePunct w:val="0"/>
              <w:bidi w:val="0"/>
              <w:spacing w:after="0" w:line="360" w:lineRule="auto"/>
              <w:ind w:firstLine="28"/>
              <w:jc w:val="center"/>
              <w:textAlignment w:val="auto"/>
              <w:rPr>
                <w:rFonts w:hint="eastAsia" w:ascii="宋体" w:hAnsi="宋体" w:eastAsia="宋体" w:cs="宋体"/>
                <w:b w:val="0"/>
                <w:bCs/>
                <w:i w:val="0"/>
                <w:iCs w:val="0"/>
                <w:sz w:val="24"/>
                <w:highlight w:val="none"/>
                <w:lang w:val="en-US" w:eastAsia="zh-CN"/>
              </w:rPr>
            </w:pPr>
            <w:r>
              <w:rPr>
                <w:rFonts w:hint="eastAsia" w:ascii="宋体" w:hAnsi="宋体" w:eastAsia="宋体" w:cs="宋体"/>
                <w:b w:val="0"/>
                <w:bCs/>
                <w:i w:val="0"/>
                <w:iCs w:val="0"/>
                <w:sz w:val="24"/>
                <w:highlight w:val="none"/>
                <w:lang w:val="en-US" w:eastAsia="zh-CN"/>
              </w:rPr>
              <w:t>1</w:t>
            </w:r>
          </w:p>
        </w:tc>
        <w:tc>
          <w:tcPr>
            <w:tcW w:w="1587" w:type="dxa"/>
            <w:noWrap w:val="0"/>
            <w:vAlign w:val="center"/>
          </w:tcPr>
          <w:p w14:paraId="6A0637BB">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投标报价</w:t>
            </w:r>
          </w:p>
        </w:tc>
        <w:tc>
          <w:tcPr>
            <w:tcW w:w="765" w:type="dxa"/>
            <w:noWrap w:val="0"/>
            <w:vAlign w:val="center"/>
          </w:tcPr>
          <w:p w14:paraId="70343463">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kern w:val="2"/>
                <w:sz w:val="24"/>
                <w:szCs w:val="24"/>
                <w:highlight w:val="none"/>
                <w:lang w:val="en-US" w:eastAsia="zh-CN" w:bidi="ar-SA"/>
              </w:rPr>
              <w:t>30</w:t>
            </w:r>
          </w:p>
        </w:tc>
        <w:tc>
          <w:tcPr>
            <w:tcW w:w="5865" w:type="dxa"/>
            <w:noWrap w:val="0"/>
            <w:vAlign w:val="center"/>
          </w:tcPr>
          <w:p w14:paraId="750F13A4">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满足磋商文件要求的最后报价最低的供应商的价格为磋商基准价，其价格分为满分。</w:t>
            </w:r>
          </w:p>
          <w:p w14:paraId="6F64BB7B">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其他供应商的价格分统一按照下列公式计算：</w:t>
            </w:r>
          </w:p>
          <w:p w14:paraId="6F5A9958">
            <w:pPr>
              <w:pageBreakBefore w:val="0"/>
              <w:topLinePunct w:val="0"/>
              <w:bidi w:val="0"/>
              <w:spacing w:after="0" w:line="360" w:lineRule="auto"/>
              <w:ind w:left="-38" w:leftChars="0"/>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磋商报价得分=（磋商基准价/最后报价）×</w:t>
            </w:r>
            <w:r>
              <w:rPr>
                <w:rFonts w:hint="eastAsia" w:ascii="宋体" w:hAnsi="宋体" w:eastAsia="宋体" w:cs="宋体"/>
                <w:b w:val="0"/>
                <w:bCs/>
                <w:i w:val="0"/>
                <w:iCs w:val="0"/>
                <w:sz w:val="24"/>
                <w:highlight w:val="none"/>
                <w:lang w:val="en-US" w:eastAsia="zh-CN"/>
              </w:rPr>
              <w:t>分值</w:t>
            </w:r>
          </w:p>
        </w:tc>
      </w:tr>
      <w:tr w14:paraId="4D40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4"/>
            <w:noWrap w:val="0"/>
            <w:vAlign w:val="center"/>
          </w:tcPr>
          <w:p w14:paraId="28D9AF21">
            <w:pPr>
              <w:pStyle w:val="246"/>
              <w:pageBreakBefore w:val="0"/>
              <w:topLinePunct w:val="0"/>
              <w:bidi w:val="0"/>
              <w:spacing w:before="0" w:after="0" w:line="360" w:lineRule="auto"/>
              <w:textAlignment w:val="auto"/>
              <w:rPr>
                <w:rFonts w:hint="eastAsia" w:ascii="宋体" w:hAnsi="宋体" w:eastAsia="宋体" w:cs="宋体"/>
                <w:b/>
                <w:i w:val="0"/>
                <w:iCs w:val="0"/>
                <w:kern w:val="2"/>
                <w:sz w:val="24"/>
                <w:szCs w:val="24"/>
                <w:highlight w:val="none"/>
                <w:lang w:val="en-US" w:eastAsia="zh-CN" w:bidi="ar-SA"/>
              </w:rPr>
            </w:pPr>
            <w:r>
              <w:rPr>
                <w:rFonts w:hint="eastAsia" w:ascii="宋体" w:hAnsi="宋体" w:eastAsia="宋体" w:cs="宋体"/>
                <w:i w:val="0"/>
                <w:iCs w:val="0"/>
                <w:szCs w:val="24"/>
                <w:highlight w:val="none"/>
                <w:lang w:val="en-US" w:eastAsia="zh-CN"/>
              </w:rPr>
              <w:t>商务部分</w:t>
            </w:r>
          </w:p>
        </w:tc>
      </w:tr>
      <w:tr w14:paraId="40AA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2051D7C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7FA9B1E1">
            <w:pPr>
              <w:spacing w:after="0" w:line="276" w:lineRule="auto"/>
              <w:jc w:val="center"/>
              <w:rPr>
                <w:rFonts w:hint="eastAsia" w:ascii="宋体" w:hAnsi="宋体" w:eastAsia="宋体" w:cs="宋体"/>
                <w:i w:val="0"/>
                <w:iCs w:val="0"/>
                <w:sz w:val="24"/>
                <w:highlight w:val="none"/>
              </w:rPr>
            </w:pPr>
            <w:r>
              <w:rPr>
                <w:rFonts w:hint="eastAsia" w:ascii="宋体" w:hAnsi="宋体" w:eastAsia="宋体" w:cs="宋体"/>
                <w:kern w:val="0"/>
                <w:sz w:val="24"/>
                <w:highlight w:val="none"/>
              </w:rPr>
              <w:t>类似案例</w:t>
            </w:r>
          </w:p>
        </w:tc>
        <w:tc>
          <w:tcPr>
            <w:tcW w:w="765" w:type="dxa"/>
            <w:noWrap w:val="0"/>
            <w:vAlign w:val="center"/>
          </w:tcPr>
          <w:p w14:paraId="374E54DC">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3</w:t>
            </w:r>
          </w:p>
        </w:tc>
        <w:tc>
          <w:tcPr>
            <w:tcW w:w="5865" w:type="dxa"/>
            <w:noWrap w:val="0"/>
            <w:vAlign w:val="center"/>
          </w:tcPr>
          <w:p w14:paraId="38E965C0">
            <w:pPr>
              <w:pageBreakBefore w:val="0"/>
              <w:topLinePunct w:val="0"/>
              <w:bidi w:val="0"/>
              <w:spacing w:after="0" w:line="360" w:lineRule="auto"/>
              <w:ind w:firstLine="28"/>
              <w:jc w:val="left"/>
              <w:textAlignment w:val="auto"/>
              <w:rPr>
                <w:rFonts w:hint="eastAsia" w:ascii="宋体" w:hAnsi="宋体" w:eastAsia="宋体" w:cs="宋体"/>
                <w:i w:val="0"/>
                <w:iCs w:val="0"/>
                <w:sz w:val="24"/>
                <w:highlight w:val="none"/>
              </w:rPr>
            </w:pPr>
            <w:r>
              <w:rPr>
                <w:rFonts w:hint="eastAsia" w:ascii="宋体" w:hAnsi="宋体" w:eastAsia="宋体" w:cs="宋体"/>
                <w:sz w:val="24"/>
                <w:highlight w:val="none"/>
              </w:rPr>
              <w:t>投标截止前三</w:t>
            </w:r>
            <w:r>
              <w:rPr>
                <w:rFonts w:hint="eastAsia" w:ascii="宋体" w:hAnsi="宋体" w:eastAsia="宋体" w:cs="宋体"/>
                <w:i w:val="0"/>
                <w:iCs w:val="0"/>
                <w:sz w:val="24"/>
                <w:highlight w:val="none"/>
              </w:rPr>
              <w:t>年内类似项目经验，每提供1份有效业绩得</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分，最多得</w:t>
            </w:r>
            <w:r>
              <w:rPr>
                <w:rFonts w:hint="eastAsia" w:ascii="宋体" w:hAnsi="宋体" w:cs="宋体"/>
                <w:i w:val="0"/>
                <w:iCs w:val="0"/>
                <w:sz w:val="24"/>
                <w:highlight w:val="none"/>
                <w:lang w:val="en-US" w:eastAsia="zh-CN"/>
              </w:rPr>
              <w:t>3</w:t>
            </w:r>
            <w:r>
              <w:rPr>
                <w:rFonts w:hint="eastAsia" w:ascii="宋体" w:hAnsi="宋体" w:eastAsia="宋体" w:cs="宋体"/>
                <w:i w:val="0"/>
                <w:iCs w:val="0"/>
                <w:sz w:val="24"/>
                <w:highlight w:val="none"/>
              </w:rPr>
              <w:t>分。</w:t>
            </w:r>
          </w:p>
          <w:p w14:paraId="4DE6ABF4">
            <w:pPr>
              <w:pageBreakBefore w:val="0"/>
              <w:topLinePunct w:val="0"/>
              <w:bidi w:val="0"/>
              <w:spacing w:after="0" w:line="360" w:lineRule="auto"/>
              <w:ind w:firstLine="28"/>
              <w:jc w:val="left"/>
              <w:textAlignment w:val="auto"/>
              <w:rPr>
                <w:rFonts w:hint="eastAsia" w:ascii="宋体" w:hAnsi="宋体" w:eastAsia="宋体" w:cs="宋体"/>
                <w:i w:val="0"/>
                <w:iCs w:val="0"/>
                <w:szCs w:val="24"/>
                <w:highlight w:val="none"/>
              </w:rPr>
            </w:pPr>
            <w:r>
              <w:rPr>
                <w:rFonts w:hint="eastAsia" w:ascii="宋体" w:hAnsi="宋体" w:eastAsia="宋体" w:cs="宋体"/>
                <w:i w:val="0"/>
                <w:iCs w:val="0"/>
                <w:sz w:val="24"/>
                <w:highlight w:val="none"/>
              </w:rPr>
              <w:t>（须提供合同关键页，包含但不限于：合同首页、服务名称、金额所在页、盖章所在页复印件并加盖公章），否则不得分。</w:t>
            </w:r>
          </w:p>
        </w:tc>
      </w:tr>
      <w:tr w14:paraId="47FD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271C5174">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2</w:t>
            </w:r>
          </w:p>
        </w:tc>
        <w:tc>
          <w:tcPr>
            <w:tcW w:w="1587" w:type="dxa"/>
            <w:noWrap w:val="0"/>
            <w:vAlign w:val="center"/>
          </w:tcPr>
          <w:p w14:paraId="1A69B39F">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现场组织管理机构</w:t>
            </w:r>
          </w:p>
        </w:tc>
        <w:tc>
          <w:tcPr>
            <w:tcW w:w="765" w:type="dxa"/>
            <w:noWrap w:val="0"/>
            <w:vAlign w:val="center"/>
          </w:tcPr>
          <w:p w14:paraId="70DED2D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1F285AAE">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管理机构完整，人员丰富，职责明确得</w:t>
            </w:r>
            <w:r>
              <w:rPr>
                <w:rFonts w:hint="eastAsia" w:ascii="宋体" w:hAnsi="宋体" w:cs="宋体"/>
                <w:i w:val="0"/>
                <w:iCs w:val="0"/>
                <w:sz w:val="24"/>
                <w:highlight w:val="none"/>
                <w:lang w:val="en-US" w:eastAsia="zh-CN"/>
              </w:rPr>
              <w:t>7</w:t>
            </w:r>
            <w:r>
              <w:rPr>
                <w:rFonts w:hint="eastAsia" w:ascii="宋体" w:hAnsi="宋体" w:eastAsia="宋体" w:cs="宋体"/>
                <w:i w:val="0"/>
                <w:iCs w:val="0"/>
                <w:sz w:val="24"/>
                <w:highlight w:val="none"/>
                <w:lang w:val="en-US" w:eastAsia="zh-CN"/>
              </w:rPr>
              <w:t>分；</w:t>
            </w:r>
          </w:p>
          <w:p w14:paraId="09D11774">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管理机构完整，人员一般，职责分工一般得</w:t>
            </w:r>
            <w:r>
              <w:rPr>
                <w:rFonts w:hint="eastAsia" w:ascii="宋体" w:hAnsi="宋体" w:cs="宋体"/>
                <w:i w:val="0"/>
                <w:iCs w:val="0"/>
                <w:sz w:val="24"/>
                <w:highlight w:val="none"/>
                <w:lang w:val="en-US" w:eastAsia="zh-CN"/>
              </w:rPr>
              <w:t>5</w:t>
            </w:r>
            <w:r>
              <w:rPr>
                <w:rFonts w:hint="eastAsia" w:ascii="宋体" w:hAnsi="宋体" w:eastAsia="宋体" w:cs="宋体"/>
                <w:i w:val="0"/>
                <w:iCs w:val="0"/>
                <w:sz w:val="24"/>
                <w:highlight w:val="none"/>
                <w:lang w:val="en-US" w:eastAsia="zh-CN"/>
              </w:rPr>
              <w:t>分；</w:t>
            </w:r>
          </w:p>
          <w:p w14:paraId="52C4DB0D">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管理机构欠缺，人员分工不明确或不完整得</w:t>
            </w:r>
            <w:r>
              <w:rPr>
                <w:rFonts w:hint="eastAsia" w:ascii="宋体" w:hAnsi="宋体" w:cs="宋体"/>
                <w:i w:val="0"/>
                <w:iCs w:val="0"/>
                <w:sz w:val="24"/>
                <w:highlight w:val="none"/>
                <w:lang w:val="en-US" w:eastAsia="zh-CN"/>
              </w:rPr>
              <w:t>3</w:t>
            </w:r>
            <w:r>
              <w:rPr>
                <w:rFonts w:hint="eastAsia" w:ascii="宋体" w:hAnsi="宋体" w:eastAsia="宋体" w:cs="宋体"/>
                <w:i w:val="0"/>
                <w:iCs w:val="0"/>
                <w:sz w:val="24"/>
                <w:highlight w:val="none"/>
                <w:lang w:val="en-US" w:eastAsia="zh-CN"/>
              </w:rPr>
              <w:t>分；</w:t>
            </w:r>
          </w:p>
          <w:p w14:paraId="2FCA229A">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没有不得分</w:t>
            </w:r>
            <w:r>
              <w:rPr>
                <w:rFonts w:hint="eastAsia" w:ascii="宋体" w:hAnsi="宋体" w:eastAsia="宋体" w:cs="宋体"/>
                <w:i w:val="0"/>
                <w:iCs w:val="0"/>
                <w:sz w:val="24"/>
                <w:highlight w:val="none"/>
              </w:rPr>
              <w:t>。</w:t>
            </w:r>
          </w:p>
        </w:tc>
      </w:tr>
      <w:tr w14:paraId="228C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4"/>
            <w:noWrap w:val="0"/>
            <w:vAlign w:val="center"/>
          </w:tcPr>
          <w:p w14:paraId="18EAA1A0">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i w:val="0"/>
                <w:iCs w:val="0"/>
                <w:szCs w:val="24"/>
                <w:highlight w:val="none"/>
                <w:lang w:val="en-US" w:eastAsia="zh-CN"/>
              </w:rPr>
              <w:t>技术部分</w:t>
            </w:r>
          </w:p>
        </w:tc>
      </w:tr>
      <w:tr w14:paraId="1A76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BBFEDC9">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7C8D9B6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施工方案与技术措施</w:t>
            </w:r>
          </w:p>
        </w:tc>
        <w:tc>
          <w:tcPr>
            <w:tcW w:w="765" w:type="dxa"/>
            <w:noWrap w:val="0"/>
            <w:vAlign w:val="center"/>
          </w:tcPr>
          <w:p w14:paraId="1345495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147651EE">
            <w:pPr>
              <w:pageBreakBefore w:val="0"/>
              <w:topLinePunct w:val="0"/>
              <w:bidi w:val="0"/>
              <w:spacing w:after="0" w:line="360" w:lineRule="auto"/>
              <w:ind w:firstLine="28"/>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7B14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F2480F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2</w:t>
            </w:r>
          </w:p>
        </w:tc>
        <w:tc>
          <w:tcPr>
            <w:tcW w:w="1587" w:type="dxa"/>
            <w:noWrap w:val="0"/>
            <w:vAlign w:val="center"/>
          </w:tcPr>
          <w:p w14:paraId="2BC7A0A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质量管理体系与保证措施</w:t>
            </w:r>
          </w:p>
        </w:tc>
        <w:tc>
          <w:tcPr>
            <w:tcW w:w="765" w:type="dxa"/>
            <w:noWrap w:val="0"/>
            <w:vAlign w:val="center"/>
          </w:tcPr>
          <w:p w14:paraId="15CCE31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375381E3">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5FD4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593396C">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w:t>
            </w:r>
          </w:p>
        </w:tc>
        <w:tc>
          <w:tcPr>
            <w:tcW w:w="1587" w:type="dxa"/>
            <w:noWrap w:val="0"/>
            <w:vAlign w:val="center"/>
          </w:tcPr>
          <w:p w14:paraId="5886BD3B">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安全和绿色施工保障措施</w:t>
            </w:r>
          </w:p>
        </w:tc>
        <w:tc>
          <w:tcPr>
            <w:tcW w:w="765" w:type="dxa"/>
            <w:noWrap w:val="0"/>
            <w:vAlign w:val="center"/>
          </w:tcPr>
          <w:p w14:paraId="66E49F9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67AE23C9">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4A8A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5BADD5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4</w:t>
            </w:r>
          </w:p>
        </w:tc>
        <w:tc>
          <w:tcPr>
            <w:tcW w:w="1587" w:type="dxa"/>
            <w:noWrap w:val="0"/>
            <w:vAlign w:val="center"/>
          </w:tcPr>
          <w:p w14:paraId="10312491">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进度计划及保障措施</w:t>
            </w:r>
          </w:p>
        </w:tc>
        <w:tc>
          <w:tcPr>
            <w:tcW w:w="765" w:type="dxa"/>
            <w:noWrap w:val="0"/>
            <w:vAlign w:val="center"/>
          </w:tcPr>
          <w:p w14:paraId="7AAA20A3">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6833224B">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5D3B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2FE8D90D">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5</w:t>
            </w:r>
          </w:p>
        </w:tc>
        <w:tc>
          <w:tcPr>
            <w:tcW w:w="1587" w:type="dxa"/>
            <w:noWrap w:val="0"/>
            <w:vAlign w:val="center"/>
          </w:tcPr>
          <w:p w14:paraId="156F4CD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定位和测量放线施工方案</w:t>
            </w:r>
          </w:p>
        </w:tc>
        <w:tc>
          <w:tcPr>
            <w:tcW w:w="765" w:type="dxa"/>
            <w:noWrap w:val="0"/>
            <w:vAlign w:val="center"/>
          </w:tcPr>
          <w:p w14:paraId="32CC3853">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69F092D3">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462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AC702F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1587" w:type="dxa"/>
            <w:noWrap w:val="0"/>
            <w:vAlign w:val="center"/>
          </w:tcPr>
          <w:p w14:paraId="219890DC">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消防、保卫方案</w:t>
            </w:r>
          </w:p>
        </w:tc>
        <w:tc>
          <w:tcPr>
            <w:tcW w:w="765" w:type="dxa"/>
            <w:noWrap w:val="0"/>
            <w:vAlign w:val="center"/>
          </w:tcPr>
          <w:p w14:paraId="6DFADBE1">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380E4431">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436A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50D4DDB">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7</w:t>
            </w:r>
          </w:p>
        </w:tc>
        <w:tc>
          <w:tcPr>
            <w:tcW w:w="1587" w:type="dxa"/>
            <w:noWrap w:val="0"/>
            <w:vAlign w:val="center"/>
          </w:tcPr>
          <w:p w14:paraId="670042B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冬雨季施工方案</w:t>
            </w:r>
          </w:p>
        </w:tc>
        <w:tc>
          <w:tcPr>
            <w:tcW w:w="765" w:type="dxa"/>
            <w:noWrap w:val="0"/>
            <w:vAlign w:val="center"/>
          </w:tcPr>
          <w:p w14:paraId="04D200F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79B61F8A">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152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1CB3821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8</w:t>
            </w:r>
          </w:p>
        </w:tc>
        <w:tc>
          <w:tcPr>
            <w:tcW w:w="1587" w:type="dxa"/>
            <w:noWrap w:val="0"/>
            <w:vAlign w:val="center"/>
          </w:tcPr>
          <w:p w14:paraId="151F663D">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施工现场总平面布置</w:t>
            </w:r>
          </w:p>
        </w:tc>
        <w:tc>
          <w:tcPr>
            <w:tcW w:w="765" w:type="dxa"/>
            <w:noWrap w:val="0"/>
            <w:vAlign w:val="center"/>
          </w:tcPr>
          <w:p w14:paraId="659D76E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79ADCBF5">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408B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4E8D774">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9</w:t>
            </w:r>
          </w:p>
        </w:tc>
        <w:tc>
          <w:tcPr>
            <w:tcW w:w="1587" w:type="dxa"/>
            <w:noWrap w:val="0"/>
            <w:vAlign w:val="center"/>
          </w:tcPr>
          <w:p w14:paraId="33997FB9">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成品保护和工程保修工作的管理措施和承诺</w:t>
            </w:r>
          </w:p>
        </w:tc>
        <w:tc>
          <w:tcPr>
            <w:tcW w:w="765" w:type="dxa"/>
            <w:noWrap w:val="0"/>
            <w:vAlign w:val="center"/>
          </w:tcPr>
          <w:p w14:paraId="2CBD84D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20C5B1ED">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2CF2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44D5AFBC">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10</w:t>
            </w:r>
          </w:p>
        </w:tc>
        <w:tc>
          <w:tcPr>
            <w:tcW w:w="1587" w:type="dxa"/>
            <w:noWrap w:val="0"/>
            <w:vAlign w:val="center"/>
          </w:tcPr>
          <w:p w14:paraId="2CC0D3D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紧急情况的处理措施、预案以及抵抗风险的措施</w:t>
            </w:r>
          </w:p>
        </w:tc>
        <w:tc>
          <w:tcPr>
            <w:tcW w:w="765" w:type="dxa"/>
            <w:noWrap w:val="0"/>
            <w:vAlign w:val="center"/>
          </w:tcPr>
          <w:p w14:paraId="60C2897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6CF2F46B">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103D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67" w:type="dxa"/>
            <w:gridSpan w:val="2"/>
            <w:noWrap w:val="0"/>
            <w:vAlign w:val="center"/>
          </w:tcPr>
          <w:p w14:paraId="7B4A9CCB">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合计</w:t>
            </w:r>
          </w:p>
        </w:tc>
        <w:tc>
          <w:tcPr>
            <w:tcW w:w="765" w:type="dxa"/>
            <w:noWrap w:val="0"/>
            <w:vAlign w:val="center"/>
          </w:tcPr>
          <w:p w14:paraId="687E273D">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100</w:t>
            </w:r>
          </w:p>
        </w:tc>
        <w:tc>
          <w:tcPr>
            <w:tcW w:w="5865" w:type="dxa"/>
            <w:noWrap w:val="0"/>
            <w:vAlign w:val="center"/>
          </w:tcPr>
          <w:p w14:paraId="2E25F3A3">
            <w:pPr>
              <w:pageBreakBefore w:val="0"/>
              <w:topLinePunct w:val="0"/>
              <w:bidi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bl>
    <w:p w14:paraId="5D00010B">
      <w:pPr>
        <w:pageBreakBefore w:val="0"/>
        <w:wordWrap w:val="0"/>
        <w:topLinePunct w:val="0"/>
        <w:bidi w:val="0"/>
        <w:spacing w:after="0"/>
        <w:textAlignment w:val="auto"/>
        <w:rPr>
          <w:rFonts w:hint="eastAsia" w:ascii="宋体" w:hAnsi="宋体" w:cs="宋体"/>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highlight w:val="none"/>
        </w:rPr>
        <w:t xml:space="preserve">                                        </w:t>
      </w:r>
    </w:p>
    <w:p w14:paraId="7E49DC25">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669" w:name="_Toc24934"/>
      <w:bookmarkStart w:id="670" w:name="_Toc21846"/>
      <w:r>
        <w:rPr>
          <w:rFonts w:hint="eastAsia" w:ascii="宋体" w:hAnsi="宋体" w:cs="宋体"/>
          <w:b/>
          <w:sz w:val="36"/>
          <w:szCs w:val="36"/>
          <w:highlight w:val="none"/>
        </w:rPr>
        <w:t>第四章   采购需求</w:t>
      </w:r>
      <w:bookmarkEnd w:id="669"/>
      <w:bookmarkEnd w:id="670"/>
      <w:bookmarkStart w:id="671" w:name="_Hlk96006087"/>
    </w:p>
    <w:bookmarkEnd w:id="671"/>
    <w:p w14:paraId="728F6B5A">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一、采购标的</w:t>
      </w:r>
    </w:p>
    <w:p w14:paraId="03165BE7">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采购标的（需求一览表或简要服务内容及数量）</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76"/>
        <w:gridCol w:w="1602"/>
        <w:gridCol w:w="600"/>
        <w:gridCol w:w="3579"/>
      </w:tblGrid>
      <w:tr w14:paraId="5BC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ign w:val="center"/>
          </w:tcPr>
          <w:p w14:paraId="0BD0584E">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404" w:type="pct"/>
            <w:noWrap/>
            <w:vAlign w:val="center"/>
          </w:tcPr>
          <w:p w14:paraId="52D8625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873" w:type="pct"/>
            <w:noWrap/>
            <w:vAlign w:val="center"/>
          </w:tcPr>
          <w:p w14:paraId="3827E38D">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采购包预算金额（万元）</w:t>
            </w:r>
          </w:p>
        </w:tc>
        <w:tc>
          <w:tcPr>
            <w:tcW w:w="327" w:type="pct"/>
            <w:noWrap/>
            <w:vAlign w:val="center"/>
          </w:tcPr>
          <w:p w14:paraId="6D516120">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1952" w:type="pct"/>
            <w:noWrap/>
            <w:vAlign w:val="center"/>
          </w:tcPr>
          <w:p w14:paraId="6607FEB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7F5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noWrap/>
            <w:vAlign w:val="center"/>
          </w:tcPr>
          <w:p w14:paraId="73B2281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01</w:t>
            </w:r>
          </w:p>
        </w:tc>
        <w:tc>
          <w:tcPr>
            <w:tcW w:w="1404" w:type="pct"/>
            <w:noWrap/>
            <w:vAlign w:val="center"/>
          </w:tcPr>
          <w:p w14:paraId="14B8BC5F">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乐乎公寓（曾用名“禾苗公寓”）拆除工程</w:t>
            </w:r>
          </w:p>
        </w:tc>
        <w:tc>
          <w:tcPr>
            <w:tcW w:w="873" w:type="pct"/>
            <w:noWrap/>
            <w:vAlign w:val="center"/>
          </w:tcPr>
          <w:p w14:paraId="0E1F3D0A">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306.75506</w:t>
            </w:r>
          </w:p>
        </w:tc>
        <w:tc>
          <w:tcPr>
            <w:tcW w:w="327" w:type="pct"/>
            <w:noWrap/>
            <w:vAlign w:val="center"/>
          </w:tcPr>
          <w:p w14:paraId="5F7568C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1</w:t>
            </w:r>
          </w:p>
        </w:tc>
        <w:tc>
          <w:tcPr>
            <w:tcW w:w="1952" w:type="pct"/>
            <w:noWrap/>
            <w:vAlign w:val="center"/>
          </w:tcPr>
          <w:p w14:paraId="364139FD">
            <w:pPr>
              <w:pageBreakBefore w:val="0"/>
              <w:wordWrap w:val="0"/>
              <w:topLinePunct w:val="0"/>
              <w:bidi w:val="0"/>
              <w:spacing w:after="0" w:line="440" w:lineRule="exact"/>
              <w:textAlignment w:val="auto"/>
              <w:rPr>
                <w:rFonts w:hint="eastAsia" w:ascii="宋体" w:hAnsi="宋体" w:cs="宋体"/>
                <w:sz w:val="24"/>
                <w:highlight w:val="none"/>
              </w:rPr>
            </w:pPr>
            <w:r>
              <w:rPr>
                <w:rFonts w:hint="eastAsia" w:ascii="宋体" w:hAnsi="宋体" w:cs="宋体"/>
                <w:sz w:val="24"/>
                <w:highlight w:val="none"/>
                <w:lang w:eastAsia="zh-CN"/>
              </w:rPr>
              <w:t>乐乎公寓（曾用名“禾苗公寓”）拆除工程</w:t>
            </w:r>
            <w:r>
              <w:rPr>
                <w:rFonts w:hint="eastAsia" w:ascii="宋体" w:hAnsi="宋体" w:cs="宋体"/>
                <w:sz w:val="24"/>
                <w:highlight w:val="none"/>
              </w:rPr>
              <w:t>工程量清单及施工图纸显示的全部工程内容。</w:t>
            </w:r>
          </w:p>
        </w:tc>
      </w:tr>
    </w:tbl>
    <w:p w14:paraId="4BE2DA6A">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项目背景/项目概述</w:t>
      </w:r>
    </w:p>
    <w:p w14:paraId="05DA72EC">
      <w:pPr>
        <w:pageBreakBefore w:val="0"/>
        <w:wordWrap w:val="0"/>
        <w:topLinePunct w:val="0"/>
        <w:bidi w:val="0"/>
        <w:spacing w:after="0" w:line="440" w:lineRule="exact"/>
        <w:ind w:firstLine="420"/>
        <w:textAlignment w:val="auto"/>
        <w:rPr>
          <w:rFonts w:hint="eastAsia" w:ascii="宋体" w:hAnsi="宋体" w:cs="宋体"/>
          <w:sz w:val="24"/>
          <w:highlight w:val="none"/>
          <w:lang w:eastAsia="zh-CN"/>
        </w:rPr>
      </w:pPr>
      <w:r>
        <w:rPr>
          <w:rFonts w:hint="eastAsia" w:ascii="宋体" w:hAnsi="宋体" w:cs="宋体"/>
          <w:sz w:val="24"/>
          <w:highlight w:val="none"/>
          <w:lang w:eastAsia="zh-CN"/>
        </w:rPr>
        <w:t>大台子9号乐乎公寓位于北京市丰台区马家堡街道，共涉及6栋楼，现对其违法建筑开展拆除工作。</w:t>
      </w:r>
    </w:p>
    <w:p w14:paraId="2217977E">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二、商务要求</w:t>
      </w:r>
    </w:p>
    <w:p w14:paraId="7E1B8436">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实施的时间和地点</w:t>
      </w:r>
    </w:p>
    <w:p w14:paraId="00AC0F75">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1.1合同履行期：初步计划工期</w:t>
      </w:r>
      <w:r>
        <w:rPr>
          <w:rFonts w:hint="eastAsia" w:ascii="宋体" w:hAnsi="宋体" w:cs="宋体"/>
          <w:sz w:val="24"/>
          <w:highlight w:val="none"/>
          <w:lang w:val="en-US" w:eastAsia="zh-CN"/>
        </w:rPr>
        <w:t>60</w:t>
      </w:r>
      <w:r>
        <w:rPr>
          <w:rFonts w:hint="eastAsia" w:ascii="宋体" w:hAnsi="宋体" w:cs="宋体"/>
          <w:sz w:val="24"/>
          <w:highlight w:val="none"/>
        </w:rPr>
        <w:t>日历天，具体开工日期及工期，以实际通知为准。</w:t>
      </w:r>
    </w:p>
    <w:p w14:paraId="63D9B2B9">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1.2地点：北京市丰台区。</w:t>
      </w:r>
    </w:p>
    <w:p w14:paraId="31AA5E64">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1.3采购人或者采购代理机构应当按照政府采购合同规定的工程量、服务、安全标准组织对供应商履约情况进行验收，并出具验收书。</w:t>
      </w:r>
    </w:p>
    <w:p w14:paraId="6FF3F8F1">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付款条件</w:t>
      </w:r>
    </w:p>
    <w:p w14:paraId="52D28069">
      <w:pPr>
        <w:pageBreakBefore w:val="0"/>
        <w:wordWrap w:val="0"/>
        <w:topLinePunct w:val="0"/>
        <w:bidi w:val="0"/>
        <w:spacing w:after="0"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本合同签订完成，支付合同款至30%为预付款，经监理</w:t>
      </w:r>
      <w:r>
        <w:rPr>
          <w:rFonts w:hint="eastAsia" w:ascii="宋体" w:hAnsi="宋体" w:cs="宋体"/>
          <w:sz w:val="24"/>
          <w:highlight w:val="none"/>
          <w:lang w:val="en-US" w:eastAsia="zh-CN"/>
        </w:rPr>
        <w:t>和</w:t>
      </w:r>
      <w:r>
        <w:rPr>
          <w:rFonts w:hint="eastAsia" w:ascii="宋体" w:hAnsi="宋体" w:cs="宋体"/>
          <w:sz w:val="24"/>
          <w:highlight w:val="none"/>
        </w:rPr>
        <w:t>发包方确认拆除完成</w:t>
      </w:r>
      <w:r>
        <w:rPr>
          <w:rFonts w:hint="eastAsia" w:ascii="宋体" w:hAnsi="宋体" w:cs="宋体"/>
          <w:sz w:val="24"/>
          <w:highlight w:val="none"/>
          <w:lang w:val="en-US" w:eastAsia="zh-CN"/>
        </w:rPr>
        <w:t>后支付合同款至</w:t>
      </w:r>
      <w:r>
        <w:rPr>
          <w:rFonts w:hint="eastAsia" w:ascii="宋体" w:hAnsi="宋体" w:cs="宋体"/>
          <w:sz w:val="24"/>
          <w:highlight w:val="none"/>
        </w:rPr>
        <w:t>50%</w:t>
      </w:r>
      <w:r>
        <w:rPr>
          <w:rFonts w:hint="eastAsia" w:ascii="宋体" w:hAnsi="宋体" w:cs="宋体"/>
          <w:sz w:val="24"/>
          <w:highlight w:val="none"/>
          <w:lang w:eastAsia="zh-CN"/>
        </w:rPr>
        <w:t>，</w:t>
      </w:r>
      <w:r>
        <w:rPr>
          <w:rFonts w:hint="eastAsia" w:ascii="宋体" w:hAnsi="宋体" w:cs="宋体"/>
          <w:sz w:val="24"/>
          <w:highlight w:val="none"/>
        </w:rPr>
        <w:t>经监理</w:t>
      </w:r>
      <w:r>
        <w:rPr>
          <w:rFonts w:hint="eastAsia" w:ascii="宋体" w:hAnsi="宋体" w:cs="宋体"/>
          <w:sz w:val="24"/>
          <w:highlight w:val="none"/>
          <w:lang w:val="en-US" w:eastAsia="zh-CN"/>
        </w:rPr>
        <w:t>和</w:t>
      </w:r>
      <w:r>
        <w:rPr>
          <w:rFonts w:hint="eastAsia" w:ascii="宋体" w:hAnsi="宋体" w:cs="宋体"/>
          <w:sz w:val="24"/>
          <w:highlight w:val="none"/>
        </w:rPr>
        <w:t>发包方确认全部拆除完成、场地清理合格后</w:t>
      </w:r>
      <w:r>
        <w:rPr>
          <w:rFonts w:hint="eastAsia" w:ascii="宋体" w:hAnsi="宋体" w:cs="宋体"/>
          <w:sz w:val="24"/>
          <w:highlight w:val="none"/>
          <w:lang w:val="en-US" w:eastAsia="zh-CN"/>
        </w:rPr>
        <w:t>支付合同款至80</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lang w:val="en-US" w:eastAsia="zh-CN"/>
        </w:rPr>
        <w:t>项目</w:t>
      </w:r>
      <w:r>
        <w:rPr>
          <w:rFonts w:hint="eastAsia" w:ascii="宋体" w:hAnsi="宋体" w:cs="宋体"/>
          <w:sz w:val="24"/>
          <w:highlight w:val="none"/>
        </w:rPr>
        <w:t>竣工（含废弃物处置验收）后支付</w:t>
      </w:r>
      <w:r>
        <w:rPr>
          <w:rFonts w:hint="eastAsia" w:ascii="宋体" w:hAnsi="宋体" w:cs="宋体"/>
          <w:sz w:val="24"/>
          <w:highlight w:val="none"/>
          <w:lang w:val="en-US" w:eastAsia="zh-CN"/>
        </w:rPr>
        <w:t>合同款</w:t>
      </w:r>
      <w:r>
        <w:rPr>
          <w:rFonts w:hint="eastAsia" w:ascii="宋体" w:hAnsi="宋体" w:cs="宋体"/>
          <w:sz w:val="24"/>
          <w:highlight w:val="none"/>
        </w:rPr>
        <w:t>至97%</w:t>
      </w:r>
      <w:r>
        <w:rPr>
          <w:rFonts w:hint="eastAsia" w:ascii="宋体" w:hAnsi="宋体" w:cs="宋体"/>
          <w:sz w:val="24"/>
          <w:highlight w:val="none"/>
          <w:lang w:eastAsia="zh-CN"/>
        </w:rPr>
        <w:t>，</w:t>
      </w:r>
      <w:r>
        <w:rPr>
          <w:rFonts w:hint="eastAsia" w:ascii="宋体" w:hAnsi="宋体" w:cs="宋体"/>
          <w:sz w:val="24"/>
          <w:highlight w:val="none"/>
        </w:rPr>
        <w:t>剩余3%合同款作为质保金，待质保期满后一次性支付给承包方。但在发包方支付前，承包方须向发包方提供等额、有效发票。</w:t>
      </w:r>
    </w:p>
    <w:p w14:paraId="709527AA">
      <w:pPr>
        <w:pStyle w:val="3"/>
        <w:pageBreakBefore w:val="0"/>
        <w:wordWrap w:val="0"/>
        <w:topLinePunct w:val="0"/>
        <w:bidi w:val="0"/>
        <w:spacing w:after="0" w:line="360" w:lineRule="auto"/>
        <w:jc w:val="both"/>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三、</w:t>
      </w:r>
      <w:r>
        <w:rPr>
          <w:rFonts w:hint="eastAsia" w:ascii="宋体" w:hAnsi="宋体" w:eastAsia="宋体" w:cs="宋体"/>
          <w:sz w:val="24"/>
          <w:szCs w:val="28"/>
          <w:highlight w:val="none"/>
        </w:rPr>
        <w:t>工程量清单</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另附</w:t>
      </w:r>
      <w:r>
        <w:rPr>
          <w:rFonts w:hint="eastAsia" w:ascii="宋体" w:hAnsi="宋体" w:eastAsia="宋体" w:cs="宋体"/>
          <w:sz w:val="24"/>
          <w:szCs w:val="28"/>
          <w:highlight w:val="none"/>
          <w:lang w:eastAsia="zh-CN"/>
        </w:rPr>
        <w:t>）</w:t>
      </w:r>
    </w:p>
    <w:p w14:paraId="73A1A495">
      <w:pPr>
        <w:pageBreakBefore w:val="0"/>
        <w:wordWrap w:val="0"/>
        <w:topLinePunct w:val="0"/>
        <w:bidi w:val="0"/>
        <w:spacing w:after="0" w:line="440" w:lineRule="exact"/>
        <w:textAlignment w:val="auto"/>
        <w:rPr>
          <w:rFonts w:hAnsi="宋体" w:cs="宋体"/>
          <w:sz w:val="24"/>
          <w:highlight w:val="none"/>
        </w:rPr>
      </w:pPr>
      <w:r>
        <w:rPr>
          <w:highlight w:val="none"/>
        </w:rPr>
        <w:t xml:space="preserve">              </w:t>
      </w:r>
    </w:p>
    <w:p w14:paraId="1B33EB55">
      <w:pPr>
        <w:pageBreakBefore w:val="0"/>
        <w:wordWrap w:val="0"/>
        <w:topLinePunct w:val="0"/>
        <w:bidi w:val="0"/>
        <w:spacing w:after="0" w:line="440" w:lineRule="exact"/>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1D7D174">
      <w:pPr>
        <w:pStyle w:val="3"/>
        <w:pageBreakBefore w:val="0"/>
        <w:wordWrap w:val="0"/>
        <w:topLinePunct w:val="0"/>
        <w:bidi w:val="0"/>
        <w:spacing w:after="0" w:line="360" w:lineRule="auto"/>
        <w:jc w:val="both"/>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四、技术标准及要求</w:t>
      </w:r>
    </w:p>
    <w:p w14:paraId="3F8B241C">
      <w:pPr>
        <w:pStyle w:val="250"/>
        <w:pageBreakBefore w:val="0"/>
        <w:wordWrap w:val="0"/>
        <w:topLinePunct w:val="0"/>
        <w:bidi w:val="0"/>
        <w:spacing w:before="120" w:after="0"/>
        <w:textAlignment w:val="auto"/>
        <w:outlineLvl w:val="2"/>
        <w:rPr>
          <w:rFonts w:hint="eastAsia" w:ascii="宋体" w:hAnsi="宋体" w:eastAsia="宋体"/>
          <w:b/>
          <w:sz w:val="24"/>
          <w:szCs w:val="24"/>
          <w:highlight w:val="none"/>
          <w:shd w:val="clear" w:color="auto" w:fill="FFFFFF"/>
        </w:rPr>
      </w:pPr>
      <w:r>
        <w:rPr>
          <w:rFonts w:hint="eastAsia" w:ascii="宋体" w:hAnsi="宋体" w:eastAsia="宋体"/>
          <w:b/>
          <w:sz w:val="24"/>
          <w:szCs w:val="24"/>
          <w:highlight w:val="none"/>
          <w:shd w:val="clear" w:color="auto" w:fill="FFFFFF"/>
        </w:rPr>
        <w:t>技术标准和要求通用部分</w:t>
      </w:r>
    </w:p>
    <w:p w14:paraId="57F51F43">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72" w:name="_Toc96504942"/>
      <w:bookmarkStart w:id="673" w:name="_Toc96352127"/>
      <w:bookmarkStart w:id="674" w:name="_Toc24705"/>
      <w:bookmarkStart w:id="675" w:name="_Toc96529953"/>
      <w:bookmarkStart w:id="676" w:name="_Toc96505331"/>
      <w:r>
        <w:rPr>
          <w:rFonts w:hint="eastAsia" w:ascii="宋体" w:hAnsi="宋体" w:cs="宋体"/>
          <w:sz w:val="24"/>
          <w:highlight w:val="none"/>
        </w:rPr>
        <w:t>1.工程说明</w:t>
      </w:r>
      <w:bookmarkEnd w:id="672"/>
      <w:bookmarkEnd w:id="673"/>
      <w:bookmarkEnd w:id="674"/>
      <w:bookmarkEnd w:id="675"/>
      <w:bookmarkEnd w:id="676"/>
    </w:p>
    <w:p w14:paraId="71BD260D">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  工程概况</w:t>
      </w:r>
    </w:p>
    <w:p w14:paraId="0069C3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  本工程基本情况见技术标准和要求专用部分。</w:t>
      </w:r>
    </w:p>
    <w:p w14:paraId="747711B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  本工程施工场地（现场）具体地理位置见技术标准和要求专用部分。</w:t>
      </w:r>
    </w:p>
    <w:p w14:paraId="16EF1C55">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1.2  现场条件和周围环境</w:t>
      </w:r>
    </w:p>
    <w:p w14:paraId="6E1EA6F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1.2.1  本工程施工场地（现场）已经具备施工条件。施工场地（现场）临时水源接口位置、临时电源接口位置、临时排污口位置、建筑红线位置、道路交通和出入口、以及施工场地（现场）和周围环境等情况见本章附图：施工场地（现场）现状平面图。</w:t>
      </w:r>
    </w:p>
    <w:p w14:paraId="28F94E5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1.2.2  施工场地（现场）临时供水管径见技术标准和要求专用部分。</w:t>
      </w:r>
    </w:p>
    <w:p w14:paraId="7F403B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施工场地（现场）临时排污管径见技术标准和要求专用部分。</w:t>
      </w:r>
    </w:p>
    <w:p w14:paraId="5E42DE2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施工场地（现场）临时雨水管径见技术标准和要求专用部分。</w:t>
      </w:r>
    </w:p>
    <w:p w14:paraId="4652088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施工场地（现场）临时供电容量（变压器输出功率）见技术标准和要求专用部分。</w:t>
      </w:r>
    </w:p>
    <w:p w14:paraId="541E65B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1.2.3  现场条件和周围环境的其他资料和信息数据见技术标准和要求专用部分。</w:t>
      </w:r>
    </w:p>
    <w:p w14:paraId="2D30A6D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1.2.4  承包人被认为已在本工程投标阶段踏勘现场时充分了解本工程现场条件和周围环境，并已在其投标时就此给予了充分的考虑。</w:t>
      </w:r>
    </w:p>
    <w:p w14:paraId="3E7DA15B">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1.3  地质及水文资料</w:t>
      </w:r>
    </w:p>
    <w:p w14:paraId="74A407A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现场地质及水文资料和信息数据见技术标准和要求专用部分。</w:t>
      </w:r>
    </w:p>
    <w:p w14:paraId="53C7A66E">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  资料和信息的使用</w:t>
      </w:r>
    </w:p>
    <w:p w14:paraId="2D48AC7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580E3224">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77" w:name="_Toc96352128"/>
      <w:bookmarkStart w:id="678" w:name="_Toc96529954"/>
      <w:bookmarkStart w:id="679" w:name="_Toc96505332"/>
      <w:bookmarkStart w:id="680" w:name="_Toc29131"/>
      <w:bookmarkStart w:id="681" w:name="_Toc96504943"/>
      <w:r>
        <w:rPr>
          <w:rFonts w:hint="eastAsia" w:ascii="宋体" w:hAnsi="宋体" w:cs="宋体"/>
          <w:sz w:val="24"/>
          <w:highlight w:val="none"/>
        </w:rPr>
        <w:t>2.承包范围</w:t>
      </w:r>
      <w:bookmarkEnd w:id="677"/>
      <w:bookmarkEnd w:id="678"/>
      <w:bookmarkEnd w:id="679"/>
      <w:bookmarkEnd w:id="680"/>
      <w:bookmarkEnd w:id="681"/>
    </w:p>
    <w:p w14:paraId="33A67D2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2.1  承包范围</w:t>
      </w:r>
    </w:p>
    <w:p w14:paraId="151BEE2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2.1.1  承包人施工范围</w:t>
      </w:r>
    </w:p>
    <w:p w14:paraId="6B8B1ADD">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2.1.1.1  本工程承包人施工的工程范围见技术标准和要求专用部分。</w:t>
      </w:r>
    </w:p>
    <w:p w14:paraId="529276F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2.1.1.2  承包人与其他独立承包人之间的工作界面划分见技术标准和要求专用部分。</w:t>
      </w:r>
    </w:p>
    <w:p w14:paraId="57E9A9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2.1.2  承包范围内的暂估价材料和工程设备</w:t>
      </w:r>
    </w:p>
    <w:p w14:paraId="3A11FB0B">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2.1.2.1  承包范围内以暂估价形式实施的材料和工程设备见 “工程量清单”表 “材料和工程设备暂估表”。</w:t>
      </w:r>
    </w:p>
    <w:p w14:paraId="5ED8B4AE">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2.1.2.2  承包人与暂估价材料和工程设备的供应商之间的工作界面划分见技术标准和要求专用部分。</w:t>
      </w:r>
    </w:p>
    <w:p w14:paraId="3A984F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2.1.3  承包范围内的暂列金额项目</w:t>
      </w:r>
    </w:p>
    <w:p w14:paraId="0028146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2.1.3.1  以暂列金额（包括计日工）方式实施的项目一般包括两部分，见 “工程量清单”表“暂列金额明细表”（不包括计日工）和表“计日工表”；其中，计日工金额为承包人在其投标报价中按表“计日工表”所列计日工子目、暂估数量等相应规定填报的金额，构成暂列金额的一部分。</w:t>
      </w:r>
    </w:p>
    <w:p w14:paraId="1CA24599">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2.1.3.2  暂列金额明细表中每笔暂列金额所对应的子目，或计日工表中所列计日工子目，均只是可能发生的子目。承包人应当充分认识到，合同履行过程中所列上述暂列子目项金额可能不发生，也可能部分发生。监理人按照合同约定发出的使用暂列金额的指示，不限于只能用于上述表中所列子目。</w:t>
      </w:r>
    </w:p>
    <w:p w14:paraId="1854C432">
      <w:pPr>
        <w:pageBreakBefore w:val="0"/>
        <w:wordWrap w:val="0"/>
        <w:topLinePunct w:val="0"/>
        <w:bidi w:val="0"/>
        <w:adjustRightInd w:val="0"/>
        <w:snapToGrid w:val="0"/>
        <w:spacing w:after="0" w:line="360" w:lineRule="auto"/>
        <w:ind w:firstLine="960" w:firstLineChars="400"/>
        <w:textAlignment w:val="auto"/>
        <w:rPr>
          <w:rFonts w:hint="eastAsia" w:ascii="宋体" w:hAnsi="宋体" w:cs="宋体"/>
          <w:sz w:val="24"/>
          <w:highlight w:val="none"/>
        </w:rPr>
      </w:pPr>
      <w:r>
        <w:rPr>
          <w:rFonts w:hint="eastAsia" w:ascii="宋体" w:hAnsi="宋体" w:cs="宋体"/>
          <w:sz w:val="24"/>
          <w:highlight w:val="none"/>
        </w:rPr>
        <w:t>2.1.3.3  暂列金额是否实际发生、其再分和（或）合并等均不应成为承包人要求任何追加费用和(或)延长工期的理由。</w:t>
      </w:r>
    </w:p>
    <w:p w14:paraId="06F76A37">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2.1.3.4  关于暂列金额的其他说明见技术标准和要求专用部分。</w:t>
      </w:r>
    </w:p>
    <w:p w14:paraId="5CB26E5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2.2  发包人供应的材料和工程设备</w:t>
      </w:r>
    </w:p>
    <w:p w14:paraId="4440A9F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2.2.1  由发包人供应的材料和工程设备不属于承包人的承包范围。</w:t>
      </w:r>
    </w:p>
    <w:p w14:paraId="7FC5742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2.2.2  承包人与发包人供应的材料和设备供应商之间的工作界面划分见技术标准和要求专用部分。</w:t>
      </w:r>
    </w:p>
    <w:p w14:paraId="55069719">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2.3  承包人需要为发包人和监理人提供的现场办公条件和设施</w:t>
      </w:r>
    </w:p>
    <w:p w14:paraId="78DF6F1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承包人需要为发包人和监理人提供的现场办公条件和设施及其详细要求见技术标准和要求专用部分。</w:t>
      </w:r>
    </w:p>
    <w:p w14:paraId="2EB6FEA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82" w:name="_Toc96505333"/>
      <w:bookmarkStart w:id="683" w:name="_Toc3549"/>
      <w:bookmarkStart w:id="684" w:name="_Toc96352129"/>
      <w:bookmarkStart w:id="685" w:name="_Toc96529955"/>
      <w:bookmarkStart w:id="686" w:name="_Toc96504944"/>
      <w:r>
        <w:rPr>
          <w:rFonts w:hint="eastAsia" w:ascii="宋体" w:hAnsi="宋体" w:cs="宋体"/>
          <w:sz w:val="24"/>
          <w:highlight w:val="none"/>
        </w:rPr>
        <w:t>3.工期要求</w:t>
      </w:r>
      <w:bookmarkEnd w:id="682"/>
      <w:bookmarkEnd w:id="683"/>
      <w:bookmarkEnd w:id="684"/>
      <w:bookmarkEnd w:id="685"/>
      <w:bookmarkEnd w:id="686"/>
    </w:p>
    <w:p w14:paraId="3D555452">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3.1  合同工期</w:t>
      </w:r>
    </w:p>
    <w:p w14:paraId="0D9091F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本工程合同工期和计划开、竣工日期为承包人在报价一览表中承诺的工期和计划开、竣工日期，并在合同协议书中载明。</w:t>
      </w:r>
    </w:p>
    <w:p w14:paraId="7E3CE28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3.2  关于工期的一般规定</w:t>
      </w:r>
    </w:p>
    <w:p w14:paraId="00CB7CE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3.2.1  承包人在报价一览表中，承诺的工期和计划开、竣工日期之间发生矛盾或者不一致时，以承包人承诺的工期为准。实际开工日期以合同条款约定的监理人发出的开工通知中载明的开工日期为准。</w:t>
      </w:r>
    </w:p>
    <w:p w14:paraId="1982BF2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3.2.2  如果承包人在报价一览表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47EBCE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3.2.3  承包人在报价一览表中，所承诺的工期应当包括实施并完成“承包范围内的暂列金额项目”规定的暂列金额在内的所有工作的工期。</w:t>
      </w:r>
    </w:p>
    <w:p w14:paraId="3C5DE499">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87" w:name="_Toc96529956"/>
      <w:bookmarkStart w:id="688" w:name="_Toc96504945"/>
      <w:bookmarkStart w:id="689" w:name="_Toc96352130"/>
      <w:bookmarkStart w:id="690" w:name="_Toc15236"/>
      <w:bookmarkStart w:id="691" w:name="_Toc96505334"/>
      <w:r>
        <w:rPr>
          <w:rFonts w:hint="eastAsia" w:ascii="宋体" w:hAnsi="宋体" w:cs="宋体"/>
          <w:sz w:val="24"/>
          <w:highlight w:val="none"/>
        </w:rPr>
        <w:t>4.质量要求</w:t>
      </w:r>
      <w:bookmarkEnd w:id="687"/>
      <w:bookmarkEnd w:id="688"/>
      <w:bookmarkEnd w:id="689"/>
      <w:bookmarkEnd w:id="690"/>
      <w:bookmarkEnd w:id="691"/>
    </w:p>
    <w:p w14:paraId="79178683">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4.1  质量标准</w:t>
      </w:r>
    </w:p>
    <w:p w14:paraId="169053F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本工程要求的质量标准为符合现行国家有关工程施工验收规范和标准的要求（合格）。</w:t>
      </w:r>
    </w:p>
    <w:p w14:paraId="39F2E940">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4.2  特殊质量要求</w:t>
      </w:r>
    </w:p>
    <w:p w14:paraId="36EB1C0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有关本工程质量方面的特殊要求见技术标准和要求专用部分。</w:t>
      </w:r>
    </w:p>
    <w:p w14:paraId="749E57C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92" w:name="_Toc96529957"/>
      <w:bookmarkStart w:id="693" w:name="_Toc96505335"/>
      <w:bookmarkStart w:id="694" w:name="_Toc96504946"/>
      <w:bookmarkStart w:id="695" w:name="_Toc6119"/>
      <w:bookmarkStart w:id="696" w:name="_Toc96352131"/>
      <w:r>
        <w:rPr>
          <w:rFonts w:hint="eastAsia" w:ascii="宋体" w:hAnsi="宋体" w:cs="宋体"/>
          <w:sz w:val="24"/>
          <w:highlight w:val="none"/>
        </w:rPr>
        <w:t>5.适用规范和标准</w:t>
      </w:r>
      <w:bookmarkEnd w:id="692"/>
      <w:bookmarkEnd w:id="693"/>
      <w:bookmarkEnd w:id="694"/>
      <w:bookmarkEnd w:id="695"/>
      <w:bookmarkEnd w:id="696"/>
    </w:p>
    <w:p w14:paraId="799B8D4B">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5.1  除合同另有约定外，本工程适用现行国家、行业和地方规范、标准和规程。适用于本工程的国家、行业和地方的规范、标准和规程等的名录见技术标准和要求专用部分。</w:t>
      </w:r>
    </w:p>
    <w:p w14:paraId="5F886211">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5.2  构成合同文件的任何内容与适用的规范、标准和规程之间出现矛盾，承包人应书面要求监理人予以澄清，除监理人有特别指示外，承包人应按照其中要求最严格的标准执行。</w:t>
      </w:r>
    </w:p>
    <w:p w14:paraId="0E270EB4">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14:paraId="0B6BD1C8">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97" w:name="_Toc96504947"/>
      <w:bookmarkStart w:id="698" w:name="_Toc96529958"/>
      <w:bookmarkStart w:id="699" w:name="_Toc96505336"/>
      <w:bookmarkStart w:id="700" w:name="_Toc96352132"/>
      <w:bookmarkStart w:id="701" w:name="_Toc20972"/>
      <w:r>
        <w:rPr>
          <w:rFonts w:hint="eastAsia" w:ascii="宋体" w:hAnsi="宋体" w:cs="宋体"/>
          <w:sz w:val="24"/>
          <w:highlight w:val="none"/>
        </w:rPr>
        <w:t>6.安全文明施工</w:t>
      </w:r>
      <w:bookmarkEnd w:id="697"/>
      <w:bookmarkEnd w:id="698"/>
      <w:bookmarkEnd w:id="699"/>
      <w:bookmarkEnd w:id="700"/>
      <w:bookmarkEnd w:id="701"/>
    </w:p>
    <w:p w14:paraId="425B969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6.1  安全防护</w:t>
      </w:r>
    </w:p>
    <w:p w14:paraId="4EACC36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  在工程施工、竣工、交付及修补任何缺陷的过程中，承包人应当始终遵守国家和地方有关安全生产的法律、法规、规范、标准和规程等，按照合同条款的约定履行其安全施工职责。</w:t>
      </w:r>
    </w:p>
    <w:p w14:paraId="54D1D24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6.1.2  承包人应坚持“安全第一、预防为主</w:t>
      </w:r>
      <w:r>
        <w:rPr>
          <w:rFonts w:hint="eastAsia" w:ascii="宋体" w:hAnsi="宋体" w:cs="宋体"/>
          <w:sz w:val="24"/>
          <w:highlight w:val="none"/>
          <w:shd w:val="clear" w:color="auto" w:fill="FFFFFF"/>
        </w:rPr>
        <w:t>、综合治理</w:t>
      </w:r>
      <w:r>
        <w:rPr>
          <w:rFonts w:hint="eastAsia" w:ascii="宋体" w:hAnsi="宋体" w:cs="宋体"/>
          <w:sz w:val="24"/>
          <w:highlight w:val="none"/>
        </w:rPr>
        <w:t>”的方针，建立、健全安全生产责任制度和安全生产教育培训制度。在整个工程施工期间，承包人应在施工场地（现场）设立、提供和维护并在有关工作完成或竣工后撤除：</w:t>
      </w:r>
    </w:p>
    <w:p w14:paraId="107D226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(1)设立在现场入口显著位置的现场施工总平面图、总平面管理、安全生产、文明施工、环境保护、质量控制、材料管理等的规章制度和主要参建单位名称和工程概况等说明的图板；</w:t>
      </w:r>
    </w:p>
    <w:p w14:paraId="2B9C66E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(2)为确保工程安全施工须设立的足够的标志、宣传画、标语、指示牌、警告牌、公示牌（如，职工工伤保险公示标牌）、火警、匪警和急救电话提示牌等等；</w:t>
      </w:r>
    </w:p>
    <w:p w14:paraId="2A24CEA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(3)洞口和临边位置的安全防护设施，包括护身栏杆、脚手架、洞口盖板和加筋、竖井防护栏杆、防护棚、防护网、坡道等等；</w:t>
      </w:r>
    </w:p>
    <w:p w14:paraId="6119175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(4)安全带、安全绳、安全帽、安全网、绝缘鞋、绝缘手套、防护口罩和防护衣等安全生产用品；</w:t>
      </w:r>
    </w:p>
    <w:p w14:paraId="1AA043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(5)所有机械设备包括各类电动工具的安全保护和接地装置和操作说明；</w:t>
      </w:r>
    </w:p>
    <w:p w14:paraId="11563DA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(6)装备良好的临时急救站和配备称职的医护人员；</w:t>
      </w:r>
    </w:p>
    <w:p w14:paraId="348922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(7)主要作业场所和临时安全疏散通道24小时36伏安全照明和必要的警示等以防止各种可能的事故；</w:t>
      </w:r>
    </w:p>
    <w:p w14:paraId="0BEE8D9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(8)足够数量的和合格的手提灭火器；</w:t>
      </w:r>
    </w:p>
    <w:p w14:paraId="59BA0E7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(9)装备良好的易燃易爆物品仓库和相应的使用管理制度；</w:t>
      </w:r>
    </w:p>
    <w:p w14:paraId="51CA42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(10)对涉及明火施工的工作制定诸如用火证等的管理制度；</w:t>
      </w:r>
    </w:p>
    <w:p w14:paraId="5765FC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(11)其他要求见技术标准和要求专用部分。</w:t>
      </w:r>
    </w:p>
    <w:p w14:paraId="7E9CFEF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6.1.3  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67EE986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6.1.4  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4758C03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6.1.5  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32D3DF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053D3D5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96747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A313D0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律、法规、规章、规范、标准和规程等的要求。</w:t>
      </w:r>
    </w:p>
    <w:p w14:paraId="3DFFD8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B12B9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86F1BE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198E67B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072E194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E8B551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24C069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09A64B7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14:paraId="4BA8ED7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6.1.18  安全防护方面的其他要求见技术标准和要求专用部分。</w:t>
      </w:r>
    </w:p>
    <w:p w14:paraId="2AA9D52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6.2  临时消防</w:t>
      </w:r>
    </w:p>
    <w:p w14:paraId="50630F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6.2.1  承包人应建立消防安全责任制度，制定用火、用电和使用易燃易爆等危险品的消防安全管理制度和操作规程。各项制度和规程等应满足相关法律法规和政府消防管理机构的要求。</w:t>
      </w:r>
    </w:p>
    <w:p w14:paraId="0355EB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1237829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6.2.3  承包人应当成立由项目主要负责人担任组长的临时消防组或消防队，宣传消防基本知识和基本操作培训，组织消防演练，保证一旦发生火灾，能够组织有效的自救，保护生命和财产安全。</w:t>
      </w:r>
    </w:p>
    <w:p w14:paraId="7699711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14:paraId="779516F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6.2.5  临时消防方面的其他要求见技术标准和要求专用部分。</w:t>
      </w:r>
    </w:p>
    <w:p w14:paraId="2D9FBD41">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6.3  临时供电</w:t>
      </w:r>
    </w:p>
    <w:p w14:paraId="642C3C4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6.3.1  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10107B0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634DA21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344F928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6BB47C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6.3.5  凡可能漏电伤人或易受雷击的电器及建筑物均应设置接地和避雷装置。承包人应负责避雷装置的采购、安装、管理和维修，并建立定期检查制度。</w:t>
      </w:r>
    </w:p>
    <w:p w14:paraId="06222DA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6.3.6  临时用电方面的其他要求见技术标准和要求专用部分。</w:t>
      </w:r>
    </w:p>
    <w:p w14:paraId="683D8B12">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6.4  劳动保护</w:t>
      </w:r>
    </w:p>
    <w:p w14:paraId="1C0D2EF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40CFBC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7C7E931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1EDE0C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479E3C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6.4.5  承包人应在现场设立专门的临时医疗站，配备足够的设施、药物和称职的医务人员，承包人还应准备急救担架，用于一旦发生安全事故时对受伤人员的急救。</w:t>
      </w:r>
    </w:p>
    <w:p w14:paraId="1C79BE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6.4.6  劳动保护方面的其他要求见技术标准和要求专用部分。</w:t>
      </w:r>
    </w:p>
    <w:p w14:paraId="0583E7FB">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6.5  脚手架</w:t>
      </w:r>
    </w:p>
    <w:p w14:paraId="3067360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290FD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6.5.2  所有脚手架，尤其是大型、复杂、高耸和非常规脚手架，要编制专项施工方案，还应当经过安全验算，脚手架安全验算结果必须报送监理人核查后方可实施。</w:t>
      </w:r>
    </w:p>
    <w:p w14:paraId="0F6423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6.5.3  搭设爬架、挂架、超高脚手架等特种或新型脚手架时，承包人应确保此类脚手架的安全性和保证此类脚手架已经过有关行政管理部门允许使用的批准，并承担与此有关的一切费用。</w:t>
      </w:r>
    </w:p>
    <w:p w14:paraId="0FBCEEB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6.5.4  承包人应当加强脚手架的日常安全巡查，及时对其中的安全隐患进行整改，确保脚手架使用安全。雨、雪、雾、霜和大风等天气后，承包人必须对脚手架进行安全巡查，并及时消除安全隐患。</w:t>
      </w:r>
    </w:p>
    <w:p w14:paraId="5E1E00F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6.5.5  承包人应允许发包人、监理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独立承包人（如果有）和政府有关机构所需，只有在获得监理人书面批准后，承包人才能拆除相关脚手架，否则承包人应自费重新搭设。</w:t>
      </w:r>
    </w:p>
    <w:p w14:paraId="40192AC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6.5.6  脚手架的其他要求见技术标准和要求专用部分。</w:t>
      </w:r>
    </w:p>
    <w:p w14:paraId="208ADC9A">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6.6  施工安全措施计划</w:t>
      </w:r>
    </w:p>
    <w:p w14:paraId="0A3DBE4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7DB9D52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6.6.2  施工安全措施计划是承包人阐明其安全管理方针、管理体系、安全制度和安全措施等的文件，其内容应当反映现行法律法规规定的，和合同约定的以及本条上述约定的承包人安全职责，至少包括：</w:t>
      </w:r>
    </w:p>
    <w:p w14:paraId="5D3322D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(1)施工安全管理机构的设置；</w:t>
      </w:r>
    </w:p>
    <w:p w14:paraId="0DCB8A4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(2)专职安全管理人员的配备；</w:t>
      </w:r>
    </w:p>
    <w:p w14:paraId="5483FA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(3)安全责任制度和管理措施；</w:t>
      </w:r>
    </w:p>
    <w:p w14:paraId="661F193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(4)安全教育和培训制度及管理措施；</w:t>
      </w:r>
    </w:p>
    <w:p w14:paraId="5216C4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(5)各项安全生产规章制度和操作规程；</w:t>
      </w:r>
    </w:p>
    <w:p w14:paraId="4E80D9D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(6)各项施工安全措施和防护措施；</w:t>
      </w:r>
    </w:p>
    <w:p w14:paraId="403269D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(7)危险品管理和使用制度；</w:t>
      </w:r>
    </w:p>
    <w:p w14:paraId="691361A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(8)安全设施、设备、器材和劳动保护用品的配置；</w:t>
      </w:r>
    </w:p>
    <w:p w14:paraId="279629D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(9)其他要求见技术标准和要求专用部分。</w:t>
      </w:r>
    </w:p>
    <w:p w14:paraId="46D120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5FDAF1E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6.6.3  施工安全措施计划应当在合同条款约定的期限内报送监理人。承包人应当严格执行经监理人批准的施工安全措施计划，并及时补充、修订和完善施工安全措施计划，确保安全生产。</w:t>
      </w:r>
    </w:p>
    <w:p w14:paraId="6D7F109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6.7  文明施工</w:t>
      </w:r>
    </w:p>
    <w:p w14:paraId="3EAC83B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  承包人应遵守国家和工程所在地有关法规、规范、规程和标准的规定，履行文明施工义务，确保文明施工专项费用专款专用。</w:t>
      </w:r>
    </w:p>
    <w:p w14:paraId="7B45DDE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6.7.2  承包人应当规范现场施工秩序，实行标准化管理：</w:t>
      </w:r>
    </w:p>
    <w:p w14:paraId="425F636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(1)承包人的施工场地（现场）必须干净整洁、做到无积水、无淤泥、无杂物，材料堆放整齐；</w:t>
      </w:r>
    </w:p>
    <w:p w14:paraId="60762B8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(2)承包人应当在建筑工地设置围挡，并采取覆盖、分段作业、择时施工、冲洗地面等有效防尘降尘措施；</w:t>
      </w:r>
    </w:p>
    <w:p w14:paraId="3070DF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(3)施工现场土方、砂石等应当集中堆放，裸露的场地和集中堆放的土方、砂石等应当采取覆盖、固化或绿化等措施；</w:t>
      </w:r>
    </w:p>
    <w:p w14:paraId="753D8B6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(4)施工场地（现场）应进行硬化处理，定期定时洒水，做好防治扬尘和大气污染工作；</w:t>
      </w:r>
    </w:p>
    <w:p w14:paraId="5518C99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(5)严格遵守“工完、料尽、场地净”的原则，不留垃圾、不留剩余施工材料和施工机具，各种设备运转正常；</w:t>
      </w:r>
    </w:p>
    <w:p w14:paraId="32F9F53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(6)承包人修建的施工临时设施应符合监理人批准的施工规划要求，并应满足本章规定的各项安全要求；</w:t>
      </w:r>
    </w:p>
    <w:p w14:paraId="3A4190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(7)监理人可要求承包人在施工场地（现场）设置各级承包人的安全文明施工责任牌等文明施工警示牌；</w:t>
      </w:r>
    </w:p>
    <w:p w14:paraId="004AD3B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(8)材料进入现场应按指定位置堆放整齐，不得影响现场施工和堵塞施工、消防通道。材料堆放场地应有专职的管理人员；</w:t>
      </w:r>
    </w:p>
    <w:p w14:paraId="51A7D35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(9)施工和安装用的各种扣件、紧固件、绳索具、小型配件、镙钉等应在专设的仓库内装箱放置；</w:t>
      </w:r>
    </w:p>
    <w:p w14:paraId="2E647B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(10)现场风、水管及照明电线的布置应安全、合理、规范、有序，做到整齐美观。不得随意架设和造成隐患或影响施工；</w:t>
      </w:r>
    </w:p>
    <w:p w14:paraId="5FD3F81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(11)建筑拆除工程施工时应采取隔离、洒水等有效的降噪、降尘措施，并及时清理废弃物；</w:t>
      </w:r>
    </w:p>
    <w:p w14:paraId="61E0EA5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(12)当道路施工进行铣刨、切割等作业时，应采取有效的防扬尘措施。灰土和无机料应采用预拌进场，碾压过程中应洒水降尘。</w:t>
      </w:r>
    </w:p>
    <w:p w14:paraId="0C8BB62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6.7.3  承包人应为其雇佣的施工工人建立并维护相应的生活宿舍、食堂、浴室、厕所和文化活动室等，其标准应满足政府有关机构的生活标准和卫生标准等的要求。</w:t>
      </w:r>
    </w:p>
    <w:p w14:paraId="66D68FE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505BD6E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6.7.5  在工程施工期间，承包人应始终避免现场出现不必要的障碍物，妥当存放并处置施工设备和多余的材料，及时从现场清除运走任何废料、垃圾或不再需要的临时工程和设施。</w:t>
      </w:r>
    </w:p>
    <w:p w14:paraId="6E4F4B8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7311796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6.7.7  承包人应在现场设立固定的建筑垃圾临时存放点,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p>
    <w:p w14:paraId="006BF5F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48C87E9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6.7.9  承包人采用现场搅拌混凝土或砂浆的场所应采取封闭、降尘、降噪措施。水泥和其他易飞扬的细颗粒建筑材料应密闭存放或采取覆盖等措施。</w:t>
      </w:r>
    </w:p>
    <w:p w14:paraId="4EAE447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6.7.10  承包人应当制订成品保护措施计划，并提供必要的人员、材料和设备用于工程的成品保护，防止已完工作遭受任何损坏或破坏。成品保护措施应当合理安排工序，并包括工作面移交制度和责任赔偿制度。成品保护措施计划应当在合同条款专用部分约定的时限内报监理人审批。</w:t>
      </w:r>
    </w:p>
    <w:p w14:paraId="0E85A96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6.7.11  文明施工方面的其他要求见技术标准和要求专用部分。</w:t>
      </w:r>
    </w:p>
    <w:p w14:paraId="38C1A1C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6.8  环境保护</w:t>
      </w:r>
    </w:p>
    <w:p w14:paraId="7768075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6.8.1  在工程施工、完工及修补任何缺陷的过程中，承包人应当始终遵守国家和工程所在地有关扬尘治理、建筑垃圾堆放、清运和消纳等环境保护、水土保护和污染防治的法律、法规、规章、规范、标准和规程等，按照合同条款约定履行其环境与生态保护职责。</w:t>
      </w:r>
    </w:p>
    <w:p w14:paraId="6CEE695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14C65F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6.8.3  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3AF02DC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其有关规定。承包人还应设置完善的排水系统，保持施工场地（现场）始终处于良好的排水状态，防止降雨径流对施工场地（现场）的冲刷。</w:t>
      </w:r>
    </w:p>
    <w:p w14:paraId="2B186FC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6385DC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p>
    <w:p w14:paraId="21734E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F96812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2BE57F0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6.8.9  承包人保证使用已在本市进行信息编码登记符合排放标准的非道路移动机械和严禁使用高排放非道路移动机械，并做好行业挥发性有机物治理（如建筑外墙涂装、钢结构等鼓励使用水性漆替代油性漆）。</w:t>
      </w:r>
    </w:p>
    <w:p w14:paraId="1E47CCF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6.8.10  环境保护方面的其他要求见技术标准和要求专用部分。</w:t>
      </w:r>
    </w:p>
    <w:p w14:paraId="438E34B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6.9  施工环保措施计划</w:t>
      </w:r>
    </w:p>
    <w:p w14:paraId="4189DB7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6.9.1  合同条款约定的施工环保措施计划是承包人阐明环保方针和拟采用的环保措施及方法等的文件，其内容应至少包括：</w:t>
      </w:r>
    </w:p>
    <w:p w14:paraId="60B4AB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(1)承包人生活区（如果有）的生活用水和生活污水处理措施；</w:t>
      </w:r>
    </w:p>
    <w:p w14:paraId="0E2D26C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(2)施工生产废水处理措施；</w:t>
      </w:r>
    </w:p>
    <w:p w14:paraId="7535BE8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(3)施工扬尘和废气的处理措施；</w:t>
      </w:r>
    </w:p>
    <w:p w14:paraId="29DBA5F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(4)施工噪声和光污染控制措施；</w:t>
      </w:r>
    </w:p>
    <w:p w14:paraId="6A7A31D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(5)节能减排措施；</w:t>
      </w:r>
    </w:p>
    <w:p w14:paraId="6CD617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(6)不可再生资源循环利用措施；</w:t>
      </w:r>
    </w:p>
    <w:p w14:paraId="6C4734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(7)建筑垃圾等固体废弃物处理措施；</w:t>
      </w:r>
    </w:p>
    <w:p w14:paraId="02ABEC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(8)人群健康保护和卫生防疫措施；</w:t>
      </w:r>
    </w:p>
    <w:p w14:paraId="189699E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(9)防止误用有害材料的保证措施；</w:t>
      </w:r>
    </w:p>
    <w:p w14:paraId="649AF3A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(10)施工边坡工程的水土流失保护措施；</w:t>
      </w:r>
    </w:p>
    <w:p w14:paraId="2782627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(11)道路污染防治措施；</w:t>
      </w:r>
    </w:p>
    <w:p w14:paraId="5008B2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(12)使用符合排放标准的非道路移动机械保证措施；</w:t>
      </w:r>
    </w:p>
    <w:p w14:paraId="78A613E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(13)做好行业挥发性有机物治理（如建筑外墙涂装、钢结构等鼓励使用水性漆替代油性漆）的保证措施；</w:t>
      </w:r>
    </w:p>
    <w:p w14:paraId="165620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(14)完工后场地清理及其植被（如果有）恢复的规划和措施；</w:t>
      </w:r>
    </w:p>
    <w:p w14:paraId="0131F54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(15)其他要求见技术标准和要求专用部分。</w:t>
      </w:r>
    </w:p>
    <w:p w14:paraId="749C8F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6.9.2  施工环保措施计划应当在合同条款约定的期限内报送监理人。承包人应当严格执行经监理人批准的施工环保措施计划，并及时补充、修订和完善施工环保措施计划。</w:t>
      </w:r>
    </w:p>
    <w:p w14:paraId="353DA764">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6.10  施工现场安全文明施工要求</w:t>
      </w:r>
    </w:p>
    <w:p w14:paraId="194B7F5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6.10.1 施工现场安全生产标准化管理目标等级</w:t>
      </w:r>
      <w:r>
        <w:rPr>
          <w:rFonts w:hint="eastAsia" w:ascii="宋体" w:hAnsi="宋体" w:cs="宋体"/>
          <w:b/>
          <w:bCs/>
          <w:sz w:val="24"/>
          <w:highlight w:val="none"/>
        </w:rPr>
        <w:t>见技术标准和要求专用部分</w:t>
      </w:r>
      <w:r>
        <w:rPr>
          <w:rFonts w:hint="eastAsia" w:ascii="宋体" w:hAnsi="宋体" w:cs="宋体"/>
          <w:sz w:val="24"/>
          <w:highlight w:val="none"/>
        </w:rPr>
        <w:t>。</w:t>
      </w:r>
    </w:p>
    <w:p w14:paraId="0062236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6.10.2承包人应当按照合同文件中对安全文明施工的相关要求进行安全文明施工管理。</w:t>
      </w:r>
    </w:p>
    <w:p w14:paraId="4FF4C9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6.10.3 承包人应当依据约定的施工现场安全生产标准化管理目标等级要求，按照现行施工现场安全生产标准化分级管理标准中对应目标等级要求进行施工现场安全生产标准化管理。现行施工现场安全生产标准化分级管理标准</w:t>
      </w:r>
      <w:r>
        <w:rPr>
          <w:rFonts w:hint="eastAsia" w:ascii="宋体" w:hAnsi="宋体" w:cs="宋体"/>
          <w:b/>
          <w:bCs/>
          <w:sz w:val="24"/>
          <w:highlight w:val="none"/>
        </w:rPr>
        <w:t>见技术标准和要求专用部分</w:t>
      </w:r>
      <w:r>
        <w:rPr>
          <w:rFonts w:hint="eastAsia" w:ascii="宋体" w:hAnsi="宋体" w:cs="宋体"/>
          <w:sz w:val="24"/>
          <w:highlight w:val="none"/>
        </w:rPr>
        <w:t>。</w:t>
      </w:r>
    </w:p>
    <w:p w14:paraId="7CD9D49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6.10.4 特殊安全文明施工要求应当与技术标准和要求专用部分约定的要求一致或高于技术标准和要求专用部分约定。</w:t>
      </w:r>
    </w:p>
    <w:p w14:paraId="4BBCED5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02" w:name="_Toc96504948"/>
      <w:bookmarkStart w:id="703" w:name="_Toc96352133"/>
      <w:bookmarkStart w:id="704" w:name="_Toc96505337"/>
      <w:bookmarkStart w:id="705" w:name="_Toc30915"/>
      <w:bookmarkStart w:id="706" w:name="_Toc96529959"/>
      <w:r>
        <w:rPr>
          <w:rFonts w:hint="eastAsia" w:ascii="宋体" w:hAnsi="宋体" w:cs="宋体"/>
          <w:sz w:val="24"/>
          <w:highlight w:val="none"/>
        </w:rPr>
        <w:t>7.治安保卫</w:t>
      </w:r>
      <w:bookmarkEnd w:id="702"/>
      <w:bookmarkEnd w:id="703"/>
      <w:bookmarkEnd w:id="704"/>
      <w:bookmarkEnd w:id="705"/>
      <w:bookmarkEnd w:id="706"/>
    </w:p>
    <w:p w14:paraId="29E9BF4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7.1  承包人应为施工现场提供24小时的保安保卫服务，施工现场应采取封闭式集中管理，严格进、出场实名制考勤，提出优化施工作业，减少人员聚集和交叉作业，未经批准严禁任何人进入现场，控制人员、材料和设备等进出场，防止现场材料和设备或其他物品失窃，以及禁止任何现场内的打架斗殴事件等具体举措。</w:t>
      </w:r>
    </w:p>
    <w:p w14:paraId="075CDC9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1088659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14:paraId="5BAE945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537EC8A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41E51EE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7.6  承包人应当保证发包人支付的工程款项仅用于本合同目的，及时和足额地向所雇佣的人员支付劳动报酬，并制定严格的工人工资支付保障措施，有效防止影响社会安定的群体事件发生，并保障发包人免于因承包人拖欠工人工资而可能遭受的任何处罚、索赔、损失和损害等。</w:t>
      </w:r>
    </w:p>
    <w:p w14:paraId="0DDED1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7.7  突发治安事件紧急预案的要求见技术标准和要求专用部分。</w:t>
      </w:r>
    </w:p>
    <w:p w14:paraId="3811DF8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7.8  治安保卫管理方面的其他要求见技术标准和要求专用部分。</w:t>
      </w:r>
    </w:p>
    <w:p w14:paraId="20B83D18">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07" w:name="_Toc96529960"/>
      <w:bookmarkStart w:id="708" w:name="_Toc96505338"/>
      <w:bookmarkStart w:id="709" w:name="_Toc96504949"/>
      <w:bookmarkStart w:id="710" w:name="_Toc96352134"/>
      <w:bookmarkStart w:id="711" w:name="_Toc32316"/>
      <w:r>
        <w:rPr>
          <w:rFonts w:hint="eastAsia" w:ascii="宋体" w:hAnsi="宋体" w:cs="宋体"/>
          <w:sz w:val="24"/>
          <w:highlight w:val="none"/>
        </w:rPr>
        <w:t>8.地上、地下设施和周边建筑物的临时保护</w:t>
      </w:r>
      <w:bookmarkEnd w:id="707"/>
      <w:bookmarkEnd w:id="708"/>
      <w:bookmarkEnd w:id="709"/>
      <w:bookmarkEnd w:id="710"/>
      <w:bookmarkEnd w:id="711"/>
    </w:p>
    <w:p w14:paraId="570C846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8.1  承包人应为施工场地及其周边现有的地上、地下设施和建筑物提供足够的临时保护设施，确保施工过程中这些设施和建筑物不会受到干扰和破坏。</w:t>
      </w:r>
    </w:p>
    <w:p w14:paraId="1640569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3D4672F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8.3  发包人特别提醒承包人注意地上、地下设施和周边建筑物的保护见技术标准和要求专用部分。</w:t>
      </w:r>
    </w:p>
    <w:p w14:paraId="52B42E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8.4  地上、地下设施和周边建筑物的临时保护的其他要求见技术标准和要求专用部分。</w:t>
      </w:r>
    </w:p>
    <w:p w14:paraId="6571E26C">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12" w:name="_Toc96504950"/>
      <w:bookmarkStart w:id="713" w:name="_Toc96505339"/>
      <w:bookmarkStart w:id="714" w:name="_Toc96352135"/>
      <w:bookmarkStart w:id="715" w:name="_Toc21962"/>
      <w:bookmarkStart w:id="716" w:name="_Toc96529961"/>
      <w:r>
        <w:rPr>
          <w:rFonts w:hint="eastAsia" w:ascii="宋体" w:hAnsi="宋体" w:cs="宋体"/>
          <w:sz w:val="24"/>
          <w:highlight w:val="none"/>
        </w:rPr>
        <w:t>9.样品和材料代换</w:t>
      </w:r>
      <w:bookmarkEnd w:id="712"/>
      <w:bookmarkEnd w:id="713"/>
      <w:bookmarkEnd w:id="714"/>
      <w:bookmarkEnd w:id="715"/>
      <w:bookmarkEnd w:id="716"/>
    </w:p>
    <w:p w14:paraId="5D083A4D">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9.1  样品</w:t>
      </w:r>
    </w:p>
    <w:p w14:paraId="1FB179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9.1.1  本工程需要承包人提供样品的材料和工程设备见技术标准和要求专用部分。</w:t>
      </w:r>
    </w:p>
    <w:p w14:paraId="768E57E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9.1.2  对于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DCEE1D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9.1.3  合同条款约定的依法不需要招标的、以暂估价形式包括在工程量清单中的材料和工程设备，所附资料除约定的内容外，还应附上价格资料，每一类材料设备，至少应准备符合合同要求的三个产品，价格分高、中、低三档，以便监理人和发包人选择和批准。</w:t>
      </w:r>
    </w:p>
    <w:p w14:paraId="14BA62C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4D6B26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9.1.5  得到批准后的样品由监理人负责存放。但承包人应为保存样品提供适当和固定的场所并保持适当和良好的环境条件。</w:t>
      </w:r>
    </w:p>
    <w:p w14:paraId="22AA68C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9.1.6  提供样品和提供存放样品场所的费用由承包人承担。</w:t>
      </w:r>
    </w:p>
    <w:p w14:paraId="7E81F18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9.2  材料代换</w:t>
      </w:r>
    </w:p>
    <w:p w14:paraId="5A1BCF7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77F1DE3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9.2.2  如果使用替代品，承包人应至少在被替代品按批准的进度计划用于永久工程前56天以书面形式通知监理人并随此通知提交下列文件：</w:t>
      </w:r>
    </w:p>
    <w:p w14:paraId="14E6DEB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(1)拟被替代的合同约定的材料和工程设备的名称、数量、规格、型号、品牌、性能、价格及其他任何详细资料；</w:t>
      </w:r>
    </w:p>
    <w:p w14:paraId="77FADA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(2)拟采用的替代品的名称、数量、规格、型号、品牌、性能、价格及其他任何必要的详细资料；</w:t>
      </w:r>
    </w:p>
    <w:p w14:paraId="6D96F67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(3)替代品使用的工程部位；</w:t>
      </w:r>
    </w:p>
    <w:p w14:paraId="537B5DA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(4)采用替代品的理由和原因说明；</w:t>
      </w:r>
    </w:p>
    <w:p w14:paraId="3EC4785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(5)替代品与合同中约定的产品之间的差异以及使用替代品后可能对工程产生的任何影响；</w:t>
      </w:r>
    </w:p>
    <w:p w14:paraId="124A06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(6)价格上的差异；</w:t>
      </w:r>
    </w:p>
    <w:p w14:paraId="3CF145A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(7)监理人为做出适当的决定而随时要求承包人提供的任何其他文件。</w:t>
      </w:r>
    </w:p>
    <w:p w14:paraId="0F0A962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242E1DC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9.2.3  任何情况下，替代品都应遵守本合同中对相关材料和工程设备的要求。</w:t>
      </w:r>
    </w:p>
    <w:p w14:paraId="1838E7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9.2.4  如果承包人根据本条约定使用了替代品，监理人应与承包人适当协商之后并在合理的期限内确定替代材料和工程设备与合同中约定的材料和工程设备之间的价值差值，并决定：</w:t>
      </w:r>
    </w:p>
    <w:p w14:paraId="5A1ED09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(1)如果替代材料和工程设备的价值高于合同中约定的材料和工程设备的价值，则将高出部分的价值追加到合同价格中并相应地通知承包人；</w:t>
      </w:r>
    </w:p>
    <w:p w14:paraId="6B36158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(2)如果替代材料和工程设备的价值低于合同中约定的材料和工程设备的价值，则将节余部分的价值从合同价格中扣除并相应地通知承包人。</w:t>
      </w:r>
    </w:p>
    <w:p w14:paraId="14E433C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17" w:name="_Toc21858"/>
      <w:bookmarkStart w:id="718" w:name="_Toc96504951"/>
      <w:bookmarkStart w:id="719" w:name="_Toc96505340"/>
      <w:bookmarkStart w:id="720" w:name="_Toc96529962"/>
      <w:bookmarkStart w:id="721" w:name="_Toc96352136"/>
      <w:r>
        <w:rPr>
          <w:rFonts w:hint="eastAsia" w:ascii="宋体" w:hAnsi="宋体" w:cs="宋体"/>
          <w:sz w:val="24"/>
          <w:highlight w:val="none"/>
        </w:rPr>
        <w:t>10.特殊技术标准和要求</w:t>
      </w:r>
      <w:bookmarkEnd w:id="717"/>
      <w:bookmarkEnd w:id="718"/>
      <w:bookmarkEnd w:id="719"/>
      <w:bookmarkEnd w:id="720"/>
      <w:bookmarkEnd w:id="721"/>
    </w:p>
    <w:p w14:paraId="11A4515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10.1  部分材料和工程设备特殊技术要求</w:t>
      </w:r>
    </w:p>
    <w:p w14:paraId="67D202F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10.1.1  发包人依据工程特点，可以对承包人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承包人施工范围内的部分材料和工程设备相关技术要求见技术标准和要求专用部分。</w:t>
      </w:r>
    </w:p>
    <w:p w14:paraId="7EC9E2E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10.1.2  承包人施工范围内的材料和工程设备选型允许的偏离见技术标准和要求专用部分。</w:t>
      </w:r>
    </w:p>
    <w:p w14:paraId="221291D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10.1.3  本工程施工现场所用混凝土或砂浆的供应方式为见技术标准和要求专用部分。</w:t>
      </w:r>
    </w:p>
    <w:p w14:paraId="3D717105">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10.2  进口材料和工程设备</w:t>
      </w:r>
    </w:p>
    <w:p w14:paraId="4409A21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10.2.1  本工程需要进口的材料和工程设备见技术标准和要求专用部分。</w:t>
      </w:r>
    </w:p>
    <w:p w14:paraId="409BF4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10.2.2  上述进口材料和工程设备采购、进口、报关、清关、商检、境内运输（包括保险）、保管的责任以及费用承担方式划分见技术标准和要求专用部分。</w:t>
      </w:r>
    </w:p>
    <w:p w14:paraId="3A033373">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10.3  新技术、新工艺和新材料</w:t>
      </w:r>
    </w:p>
    <w:p w14:paraId="27D9A08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本工程涉及的新技术、新工艺和新材料及相应使用和操作说明见技术标准和要求专用部分。</w:t>
      </w:r>
    </w:p>
    <w:p w14:paraId="62EFA45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10.4  其他特殊技术要求</w:t>
      </w:r>
    </w:p>
    <w:p w14:paraId="1E80AD3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本工程的其他特殊技术要求见技术标准和要求专用部分。</w:t>
      </w:r>
    </w:p>
    <w:p w14:paraId="4983053B">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22" w:name="_Toc96352137"/>
      <w:bookmarkStart w:id="723" w:name="_Toc96504952"/>
      <w:bookmarkStart w:id="724" w:name="_Toc96529963"/>
      <w:bookmarkStart w:id="725" w:name="_Toc18753"/>
      <w:bookmarkStart w:id="726" w:name="_Toc96505341"/>
      <w:r>
        <w:rPr>
          <w:rFonts w:hint="eastAsia" w:ascii="宋体" w:hAnsi="宋体" w:cs="宋体"/>
          <w:sz w:val="24"/>
          <w:highlight w:val="none"/>
        </w:rPr>
        <w:t>11.进度报告和进度例会</w:t>
      </w:r>
      <w:bookmarkEnd w:id="722"/>
      <w:bookmarkEnd w:id="723"/>
      <w:bookmarkEnd w:id="724"/>
      <w:bookmarkEnd w:id="725"/>
      <w:bookmarkEnd w:id="726"/>
    </w:p>
    <w:p w14:paraId="426C7CE1">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11.1  进度报告</w:t>
      </w:r>
    </w:p>
    <w:p w14:paraId="56FF926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11.1.1  施工过程中，承包人应向监理人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14:paraId="25A0BBB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11.1.2  日和周进度报表的内容应至少包括每日在现场工作的技术管理人员数量、各工种技术工人和非技术工人数量、后勤人员数量、参观现场的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24DE85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1D8414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004D268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11.1.5  各个进度报表的格式和内容应经过监理人的审批。进度报表应如实填写，由承包人授权代表签名，并报监理人的指定代表签名确认后再行分发。</w:t>
      </w:r>
    </w:p>
    <w:p w14:paraId="2ACC95F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11.1.6  如果监理人认为必要，进度报告和进度照片应同时以存储在磁盘或光盘中的数据文件的形式递交给发包人和监理人。数据文件采用的应用软件及其版本应经过监理人的审批。</w:t>
      </w:r>
    </w:p>
    <w:p w14:paraId="05A1D4B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11.1.7  有关进度报告的其他要求见技术标准和要求专用部分。</w:t>
      </w:r>
    </w:p>
    <w:p w14:paraId="2C692F64">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11.2  进度例会</w:t>
      </w:r>
    </w:p>
    <w:p w14:paraId="5A4BE5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11.2.1  监理人将主持召开有发包人、承包人和独立承包人等与本工程建设有关各方出席的每周一次的进度例会。必要时，监理人可随时召集所有上述各方或其中部分单位参加的会议。承包人应保证能代表其当场作出决定的高级管理人员出席会议。</w:t>
      </w:r>
    </w:p>
    <w:p w14:paraId="2CBB8E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11.2.2  进度例会的内容将涉及合同管理、进度协调和工程管理的各个方面，由监理人准备的会议议题将随会议通知在会议召开前至少24小时发给各参会方。</w:t>
      </w:r>
    </w:p>
    <w:p w14:paraId="3247C1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5D9485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11.2.4  有关进度例会的其他要求见技术标准和要求专用部分。</w:t>
      </w:r>
    </w:p>
    <w:p w14:paraId="7BB81C32">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27" w:name="_Toc96504953"/>
      <w:bookmarkStart w:id="728" w:name="_Toc17755"/>
      <w:bookmarkStart w:id="729" w:name="_Toc96352138"/>
      <w:bookmarkStart w:id="730" w:name="_Toc96505342"/>
      <w:bookmarkStart w:id="731" w:name="_Toc96529964"/>
      <w:r>
        <w:rPr>
          <w:rFonts w:hint="eastAsia" w:ascii="宋体" w:hAnsi="宋体" w:cs="宋体"/>
          <w:sz w:val="24"/>
          <w:highlight w:val="none"/>
        </w:rPr>
        <w:t>12.试验和检验</w:t>
      </w:r>
      <w:bookmarkEnd w:id="727"/>
      <w:bookmarkEnd w:id="728"/>
      <w:bookmarkEnd w:id="729"/>
      <w:bookmarkEnd w:id="730"/>
      <w:bookmarkEnd w:id="731"/>
    </w:p>
    <w:p w14:paraId="611EA30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12.1  发包人委托具有相应资质的检测单位，按相关规定对见证取样的建筑材料、建筑构配件和设备、预拌混凝土、混凝土预制构件和工程实体质量、使用功能以及约定的其他检测内容进行检测。承包人应在监理人的监督下，进行现场取样、封样，并送检测单位进行检测。本工程发包人委托检测单位进行试验和检验的其他材料、工程设备和工艺见技术标准和要求专用部分。</w:t>
      </w:r>
    </w:p>
    <w:p w14:paraId="6F60F6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12.2  除第12.1款约定的由发包人委托检测内容外，承包人应当按照工程施工验收规范和标准的规定和合同条款的约定，对用于永久工程的主要材料、半成品、成品、建筑构配件、工程设备等进行试验和检验。监理人可以根据工程需要，指示承包人进行其他现场材料和工艺的试验和检验。</w:t>
      </w:r>
    </w:p>
    <w:p w14:paraId="75E00D4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12.3  本工程需要承包人进行试验和检验的材料、工程设备和工艺见技术标准和要求专用部分。</w:t>
      </w:r>
    </w:p>
    <w:p w14:paraId="2F69B57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12.4  本工程需要由监理人和承包人共同进行试验和检验的材料、工程设备和工艺见技术标准和要求专用部分。</w:t>
      </w:r>
    </w:p>
    <w:p w14:paraId="056315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12.5  本条上述约定需要进行检验的材料、工程设备和工艺在经过检验并获得监理人批准以前，不得用于任何永久工程。</w:t>
      </w:r>
    </w:p>
    <w:p w14:paraId="453ED07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12.6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15CF291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12.7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4768070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12.8  承包人应在监理人的监督下，对涉及结构安全的试块、试件以及有关材料进行现场取样，并送质量检测单位进行检测。质量检测单位见技术标准和要求专用部分。</w:t>
      </w:r>
    </w:p>
    <w:p w14:paraId="7CE1C5A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12.9  除合同另有约定外，承包人应负担除发包人支付给委托检测单位的费用外，本合同项下的所有材料、工程设备和工艺检验的费用。</w:t>
      </w:r>
    </w:p>
    <w:p w14:paraId="7C6836A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32" w:name="_Toc96504954"/>
      <w:bookmarkStart w:id="733" w:name="_Toc96529965"/>
      <w:bookmarkStart w:id="734" w:name="_Toc96352139"/>
      <w:bookmarkStart w:id="735" w:name="_Toc96505343"/>
      <w:bookmarkStart w:id="736" w:name="_Toc31447"/>
      <w:r>
        <w:rPr>
          <w:rFonts w:hint="eastAsia" w:ascii="宋体" w:hAnsi="宋体" w:cs="宋体"/>
          <w:sz w:val="24"/>
          <w:highlight w:val="none"/>
        </w:rPr>
        <w:t>13.计日工</w:t>
      </w:r>
      <w:bookmarkEnd w:id="732"/>
      <w:bookmarkEnd w:id="733"/>
      <w:bookmarkEnd w:id="734"/>
      <w:bookmarkEnd w:id="735"/>
      <w:bookmarkEnd w:id="736"/>
    </w:p>
    <w:p w14:paraId="4506DF9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13.1  合同条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合同条款约定通知承包人实施。</w:t>
      </w:r>
    </w:p>
    <w:p w14:paraId="33BBB19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13.2  在工程实际开工后14天内，承包人应当按合同条款约定的计日工报表内容，准备一份计日工日报表的格式，报送监理人审批，监理人应当在收到之日后7天内给予批复或提出修改意见。</w:t>
      </w:r>
    </w:p>
    <w:p w14:paraId="4298C79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14:paraId="7A2EE97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74BF57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6B95E1D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70071DB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13.7  关于计日工的其他约定见技术标准和要求专用部分。</w:t>
      </w:r>
    </w:p>
    <w:p w14:paraId="5C0C29D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37" w:name="_Toc96352140"/>
      <w:bookmarkStart w:id="738" w:name="_Toc96505344"/>
      <w:bookmarkStart w:id="739" w:name="_Toc96529966"/>
      <w:bookmarkStart w:id="740" w:name="_Toc96504955"/>
      <w:bookmarkStart w:id="741" w:name="_Toc2615"/>
      <w:r>
        <w:rPr>
          <w:rFonts w:hint="eastAsia" w:ascii="宋体" w:hAnsi="宋体" w:cs="宋体"/>
          <w:sz w:val="24"/>
          <w:highlight w:val="none"/>
        </w:rPr>
        <w:t>14.计量与支付</w:t>
      </w:r>
      <w:bookmarkEnd w:id="737"/>
      <w:bookmarkEnd w:id="738"/>
      <w:bookmarkEnd w:id="739"/>
      <w:bookmarkEnd w:id="740"/>
      <w:bookmarkEnd w:id="741"/>
    </w:p>
    <w:p w14:paraId="59ADB24F">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14.1  付款申请单</w:t>
      </w:r>
    </w:p>
    <w:p w14:paraId="779E6A0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14:paraId="1357370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14.1.2  根据合同条款承包人应当在合同约定的每个付款周期末，对当期完成的各项工程量进行计量和计价，并按照合同条款的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13E724A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14.1.3  竣工付款申请单的内容按合同条款的约定。采用单价合同形式的，竣工付款申请单应当附上按合同条款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25768A2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14.1.4  竣工结算总价（合同价格）应当按以下内容梳理：</w:t>
      </w:r>
    </w:p>
    <w:p w14:paraId="4F9E4EA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(1)签约合同价；</w:t>
      </w:r>
    </w:p>
    <w:p w14:paraId="073B889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(2)应当扣减的项目：</w:t>
      </w:r>
    </w:p>
    <w:p w14:paraId="11F4371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1）所有暂列金额；</w:t>
      </w:r>
    </w:p>
    <w:p w14:paraId="60F146B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2）所有暂估价；</w:t>
      </w:r>
    </w:p>
    <w:p w14:paraId="2332B5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3）根据合同条款应扣减的变更金额；</w:t>
      </w:r>
    </w:p>
    <w:p w14:paraId="6B6A7D64">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4）根据合同条款应扣减的价格调整（下调部分）；</w:t>
      </w:r>
    </w:p>
    <w:p w14:paraId="6F59498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5）根据合同条款应扣减的发包人索赔金额；</w:t>
      </w:r>
    </w:p>
    <w:p w14:paraId="4F65D4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6）甩项工程的合同价值（如果有）；</w:t>
      </w:r>
    </w:p>
    <w:p w14:paraId="1096D97F">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7）根据合同约定发包人应扣减的其他金额。</w:t>
      </w:r>
    </w:p>
    <w:p w14:paraId="0622953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(3)应当增加的项目：</w:t>
      </w:r>
    </w:p>
    <w:p w14:paraId="77C200D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1）实际发生的暂列金额（包括计日工）；</w:t>
      </w:r>
    </w:p>
    <w:p w14:paraId="68A63C79">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2）实际发生的暂估价；</w:t>
      </w:r>
    </w:p>
    <w:p w14:paraId="4C6AD32F">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3）根据合同条款应增加的变更金额；</w:t>
      </w:r>
    </w:p>
    <w:p w14:paraId="39349B20">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4）根据合同条款应增加的价格调整（上调部分）；</w:t>
      </w:r>
    </w:p>
    <w:p w14:paraId="322FE76D">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5）根据合同条款应增加的承包人索赔金额；</w:t>
      </w:r>
    </w:p>
    <w:p w14:paraId="72CE216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6）根据合同约定承包人应当得到的其他金额。</w:t>
      </w:r>
    </w:p>
    <w:p w14:paraId="68E460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(4)规费和税金差额部分。</w:t>
      </w:r>
    </w:p>
    <w:p w14:paraId="1C5076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14.1.5  最终结清申请单的应付金额应当按下列内容梳理：</w:t>
      </w:r>
    </w:p>
    <w:p w14:paraId="55E7428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(1)按合同约定扣留的质量保证金</w:t>
      </w:r>
    </w:p>
    <w:p w14:paraId="23EF9B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(2)应当扣除的金额：</w:t>
      </w:r>
    </w:p>
    <w:p w14:paraId="3A274D32">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1）按合同条款约定扣留的质量保证金；</w:t>
      </w:r>
    </w:p>
    <w:p w14:paraId="10C942EB">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2）按合同条款约定扣除的质量保证金；</w:t>
      </w:r>
    </w:p>
    <w:p w14:paraId="1418FD5A">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3）根据合同条款应扣减的缺陷责任期内发生的发包人索赔金额；</w:t>
      </w:r>
    </w:p>
    <w:p w14:paraId="1DBC203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4）根据合同约定应扣减的其他金额。</w:t>
      </w:r>
    </w:p>
    <w:p w14:paraId="552CB2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(3)应当增加的金额：</w:t>
      </w:r>
    </w:p>
    <w:p w14:paraId="2EC8AE2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1）已完且符合合同约定的甩项工程的价值；</w:t>
      </w:r>
    </w:p>
    <w:p w14:paraId="63CD8C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2）按合同条款约定由承包人修复的发包人原因造成的缺陷的价值；</w:t>
      </w:r>
    </w:p>
    <w:p w14:paraId="5F94A44E">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3）根据合同条款应增加的缺陷责任期内发生的承包人索赔金额；</w:t>
      </w:r>
    </w:p>
    <w:p w14:paraId="647023F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4）根据合同约定承包人应当得到的其他金额。</w:t>
      </w:r>
    </w:p>
    <w:p w14:paraId="3D1FCC1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最终结清应当由发包人和承包人按照“多退少补”的原则办理。</w:t>
      </w:r>
    </w:p>
    <w:p w14:paraId="07E450C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14.1.6  竣工付款申请单和最终结清申请单应当比照进度付款申请单的格式准备，并提供相关证明材料。</w:t>
      </w:r>
    </w:p>
    <w:p w14:paraId="5CFC1A1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14.2  其他约定</w:t>
      </w:r>
    </w:p>
    <w:p w14:paraId="4E81D3D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其他约定内容见技术标准和要求专用部分。</w:t>
      </w:r>
    </w:p>
    <w:p w14:paraId="65A9107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42" w:name="_Toc1293"/>
      <w:bookmarkStart w:id="743" w:name="_Toc96529967"/>
      <w:bookmarkStart w:id="744" w:name="_Toc96504956"/>
      <w:bookmarkStart w:id="745" w:name="_Toc96352141"/>
      <w:bookmarkStart w:id="746" w:name="_Toc96505345"/>
      <w:r>
        <w:rPr>
          <w:rFonts w:hint="eastAsia" w:ascii="宋体" w:hAnsi="宋体" w:cs="宋体"/>
          <w:sz w:val="24"/>
          <w:highlight w:val="none"/>
        </w:rPr>
        <w:t>15.竣工验收和工程移交</w:t>
      </w:r>
      <w:bookmarkEnd w:id="742"/>
      <w:bookmarkEnd w:id="743"/>
      <w:bookmarkEnd w:id="744"/>
      <w:bookmarkEnd w:id="745"/>
      <w:bookmarkEnd w:id="746"/>
    </w:p>
    <w:p w14:paraId="21E95689">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15.2  竣工验收申请报告</w:t>
      </w:r>
    </w:p>
    <w:p w14:paraId="0FA98D2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7699D52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069349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15.2.3  竣工验收申请报告应当按合同条款附上下列内容：</w:t>
      </w:r>
    </w:p>
    <w:p w14:paraId="5B6E27D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BFB4C2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(2)按合同条款约定的内容和份数整理的符合要求的竣工资料；</w:t>
      </w:r>
    </w:p>
    <w:p w14:paraId="62A567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(3)按监理人的要求编制了在缺陷责任期内完成的尾工（甩项）工程和缺陷修补工作清单以及相应施工计划；</w:t>
      </w:r>
    </w:p>
    <w:p w14:paraId="7E7A08A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(4)监理人要求在竣工验收前应完成的其他工作的证明材料；</w:t>
      </w:r>
    </w:p>
    <w:p w14:paraId="2AAC157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(5)监理人要求提交的竣工验收资料清单；</w:t>
      </w:r>
    </w:p>
    <w:p w14:paraId="26C1364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(6)合同条款约定的质量保修书（此前已经提交的不再提交）；</w:t>
      </w:r>
    </w:p>
    <w:p w14:paraId="5D4B06E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(7)其他要求见技术标准和要求专用部分。</w:t>
      </w:r>
    </w:p>
    <w:p w14:paraId="22556520">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47" w:name="_Toc12378"/>
      <w:bookmarkStart w:id="748" w:name="_Toc96352142"/>
      <w:bookmarkStart w:id="749" w:name="_Toc96504957"/>
      <w:bookmarkStart w:id="750" w:name="_Toc96505346"/>
      <w:bookmarkStart w:id="751" w:name="_Toc96529968"/>
      <w:r>
        <w:rPr>
          <w:rFonts w:hint="eastAsia" w:ascii="宋体" w:hAnsi="宋体" w:cs="宋体"/>
          <w:sz w:val="24"/>
          <w:highlight w:val="none"/>
        </w:rPr>
        <w:t>16.需要补充的其他要求</w:t>
      </w:r>
      <w:bookmarkEnd w:id="747"/>
      <w:bookmarkEnd w:id="748"/>
      <w:bookmarkEnd w:id="749"/>
      <w:bookmarkEnd w:id="750"/>
      <w:bookmarkEnd w:id="751"/>
    </w:p>
    <w:p w14:paraId="41154ADA">
      <w:pPr>
        <w:pageBreakBefore w:val="0"/>
        <w:wordWrap w:val="0"/>
        <w:topLinePunct w:val="0"/>
        <w:bidi w:val="0"/>
        <w:spacing w:after="0" w:line="360" w:lineRule="auto"/>
        <w:ind w:firstLine="420"/>
        <w:textAlignment w:val="auto"/>
        <w:rPr>
          <w:rFonts w:hint="eastAsia" w:ascii="宋体" w:hAnsi="宋体" w:cs="宋体"/>
          <w:b/>
          <w:sz w:val="24"/>
          <w:highlight w:val="none"/>
          <w:shd w:val="clear" w:color="auto" w:fill="FFFFFF"/>
        </w:rPr>
        <w:sectPr>
          <w:footerReference r:id="rId13" w:type="first"/>
          <w:headerReference r:id="rId10" w:type="default"/>
          <w:footerReference r:id="rId12" w:type="default"/>
          <w:headerReference r:id="rId11" w:type="even"/>
          <w:pgSz w:w="11905" w:h="16838"/>
          <w:pgMar w:top="1474" w:right="1474" w:bottom="1474" w:left="1474" w:header="850" w:footer="992" w:gutter="0"/>
          <w:pgNumType w:fmt="decimal"/>
          <w:cols w:space="0" w:num="1"/>
          <w:rtlGutter w:val="0"/>
          <w:docGrid w:linePitch="312" w:charSpace="0"/>
        </w:sectPr>
      </w:pPr>
      <w:r>
        <w:rPr>
          <w:rFonts w:hint="eastAsia" w:ascii="宋体" w:hAnsi="宋体" w:cs="宋体"/>
          <w:sz w:val="24"/>
          <w:highlight w:val="none"/>
        </w:rPr>
        <w:t>需要补充的其他要求见技术标准和要求专用部分。</w:t>
      </w:r>
      <w:bookmarkStart w:id="752" w:name="_Toc480304504"/>
      <w:bookmarkStart w:id="753" w:name="_Toc490331745"/>
      <w:bookmarkStart w:id="754" w:name="_Toc497236021"/>
      <w:bookmarkStart w:id="755" w:name="_Toc486580462"/>
    </w:p>
    <w:bookmarkEnd w:id="752"/>
    <w:bookmarkEnd w:id="753"/>
    <w:bookmarkEnd w:id="754"/>
    <w:bookmarkEnd w:id="755"/>
    <w:p w14:paraId="68E558F2">
      <w:pPr>
        <w:pStyle w:val="250"/>
        <w:pageBreakBefore w:val="0"/>
        <w:wordWrap w:val="0"/>
        <w:topLinePunct w:val="0"/>
        <w:bidi w:val="0"/>
        <w:spacing w:before="120" w:after="0"/>
        <w:textAlignment w:val="auto"/>
        <w:outlineLvl w:val="2"/>
        <w:rPr>
          <w:rFonts w:hint="eastAsia" w:ascii="宋体" w:hAnsi="宋体" w:eastAsia="宋体"/>
          <w:sz w:val="24"/>
          <w:szCs w:val="24"/>
          <w:highlight w:val="none"/>
          <w:shd w:val="clear" w:color="auto" w:fill="FFFFFF"/>
        </w:rPr>
      </w:pPr>
      <w:bookmarkStart w:id="756" w:name="_Toc22264"/>
      <w:bookmarkStart w:id="757" w:name="_Toc96504958"/>
      <w:bookmarkStart w:id="758" w:name="_Toc96352143"/>
      <w:bookmarkStart w:id="759" w:name="_Toc96505347"/>
      <w:bookmarkStart w:id="760" w:name="_Hlk83577958"/>
      <w:bookmarkStart w:id="761" w:name="_Toc490331746"/>
      <w:bookmarkStart w:id="762" w:name="_Toc486580463"/>
      <w:bookmarkStart w:id="763" w:name="_Toc38037921"/>
      <w:bookmarkStart w:id="764" w:name="_Toc483581227"/>
      <w:bookmarkStart w:id="765" w:name="_Toc489280268"/>
      <w:bookmarkStart w:id="766" w:name="_Toc497298375"/>
      <w:bookmarkStart w:id="767" w:name="_Toc501055673"/>
      <w:bookmarkStart w:id="768" w:name="_Toc241459790"/>
      <w:bookmarkStart w:id="769" w:name="_Toc342296547"/>
      <w:r>
        <w:rPr>
          <w:rFonts w:hint="eastAsia" w:ascii="宋体" w:hAnsi="宋体" w:eastAsia="宋体"/>
          <w:b/>
          <w:sz w:val="24"/>
          <w:szCs w:val="24"/>
          <w:highlight w:val="none"/>
          <w:shd w:val="clear" w:color="auto" w:fill="FFFFFF"/>
        </w:rPr>
        <w:t>技术标准和要求专用部分</w:t>
      </w:r>
      <w:bookmarkEnd w:id="756"/>
      <w:bookmarkEnd w:id="757"/>
      <w:bookmarkEnd w:id="758"/>
      <w:bookmarkEnd w:id="759"/>
    </w:p>
    <w:bookmarkEnd w:id="760"/>
    <w:p w14:paraId="41922E41">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770" w:name="_Toc96529970"/>
      <w:bookmarkStart w:id="771" w:name="_Toc13757"/>
      <w:bookmarkStart w:id="772" w:name="_Toc96504959"/>
      <w:bookmarkStart w:id="773" w:name="_Toc96352144"/>
      <w:bookmarkStart w:id="774" w:name="_Toc96505348"/>
      <w:r>
        <w:rPr>
          <w:rFonts w:hint="eastAsia" w:ascii="宋体" w:hAnsi="宋体" w:eastAsia="宋体"/>
          <w:sz w:val="24"/>
          <w:szCs w:val="24"/>
          <w:highlight w:val="none"/>
          <w:shd w:val="clear" w:color="auto" w:fill="FFFFFF"/>
        </w:rPr>
        <w:t>1.工程说明</w:t>
      </w:r>
      <w:bookmarkEnd w:id="761"/>
      <w:bookmarkEnd w:id="762"/>
      <w:bookmarkEnd w:id="763"/>
      <w:bookmarkEnd w:id="764"/>
      <w:bookmarkEnd w:id="765"/>
      <w:bookmarkEnd w:id="766"/>
      <w:bookmarkEnd w:id="767"/>
      <w:bookmarkEnd w:id="770"/>
      <w:bookmarkEnd w:id="771"/>
      <w:bookmarkEnd w:id="772"/>
      <w:bookmarkEnd w:id="773"/>
      <w:bookmarkEnd w:id="774"/>
    </w:p>
    <w:p w14:paraId="2005547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75" w:name="_Toc38037922"/>
      <w:bookmarkStart w:id="776" w:name="_Toc96505349"/>
      <w:bookmarkStart w:id="777" w:name="_Toc497298376"/>
      <w:bookmarkStart w:id="778" w:name="_Toc483581228"/>
      <w:bookmarkStart w:id="779" w:name="_Toc31999"/>
      <w:bookmarkStart w:id="780" w:name="_Toc489280269"/>
      <w:bookmarkStart w:id="781" w:name="_Toc501055674"/>
      <w:bookmarkStart w:id="782" w:name="_Toc96352145"/>
      <w:bookmarkStart w:id="783" w:name="_Toc486580464"/>
      <w:bookmarkStart w:id="784" w:name="_Toc96504960"/>
      <w:bookmarkStart w:id="785" w:name="_Toc96529971"/>
      <w:r>
        <w:rPr>
          <w:rFonts w:hint="eastAsia" w:hAnsi="宋体" w:cs="宋体"/>
          <w:szCs w:val="24"/>
          <w:highlight w:val="none"/>
          <w:shd w:val="clear" w:color="auto" w:fill="FFFFFF"/>
        </w:rPr>
        <w:t>1.1  工程概况</w:t>
      </w:r>
      <w:bookmarkEnd w:id="775"/>
      <w:bookmarkEnd w:id="776"/>
      <w:bookmarkEnd w:id="777"/>
      <w:bookmarkEnd w:id="778"/>
      <w:bookmarkEnd w:id="779"/>
      <w:bookmarkEnd w:id="780"/>
      <w:bookmarkEnd w:id="781"/>
      <w:bookmarkEnd w:id="782"/>
      <w:bookmarkEnd w:id="783"/>
      <w:bookmarkEnd w:id="784"/>
      <w:bookmarkEnd w:id="785"/>
    </w:p>
    <w:p w14:paraId="078760A9">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1.1.1  本工程基本情况</w:t>
      </w:r>
      <w:r>
        <w:rPr>
          <w:rFonts w:hint="eastAsia" w:ascii="宋体" w:hAnsi="宋体" w:cs="宋体"/>
          <w:bCs/>
          <w:sz w:val="24"/>
          <w:highlight w:val="none"/>
          <w:shd w:val="clear" w:color="auto" w:fill="FFFFFF"/>
        </w:rPr>
        <w:t>；</w:t>
      </w:r>
    </w:p>
    <w:p w14:paraId="6F93E2AC">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u w:val="single"/>
          <w:shd w:val="clear" w:color="auto" w:fill="FFFFFF"/>
          <w:lang w:eastAsia="zh-CN"/>
        </w:rPr>
      </w:pPr>
      <w:r>
        <w:rPr>
          <w:rFonts w:hint="eastAsia" w:ascii="宋体" w:hAnsi="宋体" w:cs="宋体"/>
          <w:bCs/>
          <w:sz w:val="24"/>
          <w:highlight w:val="none"/>
          <w:shd w:val="clear" w:color="auto" w:fill="FFFFFF"/>
        </w:rPr>
        <w:t>项目名称：</w:t>
      </w:r>
      <w:r>
        <w:rPr>
          <w:rFonts w:hint="eastAsia" w:ascii="宋体" w:hAnsi="宋体" w:cs="宋体"/>
          <w:sz w:val="24"/>
          <w:highlight w:val="none"/>
          <w:u w:val="single"/>
          <w:shd w:val="clear" w:color="auto" w:fill="FFFFFF"/>
          <w:lang w:eastAsia="zh-CN"/>
        </w:rPr>
        <w:t>乐乎公寓（曾用名“禾苗公寓”）拆除工程</w:t>
      </w:r>
    </w:p>
    <w:p w14:paraId="176BD1EE">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建设地点：</w:t>
      </w:r>
      <w:r>
        <w:rPr>
          <w:rFonts w:hint="eastAsia" w:ascii="宋体" w:hAnsi="宋体" w:cs="宋体"/>
          <w:sz w:val="24"/>
          <w:highlight w:val="none"/>
          <w:u w:val="single"/>
          <w:shd w:val="clear" w:color="auto" w:fill="FFFFFF"/>
        </w:rPr>
        <w:t>北京市</w:t>
      </w:r>
      <w:r>
        <w:rPr>
          <w:rFonts w:hint="eastAsia" w:ascii="宋体" w:hAnsi="宋体" w:cs="宋体"/>
          <w:sz w:val="24"/>
          <w:highlight w:val="none"/>
          <w:u w:val="single"/>
          <w:shd w:val="clear" w:color="auto" w:fill="FFFFFF"/>
          <w:lang w:eastAsia="zh-CN"/>
        </w:rPr>
        <w:t>丰台区</w:t>
      </w:r>
    </w:p>
    <w:p w14:paraId="1E614B3D">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招标范围：</w:t>
      </w:r>
      <w:r>
        <w:rPr>
          <w:rFonts w:hint="eastAsia" w:ascii="宋体" w:hAnsi="宋体" w:cs="宋体"/>
          <w:sz w:val="24"/>
          <w:highlight w:val="none"/>
          <w:u w:val="single"/>
          <w:lang w:eastAsia="zh-CN"/>
        </w:rPr>
        <w:t>乐乎公寓（曾用名“禾苗公寓”）拆除工程</w:t>
      </w:r>
      <w:r>
        <w:rPr>
          <w:rFonts w:hint="eastAsia" w:ascii="宋体" w:hAnsi="宋体" w:cs="宋体"/>
          <w:sz w:val="24"/>
          <w:highlight w:val="none"/>
          <w:u w:val="single"/>
        </w:rPr>
        <w:t>施工图纸及工程量清单所示全部工作内容</w:t>
      </w:r>
    </w:p>
    <w:p w14:paraId="15902A58">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1.1.2  本工程施工场地（现场）具体地理位置</w:t>
      </w:r>
      <w:r>
        <w:rPr>
          <w:rFonts w:hint="eastAsia" w:ascii="宋体" w:hAnsi="宋体" w:cs="宋体"/>
          <w:bCs/>
          <w:sz w:val="24"/>
          <w:highlight w:val="none"/>
          <w:shd w:val="clear" w:color="auto" w:fill="FFFFFF"/>
        </w:rPr>
        <w:t>；</w:t>
      </w:r>
      <w:r>
        <w:rPr>
          <w:rFonts w:hint="eastAsia" w:ascii="宋体" w:hAnsi="宋体" w:cs="宋体"/>
          <w:bCs/>
          <w:sz w:val="24"/>
          <w:highlight w:val="none"/>
          <w:u w:val="single"/>
          <w:shd w:val="clear" w:color="auto" w:fill="FFFFFF"/>
        </w:rPr>
        <w:t>北京市</w:t>
      </w:r>
      <w:r>
        <w:rPr>
          <w:rFonts w:hint="eastAsia" w:ascii="宋体" w:hAnsi="宋体" w:cs="宋体"/>
          <w:bCs/>
          <w:sz w:val="24"/>
          <w:highlight w:val="none"/>
          <w:u w:val="single"/>
          <w:shd w:val="clear" w:color="auto" w:fill="FFFFFF"/>
          <w:lang w:eastAsia="zh-CN"/>
        </w:rPr>
        <w:t>丰台区</w:t>
      </w:r>
    </w:p>
    <w:p w14:paraId="56B53AD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86" w:name="_Toc486580465"/>
      <w:bookmarkStart w:id="787" w:name="_Toc483581229"/>
      <w:bookmarkStart w:id="788" w:name="_Toc96352146"/>
      <w:bookmarkStart w:id="789" w:name="_Toc489280270"/>
      <w:bookmarkStart w:id="790" w:name="_Toc10809"/>
      <w:bookmarkStart w:id="791" w:name="_Toc501055675"/>
      <w:bookmarkStart w:id="792" w:name="_Toc96505350"/>
      <w:bookmarkStart w:id="793" w:name="_Toc96504961"/>
      <w:bookmarkStart w:id="794" w:name="_Toc38037923"/>
      <w:bookmarkStart w:id="795" w:name="_Toc497298377"/>
      <w:bookmarkStart w:id="796" w:name="_Toc96529972"/>
      <w:r>
        <w:rPr>
          <w:rFonts w:hint="eastAsia" w:hAnsi="宋体" w:cs="宋体"/>
          <w:szCs w:val="24"/>
          <w:highlight w:val="none"/>
          <w:shd w:val="clear" w:color="auto" w:fill="FFFFFF"/>
        </w:rPr>
        <w:t>1.2  现场条件和周围环境</w:t>
      </w:r>
      <w:bookmarkEnd w:id="786"/>
      <w:bookmarkEnd w:id="787"/>
      <w:bookmarkEnd w:id="788"/>
      <w:bookmarkEnd w:id="789"/>
      <w:bookmarkEnd w:id="790"/>
      <w:bookmarkEnd w:id="791"/>
      <w:bookmarkEnd w:id="792"/>
      <w:bookmarkEnd w:id="793"/>
      <w:bookmarkEnd w:id="794"/>
      <w:bookmarkEnd w:id="795"/>
      <w:bookmarkEnd w:id="796"/>
    </w:p>
    <w:p w14:paraId="01A0731A">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 xml:space="preserve">1.2.2  </w:t>
      </w:r>
      <w:r>
        <w:rPr>
          <w:rFonts w:hint="eastAsia" w:ascii="宋体" w:hAnsi="宋体" w:cs="宋体"/>
          <w:bCs/>
          <w:sz w:val="24"/>
          <w:highlight w:val="none"/>
          <w:shd w:val="clear" w:color="auto" w:fill="FFFFFF"/>
        </w:rPr>
        <w:t>施工场地（现场）临时供水管径；</w:t>
      </w:r>
      <w:r>
        <w:rPr>
          <w:rFonts w:hint="eastAsia" w:ascii="宋体" w:hAnsi="宋体" w:cs="宋体"/>
          <w:bCs/>
          <w:sz w:val="24"/>
          <w:highlight w:val="none"/>
          <w:u w:val="single"/>
        </w:rPr>
        <w:t>在指定位置由承包人接入</w:t>
      </w:r>
    </w:p>
    <w:p w14:paraId="036C6A1E">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场地（现场）临时排污管径；</w:t>
      </w:r>
      <w:r>
        <w:rPr>
          <w:rFonts w:hint="eastAsia" w:ascii="宋体" w:hAnsi="宋体" w:cs="宋体"/>
          <w:bCs/>
          <w:sz w:val="24"/>
          <w:highlight w:val="none"/>
          <w:u w:val="single"/>
        </w:rPr>
        <w:t>在指定位置由承包人接入</w:t>
      </w:r>
    </w:p>
    <w:p w14:paraId="712FA0D1">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场地（现场）临时雨水管径；</w:t>
      </w:r>
      <w:r>
        <w:rPr>
          <w:rFonts w:hint="eastAsia" w:ascii="宋体" w:hAnsi="宋体" w:cs="宋体"/>
          <w:bCs/>
          <w:sz w:val="24"/>
          <w:highlight w:val="none"/>
          <w:u w:val="single"/>
        </w:rPr>
        <w:t>在指定位置由承包人接入</w:t>
      </w:r>
    </w:p>
    <w:p w14:paraId="4B3965CC">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场地（现场）临时供电容量（变压器输出功率）：</w:t>
      </w:r>
      <w:r>
        <w:rPr>
          <w:rFonts w:hint="eastAsia" w:ascii="宋体" w:hAnsi="宋体" w:cs="宋体"/>
          <w:bCs/>
          <w:sz w:val="24"/>
          <w:highlight w:val="none"/>
          <w:u w:val="single"/>
        </w:rPr>
        <w:t>在指定位置由承包人接入</w:t>
      </w:r>
    </w:p>
    <w:p w14:paraId="7403250A">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1.2.3  现场条件和周围环境的其他资料和信息数据；</w:t>
      </w:r>
      <w:r>
        <w:rPr>
          <w:rFonts w:hint="eastAsia" w:ascii="宋体" w:hAnsi="宋体" w:cs="宋体"/>
          <w:bCs/>
          <w:sz w:val="24"/>
          <w:highlight w:val="none"/>
          <w:u w:val="single"/>
        </w:rPr>
        <w:t>在指定位置由承包人接入</w:t>
      </w:r>
    </w:p>
    <w:p w14:paraId="37B0D9FC">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97" w:name="_Toc501055676"/>
      <w:bookmarkStart w:id="798" w:name="_Toc96529973"/>
      <w:bookmarkStart w:id="799" w:name="_Toc20601"/>
      <w:bookmarkStart w:id="800" w:name="_Toc489280271"/>
      <w:bookmarkStart w:id="801" w:name="_Toc96505351"/>
      <w:bookmarkStart w:id="802" w:name="_Toc96352147"/>
      <w:bookmarkStart w:id="803" w:name="_Toc483581230"/>
      <w:bookmarkStart w:id="804" w:name="_Toc38037924"/>
      <w:bookmarkStart w:id="805" w:name="_Toc96504962"/>
      <w:bookmarkStart w:id="806" w:name="_Toc497298378"/>
      <w:r>
        <w:rPr>
          <w:rFonts w:hint="eastAsia" w:hAnsi="宋体" w:cs="宋体"/>
          <w:szCs w:val="24"/>
          <w:highlight w:val="none"/>
          <w:shd w:val="clear" w:color="auto" w:fill="FFFFFF"/>
        </w:rPr>
        <w:t>1.3  地质及水文资料</w:t>
      </w:r>
      <w:bookmarkEnd w:id="797"/>
      <w:bookmarkEnd w:id="798"/>
      <w:bookmarkEnd w:id="799"/>
      <w:bookmarkEnd w:id="800"/>
      <w:bookmarkEnd w:id="801"/>
      <w:bookmarkEnd w:id="802"/>
      <w:bookmarkEnd w:id="803"/>
      <w:bookmarkEnd w:id="804"/>
      <w:bookmarkEnd w:id="805"/>
      <w:bookmarkEnd w:id="806"/>
    </w:p>
    <w:p w14:paraId="16A75B03">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现场地质及水文资料和信息数据：</w:t>
      </w:r>
      <w:r>
        <w:rPr>
          <w:rFonts w:hint="eastAsia" w:ascii="宋体" w:hAnsi="宋体" w:cs="宋体"/>
          <w:sz w:val="24"/>
          <w:highlight w:val="none"/>
          <w:u w:val="single"/>
          <w:shd w:val="clear" w:color="auto" w:fill="FFFFFF"/>
        </w:rPr>
        <w:t xml:space="preserve">    /                              </w:t>
      </w:r>
    </w:p>
    <w:p w14:paraId="2D5B39F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07" w:name="_Toc96352148"/>
      <w:bookmarkStart w:id="808" w:name="_Toc28449"/>
      <w:bookmarkStart w:id="809" w:name="_Toc96504963"/>
      <w:bookmarkStart w:id="810" w:name="_Toc489280272"/>
      <w:bookmarkStart w:id="811" w:name="_Toc96529974"/>
      <w:bookmarkStart w:id="812" w:name="_Toc497298379"/>
      <w:bookmarkStart w:id="813" w:name="_Toc38037925"/>
      <w:bookmarkStart w:id="814" w:name="_Toc501055677"/>
      <w:bookmarkStart w:id="815" w:name="_Toc486580466"/>
      <w:bookmarkStart w:id="816" w:name="_Toc490331747"/>
      <w:bookmarkStart w:id="817" w:name="_Toc96505352"/>
      <w:bookmarkStart w:id="818" w:name="_Toc483581231"/>
      <w:r>
        <w:rPr>
          <w:rFonts w:hint="eastAsia" w:ascii="宋体" w:hAnsi="宋体" w:eastAsia="宋体"/>
          <w:sz w:val="24"/>
          <w:szCs w:val="24"/>
          <w:highlight w:val="none"/>
          <w:shd w:val="clear" w:color="auto" w:fill="FFFFFF"/>
        </w:rPr>
        <w:t>2.承包范围</w:t>
      </w:r>
      <w:bookmarkEnd w:id="807"/>
      <w:bookmarkEnd w:id="808"/>
      <w:bookmarkEnd w:id="809"/>
      <w:bookmarkEnd w:id="810"/>
      <w:bookmarkEnd w:id="811"/>
      <w:bookmarkEnd w:id="812"/>
      <w:bookmarkEnd w:id="813"/>
      <w:bookmarkEnd w:id="814"/>
      <w:bookmarkEnd w:id="815"/>
      <w:bookmarkEnd w:id="816"/>
      <w:bookmarkEnd w:id="817"/>
      <w:bookmarkEnd w:id="818"/>
    </w:p>
    <w:p w14:paraId="1FCC65B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19" w:name="_Toc96352149"/>
      <w:bookmarkStart w:id="820" w:name="_Toc501055678"/>
      <w:bookmarkStart w:id="821" w:name="_Toc497298380"/>
      <w:bookmarkStart w:id="822" w:name="_Toc486580467"/>
      <w:bookmarkStart w:id="823" w:name="_Toc489280273"/>
      <w:bookmarkStart w:id="824" w:name="_Toc96505353"/>
      <w:bookmarkStart w:id="825" w:name="_Toc38037926"/>
      <w:bookmarkStart w:id="826" w:name="_Toc483581232"/>
      <w:bookmarkStart w:id="827" w:name="_Toc96529975"/>
      <w:bookmarkStart w:id="828" w:name="_Toc96504964"/>
      <w:bookmarkStart w:id="829" w:name="_Toc19806"/>
      <w:r>
        <w:rPr>
          <w:rFonts w:hint="eastAsia" w:hAnsi="宋体" w:cs="宋体"/>
          <w:szCs w:val="24"/>
          <w:highlight w:val="none"/>
          <w:shd w:val="clear" w:color="auto" w:fill="FFFFFF"/>
        </w:rPr>
        <w:t>2.1  承包范围</w:t>
      </w:r>
      <w:bookmarkEnd w:id="819"/>
      <w:bookmarkEnd w:id="820"/>
      <w:bookmarkEnd w:id="821"/>
      <w:bookmarkEnd w:id="822"/>
      <w:bookmarkEnd w:id="823"/>
      <w:bookmarkEnd w:id="824"/>
      <w:bookmarkEnd w:id="825"/>
      <w:bookmarkEnd w:id="826"/>
      <w:bookmarkEnd w:id="827"/>
      <w:bookmarkEnd w:id="828"/>
      <w:bookmarkEnd w:id="829"/>
    </w:p>
    <w:p w14:paraId="7F671044">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2.1.1  承包人施工范围</w:t>
      </w:r>
    </w:p>
    <w:p w14:paraId="2FE80B66">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2.1.1.1  本工程承包人施工的工程范围：</w:t>
      </w:r>
      <w:r>
        <w:rPr>
          <w:rFonts w:hint="eastAsia" w:ascii="宋体" w:hAnsi="宋体" w:cs="宋体"/>
          <w:sz w:val="24"/>
          <w:highlight w:val="none"/>
          <w:u w:val="single"/>
          <w:lang w:eastAsia="zh-CN"/>
        </w:rPr>
        <w:t>乐乎公寓（曾用名“禾苗公寓”）拆除工程</w:t>
      </w:r>
      <w:r>
        <w:rPr>
          <w:rFonts w:hint="eastAsia" w:ascii="宋体" w:hAnsi="宋体" w:cs="宋体"/>
          <w:sz w:val="24"/>
          <w:highlight w:val="none"/>
          <w:u w:val="single"/>
        </w:rPr>
        <w:t>施工图纸及工程量清单所示全部工作内容</w:t>
      </w:r>
    </w:p>
    <w:p w14:paraId="740A03EB">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bookmarkStart w:id="830" w:name="_Toc501055679"/>
      <w:r>
        <w:rPr>
          <w:rFonts w:hint="eastAsia" w:ascii="宋体" w:hAnsi="宋体" w:cs="宋体"/>
          <w:sz w:val="24"/>
          <w:highlight w:val="none"/>
          <w:shd w:val="clear" w:color="auto" w:fill="FFFFFF"/>
        </w:rPr>
        <w:t>2.1.1.2  承包人与其他独立承包人之间的工作界面划分：</w:t>
      </w:r>
      <w:bookmarkEnd w:id="830"/>
      <w:r>
        <w:rPr>
          <w:rFonts w:hint="eastAsia" w:ascii="宋体" w:hAnsi="宋体" w:cs="宋体"/>
          <w:sz w:val="24"/>
          <w:highlight w:val="none"/>
          <w:u w:val="single"/>
          <w:shd w:val="clear" w:color="auto" w:fill="FFFFFF"/>
        </w:rPr>
        <w:t xml:space="preserve">      /          </w:t>
      </w:r>
    </w:p>
    <w:p w14:paraId="3F455398">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2.1.2  承包范围内的暂估价材料和工程设备</w:t>
      </w:r>
    </w:p>
    <w:p w14:paraId="61A4C68F">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2.1.2.2  承包人与暂估价材料和工程设备的供应商之间的工作界面划分：</w:t>
      </w:r>
      <w:r>
        <w:rPr>
          <w:rFonts w:hint="eastAsia" w:ascii="宋体" w:hAnsi="宋体" w:cs="宋体"/>
          <w:sz w:val="24"/>
          <w:highlight w:val="none"/>
          <w:u w:val="single"/>
          <w:shd w:val="clear" w:color="auto" w:fill="FFFFFF"/>
        </w:rPr>
        <w:t xml:space="preserve">  / </w:t>
      </w:r>
    </w:p>
    <w:p w14:paraId="09623BB6">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2.1.3  承包范围内的暂列金额项目</w:t>
      </w:r>
    </w:p>
    <w:p w14:paraId="18996DD7">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2.1.3.4  关于暂列金额的其他说明：</w:t>
      </w:r>
      <w:r>
        <w:rPr>
          <w:rFonts w:hint="eastAsia" w:ascii="宋体" w:hAnsi="宋体" w:cs="宋体"/>
          <w:sz w:val="24"/>
          <w:highlight w:val="none"/>
          <w:u w:val="single"/>
          <w:shd w:val="clear" w:color="auto" w:fill="FFFFFF"/>
        </w:rPr>
        <w:t xml:space="preserve">      /                             </w:t>
      </w:r>
    </w:p>
    <w:p w14:paraId="511797D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31" w:name="_Toc96529976"/>
      <w:bookmarkStart w:id="832" w:name="_Toc489280274"/>
      <w:bookmarkStart w:id="833" w:name="_Toc96505354"/>
      <w:bookmarkStart w:id="834" w:name="_Toc96352150"/>
      <w:bookmarkStart w:id="835" w:name="_Toc30904"/>
      <w:bookmarkStart w:id="836" w:name="_Toc483581233"/>
      <w:bookmarkStart w:id="837" w:name="_Toc501055680"/>
      <w:bookmarkStart w:id="838" w:name="_Toc96504965"/>
      <w:bookmarkStart w:id="839" w:name="_Toc497298381"/>
      <w:bookmarkStart w:id="840" w:name="_Toc38037927"/>
      <w:bookmarkStart w:id="841" w:name="_Toc486580468"/>
      <w:r>
        <w:rPr>
          <w:rFonts w:hint="eastAsia" w:hAnsi="宋体" w:cs="宋体"/>
          <w:szCs w:val="24"/>
          <w:highlight w:val="none"/>
          <w:shd w:val="clear" w:color="auto" w:fill="FFFFFF"/>
        </w:rPr>
        <w:t>2.2  发包人供应的材料和工程设备</w:t>
      </w:r>
      <w:bookmarkEnd w:id="831"/>
      <w:bookmarkEnd w:id="832"/>
      <w:bookmarkEnd w:id="833"/>
      <w:bookmarkEnd w:id="834"/>
      <w:bookmarkEnd w:id="835"/>
      <w:bookmarkEnd w:id="836"/>
      <w:bookmarkEnd w:id="837"/>
      <w:bookmarkEnd w:id="838"/>
      <w:bookmarkEnd w:id="839"/>
      <w:bookmarkEnd w:id="840"/>
      <w:bookmarkEnd w:id="841"/>
    </w:p>
    <w:p w14:paraId="1128D891">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2.2.2  承包人与发包人供应的材料和工程设备的供应商之间的工作界面划分如下：</w:t>
      </w:r>
      <w:r>
        <w:rPr>
          <w:rFonts w:hint="eastAsia" w:ascii="宋体" w:hAnsi="宋体" w:cs="宋体"/>
          <w:sz w:val="24"/>
          <w:highlight w:val="none"/>
          <w:u w:val="single"/>
          <w:shd w:val="clear" w:color="auto" w:fill="FFFFFF"/>
        </w:rPr>
        <w:t xml:space="preserve">  / </w:t>
      </w:r>
    </w:p>
    <w:p w14:paraId="6708F4C3">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42" w:name="_Toc501055681"/>
      <w:bookmarkStart w:id="843" w:name="_Toc96505355"/>
      <w:bookmarkStart w:id="844" w:name="_Toc483581235"/>
      <w:bookmarkStart w:id="845" w:name="_Toc1642"/>
      <w:bookmarkStart w:id="846" w:name="_Toc497298383"/>
      <w:bookmarkStart w:id="847" w:name="_Toc489280276"/>
      <w:bookmarkStart w:id="848" w:name="_Toc96529977"/>
      <w:bookmarkStart w:id="849" w:name="_Toc96352151"/>
      <w:bookmarkStart w:id="850" w:name="_Toc486580470"/>
      <w:bookmarkStart w:id="851" w:name="_Toc96504966"/>
      <w:bookmarkStart w:id="852" w:name="_Toc38037928"/>
      <w:r>
        <w:rPr>
          <w:rFonts w:hint="eastAsia" w:hAnsi="宋体" w:cs="宋体"/>
          <w:szCs w:val="24"/>
          <w:highlight w:val="none"/>
          <w:shd w:val="clear" w:color="auto" w:fill="FFFFFF"/>
        </w:rPr>
        <w:t>2.3  承包人需要为发包人和监理人提供的现场办公条件和设施</w:t>
      </w:r>
      <w:bookmarkEnd w:id="842"/>
      <w:bookmarkEnd w:id="843"/>
      <w:bookmarkEnd w:id="844"/>
      <w:bookmarkEnd w:id="845"/>
      <w:bookmarkEnd w:id="846"/>
      <w:bookmarkEnd w:id="847"/>
      <w:bookmarkEnd w:id="848"/>
      <w:bookmarkEnd w:id="849"/>
      <w:bookmarkEnd w:id="850"/>
      <w:bookmarkEnd w:id="851"/>
      <w:bookmarkEnd w:id="852"/>
    </w:p>
    <w:p w14:paraId="5DA2BE9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承包人需要为发包人和监理人提供的现场办公条件和设施及其详细要求：</w:t>
      </w:r>
      <w:r>
        <w:rPr>
          <w:rFonts w:hint="eastAsia" w:ascii="宋体" w:hAnsi="宋体" w:cs="宋体"/>
          <w:sz w:val="24"/>
          <w:highlight w:val="none"/>
          <w:u w:val="single"/>
          <w:shd w:val="clear" w:color="auto" w:fill="FFFFFF"/>
        </w:rPr>
        <w:t xml:space="preserve">    /  </w:t>
      </w:r>
    </w:p>
    <w:p w14:paraId="4777B52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53" w:name="_Toc96529978"/>
      <w:bookmarkStart w:id="854" w:name="_Toc490331748"/>
      <w:bookmarkStart w:id="855" w:name="_Toc38037929"/>
      <w:bookmarkStart w:id="856" w:name="_Toc483581236"/>
      <w:bookmarkStart w:id="857" w:name="_Toc18499"/>
      <w:bookmarkStart w:id="858" w:name="_Toc96504967"/>
      <w:bookmarkStart w:id="859" w:name="_Toc96505356"/>
      <w:bookmarkStart w:id="860" w:name="_Toc497298384"/>
      <w:bookmarkStart w:id="861" w:name="_Toc96352152"/>
      <w:bookmarkStart w:id="862" w:name="_Toc486580471"/>
      <w:bookmarkStart w:id="863" w:name="_Toc501055682"/>
      <w:bookmarkStart w:id="864" w:name="_Toc489280277"/>
      <w:r>
        <w:rPr>
          <w:rFonts w:hint="eastAsia" w:ascii="宋体" w:hAnsi="宋体" w:eastAsia="宋体"/>
          <w:sz w:val="24"/>
          <w:szCs w:val="24"/>
          <w:highlight w:val="none"/>
          <w:shd w:val="clear" w:color="auto" w:fill="FFFFFF"/>
        </w:rPr>
        <w:t>4.质量要求</w:t>
      </w:r>
      <w:bookmarkEnd w:id="853"/>
      <w:bookmarkEnd w:id="854"/>
      <w:bookmarkEnd w:id="855"/>
      <w:bookmarkEnd w:id="856"/>
      <w:bookmarkEnd w:id="857"/>
      <w:bookmarkEnd w:id="858"/>
      <w:bookmarkEnd w:id="859"/>
      <w:bookmarkEnd w:id="860"/>
      <w:bookmarkEnd w:id="861"/>
      <w:bookmarkEnd w:id="862"/>
      <w:bookmarkEnd w:id="863"/>
      <w:bookmarkEnd w:id="864"/>
    </w:p>
    <w:p w14:paraId="566E49E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65" w:name="_Toc96352153"/>
      <w:bookmarkStart w:id="866" w:name="_Toc501055683"/>
      <w:bookmarkStart w:id="867" w:name="_Toc96529979"/>
      <w:bookmarkStart w:id="868" w:name="_Toc483581237"/>
      <w:bookmarkStart w:id="869" w:name="_Toc38037930"/>
      <w:bookmarkStart w:id="870" w:name="_Toc13149"/>
      <w:bookmarkStart w:id="871" w:name="_Toc96505357"/>
      <w:bookmarkStart w:id="872" w:name="_Toc489280278"/>
      <w:bookmarkStart w:id="873" w:name="_Toc96504968"/>
      <w:bookmarkStart w:id="874" w:name="_Toc486580472"/>
      <w:bookmarkStart w:id="875" w:name="_Toc497298385"/>
      <w:r>
        <w:rPr>
          <w:rFonts w:hint="eastAsia" w:hAnsi="宋体" w:cs="宋体"/>
          <w:szCs w:val="24"/>
          <w:highlight w:val="none"/>
          <w:shd w:val="clear" w:color="auto" w:fill="FFFFFF"/>
        </w:rPr>
        <w:t>4.2  特殊质量要求</w:t>
      </w:r>
      <w:bookmarkEnd w:id="865"/>
      <w:bookmarkEnd w:id="866"/>
      <w:bookmarkEnd w:id="867"/>
      <w:bookmarkEnd w:id="868"/>
      <w:bookmarkEnd w:id="869"/>
      <w:bookmarkEnd w:id="870"/>
      <w:bookmarkEnd w:id="871"/>
      <w:bookmarkEnd w:id="872"/>
      <w:bookmarkEnd w:id="873"/>
      <w:bookmarkEnd w:id="874"/>
      <w:bookmarkEnd w:id="875"/>
    </w:p>
    <w:p w14:paraId="6015F27D">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有关本工程质量方面的特殊要求：</w:t>
      </w:r>
      <w:r>
        <w:rPr>
          <w:rFonts w:hint="eastAsia" w:ascii="宋体" w:hAnsi="宋体" w:cs="宋体"/>
          <w:sz w:val="24"/>
          <w:highlight w:val="none"/>
          <w:u w:val="single"/>
          <w:shd w:val="clear" w:color="auto" w:fill="FFFFFF"/>
        </w:rPr>
        <w:t xml:space="preserve">         /                              </w:t>
      </w:r>
    </w:p>
    <w:p w14:paraId="4504A1DE">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76" w:name="_Toc96352154"/>
      <w:bookmarkStart w:id="877" w:name="_Toc489280279"/>
      <w:bookmarkStart w:id="878" w:name="_Toc38037931"/>
      <w:bookmarkStart w:id="879" w:name="_Toc490331749"/>
      <w:bookmarkStart w:id="880" w:name="_Toc96505358"/>
      <w:bookmarkStart w:id="881" w:name="_Toc497298386"/>
      <w:bookmarkStart w:id="882" w:name="_Toc96529980"/>
      <w:bookmarkStart w:id="883" w:name="_Toc483581238"/>
      <w:bookmarkStart w:id="884" w:name="_Toc501055684"/>
      <w:bookmarkStart w:id="885" w:name="_Toc96504969"/>
      <w:bookmarkStart w:id="886" w:name="_Toc486580473"/>
      <w:bookmarkStart w:id="887" w:name="_Toc19402"/>
      <w:r>
        <w:rPr>
          <w:rFonts w:hint="eastAsia" w:ascii="宋体" w:hAnsi="宋体" w:eastAsia="宋体"/>
          <w:sz w:val="24"/>
          <w:szCs w:val="24"/>
          <w:highlight w:val="none"/>
          <w:shd w:val="clear" w:color="auto" w:fill="FFFFFF"/>
        </w:rPr>
        <w:t>5.适用规范和标准</w:t>
      </w:r>
      <w:bookmarkEnd w:id="876"/>
      <w:bookmarkEnd w:id="877"/>
      <w:bookmarkEnd w:id="878"/>
      <w:bookmarkEnd w:id="879"/>
      <w:bookmarkEnd w:id="880"/>
      <w:bookmarkEnd w:id="881"/>
      <w:bookmarkEnd w:id="882"/>
      <w:bookmarkEnd w:id="883"/>
      <w:bookmarkEnd w:id="884"/>
      <w:bookmarkEnd w:id="885"/>
      <w:bookmarkEnd w:id="886"/>
      <w:bookmarkEnd w:id="887"/>
    </w:p>
    <w:p w14:paraId="5DC2902C">
      <w:pPr>
        <w:pageBreakBefore w:val="0"/>
        <w:wordWrap w:val="0"/>
        <w:topLinePunct w:val="0"/>
        <w:bidi w:val="0"/>
        <w:spacing w:after="0" w:line="360" w:lineRule="auto"/>
        <w:ind w:firstLine="720" w:firstLineChars="300"/>
        <w:textAlignment w:val="auto"/>
        <w:outlineLvl w:val="4"/>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5.1  适用本工程的国家、行业和地方规范、标准和规程：</w:t>
      </w:r>
      <w:r>
        <w:rPr>
          <w:rFonts w:hint="eastAsia" w:ascii="宋体" w:hAnsi="宋体" w:cs="宋体"/>
          <w:color w:val="000000"/>
          <w:sz w:val="24"/>
          <w:highlight w:val="none"/>
          <w:u w:val="single"/>
        </w:rPr>
        <w:t xml:space="preserve">按现行有效的规范、标准、和规程及相关性文件等 </w:t>
      </w:r>
    </w:p>
    <w:p w14:paraId="0C21CF9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88" w:name="_Toc96504970"/>
      <w:bookmarkStart w:id="889" w:name="_Toc483581239"/>
      <w:bookmarkStart w:id="890" w:name="_Toc38037932"/>
      <w:bookmarkStart w:id="891" w:name="_Toc96352155"/>
      <w:bookmarkStart w:id="892" w:name="_Toc489280280"/>
      <w:bookmarkStart w:id="893" w:name="_Toc96505359"/>
      <w:bookmarkStart w:id="894" w:name="_Toc486580474"/>
      <w:bookmarkStart w:id="895" w:name="_Toc29252"/>
      <w:bookmarkStart w:id="896" w:name="_Toc96529981"/>
      <w:bookmarkStart w:id="897" w:name="_Toc497298387"/>
      <w:bookmarkStart w:id="898" w:name="_Toc501055685"/>
      <w:bookmarkStart w:id="899" w:name="_Toc490331750"/>
      <w:r>
        <w:rPr>
          <w:rFonts w:hint="eastAsia" w:ascii="宋体" w:hAnsi="宋体" w:eastAsia="宋体"/>
          <w:sz w:val="24"/>
          <w:szCs w:val="24"/>
          <w:highlight w:val="none"/>
          <w:shd w:val="clear" w:color="auto" w:fill="FFFFFF"/>
        </w:rPr>
        <w:t>6.安全文明施工</w:t>
      </w:r>
      <w:bookmarkEnd w:id="888"/>
      <w:bookmarkEnd w:id="889"/>
      <w:bookmarkEnd w:id="890"/>
      <w:bookmarkEnd w:id="891"/>
      <w:bookmarkEnd w:id="892"/>
      <w:bookmarkEnd w:id="893"/>
      <w:bookmarkEnd w:id="894"/>
      <w:bookmarkEnd w:id="895"/>
      <w:bookmarkEnd w:id="896"/>
      <w:bookmarkEnd w:id="897"/>
      <w:bookmarkEnd w:id="898"/>
      <w:bookmarkEnd w:id="899"/>
    </w:p>
    <w:p w14:paraId="0826758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00" w:name="_Toc486580475"/>
      <w:bookmarkStart w:id="901" w:name="_Toc501055686"/>
      <w:bookmarkStart w:id="902" w:name="_Toc497298388"/>
      <w:bookmarkStart w:id="903" w:name="_Toc30917"/>
      <w:bookmarkStart w:id="904" w:name="_Toc96504971"/>
      <w:bookmarkStart w:id="905" w:name="_Toc483581240"/>
      <w:bookmarkStart w:id="906" w:name="_Toc96505360"/>
      <w:bookmarkStart w:id="907" w:name="_Toc96352156"/>
      <w:bookmarkStart w:id="908" w:name="_Toc96529982"/>
      <w:bookmarkStart w:id="909" w:name="_Toc489280281"/>
      <w:bookmarkStart w:id="910" w:name="_Toc38037933"/>
      <w:r>
        <w:rPr>
          <w:rFonts w:hint="eastAsia" w:hAnsi="宋体" w:cs="宋体"/>
          <w:szCs w:val="24"/>
          <w:highlight w:val="none"/>
          <w:shd w:val="clear" w:color="auto" w:fill="FFFFFF"/>
        </w:rPr>
        <w:t>6.1  安全防护</w:t>
      </w:r>
      <w:bookmarkEnd w:id="900"/>
      <w:bookmarkEnd w:id="901"/>
      <w:bookmarkEnd w:id="902"/>
      <w:bookmarkEnd w:id="903"/>
      <w:bookmarkEnd w:id="904"/>
      <w:bookmarkEnd w:id="905"/>
      <w:bookmarkEnd w:id="906"/>
      <w:bookmarkEnd w:id="907"/>
      <w:bookmarkEnd w:id="908"/>
      <w:bookmarkEnd w:id="909"/>
      <w:bookmarkEnd w:id="910"/>
    </w:p>
    <w:p w14:paraId="46779E6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6.1.2  在整个工程施工期间，承包人应在施工场地（现场）设立、提供和维护并在有关工作完成或竣工后撤除</w:t>
      </w:r>
      <w:bookmarkStart w:id="911" w:name="_Hlk524944452"/>
      <w:r>
        <w:rPr>
          <w:rFonts w:hint="eastAsia" w:ascii="宋体" w:hAnsi="宋体" w:cs="宋体"/>
          <w:sz w:val="24"/>
          <w:highlight w:val="none"/>
          <w:shd w:val="clear" w:color="auto" w:fill="FFFFFF"/>
        </w:rPr>
        <w:t>：</w:t>
      </w:r>
      <w:bookmarkEnd w:id="911"/>
    </w:p>
    <w:p w14:paraId="76058207">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（11）其他要求：</w:t>
      </w:r>
      <w:r>
        <w:rPr>
          <w:rFonts w:hint="eastAsia" w:ascii="宋体" w:hAnsi="宋体" w:cs="宋体"/>
          <w:sz w:val="24"/>
          <w:highlight w:val="none"/>
          <w:u w:val="single"/>
          <w:shd w:val="clear" w:color="auto" w:fill="FFFFFF"/>
        </w:rPr>
        <w:t xml:space="preserve">                       /                               </w:t>
      </w:r>
    </w:p>
    <w:p w14:paraId="4C5A3CDB">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6.1.18  安全防护方面的其他要求：</w:t>
      </w:r>
      <w:r>
        <w:rPr>
          <w:rFonts w:hint="eastAsia" w:ascii="宋体" w:hAnsi="宋体" w:cs="宋体"/>
          <w:sz w:val="24"/>
          <w:highlight w:val="none"/>
          <w:u w:val="single"/>
          <w:shd w:val="clear" w:color="auto" w:fill="FFFFFF"/>
        </w:rPr>
        <w:t xml:space="preserve">       /                               </w:t>
      </w:r>
    </w:p>
    <w:p w14:paraId="3CDD703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12" w:name="_Toc486580476"/>
      <w:bookmarkStart w:id="913" w:name="_Toc23525"/>
      <w:bookmarkStart w:id="914" w:name="_Toc483581241"/>
      <w:bookmarkStart w:id="915" w:name="_Toc489280282"/>
      <w:bookmarkStart w:id="916" w:name="_Toc96504972"/>
      <w:bookmarkStart w:id="917" w:name="_Toc96505361"/>
      <w:bookmarkStart w:id="918" w:name="_Toc501055687"/>
      <w:bookmarkStart w:id="919" w:name="_Toc38037934"/>
      <w:bookmarkStart w:id="920" w:name="_Toc96352157"/>
      <w:bookmarkStart w:id="921" w:name="_Toc497298389"/>
      <w:bookmarkStart w:id="922" w:name="_Toc96529983"/>
      <w:r>
        <w:rPr>
          <w:rFonts w:hint="eastAsia" w:hAnsi="宋体" w:cs="宋体"/>
          <w:szCs w:val="24"/>
          <w:highlight w:val="none"/>
          <w:shd w:val="clear" w:color="auto" w:fill="FFFFFF"/>
        </w:rPr>
        <w:t>6.2  临时消防</w:t>
      </w:r>
      <w:bookmarkEnd w:id="912"/>
      <w:bookmarkEnd w:id="913"/>
      <w:bookmarkEnd w:id="914"/>
      <w:bookmarkEnd w:id="915"/>
      <w:bookmarkEnd w:id="916"/>
      <w:bookmarkEnd w:id="917"/>
      <w:bookmarkEnd w:id="918"/>
      <w:bookmarkEnd w:id="919"/>
      <w:bookmarkEnd w:id="920"/>
      <w:bookmarkEnd w:id="921"/>
      <w:bookmarkEnd w:id="922"/>
    </w:p>
    <w:p w14:paraId="1626622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6.2.5  临时消防方面的其他要求：</w:t>
      </w:r>
      <w:r>
        <w:rPr>
          <w:rFonts w:hint="eastAsia" w:ascii="宋体" w:hAnsi="宋体" w:cs="宋体"/>
          <w:sz w:val="24"/>
          <w:highlight w:val="none"/>
          <w:u w:val="single"/>
          <w:shd w:val="clear" w:color="auto" w:fill="FFFFFF"/>
        </w:rPr>
        <w:t xml:space="preserve">        /                               </w:t>
      </w:r>
    </w:p>
    <w:p w14:paraId="598FE47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23" w:name="_Toc96352158"/>
      <w:bookmarkStart w:id="924" w:name="_Toc486580477"/>
      <w:bookmarkStart w:id="925" w:name="_Toc489280283"/>
      <w:bookmarkStart w:id="926" w:name="_Toc38037935"/>
      <w:bookmarkStart w:id="927" w:name="_Toc96529984"/>
      <w:bookmarkStart w:id="928" w:name="_Toc24903"/>
      <w:bookmarkStart w:id="929" w:name="_Toc501055688"/>
      <w:bookmarkStart w:id="930" w:name="_Toc96505362"/>
      <w:bookmarkStart w:id="931" w:name="_Toc96504973"/>
      <w:bookmarkStart w:id="932" w:name="_Toc483581242"/>
      <w:bookmarkStart w:id="933" w:name="_Toc497298390"/>
      <w:r>
        <w:rPr>
          <w:rFonts w:hint="eastAsia" w:hAnsi="宋体" w:cs="宋体"/>
          <w:szCs w:val="24"/>
          <w:highlight w:val="none"/>
          <w:shd w:val="clear" w:color="auto" w:fill="FFFFFF"/>
        </w:rPr>
        <w:t>6.3  临时供电</w:t>
      </w:r>
      <w:bookmarkEnd w:id="923"/>
      <w:bookmarkEnd w:id="924"/>
      <w:bookmarkEnd w:id="925"/>
      <w:bookmarkEnd w:id="926"/>
      <w:bookmarkEnd w:id="927"/>
      <w:bookmarkEnd w:id="928"/>
      <w:bookmarkEnd w:id="929"/>
      <w:bookmarkEnd w:id="930"/>
      <w:bookmarkEnd w:id="931"/>
      <w:bookmarkEnd w:id="932"/>
      <w:bookmarkEnd w:id="933"/>
    </w:p>
    <w:p w14:paraId="003C2D22">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6.3.6  临时用电方面的其他要求：</w:t>
      </w:r>
      <w:r>
        <w:rPr>
          <w:rFonts w:hint="eastAsia" w:ascii="宋体" w:hAnsi="宋体" w:cs="宋体"/>
          <w:sz w:val="24"/>
          <w:highlight w:val="none"/>
          <w:u w:val="single"/>
          <w:shd w:val="clear" w:color="auto" w:fill="FFFFFF"/>
        </w:rPr>
        <w:t xml:space="preserve">        /                               </w:t>
      </w:r>
    </w:p>
    <w:p w14:paraId="1F9C0F8D">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34" w:name="_Toc96529985"/>
      <w:bookmarkStart w:id="935" w:name="_Toc19663"/>
      <w:bookmarkStart w:id="936" w:name="_Toc483581243"/>
      <w:bookmarkStart w:id="937" w:name="_Toc497298391"/>
      <w:bookmarkStart w:id="938" w:name="_Toc96352159"/>
      <w:bookmarkStart w:id="939" w:name="_Toc489280284"/>
      <w:bookmarkStart w:id="940" w:name="_Toc501055689"/>
      <w:bookmarkStart w:id="941" w:name="_Toc486580478"/>
      <w:bookmarkStart w:id="942" w:name="_Toc38037936"/>
      <w:bookmarkStart w:id="943" w:name="_Toc96505363"/>
      <w:bookmarkStart w:id="944" w:name="_Toc96504974"/>
      <w:r>
        <w:rPr>
          <w:rFonts w:hint="eastAsia" w:hAnsi="宋体" w:cs="宋体"/>
          <w:szCs w:val="24"/>
          <w:highlight w:val="none"/>
          <w:shd w:val="clear" w:color="auto" w:fill="FFFFFF"/>
        </w:rPr>
        <w:t>6.4  劳动保护</w:t>
      </w:r>
      <w:bookmarkEnd w:id="934"/>
      <w:bookmarkEnd w:id="935"/>
      <w:bookmarkEnd w:id="936"/>
      <w:bookmarkEnd w:id="937"/>
      <w:bookmarkEnd w:id="938"/>
      <w:bookmarkEnd w:id="939"/>
      <w:bookmarkEnd w:id="940"/>
      <w:bookmarkEnd w:id="941"/>
      <w:bookmarkEnd w:id="942"/>
      <w:bookmarkEnd w:id="943"/>
      <w:bookmarkEnd w:id="944"/>
    </w:p>
    <w:p w14:paraId="410D4F6B">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6.4.6  劳动保护方面的其他要求：</w:t>
      </w:r>
      <w:r>
        <w:rPr>
          <w:rFonts w:hint="eastAsia" w:ascii="宋体" w:hAnsi="宋体" w:cs="宋体"/>
          <w:sz w:val="24"/>
          <w:highlight w:val="none"/>
          <w:u w:val="single"/>
          <w:shd w:val="clear" w:color="auto" w:fill="FFFFFF"/>
        </w:rPr>
        <w:t xml:space="preserve">        /                               </w:t>
      </w:r>
    </w:p>
    <w:p w14:paraId="36AC90C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45" w:name="_Toc497298392"/>
      <w:bookmarkStart w:id="946" w:name="_Toc96504975"/>
      <w:bookmarkStart w:id="947" w:name="_Toc38037937"/>
      <w:bookmarkStart w:id="948" w:name="_Toc16227"/>
      <w:bookmarkStart w:id="949" w:name="_Toc483581244"/>
      <w:bookmarkStart w:id="950" w:name="_Toc96505364"/>
      <w:bookmarkStart w:id="951" w:name="_Toc489280285"/>
      <w:bookmarkStart w:id="952" w:name="_Toc96352160"/>
      <w:bookmarkStart w:id="953" w:name="_Toc501055690"/>
      <w:bookmarkStart w:id="954" w:name="_Toc96529986"/>
      <w:bookmarkStart w:id="955" w:name="_Toc486580479"/>
      <w:r>
        <w:rPr>
          <w:rFonts w:hint="eastAsia" w:hAnsi="宋体" w:cs="宋体"/>
          <w:szCs w:val="24"/>
          <w:highlight w:val="none"/>
          <w:shd w:val="clear" w:color="auto" w:fill="FFFFFF"/>
        </w:rPr>
        <w:t>6.5  脚手架</w:t>
      </w:r>
      <w:bookmarkEnd w:id="945"/>
      <w:bookmarkEnd w:id="946"/>
      <w:bookmarkEnd w:id="947"/>
      <w:bookmarkEnd w:id="948"/>
      <w:bookmarkEnd w:id="949"/>
      <w:bookmarkEnd w:id="950"/>
      <w:bookmarkEnd w:id="951"/>
      <w:bookmarkEnd w:id="952"/>
      <w:bookmarkEnd w:id="953"/>
      <w:bookmarkEnd w:id="954"/>
      <w:bookmarkEnd w:id="955"/>
    </w:p>
    <w:p w14:paraId="153A8154">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6.5.6  脚手架的其他要求：</w:t>
      </w:r>
      <w:r>
        <w:rPr>
          <w:rFonts w:hint="eastAsia" w:ascii="宋体" w:hAnsi="宋体" w:cs="宋体"/>
          <w:sz w:val="24"/>
          <w:highlight w:val="none"/>
          <w:u w:val="single"/>
          <w:shd w:val="clear" w:color="auto" w:fill="FFFFFF"/>
        </w:rPr>
        <w:t xml:space="preserve">             /                                </w:t>
      </w:r>
    </w:p>
    <w:p w14:paraId="008029FE">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56" w:name="_Toc3989"/>
      <w:bookmarkStart w:id="957" w:name="_Toc38037938"/>
      <w:bookmarkStart w:id="958" w:name="_Toc96505365"/>
      <w:bookmarkStart w:id="959" w:name="_Toc96529987"/>
      <w:bookmarkStart w:id="960" w:name="_Toc483581245"/>
      <w:bookmarkStart w:id="961" w:name="_Toc489280286"/>
      <w:bookmarkStart w:id="962" w:name="_Toc486580480"/>
      <w:bookmarkStart w:id="963" w:name="_Toc497298393"/>
      <w:bookmarkStart w:id="964" w:name="_Toc96352161"/>
      <w:bookmarkStart w:id="965" w:name="_Toc96504976"/>
      <w:bookmarkStart w:id="966" w:name="_Toc501055691"/>
      <w:r>
        <w:rPr>
          <w:rFonts w:hint="eastAsia" w:hAnsi="宋体" w:cs="宋体"/>
          <w:szCs w:val="24"/>
          <w:highlight w:val="none"/>
          <w:shd w:val="clear" w:color="auto" w:fill="FFFFFF"/>
        </w:rPr>
        <w:t>6.6  施工安全措施计划</w:t>
      </w:r>
      <w:bookmarkEnd w:id="956"/>
      <w:bookmarkEnd w:id="957"/>
      <w:bookmarkEnd w:id="958"/>
      <w:bookmarkEnd w:id="959"/>
      <w:bookmarkEnd w:id="960"/>
      <w:bookmarkEnd w:id="961"/>
      <w:bookmarkEnd w:id="962"/>
      <w:bookmarkEnd w:id="963"/>
      <w:bookmarkEnd w:id="964"/>
      <w:bookmarkEnd w:id="965"/>
      <w:bookmarkEnd w:id="966"/>
    </w:p>
    <w:p w14:paraId="4FD7AAC6">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6.6.2  施工安全措施计划内容包括：</w:t>
      </w:r>
    </w:p>
    <w:p w14:paraId="1FBF3BE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（9）其他要求：</w:t>
      </w:r>
      <w:r>
        <w:rPr>
          <w:rFonts w:hint="eastAsia" w:ascii="宋体" w:hAnsi="宋体" w:cs="宋体"/>
          <w:sz w:val="24"/>
          <w:highlight w:val="none"/>
          <w:u w:val="single"/>
          <w:shd w:val="clear" w:color="auto" w:fill="FFFFFF"/>
        </w:rPr>
        <w:t xml:space="preserve">                        /                               </w:t>
      </w:r>
    </w:p>
    <w:p w14:paraId="066B022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67" w:name="_Toc96352162"/>
      <w:bookmarkStart w:id="968" w:name="_Toc96505366"/>
      <w:bookmarkStart w:id="969" w:name="_Toc483581246"/>
      <w:bookmarkStart w:id="970" w:name="_Toc4321"/>
      <w:bookmarkStart w:id="971" w:name="_Toc501055692"/>
      <w:bookmarkStart w:id="972" w:name="_Toc497298394"/>
      <w:bookmarkStart w:id="973" w:name="_Toc486580481"/>
      <w:bookmarkStart w:id="974" w:name="_Toc96529988"/>
      <w:bookmarkStart w:id="975" w:name="_Toc489280287"/>
      <w:bookmarkStart w:id="976" w:name="_Toc38037939"/>
      <w:bookmarkStart w:id="977" w:name="_Toc96504977"/>
      <w:r>
        <w:rPr>
          <w:rFonts w:hint="eastAsia" w:hAnsi="宋体" w:cs="宋体"/>
          <w:szCs w:val="24"/>
          <w:highlight w:val="none"/>
          <w:shd w:val="clear" w:color="auto" w:fill="FFFFFF"/>
        </w:rPr>
        <w:t>6.7  文明施工</w:t>
      </w:r>
      <w:bookmarkEnd w:id="967"/>
      <w:bookmarkEnd w:id="968"/>
      <w:bookmarkEnd w:id="969"/>
      <w:bookmarkEnd w:id="970"/>
      <w:bookmarkEnd w:id="971"/>
      <w:bookmarkEnd w:id="972"/>
      <w:bookmarkEnd w:id="973"/>
      <w:bookmarkEnd w:id="974"/>
      <w:bookmarkEnd w:id="975"/>
      <w:bookmarkEnd w:id="976"/>
      <w:bookmarkEnd w:id="977"/>
    </w:p>
    <w:p w14:paraId="523DC90A">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6.7.10  成品保护措施计划报监理人审批的时限：</w:t>
      </w:r>
      <w:r>
        <w:rPr>
          <w:rFonts w:hint="eastAsia" w:ascii="宋体" w:hAnsi="宋体" w:cs="宋体"/>
          <w:sz w:val="24"/>
          <w:highlight w:val="none"/>
          <w:u w:val="single"/>
          <w:shd w:val="clear" w:color="auto" w:fill="FFFFFF"/>
        </w:rPr>
        <w:t xml:space="preserve">          /                </w:t>
      </w:r>
    </w:p>
    <w:p w14:paraId="275653A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6.7.11  文明施工方面的其他要求：</w:t>
      </w:r>
      <w:r>
        <w:rPr>
          <w:rFonts w:hint="eastAsia" w:ascii="宋体" w:hAnsi="宋体" w:cs="宋体"/>
          <w:sz w:val="24"/>
          <w:highlight w:val="none"/>
          <w:u w:val="single"/>
          <w:shd w:val="clear" w:color="auto" w:fill="FFFFFF"/>
        </w:rPr>
        <w:t xml:space="preserve">                    /                  </w:t>
      </w:r>
    </w:p>
    <w:p w14:paraId="35D52C41">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78" w:name="_Toc96352163"/>
      <w:bookmarkStart w:id="979" w:name="_Toc14914"/>
      <w:bookmarkStart w:id="980" w:name="_Toc489280288"/>
      <w:bookmarkStart w:id="981" w:name="_Toc483581247"/>
      <w:bookmarkStart w:id="982" w:name="_Toc96504978"/>
      <w:bookmarkStart w:id="983" w:name="_Toc96529989"/>
      <w:bookmarkStart w:id="984" w:name="_Toc497298395"/>
      <w:bookmarkStart w:id="985" w:name="_Toc501055693"/>
      <w:bookmarkStart w:id="986" w:name="_Toc486580482"/>
      <w:bookmarkStart w:id="987" w:name="_Toc38037940"/>
      <w:bookmarkStart w:id="988" w:name="_Toc96505367"/>
      <w:r>
        <w:rPr>
          <w:rFonts w:hint="eastAsia" w:hAnsi="宋体" w:cs="宋体"/>
          <w:szCs w:val="24"/>
          <w:highlight w:val="none"/>
          <w:shd w:val="clear" w:color="auto" w:fill="FFFFFF"/>
        </w:rPr>
        <w:t>6.8  环境保护</w:t>
      </w:r>
      <w:bookmarkEnd w:id="978"/>
      <w:bookmarkEnd w:id="979"/>
      <w:bookmarkEnd w:id="980"/>
      <w:bookmarkEnd w:id="981"/>
      <w:bookmarkEnd w:id="982"/>
      <w:bookmarkEnd w:id="983"/>
      <w:bookmarkEnd w:id="984"/>
      <w:bookmarkEnd w:id="985"/>
      <w:bookmarkEnd w:id="986"/>
      <w:bookmarkEnd w:id="987"/>
      <w:bookmarkEnd w:id="988"/>
    </w:p>
    <w:p w14:paraId="4E0F7E9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6.8.10  环境保护方面的其他要求：</w:t>
      </w:r>
      <w:r>
        <w:rPr>
          <w:rFonts w:hint="eastAsia" w:ascii="宋体" w:hAnsi="宋体" w:cs="宋体"/>
          <w:sz w:val="24"/>
          <w:highlight w:val="none"/>
          <w:u w:val="single"/>
          <w:shd w:val="clear" w:color="auto" w:fill="FFFFFF"/>
        </w:rPr>
        <w:t xml:space="preserve">                  /                    </w:t>
      </w:r>
    </w:p>
    <w:p w14:paraId="43797EC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89" w:name="_Toc96505368"/>
      <w:bookmarkStart w:id="990" w:name="_Toc28034"/>
      <w:bookmarkStart w:id="991" w:name="_Toc38037941"/>
      <w:bookmarkStart w:id="992" w:name="_Toc483581248"/>
      <w:bookmarkStart w:id="993" w:name="_Toc501055694"/>
      <w:bookmarkStart w:id="994" w:name="_Toc486580483"/>
      <w:bookmarkStart w:id="995" w:name="_Toc489280289"/>
      <w:bookmarkStart w:id="996" w:name="_Toc96352164"/>
      <w:bookmarkStart w:id="997" w:name="_Toc497298396"/>
      <w:bookmarkStart w:id="998" w:name="_Toc96504979"/>
      <w:bookmarkStart w:id="999" w:name="_Toc96529990"/>
      <w:r>
        <w:rPr>
          <w:rFonts w:hint="eastAsia" w:hAnsi="宋体" w:cs="宋体"/>
          <w:szCs w:val="24"/>
          <w:highlight w:val="none"/>
          <w:shd w:val="clear" w:color="auto" w:fill="FFFFFF"/>
        </w:rPr>
        <w:t>6.9  施工环保措施计划</w:t>
      </w:r>
      <w:bookmarkEnd w:id="989"/>
      <w:bookmarkEnd w:id="990"/>
      <w:bookmarkEnd w:id="991"/>
      <w:bookmarkEnd w:id="992"/>
      <w:bookmarkEnd w:id="993"/>
      <w:bookmarkEnd w:id="994"/>
      <w:bookmarkEnd w:id="995"/>
      <w:bookmarkEnd w:id="996"/>
      <w:bookmarkEnd w:id="997"/>
      <w:bookmarkEnd w:id="998"/>
      <w:bookmarkEnd w:id="999"/>
    </w:p>
    <w:p w14:paraId="2700F959">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6.9.1  施工环保措施计划</w:t>
      </w:r>
      <w:r>
        <w:rPr>
          <w:rStyle w:val="252"/>
          <w:rFonts w:hint="eastAsia" w:ascii="宋体" w:hAnsi="宋体" w:cs="宋体"/>
          <w:sz w:val="24"/>
          <w:highlight w:val="none"/>
          <w:shd w:val="clear" w:color="auto" w:fill="FFFFFF"/>
        </w:rPr>
        <w:t>内容应包括：</w:t>
      </w:r>
    </w:p>
    <w:p w14:paraId="6B6AA47F">
      <w:pPr>
        <w:pageBreakBefore w:val="0"/>
        <w:wordWrap w:val="0"/>
        <w:topLinePunct w:val="0"/>
        <w:bidi w:val="0"/>
        <w:spacing w:after="0" w:line="360" w:lineRule="auto"/>
        <w:ind w:firstLine="480" w:firstLineChars="200"/>
        <w:textAlignment w:val="auto"/>
        <w:rPr>
          <w:rStyle w:val="252"/>
          <w:rFonts w:hint="eastAsia" w:ascii="宋体" w:hAnsi="宋体" w:cs="宋体"/>
          <w:color w:val="000000"/>
          <w:sz w:val="24"/>
          <w:highlight w:val="none"/>
          <w:u w:val="single"/>
          <w:shd w:val="clear" w:color="auto" w:fill="FFFFFF"/>
        </w:rPr>
      </w:pPr>
      <w:r>
        <w:rPr>
          <w:rStyle w:val="252"/>
          <w:rFonts w:hint="eastAsia" w:ascii="宋体" w:hAnsi="宋体" w:cs="宋体"/>
          <w:color w:val="000000"/>
          <w:sz w:val="24"/>
          <w:highlight w:val="none"/>
          <w:shd w:val="clear" w:color="auto" w:fill="FFFFFF"/>
        </w:rPr>
        <w:t>（15）其他要求：</w:t>
      </w:r>
      <w:r>
        <w:rPr>
          <w:rStyle w:val="252"/>
          <w:rFonts w:hint="eastAsia" w:ascii="宋体" w:hAnsi="宋体" w:cs="宋体"/>
          <w:color w:val="000000"/>
          <w:sz w:val="24"/>
          <w:highlight w:val="none"/>
          <w:u w:val="single"/>
          <w:shd w:val="clear" w:color="auto" w:fill="FFFFFF"/>
        </w:rPr>
        <w:t xml:space="preserve">                           /                          </w:t>
      </w:r>
    </w:p>
    <w:p w14:paraId="75357BD1">
      <w:pPr>
        <w:keepNext/>
        <w:keepLines/>
        <w:pageBreakBefore w:val="0"/>
        <w:wordWrap w:val="0"/>
        <w:topLinePunct w:val="0"/>
        <w:bidi w:val="0"/>
        <w:spacing w:before="120" w:beforeLines="50" w:after="0" w:line="360" w:lineRule="auto"/>
        <w:textAlignment w:val="auto"/>
        <w:outlineLvl w:val="4"/>
        <w:rPr>
          <w:rFonts w:hint="eastAsia" w:ascii="宋体" w:hAnsi="宋体" w:cs="宋体"/>
          <w:color w:val="000000"/>
          <w:sz w:val="24"/>
          <w:highlight w:val="none"/>
          <w:shd w:val="clear" w:color="auto" w:fill="FFFFFF"/>
        </w:rPr>
      </w:pPr>
      <w:bookmarkStart w:id="1000" w:name="_Toc96529991"/>
      <w:bookmarkStart w:id="1001" w:name="_Toc96505369"/>
      <w:bookmarkStart w:id="1002" w:name="_Toc24584"/>
      <w:bookmarkStart w:id="1003" w:name="_Toc96504980"/>
      <w:bookmarkStart w:id="1004" w:name="_Toc96352165"/>
      <w:bookmarkStart w:id="1005" w:name="_Toc38037942"/>
      <w:r>
        <w:rPr>
          <w:rFonts w:hint="eastAsia" w:ascii="宋体" w:hAnsi="宋体" w:cs="宋体"/>
          <w:color w:val="000000"/>
          <w:sz w:val="24"/>
          <w:highlight w:val="none"/>
          <w:shd w:val="clear" w:color="auto" w:fill="FFFFFF"/>
        </w:rPr>
        <w:t>6.10  施工现场安全生产标准化要求</w:t>
      </w:r>
      <w:bookmarkEnd w:id="1000"/>
      <w:bookmarkEnd w:id="1001"/>
      <w:bookmarkEnd w:id="1002"/>
      <w:bookmarkEnd w:id="1003"/>
      <w:bookmarkEnd w:id="1004"/>
      <w:bookmarkEnd w:id="1005"/>
    </w:p>
    <w:p w14:paraId="1FDBFF7B">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u w:val="single"/>
        </w:rPr>
      </w:pPr>
      <w:r>
        <w:rPr>
          <w:rFonts w:hint="eastAsia" w:ascii="宋体" w:hAnsi="宋体" w:cs="宋体"/>
          <w:color w:val="000000"/>
          <w:sz w:val="24"/>
          <w:highlight w:val="none"/>
          <w:shd w:val="clear" w:color="auto" w:fill="FFFFFF"/>
        </w:rPr>
        <w:t xml:space="preserve">6.10.1  </w:t>
      </w:r>
      <w:r>
        <w:rPr>
          <w:rFonts w:hint="eastAsia" w:ascii="宋体" w:hAnsi="宋体" w:cs="宋体"/>
          <w:color w:val="000000"/>
          <w:sz w:val="24"/>
          <w:highlight w:val="none"/>
        </w:rPr>
        <w:t>施工现场安全生产标准化管理目标等级</w:t>
      </w:r>
      <w:r>
        <w:rPr>
          <w:rFonts w:hint="eastAsia" w:ascii="宋体" w:hAnsi="宋体" w:cs="宋体"/>
          <w:color w:val="000000"/>
          <w:sz w:val="24"/>
          <w:highlight w:val="none"/>
          <w:u w:val="single"/>
        </w:rPr>
        <w:t xml:space="preserve">     达标   </w:t>
      </w:r>
      <w:r>
        <w:rPr>
          <w:rFonts w:hint="eastAsia" w:ascii="宋体" w:hAnsi="宋体" w:cs="宋体"/>
          <w:color w:val="000000"/>
          <w:sz w:val="24"/>
          <w:highlight w:val="none"/>
        </w:rPr>
        <w:t>。</w:t>
      </w:r>
    </w:p>
    <w:p w14:paraId="55E4E394">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6.10.3  现行施工现场安全生产标准化分级管理标准：《北京市建设工程施工现场安全生产标准化管理图集》（2019版）。</w:t>
      </w:r>
    </w:p>
    <w:p w14:paraId="48FB930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6.10.4  特殊安全文明施工措施要求：</w:t>
      </w:r>
      <w:r>
        <w:rPr>
          <w:rFonts w:hint="eastAsia" w:ascii="宋体" w:hAnsi="宋体" w:cs="宋体"/>
          <w:sz w:val="24"/>
          <w:highlight w:val="none"/>
          <w:u w:val="single"/>
          <w:shd w:val="clear" w:color="auto" w:fill="FFFFFF"/>
        </w:rPr>
        <w:t xml:space="preserve">           /                        </w:t>
      </w:r>
    </w:p>
    <w:p w14:paraId="76458EA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06" w:name="_Toc38037943"/>
      <w:bookmarkStart w:id="1007" w:name="_Toc96529992"/>
      <w:bookmarkStart w:id="1008" w:name="_Toc96352166"/>
      <w:bookmarkStart w:id="1009" w:name="_Toc483581249"/>
      <w:bookmarkStart w:id="1010" w:name="_Toc96505370"/>
      <w:bookmarkStart w:id="1011" w:name="_Toc490331751"/>
      <w:bookmarkStart w:id="1012" w:name="_Toc96504981"/>
      <w:bookmarkStart w:id="1013" w:name="_Toc497298397"/>
      <w:bookmarkStart w:id="1014" w:name="_Toc489280290"/>
      <w:bookmarkStart w:id="1015" w:name="_Toc486580484"/>
      <w:bookmarkStart w:id="1016" w:name="_Toc501055695"/>
      <w:bookmarkStart w:id="1017" w:name="_Toc21593"/>
      <w:r>
        <w:rPr>
          <w:rFonts w:hint="eastAsia" w:ascii="宋体" w:hAnsi="宋体" w:eastAsia="宋体"/>
          <w:sz w:val="24"/>
          <w:szCs w:val="24"/>
          <w:highlight w:val="none"/>
          <w:shd w:val="clear" w:color="auto" w:fill="FFFFFF"/>
        </w:rPr>
        <w:t>7.治安保卫</w:t>
      </w:r>
      <w:bookmarkEnd w:id="1006"/>
      <w:bookmarkEnd w:id="1007"/>
      <w:bookmarkEnd w:id="1008"/>
      <w:bookmarkEnd w:id="1009"/>
      <w:bookmarkEnd w:id="1010"/>
      <w:bookmarkEnd w:id="1011"/>
      <w:bookmarkEnd w:id="1012"/>
      <w:bookmarkEnd w:id="1013"/>
      <w:bookmarkEnd w:id="1014"/>
      <w:bookmarkEnd w:id="1015"/>
      <w:bookmarkEnd w:id="1016"/>
      <w:bookmarkEnd w:id="1017"/>
    </w:p>
    <w:p w14:paraId="657F4FB9">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7.7  突发治安事件紧急预案的要求：</w:t>
      </w:r>
      <w:r>
        <w:rPr>
          <w:rFonts w:hint="eastAsia" w:ascii="宋体" w:hAnsi="宋体" w:cs="宋体"/>
          <w:sz w:val="24"/>
          <w:highlight w:val="none"/>
          <w:u w:val="single"/>
          <w:shd w:val="clear" w:color="auto" w:fill="FFFFFF"/>
        </w:rPr>
        <w:t xml:space="preserve">            /                        </w:t>
      </w:r>
    </w:p>
    <w:p w14:paraId="60225422">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7.8  治安保卫管理方面的其他要求：</w:t>
      </w:r>
      <w:r>
        <w:rPr>
          <w:rFonts w:hint="eastAsia" w:ascii="宋体" w:hAnsi="宋体" w:cs="宋体"/>
          <w:sz w:val="24"/>
          <w:highlight w:val="none"/>
          <w:u w:val="single"/>
          <w:shd w:val="clear" w:color="auto" w:fill="FFFFFF"/>
        </w:rPr>
        <w:t xml:space="preserve">            /                         </w:t>
      </w:r>
    </w:p>
    <w:p w14:paraId="200273B8">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18" w:name="_Toc483581250"/>
      <w:bookmarkStart w:id="1019" w:name="_Toc96505371"/>
      <w:bookmarkStart w:id="1020" w:name="_Toc96529993"/>
      <w:bookmarkStart w:id="1021" w:name="_Toc486580485"/>
      <w:bookmarkStart w:id="1022" w:name="_Toc501055696"/>
      <w:bookmarkStart w:id="1023" w:name="_Toc38037944"/>
      <w:bookmarkStart w:id="1024" w:name="_Toc490331752"/>
      <w:bookmarkStart w:id="1025" w:name="_Toc497298398"/>
      <w:bookmarkStart w:id="1026" w:name="_Toc96352167"/>
      <w:bookmarkStart w:id="1027" w:name="_Toc96504982"/>
      <w:bookmarkStart w:id="1028" w:name="_Toc428"/>
      <w:bookmarkStart w:id="1029" w:name="_Toc489280291"/>
      <w:r>
        <w:rPr>
          <w:rFonts w:hint="eastAsia" w:ascii="宋体" w:hAnsi="宋体" w:eastAsia="宋体"/>
          <w:sz w:val="24"/>
          <w:szCs w:val="24"/>
          <w:highlight w:val="none"/>
          <w:shd w:val="clear" w:color="auto" w:fill="FFFFFF"/>
        </w:rPr>
        <w:t>8.地上、地下设施和周边建筑物的临时保护</w:t>
      </w:r>
      <w:bookmarkEnd w:id="1018"/>
      <w:bookmarkEnd w:id="1019"/>
      <w:bookmarkEnd w:id="1020"/>
      <w:bookmarkEnd w:id="1021"/>
      <w:bookmarkEnd w:id="1022"/>
      <w:bookmarkEnd w:id="1023"/>
      <w:bookmarkEnd w:id="1024"/>
      <w:bookmarkEnd w:id="1025"/>
      <w:bookmarkEnd w:id="1026"/>
      <w:bookmarkEnd w:id="1027"/>
      <w:bookmarkEnd w:id="1028"/>
      <w:bookmarkEnd w:id="1029"/>
    </w:p>
    <w:p w14:paraId="191E2BBE">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8.3  发包人特别提醒承包人注意以下地上、地下设施和周边建筑物的保护：</w:t>
      </w:r>
      <w:r>
        <w:rPr>
          <w:rFonts w:hint="eastAsia" w:ascii="宋体" w:hAnsi="宋体" w:cs="宋体"/>
          <w:sz w:val="24"/>
          <w:highlight w:val="none"/>
          <w:u w:val="single"/>
          <w:shd w:val="clear" w:color="auto" w:fill="FFFFFF"/>
        </w:rPr>
        <w:t xml:space="preserve">  /</w:t>
      </w:r>
    </w:p>
    <w:p w14:paraId="3580DFF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8.4  地上、地下设施和周边建筑物的临时保护的其他要求：</w:t>
      </w:r>
      <w:r>
        <w:rPr>
          <w:rFonts w:hint="eastAsia" w:ascii="宋体" w:hAnsi="宋体" w:cs="宋体"/>
          <w:sz w:val="24"/>
          <w:highlight w:val="none"/>
          <w:u w:val="single"/>
          <w:shd w:val="clear" w:color="auto" w:fill="FFFFFF"/>
        </w:rPr>
        <w:t xml:space="preserve">          /      </w:t>
      </w:r>
    </w:p>
    <w:p w14:paraId="2C1C7BDE">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30" w:name="_Toc20747"/>
      <w:bookmarkStart w:id="1031" w:name="_Toc96504983"/>
      <w:bookmarkStart w:id="1032" w:name="_Toc501055697"/>
      <w:bookmarkStart w:id="1033" w:name="_Toc38037945"/>
      <w:bookmarkStart w:id="1034" w:name="_Toc96352168"/>
      <w:bookmarkStart w:id="1035" w:name="_Toc497298399"/>
      <w:bookmarkStart w:id="1036" w:name="_Toc96529994"/>
      <w:bookmarkStart w:id="1037" w:name="_Toc490331753"/>
      <w:bookmarkStart w:id="1038" w:name="_Toc486580486"/>
      <w:bookmarkStart w:id="1039" w:name="_Toc483581251"/>
      <w:bookmarkStart w:id="1040" w:name="_Toc489280292"/>
      <w:bookmarkStart w:id="1041" w:name="_Toc96505372"/>
      <w:r>
        <w:rPr>
          <w:rFonts w:hint="eastAsia" w:ascii="宋体" w:hAnsi="宋体" w:eastAsia="宋体"/>
          <w:sz w:val="24"/>
          <w:szCs w:val="24"/>
          <w:highlight w:val="none"/>
          <w:shd w:val="clear" w:color="auto" w:fill="FFFFFF"/>
        </w:rPr>
        <w:t>9.样品和材料代换</w:t>
      </w:r>
      <w:bookmarkEnd w:id="1030"/>
      <w:bookmarkEnd w:id="1031"/>
      <w:bookmarkEnd w:id="1032"/>
      <w:bookmarkEnd w:id="1033"/>
      <w:bookmarkEnd w:id="1034"/>
      <w:bookmarkEnd w:id="1035"/>
      <w:bookmarkEnd w:id="1036"/>
      <w:bookmarkEnd w:id="1037"/>
      <w:bookmarkEnd w:id="1038"/>
      <w:bookmarkEnd w:id="1039"/>
      <w:bookmarkEnd w:id="1040"/>
      <w:bookmarkEnd w:id="1041"/>
    </w:p>
    <w:p w14:paraId="5BC8C08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42" w:name="_Toc14934"/>
      <w:bookmarkStart w:id="1043" w:name="_Toc96529995"/>
      <w:bookmarkStart w:id="1044" w:name="_Toc489280293"/>
      <w:bookmarkStart w:id="1045" w:name="_Toc96505373"/>
      <w:bookmarkStart w:id="1046" w:name="_Toc486580487"/>
      <w:bookmarkStart w:id="1047" w:name="_Toc483581252"/>
      <w:bookmarkStart w:id="1048" w:name="_Toc38037946"/>
      <w:bookmarkStart w:id="1049" w:name="_Toc96504984"/>
      <w:bookmarkStart w:id="1050" w:name="_Toc501055698"/>
      <w:bookmarkStart w:id="1051" w:name="_Toc497298400"/>
      <w:bookmarkStart w:id="1052" w:name="_Toc96352169"/>
      <w:r>
        <w:rPr>
          <w:rFonts w:hint="eastAsia" w:hAnsi="宋体" w:cs="宋体"/>
          <w:szCs w:val="24"/>
          <w:highlight w:val="none"/>
          <w:shd w:val="clear" w:color="auto" w:fill="FFFFFF"/>
        </w:rPr>
        <w:t>9.1  样品</w:t>
      </w:r>
      <w:bookmarkEnd w:id="1042"/>
      <w:bookmarkEnd w:id="1043"/>
      <w:bookmarkEnd w:id="1044"/>
      <w:bookmarkEnd w:id="1045"/>
      <w:bookmarkEnd w:id="1046"/>
      <w:bookmarkEnd w:id="1047"/>
      <w:bookmarkEnd w:id="1048"/>
      <w:bookmarkEnd w:id="1049"/>
      <w:bookmarkEnd w:id="1050"/>
      <w:bookmarkEnd w:id="1051"/>
      <w:bookmarkEnd w:id="1052"/>
    </w:p>
    <w:p w14:paraId="3F8EBC7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9.1.1  本工程需要承包人提供样品的材料和工程设备：</w:t>
      </w:r>
      <w:r>
        <w:rPr>
          <w:rFonts w:hint="eastAsia" w:ascii="宋体" w:hAnsi="宋体" w:cs="宋体"/>
          <w:sz w:val="24"/>
          <w:highlight w:val="none"/>
          <w:u w:val="single"/>
          <w:shd w:val="clear" w:color="auto" w:fill="FFFFFF"/>
        </w:rPr>
        <w:t xml:space="preserve">          /        </w:t>
      </w:r>
    </w:p>
    <w:p w14:paraId="61E09DEF">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53" w:name="_Toc501055699"/>
      <w:bookmarkStart w:id="1054" w:name="_Toc96505374"/>
      <w:bookmarkStart w:id="1055" w:name="_Toc96352170"/>
      <w:bookmarkStart w:id="1056" w:name="_Toc8179"/>
      <w:bookmarkStart w:id="1057" w:name="_Toc96529996"/>
      <w:bookmarkStart w:id="1058" w:name="_Toc489280294"/>
      <w:bookmarkStart w:id="1059" w:name="_Toc497298401"/>
      <w:bookmarkStart w:id="1060" w:name="_Toc490331754"/>
      <w:bookmarkStart w:id="1061" w:name="_Toc486580488"/>
      <w:bookmarkStart w:id="1062" w:name="_Toc38037947"/>
      <w:bookmarkStart w:id="1063" w:name="_Toc483581253"/>
      <w:bookmarkStart w:id="1064" w:name="_Toc96504985"/>
      <w:r>
        <w:rPr>
          <w:rFonts w:hint="eastAsia" w:ascii="宋体" w:hAnsi="宋体" w:eastAsia="宋体"/>
          <w:sz w:val="24"/>
          <w:szCs w:val="24"/>
          <w:highlight w:val="none"/>
          <w:shd w:val="clear" w:color="auto" w:fill="FFFFFF"/>
        </w:rPr>
        <w:t>10.特殊技术标准和要求</w:t>
      </w:r>
      <w:bookmarkEnd w:id="1053"/>
      <w:bookmarkEnd w:id="1054"/>
      <w:bookmarkEnd w:id="1055"/>
      <w:bookmarkEnd w:id="1056"/>
      <w:bookmarkEnd w:id="1057"/>
      <w:bookmarkEnd w:id="1058"/>
      <w:bookmarkEnd w:id="1059"/>
      <w:bookmarkEnd w:id="1060"/>
      <w:bookmarkEnd w:id="1061"/>
      <w:bookmarkEnd w:id="1062"/>
      <w:bookmarkEnd w:id="1063"/>
      <w:bookmarkEnd w:id="1064"/>
    </w:p>
    <w:p w14:paraId="0117B3F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65" w:name="_Toc483581254"/>
      <w:bookmarkStart w:id="1066" w:name="_Toc486580489"/>
      <w:bookmarkStart w:id="1067" w:name="_Toc96352171"/>
      <w:bookmarkStart w:id="1068" w:name="_Toc21396"/>
      <w:bookmarkStart w:id="1069" w:name="_Toc497298402"/>
      <w:bookmarkStart w:id="1070" w:name="_Toc96505375"/>
      <w:bookmarkStart w:id="1071" w:name="_Toc489280295"/>
      <w:bookmarkStart w:id="1072" w:name="_Toc38037948"/>
      <w:bookmarkStart w:id="1073" w:name="_Toc96529997"/>
      <w:bookmarkStart w:id="1074" w:name="_Toc96504986"/>
      <w:bookmarkStart w:id="1075" w:name="_Toc501055700"/>
      <w:r>
        <w:rPr>
          <w:rFonts w:hint="eastAsia" w:hAnsi="宋体" w:cs="宋体"/>
          <w:szCs w:val="24"/>
          <w:highlight w:val="none"/>
          <w:shd w:val="clear" w:color="auto" w:fill="FFFFFF"/>
        </w:rPr>
        <w:t>10.1  部分材料和工程设备特殊技术要求</w:t>
      </w:r>
      <w:bookmarkEnd w:id="1065"/>
      <w:bookmarkEnd w:id="1066"/>
      <w:bookmarkEnd w:id="1067"/>
      <w:bookmarkEnd w:id="1068"/>
      <w:bookmarkEnd w:id="1069"/>
      <w:bookmarkEnd w:id="1070"/>
      <w:bookmarkEnd w:id="1071"/>
      <w:bookmarkEnd w:id="1072"/>
      <w:bookmarkEnd w:id="1073"/>
      <w:bookmarkEnd w:id="1074"/>
      <w:bookmarkEnd w:id="1075"/>
    </w:p>
    <w:p w14:paraId="055FD1EB">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10.1.1 承包人自行施工范围内的部分材料和工程设备相关技术要求：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773"/>
        <w:gridCol w:w="5517"/>
      </w:tblGrid>
      <w:tr w14:paraId="49B8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481" w:type="pct"/>
            <w:shd w:val="clear" w:color="000000" w:fill="FFFFFF"/>
            <w:noWrap/>
            <w:vAlign w:val="center"/>
          </w:tcPr>
          <w:p w14:paraId="4804C6EA">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序号</w:t>
            </w:r>
          </w:p>
        </w:tc>
        <w:tc>
          <w:tcPr>
            <w:tcW w:w="1511" w:type="pct"/>
            <w:shd w:val="clear" w:color="000000" w:fill="FFFFFF"/>
            <w:noWrap/>
            <w:vAlign w:val="center"/>
          </w:tcPr>
          <w:p w14:paraId="7A4FDA3A">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材料/设备名称</w:t>
            </w:r>
          </w:p>
        </w:tc>
        <w:tc>
          <w:tcPr>
            <w:tcW w:w="3006" w:type="pct"/>
            <w:shd w:val="clear" w:color="000000" w:fill="FFFFFF"/>
            <w:noWrap/>
            <w:vAlign w:val="center"/>
          </w:tcPr>
          <w:p w14:paraId="6473CE24">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参考材料/设备品牌</w:t>
            </w:r>
          </w:p>
        </w:tc>
      </w:tr>
      <w:tr w14:paraId="7D1B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81" w:type="pct"/>
            <w:tcBorders>
              <w:bottom w:val="single" w:color="auto" w:sz="4" w:space="0"/>
            </w:tcBorders>
            <w:shd w:val="clear" w:color="000000" w:fill="FFFFFF"/>
            <w:noWrap/>
            <w:vAlign w:val="center"/>
          </w:tcPr>
          <w:p w14:paraId="3948E78A">
            <w:pPr>
              <w:pStyle w:val="253"/>
              <w:pageBreakBefore w:val="0"/>
              <w:wordWrap w:val="0"/>
              <w:topLinePunct w:val="0"/>
              <w:bidi w:val="0"/>
              <w:spacing w:after="0"/>
              <w:jc w:val="center"/>
              <w:textAlignment w:val="auto"/>
              <w:rPr>
                <w:rFonts w:hint="eastAsia" w:ascii="宋体" w:hAnsi="宋体" w:cs="宋体"/>
                <w:sz w:val="24"/>
                <w:szCs w:val="24"/>
                <w:highlight w:val="none"/>
              </w:rPr>
            </w:pPr>
            <w:r>
              <w:rPr>
                <w:rFonts w:hint="eastAsia" w:ascii="宋体" w:hAnsi="宋体" w:cs="宋体"/>
                <w:sz w:val="24"/>
                <w:szCs w:val="24"/>
                <w:highlight w:val="none"/>
              </w:rPr>
              <w:t>1</w:t>
            </w:r>
          </w:p>
        </w:tc>
        <w:tc>
          <w:tcPr>
            <w:tcW w:w="1511" w:type="pct"/>
            <w:tcBorders>
              <w:bottom w:val="single" w:color="auto" w:sz="4" w:space="0"/>
            </w:tcBorders>
            <w:shd w:val="clear" w:color="000000" w:fill="FFFFFF"/>
            <w:noWrap/>
            <w:vAlign w:val="center"/>
          </w:tcPr>
          <w:p w14:paraId="3CE76CAE">
            <w:pPr>
              <w:pStyle w:val="253"/>
              <w:pageBreakBefore w:val="0"/>
              <w:wordWrap w:val="0"/>
              <w:topLinePunct w:val="0"/>
              <w:bidi w:val="0"/>
              <w:spacing w:after="0"/>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p>
        </w:tc>
        <w:tc>
          <w:tcPr>
            <w:tcW w:w="3006" w:type="pct"/>
            <w:tcBorders>
              <w:bottom w:val="single" w:color="auto" w:sz="4" w:space="0"/>
            </w:tcBorders>
            <w:shd w:val="clear" w:color="000000" w:fill="FFFFFF"/>
            <w:noWrap/>
            <w:vAlign w:val="center"/>
          </w:tcPr>
          <w:p w14:paraId="154116FF">
            <w:pPr>
              <w:pStyle w:val="253"/>
              <w:pageBreakBefore w:val="0"/>
              <w:wordWrap w:val="0"/>
              <w:topLinePunct w:val="0"/>
              <w:bidi w:val="0"/>
              <w:spacing w:after="0"/>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p>
        </w:tc>
      </w:tr>
    </w:tbl>
    <w:p w14:paraId="32B5B16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u w:val="single"/>
          <w:shd w:val="clear" w:color="auto" w:fill="FFFFFF"/>
        </w:rPr>
        <w:t>备注：1、上述品牌只作为投标参考品牌，供应商响应产品品牌不得低于上述标准。</w:t>
      </w:r>
    </w:p>
    <w:p w14:paraId="7F64AFF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10.1.2  承包人自行施工范围内的材料和工程设备选型允许的偏离：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704"/>
        <w:gridCol w:w="1705"/>
        <w:gridCol w:w="1705"/>
      </w:tblGrid>
      <w:tr w14:paraId="5981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4C04D62">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2591" w:type="dxa"/>
            <w:noWrap/>
            <w:vAlign w:val="center"/>
          </w:tcPr>
          <w:p w14:paraId="706585BC">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材料和工程设备名称</w:t>
            </w:r>
          </w:p>
        </w:tc>
        <w:tc>
          <w:tcPr>
            <w:tcW w:w="1704" w:type="dxa"/>
            <w:noWrap/>
            <w:vAlign w:val="center"/>
          </w:tcPr>
          <w:p w14:paraId="01C87509">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技术指标</w:t>
            </w:r>
          </w:p>
        </w:tc>
        <w:tc>
          <w:tcPr>
            <w:tcW w:w="1705" w:type="dxa"/>
            <w:noWrap/>
            <w:vAlign w:val="center"/>
          </w:tcPr>
          <w:p w14:paraId="023E97F1">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允许偏离范围</w:t>
            </w:r>
          </w:p>
        </w:tc>
        <w:tc>
          <w:tcPr>
            <w:tcW w:w="1705" w:type="dxa"/>
            <w:noWrap/>
            <w:vAlign w:val="center"/>
          </w:tcPr>
          <w:p w14:paraId="36579879">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备  注</w:t>
            </w:r>
          </w:p>
        </w:tc>
      </w:tr>
      <w:tr w14:paraId="6D5A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C8D1E33">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2591" w:type="dxa"/>
            <w:noWrap/>
            <w:vAlign w:val="center"/>
          </w:tcPr>
          <w:p w14:paraId="5CCC56A7">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4" w:type="dxa"/>
            <w:noWrap/>
            <w:vAlign w:val="center"/>
          </w:tcPr>
          <w:p w14:paraId="2625337D">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5" w:type="dxa"/>
            <w:noWrap/>
            <w:vAlign w:val="center"/>
          </w:tcPr>
          <w:p w14:paraId="7C350EAF">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5" w:type="dxa"/>
            <w:noWrap/>
            <w:vAlign w:val="center"/>
          </w:tcPr>
          <w:p w14:paraId="1A814C55">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r>
      <w:tr w14:paraId="2EED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516F405">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2591" w:type="dxa"/>
            <w:noWrap/>
            <w:vAlign w:val="center"/>
          </w:tcPr>
          <w:p w14:paraId="4C9C430D">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21C51E65">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222BC5E9">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04543E7C">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r w14:paraId="54B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43B3ACC">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2591" w:type="dxa"/>
            <w:noWrap/>
            <w:vAlign w:val="center"/>
          </w:tcPr>
          <w:p w14:paraId="1F4B98C6">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3230B6BA">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11DECC66">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2B541BD4">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r w14:paraId="4E19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A8A6AD8">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p>
        </w:tc>
        <w:tc>
          <w:tcPr>
            <w:tcW w:w="2591" w:type="dxa"/>
            <w:noWrap/>
            <w:vAlign w:val="center"/>
          </w:tcPr>
          <w:p w14:paraId="0B31BF2F">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0E8011F8">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623E0ACB">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0130F454">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bl>
    <w:p w14:paraId="51E0710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10.1.3  本工程施工现场所用混凝土或砂浆的供应方式为</w:t>
      </w:r>
      <w:r>
        <w:rPr>
          <w:rFonts w:hint="eastAsia" w:ascii="宋体" w:hAnsi="宋体" w:cs="宋体"/>
          <w:color w:val="000000"/>
          <w:sz w:val="24"/>
          <w:highlight w:val="none"/>
          <w:u w:val="single"/>
        </w:rPr>
        <w:t>预拌混凝土、预拌砂浆</w:t>
      </w:r>
    </w:p>
    <w:p w14:paraId="2A5E3F77">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76" w:name="_Toc489280296"/>
      <w:bookmarkStart w:id="1077" w:name="_Toc501055701"/>
      <w:bookmarkStart w:id="1078" w:name="_Toc497298403"/>
      <w:bookmarkStart w:id="1079" w:name="_Toc96352172"/>
      <w:bookmarkStart w:id="1080" w:name="_Toc486580490"/>
      <w:bookmarkStart w:id="1081" w:name="_Toc38037949"/>
      <w:bookmarkStart w:id="1082" w:name="_Toc28793"/>
      <w:bookmarkStart w:id="1083" w:name="_Toc96505376"/>
      <w:bookmarkStart w:id="1084" w:name="_Toc96504987"/>
      <w:bookmarkStart w:id="1085" w:name="_Toc483581255"/>
      <w:bookmarkStart w:id="1086" w:name="_Toc96529998"/>
      <w:r>
        <w:rPr>
          <w:rFonts w:hint="eastAsia" w:hAnsi="宋体" w:cs="宋体"/>
          <w:szCs w:val="24"/>
          <w:highlight w:val="none"/>
          <w:shd w:val="clear" w:color="auto" w:fill="FFFFFF"/>
        </w:rPr>
        <w:t>10.2  进口材料和工程设备</w:t>
      </w:r>
      <w:bookmarkEnd w:id="1076"/>
      <w:bookmarkEnd w:id="1077"/>
      <w:bookmarkEnd w:id="1078"/>
      <w:bookmarkEnd w:id="1079"/>
      <w:bookmarkEnd w:id="1080"/>
      <w:bookmarkEnd w:id="1081"/>
      <w:bookmarkEnd w:id="1082"/>
      <w:bookmarkEnd w:id="1083"/>
      <w:bookmarkEnd w:id="1084"/>
      <w:bookmarkEnd w:id="1085"/>
      <w:bookmarkEnd w:id="1086"/>
    </w:p>
    <w:p w14:paraId="7CB58B19">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10.2.1  本工程需要进口的材料和工程设备：</w:t>
      </w:r>
      <w:r>
        <w:rPr>
          <w:rFonts w:hint="eastAsia" w:ascii="宋体" w:hAnsi="宋体" w:cs="宋体"/>
          <w:sz w:val="24"/>
          <w:highlight w:val="none"/>
          <w:u w:val="single"/>
          <w:shd w:val="clear" w:color="auto" w:fill="FFFFFF"/>
        </w:rPr>
        <w:t xml:space="preserve">           /                       </w:t>
      </w:r>
    </w:p>
    <w:p w14:paraId="5BA63A3D">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10.2.2  上述进口材料和工程设备采购、进口、报关、清关、商检、境内运输（包括保险）、保管的责任以及费用承担方式划分：</w:t>
      </w:r>
      <w:r>
        <w:rPr>
          <w:rFonts w:hint="eastAsia" w:ascii="宋体" w:hAnsi="宋体" w:cs="宋体"/>
          <w:sz w:val="24"/>
          <w:highlight w:val="none"/>
          <w:u w:val="single"/>
          <w:shd w:val="clear" w:color="auto" w:fill="FFFFFF"/>
        </w:rPr>
        <w:t xml:space="preserve">              /                    </w:t>
      </w:r>
    </w:p>
    <w:p w14:paraId="13150F41">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87" w:name="_Toc96504988"/>
      <w:bookmarkStart w:id="1088" w:name="_Toc486580491"/>
      <w:bookmarkStart w:id="1089" w:name="_Toc483581256"/>
      <w:bookmarkStart w:id="1090" w:name="_Toc501055702"/>
      <w:bookmarkStart w:id="1091" w:name="_Toc497298404"/>
      <w:bookmarkStart w:id="1092" w:name="_Toc7975"/>
      <w:bookmarkStart w:id="1093" w:name="_Toc96529999"/>
      <w:bookmarkStart w:id="1094" w:name="_Toc489280297"/>
      <w:bookmarkStart w:id="1095" w:name="_Toc96352173"/>
      <w:bookmarkStart w:id="1096" w:name="_Toc38037950"/>
      <w:bookmarkStart w:id="1097" w:name="_Toc96505377"/>
      <w:r>
        <w:rPr>
          <w:rFonts w:hint="eastAsia" w:hAnsi="宋体" w:cs="宋体"/>
          <w:szCs w:val="24"/>
          <w:highlight w:val="none"/>
          <w:shd w:val="clear" w:color="auto" w:fill="FFFFFF"/>
        </w:rPr>
        <w:t>10.3  新技术、新工艺和新材料</w:t>
      </w:r>
      <w:bookmarkEnd w:id="1087"/>
      <w:bookmarkEnd w:id="1088"/>
      <w:bookmarkEnd w:id="1089"/>
      <w:bookmarkEnd w:id="1090"/>
      <w:bookmarkEnd w:id="1091"/>
      <w:bookmarkEnd w:id="1092"/>
      <w:bookmarkEnd w:id="1093"/>
      <w:bookmarkEnd w:id="1094"/>
      <w:bookmarkEnd w:id="1095"/>
      <w:bookmarkEnd w:id="1096"/>
      <w:bookmarkEnd w:id="1097"/>
    </w:p>
    <w:p w14:paraId="29F6E2F7">
      <w:pPr>
        <w:pageBreakBefore w:val="0"/>
        <w:wordWrap w:val="0"/>
        <w:topLinePunct w:val="0"/>
        <w:bidi w:val="0"/>
        <w:spacing w:after="0" w:line="360" w:lineRule="auto"/>
        <w:ind w:firstLine="480" w:firstLineChars="200"/>
        <w:textAlignment w:val="auto"/>
        <w:outlineLvl w:val="5"/>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本工程涉及的新技术、新工艺和新材料及相应使用和操作说明：</w:t>
      </w:r>
      <w:r>
        <w:rPr>
          <w:rFonts w:hint="eastAsia" w:ascii="宋体" w:hAnsi="宋体" w:cs="宋体"/>
          <w:sz w:val="24"/>
          <w:highlight w:val="none"/>
          <w:u w:val="single"/>
          <w:shd w:val="clear" w:color="auto" w:fill="FFFFFF"/>
        </w:rPr>
        <w:t xml:space="preserve">     /         </w:t>
      </w:r>
    </w:p>
    <w:p w14:paraId="7F6DF9F7">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98" w:name="_Toc501055703"/>
      <w:bookmarkStart w:id="1099" w:name="_Toc96505378"/>
      <w:bookmarkStart w:id="1100" w:name="_Toc483581257"/>
      <w:bookmarkStart w:id="1101" w:name="_Toc497298405"/>
      <w:bookmarkStart w:id="1102" w:name="_Toc25564"/>
      <w:bookmarkStart w:id="1103" w:name="_Toc96504989"/>
      <w:bookmarkStart w:id="1104" w:name="_Toc38037951"/>
      <w:bookmarkStart w:id="1105" w:name="_Toc96530000"/>
      <w:bookmarkStart w:id="1106" w:name="_Toc489280298"/>
      <w:bookmarkStart w:id="1107" w:name="_Toc96352174"/>
      <w:bookmarkStart w:id="1108" w:name="_Toc486580492"/>
      <w:r>
        <w:rPr>
          <w:rFonts w:hint="eastAsia" w:hAnsi="宋体" w:cs="宋体"/>
          <w:szCs w:val="24"/>
          <w:highlight w:val="none"/>
          <w:shd w:val="clear" w:color="auto" w:fill="FFFFFF"/>
        </w:rPr>
        <w:t>10.4  其他特殊技术要求</w:t>
      </w:r>
      <w:bookmarkEnd w:id="1098"/>
      <w:bookmarkEnd w:id="1099"/>
      <w:bookmarkEnd w:id="1100"/>
      <w:bookmarkEnd w:id="1101"/>
      <w:bookmarkEnd w:id="1102"/>
      <w:bookmarkEnd w:id="1103"/>
      <w:bookmarkEnd w:id="1104"/>
      <w:bookmarkEnd w:id="1105"/>
      <w:bookmarkEnd w:id="1106"/>
      <w:bookmarkEnd w:id="1107"/>
      <w:bookmarkEnd w:id="1108"/>
    </w:p>
    <w:p w14:paraId="391B6993">
      <w:pPr>
        <w:pageBreakBefore w:val="0"/>
        <w:wordWrap w:val="0"/>
        <w:topLinePunct w:val="0"/>
        <w:bidi w:val="0"/>
        <w:spacing w:after="0" w:line="360" w:lineRule="auto"/>
        <w:ind w:firstLine="480" w:firstLineChars="200"/>
        <w:textAlignment w:val="auto"/>
        <w:outlineLvl w:val="5"/>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本工程的特殊技术要求：</w:t>
      </w:r>
      <w:r>
        <w:rPr>
          <w:rFonts w:hint="eastAsia" w:ascii="宋体" w:hAnsi="宋体" w:cs="宋体"/>
          <w:sz w:val="24"/>
          <w:highlight w:val="none"/>
          <w:u w:val="single"/>
          <w:shd w:val="clear" w:color="auto" w:fill="FFFFFF"/>
        </w:rPr>
        <w:t xml:space="preserve">                    /                            </w:t>
      </w:r>
    </w:p>
    <w:p w14:paraId="6BADF528">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09" w:name="_Toc501055704"/>
      <w:bookmarkStart w:id="1110" w:name="_Toc96530001"/>
      <w:bookmarkStart w:id="1111" w:name="_Toc96504990"/>
      <w:bookmarkStart w:id="1112" w:name="_Toc38037952"/>
      <w:bookmarkStart w:id="1113" w:name="_Toc490331755"/>
      <w:bookmarkStart w:id="1114" w:name="_Toc497298406"/>
      <w:bookmarkStart w:id="1115" w:name="_Toc19761"/>
      <w:bookmarkStart w:id="1116" w:name="_Toc96505379"/>
      <w:bookmarkStart w:id="1117" w:name="_Toc483581258"/>
      <w:bookmarkStart w:id="1118" w:name="_Toc96352175"/>
      <w:bookmarkStart w:id="1119" w:name="_Toc489280299"/>
      <w:bookmarkStart w:id="1120" w:name="_Toc486580493"/>
      <w:r>
        <w:rPr>
          <w:rFonts w:hint="eastAsia" w:ascii="宋体" w:hAnsi="宋体" w:eastAsia="宋体"/>
          <w:sz w:val="24"/>
          <w:szCs w:val="24"/>
          <w:highlight w:val="none"/>
          <w:shd w:val="clear" w:color="auto" w:fill="FFFFFF"/>
        </w:rPr>
        <w:t>11.进度报告和进度例会</w:t>
      </w:r>
      <w:bookmarkEnd w:id="1109"/>
      <w:bookmarkEnd w:id="1110"/>
      <w:bookmarkEnd w:id="1111"/>
      <w:bookmarkEnd w:id="1112"/>
      <w:bookmarkEnd w:id="1113"/>
      <w:bookmarkEnd w:id="1114"/>
      <w:bookmarkEnd w:id="1115"/>
      <w:bookmarkEnd w:id="1116"/>
      <w:bookmarkEnd w:id="1117"/>
      <w:bookmarkEnd w:id="1118"/>
      <w:bookmarkEnd w:id="1119"/>
      <w:bookmarkEnd w:id="1120"/>
    </w:p>
    <w:p w14:paraId="0BA2E7A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21" w:name="_Toc96530002"/>
      <w:bookmarkStart w:id="1122" w:name="_Toc96505380"/>
      <w:bookmarkStart w:id="1123" w:name="_Toc96352176"/>
      <w:bookmarkStart w:id="1124" w:name="_Toc497298407"/>
      <w:bookmarkStart w:id="1125" w:name="_Toc489280300"/>
      <w:bookmarkStart w:id="1126" w:name="_Toc483581259"/>
      <w:bookmarkStart w:id="1127" w:name="_Toc501055705"/>
      <w:bookmarkStart w:id="1128" w:name="_Toc96504991"/>
      <w:bookmarkStart w:id="1129" w:name="_Toc7745"/>
      <w:bookmarkStart w:id="1130" w:name="_Toc38037953"/>
      <w:bookmarkStart w:id="1131" w:name="_Toc486580494"/>
      <w:r>
        <w:rPr>
          <w:rFonts w:hint="eastAsia" w:hAnsi="宋体" w:cs="宋体"/>
          <w:szCs w:val="24"/>
          <w:highlight w:val="none"/>
          <w:shd w:val="clear" w:color="auto" w:fill="FFFFFF"/>
        </w:rPr>
        <w:t>11.1  进度报告</w:t>
      </w:r>
      <w:bookmarkEnd w:id="1121"/>
      <w:bookmarkEnd w:id="1122"/>
      <w:bookmarkEnd w:id="1123"/>
      <w:bookmarkEnd w:id="1124"/>
      <w:bookmarkEnd w:id="1125"/>
      <w:bookmarkEnd w:id="1126"/>
      <w:bookmarkEnd w:id="1127"/>
      <w:bookmarkEnd w:id="1128"/>
      <w:bookmarkEnd w:id="1129"/>
      <w:bookmarkEnd w:id="1130"/>
      <w:bookmarkEnd w:id="1131"/>
    </w:p>
    <w:p w14:paraId="039EEAA3">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11.1.7  有关进度报告的其他要求：</w:t>
      </w:r>
      <w:r>
        <w:rPr>
          <w:rFonts w:hint="eastAsia" w:ascii="宋体" w:hAnsi="宋体" w:cs="宋体"/>
          <w:sz w:val="24"/>
          <w:highlight w:val="none"/>
          <w:u w:val="single"/>
          <w:shd w:val="clear" w:color="auto" w:fill="FFFFFF"/>
        </w:rPr>
        <w:t xml:space="preserve">              /                       </w:t>
      </w:r>
    </w:p>
    <w:p w14:paraId="029C1C53">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32" w:name="_Toc96505381"/>
      <w:bookmarkStart w:id="1133" w:name="_Toc38037954"/>
      <w:bookmarkStart w:id="1134" w:name="_Toc486580495"/>
      <w:bookmarkStart w:id="1135" w:name="_Toc501055706"/>
      <w:bookmarkStart w:id="1136" w:name="_Toc96504992"/>
      <w:bookmarkStart w:id="1137" w:name="_Toc489280301"/>
      <w:bookmarkStart w:id="1138" w:name="_Toc483581260"/>
      <w:bookmarkStart w:id="1139" w:name="_Toc96352177"/>
      <w:bookmarkStart w:id="1140" w:name="_Toc96530003"/>
      <w:bookmarkStart w:id="1141" w:name="_Toc497298408"/>
      <w:bookmarkStart w:id="1142" w:name="_Toc10649"/>
      <w:r>
        <w:rPr>
          <w:rFonts w:hint="eastAsia" w:hAnsi="宋体" w:cs="宋体"/>
          <w:szCs w:val="24"/>
          <w:highlight w:val="none"/>
          <w:shd w:val="clear" w:color="auto" w:fill="FFFFFF"/>
        </w:rPr>
        <w:t>11.2  进度例会</w:t>
      </w:r>
      <w:bookmarkEnd w:id="1132"/>
      <w:bookmarkEnd w:id="1133"/>
      <w:bookmarkEnd w:id="1134"/>
      <w:bookmarkEnd w:id="1135"/>
      <w:bookmarkEnd w:id="1136"/>
      <w:bookmarkEnd w:id="1137"/>
      <w:bookmarkEnd w:id="1138"/>
      <w:bookmarkEnd w:id="1139"/>
      <w:bookmarkEnd w:id="1140"/>
      <w:bookmarkEnd w:id="1141"/>
      <w:bookmarkEnd w:id="1142"/>
    </w:p>
    <w:p w14:paraId="39F75CF7">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11.2.4  有关进度例会的其他要求：</w:t>
      </w:r>
      <w:r>
        <w:rPr>
          <w:rFonts w:hint="eastAsia" w:ascii="宋体" w:hAnsi="宋体" w:cs="宋体"/>
          <w:sz w:val="24"/>
          <w:highlight w:val="none"/>
          <w:u w:val="single"/>
          <w:shd w:val="clear" w:color="auto" w:fill="FFFFFF"/>
        </w:rPr>
        <w:t xml:space="preserve">               /                       </w:t>
      </w:r>
    </w:p>
    <w:p w14:paraId="61B64E24">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43" w:name="_Toc38037955"/>
      <w:bookmarkStart w:id="1144" w:name="_Toc483581261"/>
      <w:bookmarkStart w:id="1145" w:name="_Toc96505382"/>
      <w:bookmarkStart w:id="1146" w:name="_Toc497298409"/>
      <w:bookmarkStart w:id="1147" w:name="_Toc96352178"/>
      <w:bookmarkStart w:id="1148" w:name="_Toc486580496"/>
      <w:bookmarkStart w:id="1149" w:name="_Toc96530004"/>
      <w:bookmarkStart w:id="1150" w:name="_Toc489280302"/>
      <w:bookmarkStart w:id="1151" w:name="_Toc490331756"/>
      <w:bookmarkStart w:id="1152" w:name="_Toc23276"/>
      <w:bookmarkStart w:id="1153" w:name="_Toc501055707"/>
      <w:bookmarkStart w:id="1154" w:name="_Toc96504993"/>
      <w:r>
        <w:rPr>
          <w:rFonts w:hint="eastAsia" w:ascii="宋体" w:hAnsi="宋体" w:eastAsia="宋体"/>
          <w:sz w:val="24"/>
          <w:szCs w:val="24"/>
          <w:highlight w:val="none"/>
          <w:shd w:val="clear" w:color="auto" w:fill="FFFFFF"/>
        </w:rPr>
        <w:t>12.试验和检验</w:t>
      </w:r>
      <w:bookmarkEnd w:id="1143"/>
      <w:bookmarkEnd w:id="1144"/>
      <w:bookmarkEnd w:id="1145"/>
      <w:bookmarkEnd w:id="1146"/>
      <w:bookmarkEnd w:id="1147"/>
      <w:bookmarkEnd w:id="1148"/>
      <w:bookmarkEnd w:id="1149"/>
      <w:bookmarkEnd w:id="1150"/>
      <w:bookmarkEnd w:id="1151"/>
      <w:bookmarkEnd w:id="1152"/>
      <w:bookmarkEnd w:id="1153"/>
      <w:bookmarkEnd w:id="1154"/>
    </w:p>
    <w:p w14:paraId="29E0A6D4">
      <w:pPr>
        <w:pageBreakBefore w:val="0"/>
        <w:wordWrap w:val="0"/>
        <w:topLinePunct w:val="0"/>
        <w:bidi w:val="0"/>
        <w:snapToGrid w:val="0"/>
        <w:spacing w:after="0" w:line="360" w:lineRule="auto"/>
        <w:textAlignment w:val="auto"/>
        <w:rPr>
          <w:rFonts w:hint="eastAsia" w:ascii="宋体" w:hAnsi="宋体" w:cs="宋体"/>
          <w:sz w:val="24"/>
          <w:highlight w:val="none"/>
          <w:shd w:val="clear" w:color="auto" w:fill="FFFFFF"/>
        </w:rPr>
      </w:pPr>
      <w:bookmarkStart w:id="1155" w:name="_Toc483581262"/>
      <w:bookmarkStart w:id="1156" w:name="_Toc486580497"/>
      <w:r>
        <w:rPr>
          <w:rFonts w:hint="eastAsia" w:ascii="宋体" w:hAnsi="宋体" w:cs="宋体"/>
          <w:sz w:val="24"/>
          <w:highlight w:val="none"/>
          <w:shd w:val="clear" w:color="auto" w:fill="FFFFFF"/>
        </w:rPr>
        <w:t>12.1  本工程发包人委托检测单位进行试验和检验的其他材料、工程设备和工艺：</w:t>
      </w:r>
      <w:r>
        <w:rPr>
          <w:rFonts w:hint="eastAsia" w:ascii="宋体" w:hAnsi="宋体" w:cs="宋体"/>
          <w:sz w:val="24"/>
          <w:highlight w:val="none"/>
          <w:u w:val="single"/>
          <w:shd w:val="clear" w:color="auto" w:fill="FFFFFF"/>
        </w:rPr>
        <w:t xml:space="preserve"> / </w:t>
      </w:r>
    </w:p>
    <w:p w14:paraId="2A6CCE23">
      <w:pPr>
        <w:pageBreakBefore w:val="0"/>
        <w:wordWrap w:val="0"/>
        <w:topLinePunct w:val="0"/>
        <w:bidi w:val="0"/>
        <w:snapToGrid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12.3  本工程需要承包人进行试验和检验的材料、工程设备和工艺：</w:t>
      </w:r>
      <w:r>
        <w:rPr>
          <w:rFonts w:hint="eastAsia" w:ascii="宋体" w:hAnsi="宋体" w:cs="宋体"/>
          <w:color w:val="000000"/>
          <w:sz w:val="24"/>
          <w:highlight w:val="none"/>
          <w:u w:val="single"/>
        </w:rPr>
        <w:t>国家和北京市现行规范标准规定必须进行试验和检验的材料、工程设备和工艺。</w:t>
      </w:r>
    </w:p>
    <w:p w14:paraId="2B2CD441">
      <w:pPr>
        <w:pStyle w:val="26"/>
        <w:pageBreakBefore w:val="0"/>
        <w:wordWrap w:val="0"/>
        <w:topLinePunct w:val="0"/>
        <w:bidi w:val="0"/>
        <w:snapToGrid w:val="0"/>
        <w:spacing w:after="0" w:line="360" w:lineRule="auto"/>
        <w:ind w:left="426" w:leftChars="203"/>
        <w:jc w:val="left"/>
        <w:textAlignment w:val="auto"/>
        <w:rPr>
          <w:rFonts w:hint="eastAsia" w:ascii="宋体" w:eastAsia="宋体" w:cs="宋体"/>
          <w:highlight w:val="none"/>
          <w:u w:val="single"/>
          <w:shd w:val="clear" w:color="auto" w:fill="FFFFFF"/>
        </w:rPr>
      </w:pPr>
      <w:r>
        <w:rPr>
          <w:rFonts w:hint="eastAsia" w:ascii="宋体" w:eastAsia="宋体" w:cs="宋体"/>
          <w:highlight w:val="none"/>
          <w:shd w:val="clear" w:color="auto" w:fill="FFFFFF"/>
        </w:rPr>
        <w:t>12.4  本工程需要由监理人和承包人共同进行试验和检验的材料、工程设备和工艺：</w:t>
      </w:r>
      <w:r>
        <w:rPr>
          <w:rFonts w:hint="eastAsia" w:ascii="宋体" w:eastAsia="宋体" w:cs="宋体"/>
          <w:highlight w:val="none"/>
          <w:u w:val="single"/>
          <w:shd w:val="clear" w:color="auto" w:fill="FFFFFF"/>
        </w:rPr>
        <w:t xml:space="preserve"> / </w:t>
      </w:r>
    </w:p>
    <w:p w14:paraId="71D79CA6">
      <w:pPr>
        <w:pageBreakBefore w:val="0"/>
        <w:wordWrap w:val="0"/>
        <w:topLinePunct w:val="0"/>
        <w:bidi w:val="0"/>
        <w:snapToGrid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12.8  涉及结构安全的试块、试件以及有关材料检测的质量检测单位：</w:t>
      </w:r>
      <w:r>
        <w:rPr>
          <w:rFonts w:hint="eastAsia" w:ascii="宋体" w:hAnsi="宋体" w:cs="宋体"/>
          <w:color w:val="000000"/>
          <w:sz w:val="24"/>
          <w:highlight w:val="none"/>
          <w:u w:val="single"/>
        </w:rPr>
        <w:t xml:space="preserve">建设单位所在地     </w:t>
      </w:r>
    </w:p>
    <w:p w14:paraId="77A180B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57" w:name="_Toc490331757"/>
      <w:bookmarkStart w:id="1158" w:name="_Toc497298410"/>
      <w:bookmarkStart w:id="1159" w:name="_Toc96505383"/>
      <w:bookmarkStart w:id="1160" w:name="_Toc96530005"/>
      <w:bookmarkStart w:id="1161" w:name="_Toc8210"/>
      <w:bookmarkStart w:id="1162" w:name="_Toc96504994"/>
      <w:bookmarkStart w:id="1163" w:name="_Toc38037956"/>
      <w:bookmarkStart w:id="1164" w:name="_Toc489280303"/>
      <w:bookmarkStart w:id="1165" w:name="_Toc96352179"/>
      <w:bookmarkStart w:id="1166" w:name="_Toc501055708"/>
      <w:r>
        <w:rPr>
          <w:rFonts w:hint="eastAsia" w:ascii="宋体" w:hAnsi="宋体" w:eastAsia="宋体"/>
          <w:sz w:val="24"/>
          <w:szCs w:val="24"/>
          <w:highlight w:val="none"/>
          <w:shd w:val="clear" w:color="auto" w:fill="FFFFFF"/>
        </w:rPr>
        <w:t>13.计日工</w:t>
      </w:r>
      <w:bookmarkEnd w:id="1155"/>
      <w:bookmarkEnd w:id="1156"/>
      <w:bookmarkEnd w:id="1157"/>
      <w:bookmarkEnd w:id="1158"/>
      <w:bookmarkEnd w:id="1159"/>
      <w:bookmarkEnd w:id="1160"/>
      <w:bookmarkEnd w:id="1161"/>
      <w:bookmarkEnd w:id="1162"/>
      <w:bookmarkEnd w:id="1163"/>
      <w:bookmarkEnd w:id="1164"/>
      <w:bookmarkEnd w:id="1165"/>
      <w:bookmarkEnd w:id="1166"/>
    </w:p>
    <w:p w14:paraId="09D4DD5B">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13.7  关于计日工的其他约定：</w:t>
      </w:r>
      <w:r>
        <w:rPr>
          <w:rFonts w:hint="eastAsia" w:ascii="宋体" w:hAnsi="宋体" w:cs="宋体"/>
          <w:sz w:val="24"/>
          <w:highlight w:val="none"/>
          <w:u w:val="single"/>
          <w:shd w:val="clear" w:color="auto" w:fill="FFFFFF"/>
        </w:rPr>
        <w:t xml:space="preserve">            /                           </w:t>
      </w:r>
    </w:p>
    <w:p w14:paraId="463CA7E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67" w:name="_Toc38037957"/>
      <w:bookmarkStart w:id="1168" w:name="_Toc483581263"/>
      <w:bookmarkStart w:id="1169" w:name="_Toc490331758"/>
      <w:bookmarkStart w:id="1170" w:name="_Toc96504995"/>
      <w:bookmarkStart w:id="1171" w:name="_Toc2993"/>
      <w:bookmarkStart w:id="1172" w:name="_Toc96530006"/>
      <w:bookmarkStart w:id="1173" w:name="_Toc96352180"/>
      <w:bookmarkStart w:id="1174" w:name="_Toc501055709"/>
      <w:bookmarkStart w:id="1175" w:name="_Toc497298411"/>
      <w:bookmarkStart w:id="1176" w:name="_Toc96505384"/>
      <w:bookmarkStart w:id="1177" w:name="_Toc486580498"/>
      <w:bookmarkStart w:id="1178" w:name="_Toc489280304"/>
      <w:r>
        <w:rPr>
          <w:rFonts w:hint="eastAsia" w:ascii="宋体" w:hAnsi="宋体" w:eastAsia="宋体"/>
          <w:sz w:val="24"/>
          <w:szCs w:val="24"/>
          <w:highlight w:val="none"/>
          <w:shd w:val="clear" w:color="auto" w:fill="FFFFFF"/>
        </w:rPr>
        <w:t>14.计量与支付</w:t>
      </w:r>
      <w:bookmarkEnd w:id="1167"/>
      <w:bookmarkEnd w:id="1168"/>
      <w:bookmarkEnd w:id="1169"/>
      <w:bookmarkEnd w:id="1170"/>
      <w:bookmarkEnd w:id="1171"/>
      <w:bookmarkEnd w:id="1172"/>
      <w:bookmarkEnd w:id="1173"/>
      <w:bookmarkEnd w:id="1174"/>
      <w:bookmarkEnd w:id="1175"/>
      <w:bookmarkEnd w:id="1176"/>
      <w:bookmarkEnd w:id="1177"/>
      <w:bookmarkEnd w:id="1178"/>
    </w:p>
    <w:p w14:paraId="20030DF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79" w:name="_Toc501055710"/>
      <w:bookmarkStart w:id="1180" w:name="_Toc489280305"/>
      <w:bookmarkStart w:id="1181" w:name="_Toc96504996"/>
      <w:bookmarkStart w:id="1182" w:name="_Toc483581264"/>
      <w:bookmarkStart w:id="1183" w:name="_Toc96530007"/>
      <w:bookmarkStart w:id="1184" w:name="_Toc96505385"/>
      <w:bookmarkStart w:id="1185" w:name="_Toc38037958"/>
      <w:bookmarkStart w:id="1186" w:name="_Toc96352181"/>
      <w:bookmarkStart w:id="1187" w:name="_Toc1099"/>
      <w:bookmarkStart w:id="1188" w:name="_Toc486580499"/>
      <w:bookmarkStart w:id="1189" w:name="_Toc497298412"/>
      <w:r>
        <w:rPr>
          <w:rFonts w:hint="eastAsia" w:hAnsi="宋体" w:cs="宋体"/>
          <w:szCs w:val="24"/>
          <w:highlight w:val="none"/>
          <w:shd w:val="clear" w:color="auto" w:fill="FFFFFF"/>
        </w:rPr>
        <w:t>14.2  其他约定</w:t>
      </w:r>
      <w:bookmarkEnd w:id="1179"/>
      <w:bookmarkEnd w:id="1180"/>
      <w:bookmarkEnd w:id="1181"/>
      <w:bookmarkEnd w:id="1182"/>
      <w:bookmarkEnd w:id="1183"/>
      <w:bookmarkEnd w:id="1184"/>
      <w:bookmarkEnd w:id="1185"/>
      <w:bookmarkEnd w:id="1186"/>
      <w:bookmarkEnd w:id="1187"/>
      <w:bookmarkEnd w:id="1188"/>
      <w:bookmarkEnd w:id="1189"/>
    </w:p>
    <w:p w14:paraId="303B4832">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其他约定内容：</w:t>
      </w:r>
      <w:r>
        <w:rPr>
          <w:rFonts w:hint="eastAsia" w:ascii="宋体" w:hAnsi="宋体" w:cs="宋体"/>
          <w:sz w:val="24"/>
          <w:highlight w:val="none"/>
          <w:u w:val="single"/>
          <w:shd w:val="clear" w:color="auto" w:fill="FFFFFF"/>
        </w:rPr>
        <w:t xml:space="preserve">              /                              </w:t>
      </w:r>
    </w:p>
    <w:p w14:paraId="6D4D77F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90" w:name="_Toc38037959"/>
      <w:bookmarkStart w:id="1191" w:name="_Toc497298413"/>
      <w:bookmarkStart w:id="1192" w:name="_Toc501055711"/>
      <w:bookmarkStart w:id="1193" w:name="_Toc96530008"/>
      <w:bookmarkStart w:id="1194" w:name="_Toc489280306"/>
      <w:bookmarkStart w:id="1195" w:name="_Toc486580500"/>
      <w:bookmarkStart w:id="1196" w:name="_Toc96505386"/>
      <w:bookmarkStart w:id="1197" w:name="_Toc490331759"/>
      <w:bookmarkStart w:id="1198" w:name="_Toc483581265"/>
      <w:bookmarkStart w:id="1199" w:name="_Toc25100"/>
      <w:bookmarkStart w:id="1200" w:name="_Toc96504997"/>
      <w:bookmarkStart w:id="1201" w:name="_Toc96352182"/>
      <w:r>
        <w:rPr>
          <w:rFonts w:hint="eastAsia" w:ascii="宋体" w:hAnsi="宋体" w:eastAsia="宋体"/>
          <w:sz w:val="24"/>
          <w:szCs w:val="24"/>
          <w:highlight w:val="none"/>
          <w:shd w:val="clear" w:color="auto" w:fill="FFFFFF"/>
        </w:rPr>
        <w:t>15.竣工验收和工程移交</w:t>
      </w:r>
      <w:bookmarkEnd w:id="1190"/>
      <w:bookmarkEnd w:id="1191"/>
      <w:bookmarkEnd w:id="1192"/>
      <w:bookmarkEnd w:id="1193"/>
      <w:bookmarkEnd w:id="1194"/>
      <w:bookmarkEnd w:id="1195"/>
      <w:bookmarkEnd w:id="1196"/>
      <w:bookmarkEnd w:id="1197"/>
      <w:bookmarkEnd w:id="1198"/>
      <w:bookmarkEnd w:id="1199"/>
      <w:bookmarkEnd w:id="1200"/>
      <w:bookmarkEnd w:id="1201"/>
    </w:p>
    <w:p w14:paraId="5000E5D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202" w:name="_Toc96504998"/>
      <w:bookmarkStart w:id="1203" w:name="_Toc486580501"/>
      <w:bookmarkStart w:id="1204" w:name="_Toc489280307"/>
      <w:bookmarkStart w:id="1205" w:name="_Toc483581266"/>
      <w:bookmarkStart w:id="1206" w:name="_Toc96352183"/>
      <w:bookmarkStart w:id="1207" w:name="_Toc17486"/>
      <w:bookmarkStart w:id="1208" w:name="_Toc38037960"/>
      <w:bookmarkStart w:id="1209" w:name="_Toc96505387"/>
      <w:bookmarkStart w:id="1210" w:name="_Toc96530009"/>
      <w:bookmarkStart w:id="1211" w:name="_Toc501055712"/>
      <w:bookmarkStart w:id="1212" w:name="_Toc497298414"/>
      <w:r>
        <w:rPr>
          <w:rFonts w:hint="eastAsia" w:hAnsi="宋体" w:cs="宋体"/>
          <w:szCs w:val="24"/>
          <w:highlight w:val="none"/>
          <w:shd w:val="clear" w:color="auto" w:fill="FFFFFF"/>
        </w:rPr>
        <w:t>15.2  竣工验收申请报告</w:t>
      </w:r>
      <w:bookmarkEnd w:id="1202"/>
      <w:bookmarkEnd w:id="1203"/>
      <w:bookmarkEnd w:id="1204"/>
      <w:bookmarkEnd w:id="1205"/>
      <w:bookmarkEnd w:id="1206"/>
      <w:bookmarkEnd w:id="1207"/>
      <w:bookmarkEnd w:id="1208"/>
      <w:bookmarkEnd w:id="1209"/>
      <w:bookmarkEnd w:id="1210"/>
      <w:bookmarkEnd w:id="1211"/>
      <w:bookmarkEnd w:id="1212"/>
    </w:p>
    <w:p w14:paraId="4D7F886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15.2.3  竣工验收申请报告应当按合同条款附上下列内容：</w:t>
      </w:r>
    </w:p>
    <w:p w14:paraId="30A1DDC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（7）其他要求：</w:t>
      </w:r>
      <w:r>
        <w:rPr>
          <w:rFonts w:hint="eastAsia" w:ascii="宋体" w:hAnsi="宋体" w:cs="宋体"/>
          <w:sz w:val="24"/>
          <w:highlight w:val="none"/>
          <w:u w:val="single"/>
          <w:shd w:val="clear" w:color="auto" w:fill="FFFFFF"/>
        </w:rPr>
        <w:t xml:space="preserve">              /                         </w:t>
      </w:r>
    </w:p>
    <w:p w14:paraId="4CC69BE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213" w:name="_Toc38037961"/>
      <w:bookmarkStart w:id="1214" w:name="_Toc486580502"/>
      <w:bookmarkStart w:id="1215" w:name="_Toc490331760"/>
      <w:bookmarkStart w:id="1216" w:name="_Toc29804"/>
      <w:bookmarkStart w:id="1217" w:name="_Toc489280308"/>
      <w:bookmarkStart w:id="1218" w:name="_Toc96504999"/>
      <w:bookmarkStart w:id="1219" w:name="_Toc96505388"/>
      <w:bookmarkStart w:id="1220" w:name="_Toc501055713"/>
      <w:bookmarkStart w:id="1221" w:name="_Toc497298415"/>
      <w:bookmarkStart w:id="1222" w:name="_Toc483581267"/>
      <w:bookmarkStart w:id="1223" w:name="_Toc96530010"/>
      <w:bookmarkStart w:id="1224" w:name="_Toc96352184"/>
      <w:r>
        <w:rPr>
          <w:rFonts w:hint="eastAsia" w:ascii="宋体" w:hAnsi="宋体" w:eastAsia="宋体"/>
          <w:sz w:val="24"/>
          <w:szCs w:val="24"/>
          <w:highlight w:val="none"/>
          <w:shd w:val="clear" w:color="auto" w:fill="FFFFFF"/>
        </w:rPr>
        <w:t>16.需要补充的其他要求</w:t>
      </w:r>
      <w:bookmarkEnd w:id="768"/>
      <w:bookmarkEnd w:id="769"/>
      <w:bookmarkEnd w:id="1213"/>
      <w:bookmarkEnd w:id="1214"/>
      <w:bookmarkEnd w:id="1215"/>
      <w:bookmarkEnd w:id="1216"/>
      <w:bookmarkEnd w:id="1217"/>
      <w:bookmarkEnd w:id="1218"/>
      <w:bookmarkEnd w:id="1219"/>
      <w:bookmarkEnd w:id="1220"/>
      <w:bookmarkEnd w:id="1221"/>
      <w:bookmarkEnd w:id="1222"/>
      <w:bookmarkEnd w:id="1223"/>
      <w:bookmarkEnd w:id="1224"/>
    </w:p>
    <w:p w14:paraId="7A588B2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31DEDF30">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4E24F8B2">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25" w:name="_Toc22308"/>
      <w:bookmarkStart w:id="1226" w:name="_Toc22125"/>
      <w:r>
        <w:rPr>
          <w:rFonts w:hint="eastAsia" w:ascii="宋体" w:hAnsi="宋体" w:cs="宋体"/>
          <w:b/>
          <w:sz w:val="36"/>
          <w:szCs w:val="36"/>
          <w:highlight w:val="none"/>
        </w:rPr>
        <w:t>第五章   合同草案条款</w:t>
      </w:r>
      <w:bookmarkEnd w:id="1225"/>
      <w:bookmarkEnd w:id="1226"/>
    </w:p>
    <w:p w14:paraId="0DF6FBCF">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（此合同仅供参考。以最终采购人与中标供应商签定的合同条款为准进行公示，</w:t>
      </w:r>
    </w:p>
    <w:p w14:paraId="5726F8E8">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最终签定合同的主要条款不能与招标文件有冲突）</w:t>
      </w:r>
    </w:p>
    <w:p w14:paraId="0D27CBC7">
      <w:pPr>
        <w:spacing w:after="0" w:line="360" w:lineRule="auto"/>
        <w:jc w:val="center"/>
        <w:rPr>
          <w:rFonts w:hint="eastAsia" w:ascii="宋体" w:hAnsi="宋体" w:eastAsia="宋体" w:cs="宋体"/>
          <w:b/>
          <w:sz w:val="24"/>
          <w:szCs w:val="24"/>
          <w:highlight w:val="none"/>
        </w:rPr>
      </w:pPr>
    </w:p>
    <w:p w14:paraId="411CB14F">
      <w:pPr>
        <w:spacing w:after="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编号：</w:t>
      </w:r>
    </w:p>
    <w:p w14:paraId="420F801F">
      <w:pPr>
        <w:spacing w:after="0" w:line="360" w:lineRule="auto"/>
        <w:ind w:firstLine="4226" w:firstLineChars="1754"/>
        <w:rPr>
          <w:rFonts w:hint="eastAsia" w:ascii="宋体" w:hAnsi="宋体" w:eastAsia="宋体" w:cs="宋体"/>
          <w:b/>
          <w:sz w:val="24"/>
          <w:szCs w:val="24"/>
          <w:highlight w:val="none"/>
        </w:rPr>
      </w:pPr>
    </w:p>
    <w:p w14:paraId="67D73513">
      <w:pPr>
        <w:spacing w:after="0" w:line="360" w:lineRule="auto"/>
        <w:jc w:val="center"/>
        <w:rPr>
          <w:rFonts w:hint="eastAsia" w:ascii="宋体" w:hAnsi="宋体" w:eastAsia="宋体" w:cs="宋体"/>
          <w:b/>
          <w:spacing w:val="7"/>
          <w:kern w:val="0"/>
          <w:sz w:val="24"/>
          <w:szCs w:val="24"/>
          <w:highlight w:val="none"/>
        </w:rPr>
      </w:pPr>
      <w:r>
        <w:rPr>
          <w:rFonts w:hint="eastAsia" w:ascii="宋体" w:hAnsi="宋体" w:eastAsia="宋体" w:cs="宋体"/>
          <w:b/>
          <w:spacing w:val="110"/>
          <w:kern w:val="0"/>
          <w:sz w:val="24"/>
          <w:szCs w:val="24"/>
          <w:highlight w:val="none"/>
        </w:rPr>
        <w:t>北京市建设工程施工合</w:t>
      </w:r>
      <w:r>
        <w:rPr>
          <w:rFonts w:hint="eastAsia" w:ascii="宋体" w:hAnsi="宋体" w:eastAsia="宋体" w:cs="宋体"/>
          <w:b/>
          <w:spacing w:val="7"/>
          <w:kern w:val="0"/>
          <w:sz w:val="24"/>
          <w:szCs w:val="24"/>
          <w:highlight w:val="none"/>
        </w:rPr>
        <w:t>同</w:t>
      </w:r>
    </w:p>
    <w:p w14:paraId="71A0D334">
      <w:pPr>
        <w:pStyle w:val="20"/>
        <w:spacing w:after="0" w:line="360" w:lineRule="auto"/>
        <w:ind w:left="840" w:hanging="420"/>
        <w:rPr>
          <w:rFonts w:hint="eastAsia" w:ascii="宋体" w:hAnsi="宋体" w:eastAsia="宋体" w:cs="宋体"/>
          <w:sz w:val="24"/>
          <w:szCs w:val="24"/>
          <w:highlight w:val="none"/>
        </w:rPr>
      </w:pPr>
    </w:p>
    <w:p w14:paraId="6005451D">
      <w:pPr>
        <w:pStyle w:val="20"/>
        <w:spacing w:after="0" w:line="360" w:lineRule="auto"/>
        <w:ind w:left="840" w:hanging="420"/>
        <w:rPr>
          <w:rFonts w:hint="eastAsia" w:ascii="宋体" w:hAnsi="宋体" w:eastAsia="宋体" w:cs="宋体"/>
          <w:sz w:val="24"/>
          <w:szCs w:val="24"/>
          <w:highlight w:val="none"/>
        </w:rPr>
      </w:pPr>
    </w:p>
    <w:p w14:paraId="47E91119">
      <w:pPr>
        <w:pStyle w:val="20"/>
        <w:spacing w:after="0" w:line="360" w:lineRule="auto"/>
        <w:ind w:left="840" w:hanging="420"/>
        <w:rPr>
          <w:rFonts w:hint="eastAsia" w:ascii="宋体" w:hAnsi="宋体" w:eastAsia="宋体" w:cs="宋体"/>
          <w:sz w:val="24"/>
          <w:szCs w:val="24"/>
          <w:highlight w:val="none"/>
        </w:rPr>
      </w:pPr>
    </w:p>
    <w:p w14:paraId="55188461">
      <w:pPr>
        <w:pStyle w:val="20"/>
        <w:spacing w:after="0" w:line="360" w:lineRule="auto"/>
        <w:ind w:left="840" w:hanging="420"/>
        <w:rPr>
          <w:rFonts w:hint="eastAsia" w:ascii="宋体" w:hAnsi="宋体" w:eastAsia="宋体" w:cs="宋体"/>
          <w:sz w:val="24"/>
          <w:szCs w:val="24"/>
          <w:highlight w:val="none"/>
        </w:rPr>
      </w:pPr>
    </w:p>
    <w:p w14:paraId="58C6E561">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发包方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eastAsia="zh-CN"/>
        </w:rPr>
        <w:t>北京市丰台区人民政府马家堡街道办事处</w:t>
      </w:r>
    </w:p>
    <w:p w14:paraId="12A73A20">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承包方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p>
    <w:p w14:paraId="71FFC482">
      <w:pPr>
        <w:spacing w:after="0" w:line="360" w:lineRule="auto"/>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工程名称</w:t>
      </w:r>
      <w:r>
        <w:rPr>
          <w:rFonts w:hint="eastAsia" w:ascii="宋体" w:hAnsi="宋体" w:eastAsia="宋体" w:cs="宋体"/>
          <w:b/>
          <w:sz w:val="24"/>
          <w:szCs w:val="24"/>
          <w:highlight w:val="none"/>
        </w:rPr>
        <w:t>：</w:t>
      </w:r>
      <w:r>
        <w:rPr>
          <w:rFonts w:hint="eastAsia" w:ascii="宋体" w:hAnsi="宋体" w:cs="宋体"/>
          <w:b/>
          <w:sz w:val="24"/>
          <w:szCs w:val="24"/>
          <w:highlight w:val="none"/>
          <w:u w:val="single"/>
          <w:lang w:val="en-US" w:eastAsia="zh-CN"/>
        </w:rPr>
        <w:t>乐乎公寓（曾用名“禾苗公寓”）拆除工程</w:t>
      </w:r>
    </w:p>
    <w:p w14:paraId="5F5C78F5">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工程地点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北京市丰台区</w:t>
      </w:r>
    </w:p>
    <w:p w14:paraId="6C265799">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建筑面积</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平方米；</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层数：</w:t>
      </w:r>
      <w:r>
        <w:rPr>
          <w:rFonts w:hint="eastAsia" w:ascii="宋体" w:hAnsi="宋体" w:eastAsia="宋体" w:cs="宋体"/>
          <w:b/>
          <w:sz w:val="24"/>
          <w:szCs w:val="24"/>
          <w:highlight w:val="none"/>
          <w:u w:val="single"/>
          <w:lang w:val="en-US" w:eastAsia="zh-CN"/>
        </w:rPr>
        <w:t xml:space="preserve">  层</w:t>
      </w:r>
    </w:p>
    <w:p w14:paraId="753A7938">
      <w:pPr>
        <w:spacing w:after="0" w:line="360" w:lineRule="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结构类型</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；檐高/跨度：</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米</w:t>
      </w:r>
    </w:p>
    <w:p w14:paraId="32419E56">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批准文号：（有权机关批准工程立项的文号）：</w:t>
      </w:r>
      <w:r>
        <w:rPr>
          <w:rFonts w:hint="eastAsia" w:ascii="宋体" w:hAnsi="宋体" w:eastAsia="宋体" w:cs="宋体"/>
          <w:b/>
          <w:sz w:val="24"/>
          <w:szCs w:val="24"/>
          <w:highlight w:val="none"/>
          <w:u w:val="single"/>
          <w:lang w:val="en-US" w:eastAsia="zh-CN"/>
        </w:rPr>
        <w:t xml:space="preserve">              </w:t>
      </w:r>
    </w:p>
    <w:p w14:paraId="79455B50">
      <w:pPr>
        <w:spacing w:after="0" w:line="360" w:lineRule="auto"/>
        <w:rPr>
          <w:rFonts w:hint="eastAsia" w:ascii="宋体" w:hAnsi="宋体" w:eastAsia="宋体" w:cs="宋体"/>
          <w:b/>
          <w:kern w:val="0"/>
          <w:sz w:val="24"/>
          <w:szCs w:val="24"/>
          <w:highlight w:val="none"/>
          <w:u w:val="single"/>
          <w:lang w:val="en-US" w:eastAsia="zh-CN"/>
        </w:rPr>
      </w:pPr>
      <w:r>
        <w:rPr>
          <w:rFonts w:hint="eastAsia" w:ascii="宋体" w:hAnsi="宋体" w:eastAsia="宋体" w:cs="宋体"/>
          <w:b/>
          <w:kern w:val="0"/>
          <w:sz w:val="24"/>
          <w:szCs w:val="24"/>
          <w:highlight w:val="none"/>
        </w:rPr>
        <w:t>工程性质（指基建、技改、合资等）：</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kern w:val="0"/>
          <w:sz w:val="24"/>
          <w:szCs w:val="24"/>
          <w:highlight w:val="none"/>
          <w:lang w:val="en-US" w:eastAsia="zh-CN"/>
        </w:rPr>
        <w:t xml:space="preserve">  </w:t>
      </w:r>
    </w:p>
    <w:p w14:paraId="7CF3703C">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承包范围：</w:t>
      </w:r>
      <w:r>
        <w:rPr>
          <w:rFonts w:hint="eastAsia" w:ascii="宋体" w:hAnsi="宋体" w:eastAsia="宋体" w:cs="宋体"/>
          <w:b/>
          <w:sz w:val="24"/>
          <w:szCs w:val="24"/>
          <w:highlight w:val="none"/>
          <w:u w:val="single"/>
          <w:lang w:val="en-US" w:eastAsia="zh-CN"/>
        </w:rPr>
        <w:t>详见清单</w:t>
      </w:r>
    </w:p>
    <w:p w14:paraId="1ACD7FBD">
      <w:pPr>
        <w:spacing w:after="0" w:line="360" w:lineRule="auto"/>
        <w:rPr>
          <w:rFonts w:hint="eastAsia" w:ascii="宋体" w:hAnsi="宋体" w:eastAsia="宋体" w:cs="宋体"/>
          <w:b/>
          <w:kern w:val="0"/>
          <w:sz w:val="24"/>
          <w:szCs w:val="24"/>
          <w:highlight w:val="none"/>
          <w:u w:val="single"/>
          <w:lang w:eastAsia="zh-CN"/>
        </w:rPr>
      </w:pPr>
      <w:r>
        <w:rPr>
          <w:rFonts w:hint="eastAsia" w:ascii="宋体" w:hAnsi="宋体" w:eastAsia="宋体" w:cs="宋体"/>
          <w:b/>
          <w:kern w:val="0"/>
          <w:sz w:val="24"/>
          <w:szCs w:val="24"/>
          <w:highlight w:val="none"/>
        </w:rPr>
        <w:t>承包方式：</w:t>
      </w:r>
      <w:r>
        <w:rPr>
          <w:rFonts w:hint="eastAsia" w:ascii="宋体" w:hAnsi="宋体" w:eastAsia="宋体" w:cs="宋体"/>
          <w:b/>
          <w:kern w:val="0"/>
          <w:sz w:val="24"/>
          <w:szCs w:val="24"/>
          <w:highlight w:val="none"/>
          <w:u w:val="single"/>
          <w:lang w:eastAsia="zh-CN"/>
        </w:rPr>
        <w:t>包工包料</w:t>
      </w:r>
    </w:p>
    <w:p w14:paraId="3D3E9A61">
      <w:pPr>
        <w:spacing w:after="0" w:line="360" w:lineRule="auto"/>
        <w:rPr>
          <w:rFonts w:hint="eastAsia" w:ascii="宋体" w:hAnsi="宋体" w:eastAsia="宋体" w:cs="宋体"/>
          <w:b/>
          <w:kern w:val="0"/>
          <w:sz w:val="24"/>
          <w:szCs w:val="24"/>
          <w:highlight w:val="none"/>
          <w:u w:val="single"/>
        </w:rPr>
      </w:pPr>
      <w:r>
        <w:rPr>
          <w:rFonts w:hint="eastAsia" w:ascii="宋体" w:hAnsi="宋体" w:eastAsia="宋体" w:cs="宋体"/>
          <w:b/>
          <w:kern w:val="0"/>
          <w:sz w:val="24"/>
          <w:szCs w:val="24"/>
          <w:highlight w:val="none"/>
        </w:rPr>
        <w:t>质量等级（优良或合格）：</w:t>
      </w:r>
      <w:r>
        <w:rPr>
          <w:rFonts w:hint="eastAsia" w:ascii="宋体" w:hAnsi="宋体" w:eastAsia="宋体" w:cs="宋体"/>
          <w:b/>
          <w:kern w:val="0"/>
          <w:sz w:val="24"/>
          <w:szCs w:val="24"/>
          <w:highlight w:val="none"/>
          <w:u w:val="single"/>
        </w:rPr>
        <w:t>合格</w:t>
      </w:r>
    </w:p>
    <w:p w14:paraId="7A2D6CAF">
      <w:pPr>
        <w:widowControl/>
        <w:spacing w:after="0" w:line="360" w:lineRule="auto"/>
        <w:jc w:val="left"/>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工程承包中标金额</w:t>
      </w:r>
      <w:r>
        <w:rPr>
          <w:rFonts w:hint="eastAsia" w:ascii="宋体" w:hAnsi="宋体" w:eastAsia="宋体" w:cs="宋体"/>
          <w:b/>
          <w:sz w:val="24"/>
          <w:szCs w:val="24"/>
          <w:highlight w:val="none"/>
        </w:rPr>
        <w:t>（大写）：</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人民币 （小写）￥</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元</w:t>
      </w:r>
    </w:p>
    <w:p w14:paraId="0C578FF8">
      <w:pPr>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签订日期：   年</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月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日</w:t>
      </w:r>
    </w:p>
    <w:p w14:paraId="5D59D69F">
      <w:pPr>
        <w:spacing w:after="0"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北京市建设工程施工合同</w:t>
      </w:r>
    </w:p>
    <w:p w14:paraId="6B3B2ACA">
      <w:pPr>
        <w:spacing w:after="0"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民法典》、《中华人民共和国建筑法》及其他有关法律、行政法规等规定，就承包方承包工程事宜，发包方与承包方遵循平等、自愿、公平和诚实信用的原则，经双方协商一致达成如下协议：</w:t>
      </w:r>
    </w:p>
    <w:p w14:paraId="3F8B5F7C">
      <w:pPr>
        <w:tabs>
          <w:tab w:val="left" w:pos="567"/>
          <w:tab w:val="left" w:pos="709"/>
          <w:tab w:val="left" w:pos="127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第1条工期</w:t>
      </w:r>
    </w:p>
    <w:p w14:paraId="409FE1B1">
      <w:pPr>
        <w:spacing w:after="0" w:line="50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000000"/>
          <w:sz w:val="24"/>
          <w:szCs w:val="24"/>
          <w:highlight w:val="none"/>
        </w:rPr>
        <w:t>本合同工程计划开工日期：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650C08E5">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28A757B6">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合同工期总日历天数为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67CAB03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工期如需提前或迟延，以最终进场、撤场时间为准。承包方应根据发包方通知的时间开工。承包方于本合同工程实施完毕后，无条件退场。</w:t>
      </w:r>
    </w:p>
    <w:p w14:paraId="61F2A082">
      <w:pPr>
        <w:tabs>
          <w:tab w:val="left" w:pos="567"/>
        </w:tabs>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1.2承包方为提前工期采取的相应措施及因此增加的经济支出：</w:t>
      </w:r>
    </w:p>
    <w:p w14:paraId="702735C6">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1.3工期提前或延误的奖罚，由双方协商后在合同中约定。</w:t>
      </w:r>
    </w:p>
    <w:p w14:paraId="7BBBA0E0">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第2条图纸</w:t>
      </w:r>
    </w:p>
    <w:p w14:paraId="301CC7DB">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承包方于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日向发包方提供施工图纸套，开工前双方应对施工图纸进行签章确认，承包方应严格按照图纸开始施工。</w:t>
      </w:r>
    </w:p>
    <w:p w14:paraId="73AFF9BC">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第3条驻工地代表</w:t>
      </w:r>
    </w:p>
    <w:p w14:paraId="6947D92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发包方联系人姓名：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1E9DD23">
      <w:pPr>
        <w:widowControl/>
        <w:spacing w:after="0" w:line="500" w:lineRule="exact"/>
        <w:ind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承包方联系人姓名：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16F639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监理人：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2DD134C">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第4条发包方工作</w:t>
      </w:r>
    </w:p>
    <w:p w14:paraId="1F1B153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4.1发包方或发包方委托监理人按照合同约定的期限向承包方发出开工通知。</w:t>
      </w:r>
    </w:p>
    <w:p w14:paraId="7606A6E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4.2 协助承包方将施工所需水、电线路、道路接通至施工现场，并于施工期间配合承包方的工作，向承包方提供施工现场资料。将水准点与座标控制点位置提交给承包方，并于现场交验，协调、处理施工现场周围建筑物、构筑物（含文物保护建筑）、古树名木和地下管线的保护及施工扰民问题。</w:t>
      </w:r>
    </w:p>
    <w:p w14:paraId="3B79409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4.3合同签订后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日内组织会审图纸和设计交底，在收到承包方提供的施工组织设计（或施工方案）和进度计划后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日内予以确认。</w:t>
      </w:r>
    </w:p>
    <w:p w14:paraId="7B0BA39B">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第5条承包方工作</w:t>
      </w:r>
    </w:p>
    <w:p w14:paraId="28A3925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5.1承包方应保证其具有承接本合同项下工程的相关资质，并将加盖公章的资质复印件交付发包方备案，并保证其所派员工具备上岗资格。</w:t>
      </w:r>
    </w:p>
    <w:p w14:paraId="675D8EA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5.2开工后日向发包方报送施工计划和已完工程进度统计报表。</w:t>
      </w:r>
    </w:p>
    <w:p w14:paraId="4D0B6508">
      <w:pPr>
        <w:tabs>
          <w:tab w:val="left" w:pos="709"/>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5.3本合同项下工程由承包方包工包料。承包方负责本合同项下工程所需的全部施工材料及工具、零部件、设备的采购，所支出的费用由承包方自行负担。</w:t>
      </w:r>
    </w:p>
    <w:p w14:paraId="0E1FC25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5.4承包方负责将施工材料、设备等运送至施工场地，向发包方提交合格证、检测报告等证明施工材料、设备符合国家相关质量标准的证明文件。</w:t>
      </w:r>
    </w:p>
    <w:p w14:paraId="0B210084">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5.5承包方应对本合同项下工程项目采取安全措施，确保工程及其人员、材料、设备的安全，避免造成财产、人员的损害。</w:t>
      </w:r>
    </w:p>
    <w:p w14:paraId="7F2009B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5.6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此项费用已包含在本合同总价款内，延误的工期相应顺延。</w:t>
      </w:r>
    </w:p>
    <w:p w14:paraId="5277D13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5.7 在图纸会审和设计交底后日内向发包方提交施工组织设计（或施工方案）和进度计划。</w:t>
      </w:r>
    </w:p>
    <w:p w14:paraId="1E8C69E6">
      <w:pPr>
        <w:tabs>
          <w:tab w:val="left" w:pos="1134"/>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5.8承包方应严格遵守本合同的约定及工程质量相关标准。按照本合同约定及发包方的要求进行施工，具体施工内容详见施工方案，施工方案作为本合同附件。</w:t>
      </w:r>
    </w:p>
    <w:p w14:paraId="1C0E402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5.9工程接收证书颁发前，承包方应负责照管和维护工程。工程接收证书颁发时尚有部分未竣工工程的，承包方还应负责该未竣工工程的照管和维护工作，直至竣工后移交给发包方为止。</w:t>
      </w:r>
    </w:p>
    <w:p w14:paraId="69B427E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5.10承包方应为其工作人员办理意外保险并将保险材料复印件提交发包方留存审查，费用由承包方自行负担。</w:t>
      </w:r>
    </w:p>
    <w:p w14:paraId="3EC4537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5.11凡在有毒有害环境中施工时，承包方应按有关规定提供相应的防护措施。</w:t>
      </w:r>
    </w:p>
    <w:p w14:paraId="3A8462F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5.12承包方不按合同约定完成各项工作时，应承担由此给发包方造成的全部经济损失，工期不予顺延。</w:t>
      </w:r>
    </w:p>
    <w:p w14:paraId="33834C6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5.13承包方施工完毕后应对施工改造的工程房屋室内进行甲醛等有毒有害气体检测，并将检测报告交付发包方。若室内空气污染物浓度不符合有关标准的，应采取有效措施去除室内有毒有害气体直至符合室内办公或居住环境止。</w:t>
      </w:r>
    </w:p>
    <w:p w14:paraId="2736514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5.14如由于发包方无正当理由影响正常施工的工期，承包方须向监理人申请工期顺延，若承包方在3日内未申请工期顺延的，视为承包方放弃申请工期顺延的权利，工期不予以顺延。</w:t>
      </w:r>
    </w:p>
    <w:p w14:paraId="11D10673">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第6条隐蔽工程验收</w:t>
      </w:r>
    </w:p>
    <w:p w14:paraId="40C41EE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6.1当工程具备覆盖、掩盖条件或达到中间验收部位以前，由承包方自检，并于自检后48小时内通知发包方、监理人参加验收，验收合格且发包方在验收记录上签字后，方可进行隐蔽和继续施工，工程质量符合规范要求，但发包方未在验收记录签字，视为未经发包方批准，承包方不可进行隐蔽或继续施工。验收不合格的，承包方应在发包方限定时间内修复后重新申请验收，工期不予以顺延。</w:t>
      </w:r>
    </w:p>
    <w:p w14:paraId="28FE14B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6.2本项检验不应影响施工正常进行，如影响施工正常进行，因此造成的损失及工期延误由承包方承担。</w:t>
      </w:r>
    </w:p>
    <w:p w14:paraId="2DAC1D1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第7条 工程质量</w:t>
      </w:r>
    </w:p>
    <w:p w14:paraId="319A346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7.1本合同项目工程质量，承包方应严格按照现行国家有关标准、行业标准、企业标准及相关文件中有关标准中最严格标准执行，工程施工完毕后满足发包方的使用需求。</w:t>
      </w:r>
    </w:p>
    <w:p w14:paraId="4973BBF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7.2本合同项下工程应符合建筑物工程室内环境质量要求，室内环境污染浓度经施工后不得超过国家、地方等最严格标准，若国外标准严于我国标准的，应执行国外标准。</w:t>
      </w:r>
    </w:p>
    <w:p w14:paraId="72F63A8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7.3发包方、承包方办理竣工验收手续后，发包方于日内按有关规定向质量监督机构申报竣工工程质量备案。承包方应按法律、行政法规或国家关于工程质量保修的有关规定，对交付发包方使用的工程在质量保修期内承担质量保修责任。本合同项目工程验收合格，不免除承包方对工程质量应承担的相关责任。</w:t>
      </w:r>
    </w:p>
    <w:p w14:paraId="28725080">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第8条设计变更及合同价款的调整</w:t>
      </w:r>
    </w:p>
    <w:p w14:paraId="44029F4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8.1施工中发包方有权对原设计进行变更，但发包方应及时向承包方发出书面变更通知，否则，承包方有权拒绝变更。承包方应按通知进行变更，并于3日内根据发包方要求调整承包方式，提供变更后的完整资料，因变更导致的合理经济支出，由发包方承担。发包方收到变更价款报告之日起5日内予以签章确认。</w:t>
      </w:r>
    </w:p>
    <w:p w14:paraId="3D030FA1">
      <w:pPr>
        <w:pStyle w:val="181"/>
        <w:numPr>
          <w:ilvl w:val="0"/>
          <w:numId w:val="0"/>
        </w:numPr>
        <w:spacing w:after="0" w:line="50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rPr>
        <w:t>本工程按可调整的承包方式对承包造价作如下调整：</w:t>
      </w:r>
      <w:r>
        <w:rPr>
          <w:rFonts w:hint="eastAsia" w:ascii="宋体" w:hAnsi="宋体" w:eastAsia="宋体" w:cs="宋体"/>
          <w:sz w:val="24"/>
          <w:szCs w:val="24"/>
          <w:highlight w:val="none"/>
          <w:lang w:val="en-US" w:eastAsia="zh-CN"/>
        </w:rPr>
        <w:t>/</w:t>
      </w:r>
    </w:p>
    <w:p w14:paraId="229EF30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第9条竣工验收</w:t>
      </w:r>
    </w:p>
    <w:p w14:paraId="67152718">
      <w:pPr>
        <w:spacing w:after="0" w:line="500" w:lineRule="exact"/>
        <w:rPr>
          <w:rFonts w:hint="eastAsia" w:ascii="宋体" w:hAnsi="宋体" w:eastAsia="宋体" w:cs="宋体"/>
          <w:sz w:val="24"/>
          <w:szCs w:val="24"/>
          <w:highlight w:val="none"/>
        </w:rPr>
      </w:pPr>
      <w:bookmarkStart w:id="1227" w:name="_Toc152042505"/>
      <w:bookmarkStart w:id="1228" w:name="_Toc152045726"/>
      <w:bookmarkStart w:id="1229" w:name="_Toc179632744"/>
      <w:bookmarkStart w:id="1230" w:name="_Toc450142789"/>
      <w:bookmarkStart w:id="1231" w:name="_Toc342296377"/>
      <w:bookmarkStart w:id="1232" w:name="_Toc338944819"/>
      <w:bookmarkStart w:id="1233" w:name="_Toc144974697"/>
      <w:bookmarkStart w:id="1234" w:name="_Toc450141310"/>
      <w:r>
        <w:rPr>
          <w:rFonts w:hint="eastAsia" w:ascii="宋体" w:hAnsi="宋体" w:eastAsia="宋体" w:cs="宋体"/>
          <w:sz w:val="24"/>
          <w:szCs w:val="24"/>
          <w:highlight w:val="none"/>
        </w:rPr>
        <w:t>9.1竣工验收的含义</w:t>
      </w:r>
      <w:bookmarkEnd w:id="1227"/>
      <w:bookmarkEnd w:id="1228"/>
      <w:bookmarkEnd w:id="1229"/>
      <w:bookmarkEnd w:id="1230"/>
      <w:bookmarkEnd w:id="1231"/>
      <w:bookmarkEnd w:id="1232"/>
      <w:bookmarkEnd w:id="1233"/>
      <w:bookmarkEnd w:id="1234"/>
    </w:p>
    <w:p w14:paraId="39C0338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9.1.1竣工验收指承包方完成了全部合同工作后，发包方按合同要求进行的验收。</w:t>
      </w:r>
    </w:p>
    <w:p w14:paraId="5FD148D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9.1.2竣工验收所采用的各项验收和评定标准应符合改造工程国家最新现行验收标准。发包方和承包方为竣工验收提供的各项竣工验收资料应符合国家验收的要求。</w:t>
      </w:r>
    </w:p>
    <w:p w14:paraId="11139D82">
      <w:pPr>
        <w:spacing w:after="0" w:line="500" w:lineRule="exact"/>
        <w:rPr>
          <w:rFonts w:hint="eastAsia" w:ascii="宋体" w:hAnsi="宋体" w:eastAsia="宋体" w:cs="宋体"/>
          <w:sz w:val="24"/>
          <w:szCs w:val="24"/>
          <w:highlight w:val="none"/>
        </w:rPr>
      </w:pPr>
      <w:bookmarkStart w:id="1235" w:name="_Toc450141311"/>
      <w:bookmarkStart w:id="1236" w:name="_Toc342296378"/>
      <w:bookmarkStart w:id="1237" w:name="_Toc450142790"/>
      <w:bookmarkStart w:id="1238" w:name="_Toc338944820"/>
      <w:r>
        <w:rPr>
          <w:rFonts w:hint="eastAsia" w:ascii="宋体" w:hAnsi="宋体" w:eastAsia="宋体" w:cs="宋体"/>
          <w:sz w:val="24"/>
          <w:szCs w:val="24"/>
          <w:highlight w:val="none"/>
        </w:rPr>
        <w:t>9.2竣工验收申请报告</w:t>
      </w:r>
      <w:bookmarkEnd w:id="1235"/>
      <w:bookmarkEnd w:id="1236"/>
      <w:bookmarkEnd w:id="1237"/>
      <w:bookmarkEnd w:id="1238"/>
    </w:p>
    <w:p w14:paraId="0FD1345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当工程同时具备以下条件时，承包方即可向发包方或发包方委托的监理人报送竣工验收申请报告：</w:t>
      </w:r>
    </w:p>
    <w:p w14:paraId="74498AA3">
      <w:pPr>
        <w:spacing w:after="0" w:line="500" w:lineRule="exact"/>
        <w:ind w:left="53" w:leftChars="25"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（1）除发包方或监理人同意列入缺陷责任期内完成的尾工（甩项）工程和缺陷修补工作外，合同范围内的全部单位工程以及有关工作，包括合同要求的试验、试运行以及检验和验收均已完成，并符合合同要求；</w:t>
      </w:r>
    </w:p>
    <w:p w14:paraId="75AE0FE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（2）已按合同约定的内容和份数备齐了符合要求的竣工资料；</w:t>
      </w:r>
    </w:p>
    <w:p w14:paraId="41566CD5">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（3）已按发包方或监理人的要求编制了在缺陷责任期内完成的尾工（甩项）工程和缺陷修补工作清单以及相应施工计划；</w:t>
      </w:r>
    </w:p>
    <w:p w14:paraId="72B9476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（4）已按发包方或监理人要求在竣工验收前完成了应完成的其他工作；</w:t>
      </w:r>
    </w:p>
    <w:p w14:paraId="34976FA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（5）已按发包方或监理人要求提交了竣工验收资料清单。</w:t>
      </w:r>
    </w:p>
    <w:p w14:paraId="5FA1110C">
      <w:pPr>
        <w:spacing w:after="0" w:line="500" w:lineRule="exact"/>
        <w:rPr>
          <w:rFonts w:hint="eastAsia" w:ascii="宋体" w:hAnsi="宋体" w:eastAsia="宋体" w:cs="宋体"/>
          <w:sz w:val="24"/>
          <w:szCs w:val="24"/>
          <w:highlight w:val="none"/>
        </w:rPr>
      </w:pPr>
      <w:bookmarkStart w:id="1239" w:name="_Toc342296379"/>
      <w:bookmarkStart w:id="1240" w:name="_Toc450142791"/>
      <w:bookmarkStart w:id="1241" w:name="_Toc450141312"/>
      <w:bookmarkStart w:id="1242" w:name="_Toc338944821"/>
      <w:r>
        <w:rPr>
          <w:rFonts w:hint="eastAsia" w:ascii="宋体" w:hAnsi="宋体" w:eastAsia="宋体" w:cs="宋体"/>
          <w:sz w:val="24"/>
          <w:szCs w:val="24"/>
          <w:highlight w:val="none"/>
        </w:rPr>
        <w:t>9.3验收</w:t>
      </w:r>
      <w:bookmarkEnd w:id="1239"/>
      <w:bookmarkEnd w:id="1240"/>
      <w:bookmarkEnd w:id="1241"/>
      <w:bookmarkEnd w:id="1242"/>
    </w:p>
    <w:p w14:paraId="313BA0E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具备验收条件的，承包方按照国家改造工程竣工验收的有关标准向发包方或监理人提供完整的竣工资料及竣工验收报告，发包方或监理人收到承包方按合同约定提交的竣工验收申请报告后，应审查申请报告的各项内容，并按以下不同情况进行处理。</w:t>
      </w:r>
    </w:p>
    <w:p w14:paraId="2221842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9.3.1发包方或监理人审查后认为尚不具备竣工验收条件的，应在收到竣工验收申请报告后的2日内通知承包方，指出在颁发接收证书前承包方还需进行的工作内容。承包方完成发包方或监理人通知的全部工作内容后，应再次提交竣工验收申请报告，直至发包方或监理人认为符合竣工验收条件为止，工期不因申请验收予以顺延。</w:t>
      </w:r>
    </w:p>
    <w:p w14:paraId="53F160EE">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9.3.2监理人审查后认为已具备竣工验收条件的，应在收到竣工验收申请报告后的2日内提请发包方进行工程验收。</w:t>
      </w:r>
    </w:p>
    <w:p w14:paraId="0B1F8CD5">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9.3.3发包方经过验收后同意接收工程的，应在收到竣工验收申请报告后向承包方出具经发包方签字确认的工程接收证书。发包方验收后同意接收工程但提出整修和完善要求的，有权缓发工程接收证书，并要求承包方予以返工。承包方在发包方要求的期限内整改完成后再次向发包方或监理人申请验收，经复查后承包方达到要求的，经发包方同意后，向承包方出具工程接收证书。</w:t>
      </w:r>
    </w:p>
    <w:p w14:paraId="54D9500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9.3.4发包方验收后发现工程质量存在瑕疵或不合格，不同意接收工程的，发包方或监理人应按照发包方的验收意见发出指示，要求承包方对不合格工程认真返工重作或进行补救处理，由承包方承担由此产生的费用。承包方在完成不合格工程的返工重作或补救工作后，应重新提交竣工验收申请报告，按第9.3.1项、第9.3.2项和第9.3.3项的约定进行，工期不予以顺延。如工程经验收后再次不合格的，发包方有权选择解除合同，发包方解除合同的，有权要求承包方退还已支付的所有工程款项，并要求承包方按照合同总工程款的30%向发包方支付违约金。违约金难以弥补发包方损失的，发包方有权向承包方进行追偿；发包方不解除合同的，承包方对本合同项下工程须返工至验收合格止，工期不予以顺延。</w:t>
      </w:r>
    </w:p>
    <w:p w14:paraId="2BD1A26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9.3.5经验收合格工程的实际竣工日期，以竣工验收合格之日为准，并在工程接收证书中写明。</w:t>
      </w:r>
    </w:p>
    <w:p w14:paraId="0DAD7E5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9.3.6发包方在收到承包方竣工验收申请报告7日后无正当理由未进行验收的，实际竣工日期以提交竣工验收申请报告的日期为准，但发包方由于不可抗力或法律、法规、政策性变更不能进行验收的除外。</w:t>
      </w:r>
    </w:p>
    <w:p w14:paraId="47032F16">
      <w:pPr>
        <w:spacing w:after="0" w:line="500" w:lineRule="exact"/>
        <w:rPr>
          <w:rFonts w:hint="eastAsia" w:ascii="宋体" w:hAnsi="宋体" w:eastAsia="宋体" w:cs="宋体"/>
          <w:sz w:val="24"/>
          <w:szCs w:val="24"/>
          <w:highlight w:val="none"/>
        </w:rPr>
      </w:pPr>
      <w:bookmarkStart w:id="1243" w:name="_Toc342296383"/>
      <w:bookmarkStart w:id="1244" w:name="_Toc450141316"/>
      <w:bookmarkStart w:id="1245" w:name="_Toc450142795"/>
      <w:bookmarkStart w:id="1246" w:name="_Toc338944825"/>
      <w:r>
        <w:rPr>
          <w:rFonts w:hint="eastAsia" w:ascii="宋体" w:hAnsi="宋体" w:eastAsia="宋体" w:cs="宋体"/>
          <w:sz w:val="24"/>
          <w:szCs w:val="24"/>
          <w:highlight w:val="none"/>
        </w:rPr>
        <w:t>9.4竣工清场</w:t>
      </w:r>
      <w:bookmarkEnd w:id="1243"/>
      <w:bookmarkEnd w:id="1244"/>
      <w:bookmarkEnd w:id="1245"/>
      <w:bookmarkEnd w:id="1246"/>
    </w:p>
    <w:p w14:paraId="6BF05BE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9.4.1除合同另有约定外，工程接收证书颁发后，承包方应按以下要求对施工场地进行清理，直至发包方或监理人检验合格为止。竣工清场费用由承包方承担。</w:t>
      </w:r>
    </w:p>
    <w:p w14:paraId="17933D4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（1）施工场地内残留的垃圾已全部清除出场；</w:t>
      </w:r>
    </w:p>
    <w:p w14:paraId="3C981E9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（2）临时工程已拆除，场地已按合同要求进行清理、平整或复原；</w:t>
      </w:r>
    </w:p>
    <w:p w14:paraId="60A248E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（3）按合同约定应撤离的承包方设备和剩余的材料，包括废弃的施工设备和材料，已按计划撤离施工场地；</w:t>
      </w:r>
    </w:p>
    <w:p w14:paraId="577CE73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（4）工程建筑物周边及其附近道路、河道的施工堆积物，已按发包方或监理人指示全部清理；</w:t>
      </w:r>
    </w:p>
    <w:p w14:paraId="5CCEBB4E">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（5）发包方或监理人指示的其他场地清理工作已全部完成。</w:t>
      </w:r>
    </w:p>
    <w:p w14:paraId="21B70458">
      <w:pPr>
        <w:spacing w:after="0" w:line="500" w:lineRule="exact"/>
        <w:rPr>
          <w:rFonts w:hint="eastAsia" w:ascii="宋体" w:hAnsi="宋体" w:eastAsia="宋体" w:cs="宋体"/>
          <w:sz w:val="24"/>
          <w:szCs w:val="24"/>
          <w:highlight w:val="none"/>
        </w:rPr>
      </w:pPr>
      <w:bookmarkStart w:id="1247" w:name="_Toc450141317"/>
      <w:bookmarkStart w:id="1248" w:name="_Toc450142796"/>
      <w:bookmarkStart w:id="1249" w:name="_Toc342296384"/>
      <w:bookmarkStart w:id="1250" w:name="_Toc338944826"/>
      <w:r>
        <w:rPr>
          <w:rFonts w:hint="eastAsia" w:ascii="宋体" w:hAnsi="宋体" w:eastAsia="宋体" w:cs="宋体"/>
          <w:sz w:val="24"/>
          <w:szCs w:val="24"/>
          <w:highlight w:val="none"/>
        </w:rPr>
        <w:t>9.5施工队伍的撤离</w:t>
      </w:r>
      <w:bookmarkEnd w:id="1247"/>
      <w:bookmarkEnd w:id="1248"/>
      <w:bookmarkEnd w:id="1249"/>
      <w:bookmarkEnd w:id="1250"/>
    </w:p>
    <w:p w14:paraId="1A9E4C0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接收证书颁发后的7日内，除了经发包方或监理人同意需在工程质保期内继续工作和使用的人员、施工设备和临时工程外，其余的人员、施工设备和临时工程均应撤离施工场地或拆除。除合同另有约定外，缺陷责任期满时，承包方的人员和施工设备应全部撤离施工场地，临时工程应予以全部拆除。</w:t>
      </w:r>
    </w:p>
    <w:p w14:paraId="775A0BDF">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9.6本工程竣工验收仅是对工程外观的验收，本合同工程验收合格并不导致免除承包方承担相应责任。因工程质量问题或缺陷给发包方造成的损失由承包方承担。</w:t>
      </w:r>
    </w:p>
    <w:p w14:paraId="0DD335B8">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第10条工程质量保修责任</w:t>
      </w:r>
    </w:p>
    <w:p w14:paraId="0183260F">
      <w:pPr>
        <w:keepNext w:val="0"/>
        <w:keepLines w:val="0"/>
        <w:pageBreakBefore w:val="0"/>
        <w:widowControl w:val="0"/>
        <w:kinsoku/>
        <w:wordWrap w:val="0"/>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10.1本合同项目工程质量保修期从本合同工程实际竣工验收合格之日起开始计算</w:t>
      </w:r>
      <w:r>
        <w:rPr>
          <w:rFonts w:hint="eastAsia" w:ascii="宋体" w:hAnsi="宋体" w:cs="宋体"/>
          <w:sz w:val="24"/>
          <w:szCs w:val="24"/>
          <w:highlight w:val="none"/>
          <w:lang w:eastAsia="zh-CN"/>
        </w:rPr>
        <w:t>（）</w:t>
      </w:r>
      <w:r>
        <w:rPr>
          <w:rFonts w:hint="eastAsia" w:ascii="宋体" w:hAnsi="宋体" w:eastAsia="宋体" w:cs="宋体"/>
          <w:b/>
          <w:sz w:val="24"/>
          <w:szCs w:val="24"/>
          <w:highlight w:val="none"/>
        </w:rPr>
        <w:t>年</w:t>
      </w:r>
      <w:r>
        <w:rPr>
          <w:rFonts w:hint="eastAsia" w:ascii="宋体" w:hAnsi="宋体" w:eastAsia="宋体" w:cs="宋体"/>
          <w:sz w:val="24"/>
          <w:szCs w:val="24"/>
          <w:highlight w:val="none"/>
        </w:rPr>
        <w:t>。分单项竣工验收的工程项目按单项工程分别计算质量保修期。</w:t>
      </w:r>
      <w:r>
        <w:rPr>
          <w:rFonts w:hint="eastAsia" w:ascii="宋体" w:hAnsi="宋体" w:eastAsia="宋体" w:cs="宋体"/>
          <w:b/>
          <w:sz w:val="24"/>
          <w:szCs w:val="24"/>
          <w:highlight w:val="none"/>
        </w:rPr>
        <w:t>承包方须对质保期进行承诺。</w:t>
      </w:r>
    </w:p>
    <w:p w14:paraId="7B371A45">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10.2本合同项下工程质量保修应严格遵守《房屋</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质量保修办法》，双方根据有关规定，结合本合同具体工程约定质量保修期如下：</w:t>
      </w:r>
    </w:p>
    <w:p w14:paraId="4476F101">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（1）屋面防水工程、有防水要求的卫生间/房屋和外墙面的防渗漏工程为5年（最低为5年）；</w:t>
      </w:r>
    </w:p>
    <w:p w14:paraId="25029FD1">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（2）电气管线工程、给排水工程、设备安装工程为2年（最低为2年）；</w:t>
      </w:r>
    </w:p>
    <w:p w14:paraId="28397A87">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（3）采暖工程为2个（最低为2个）采暖期；</w:t>
      </w:r>
    </w:p>
    <w:p w14:paraId="16681440">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（4）装修装饰工程为2年；</w:t>
      </w:r>
    </w:p>
    <w:p w14:paraId="295E90EF">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（5）属于重大功能性工程及主体结构、基础工程提供终身保修。</w:t>
      </w:r>
    </w:p>
    <w:p w14:paraId="64EDC31A">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根据有关法律规定，承包方应在保修期内承担工程质量责任，若保修期间出现工程质量瑕疵，承包方应及时修复，保证发包方的正常使用，修缮完毕后，保修期重新开始计算。如因承包方使用不符合约定或国家标准的建筑材料或未按照施工图纸及发包方要求进行施工的，保修期不受上述任何条款的限制，所产生的损失及违约责任由承包方承担。</w:t>
      </w:r>
    </w:p>
    <w:p w14:paraId="007CA09B">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第11条工程价款及结算</w:t>
      </w:r>
    </w:p>
    <w:p w14:paraId="0152133A">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本合同签订完成，支付合同款至30%为预付款，经监理和发包方确认拆除完成后支付合同款至50%，经监理和发包方确认全部拆除完成、场地清理合格后支付合同款至80%，项目竣工（含废弃物处置验收）后支付合同款至97%，剩余3%合同款作为质保金，待质保期满后一次性支付给承包方。但在发包方支付前，承包方须向发包方提供等额、有效发票。</w:t>
      </w:r>
      <w:r>
        <w:rPr>
          <w:rFonts w:hint="eastAsia" w:ascii="宋体" w:hAnsi="宋体" w:eastAsia="宋体" w:cs="宋体"/>
          <w:sz w:val="24"/>
          <w:szCs w:val="24"/>
          <w:highlight w:val="none"/>
          <w:lang w:val="en-US" w:eastAsia="zh-CN"/>
        </w:rPr>
        <w:t>本合同为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(固定单价/总价)合同。</w:t>
      </w:r>
    </w:p>
    <w:p w14:paraId="6FBB70FB">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11.2承包方指定收款账户信息如下：</w:t>
      </w:r>
    </w:p>
    <w:p w14:paraId="71488A6B">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账户名：                       账 号：</w:t>
      </w:r>
    </w:p>
    <w:p w14:paraId="16B4C080">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w:t>
      </w:r>
    </w:p>
    <w:p w14:paraId="6A2F0939">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上述账户信息为经承包方核实、确认后所提供的账户信息，如承包方账号变更，应书面方式提前三日向发包方告知。如未告知的，由承包方承担相应责任，发包方向上述账户付款视为已履行完毕付款义务。</w:t>
      </w:r>
    </w:p>
    <w:p w14:paraId="1722EAC6">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11.3质保金</w:t>
      </w:r>
    </w:p>
    <w:p w14:paraId="6A13770C">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本合同质保金为</w:t>
      </w:r>
      <w:r>
        <w:rPr>
          <w:rFonts w:hint="eastAsia" w:ascii="宋体" w:hAnsi="宋体" w:eastAsia="宋体" w:cs="宋体"/>
          <w:color w:val="000000"/>
          <w:sz w:val="24"/>
          <w:szCs w:val="24"/>
          <w:highlight w:val="none"/>
          <w:u w:val="none"/>
          <w:lang w:eastAsia="zh-CN"/>
        </w:rPr>
        <w:t>结算</w:t>
      </w:r>
      <w:r>
        <w:rPr>
          <w:rFonts w:hint="eastAsia" w:ascii="宋体" w:hAnsi="宋体" w:eastAsia="宋体" w:cs="宋体"/>
          <w:color w:val="000000"/>
          <w:sz w:val="24"/>
          <w:szCs w:val="24"/>
          <w:highlight w:val="none"/>
          <w:u w:val="none"/>
        </w:rPr>
        <w:t>款</w:t>
      </w:r>
      <w:r>
        <w:rPr>
          <w:rFonts w:hint="eastAsia" w:ascii="宋体" w:hAnsi="宋体" w:eastAsia="宋体" w:cs="宋体"/>
          <w:color w:val="000000"/>
          <w:sz w:val="24"/>
          <w:szCs w:val="24"/>
          <w:highlight w:val="none"/>
          <w:u w:val="none"/>
          <w:lang w:val="en-US" w:eastAsia="zh-CN"/>
        </w:rPr>
        <w:t>的3%,质保金从结算款中扣留。</w:t>
      </w:r>
    </w:p>
    <w:p w14:paraId="655FB3C4">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第12条材料设备的供应</w:t>
      </w:r>
    </w:p>
    <w:p w14:paraId="563F556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12.1承包方应对其负责供应的材料设备，提供产品合格证明；如提供与设计和规范要求不符的产品，应重新采购符合要求的产品，并承担由此发生的费用。</w:t>
      </w:r>
    </w:p>
    <w:p w14:paraId="299B124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12.2承包方需使用代用材料时，须经发包方授权代表书面批准方可使用，由此产生的相关费用由承包方负担。</w:t>
      </w:r>
    </w:p>
    <w:p w14:paraId="4430410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12.3承包方应对所提供的材料质量负责，不得使用含有甲醛等有毒有害材料、家具。对于瑕疵质量产品，承包方有义务免费及时进行更换直至整体工程验收合格。</w:t>
      </w:r>
    </w:p>
    <w:p w14:paraId="4E089C9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第13条违约责任</w:t>
      </w:r>
    </w:p>
    <w:p w14:paraId="1EBFFDF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承包方不得将其承包的全部或部分工程转包给第三人，或将其承包的全部或部分工程肢解后以分包的名义转包给第三人。一经发包方发现，发包方有权解除合同并要求承包方赔偿发包方所遭受的全部经济损失。</w:t>
      </w:r>
    </w:p>
    <w:p w14:paraId="186055F4">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13.2承包方采购、使用不合格材料或工程设备，或工程质量不符合验收标准的，经返工后仍无法符合相关质量标准的，发包方有权解除合同并拒绝支付工程款项，同时有权要求承包方支付本合同总工程款30%的违约金，违约金无法弥补损失的，发包方有权向承包方进行追偿。</w:t>
      </w:r>
    </w:p>
    <w:p w14:paraId="497D707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承包方未按照进度计划及时完成本合同约定的工程项目的，每逾期一日，承包方须向发包方支付总工程款千分之三的迟延违约金。逾期5日，发包方有权解除合同，并要求承包方支付本合同总工程款30%的违约金，因发包方原因除外。</w:t>
      </w:r>
    </w:p>
    <w:p w14:paraId="302A9BB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13.4承包方未尽安全保障义务，造成承包方或发包方工作人员或第三方人身或财产损害的，由此所产生的全部经济损失应当由承包方全部承担，并由承包方承担相应法律责任。</w:t>
      </w:r>
    </w:p>
    <w:p w14:paraId="34FD39F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13.5发包方或承包方不能按本合同约定内容履行自己的各项义务及发生使合同无法履行的行为，应承担相应的违约责任，包括支付违约金，赔偿因其违约给对方造成的全部经济损失。</w:t>
      </w:r>
    </w:p>
    <w:p w14:paraId="2DBAD25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13.6除非双方协议将合同终止，或因一方违约使合同无法履行，违约方承担违约责任后仍应继续履行合同。</w:t>
      </w:r>
    </w:p>
    <w:p w14:paraId="36ED3947">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第14条争议解决方式</w:t>
      </w:r>
    </w:p>
    <w:p w14:paraId="2C15C16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发包方、承包方双方发生争议时，可以通过协商或者申请施工合同管理机构会同有关部门调解解决争议。不愿调解或调解不成的，任何一方均可向工程所在地有管辖权的人民法院提起诉讼。</w:t>
      </w:r>
    </w:p>
    <w:p w14:paraId="3BC08DD6">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第15条合同份数</w:t>
      </w:r>
    </w:p>
    <w:p w14:paraId="6770FD6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肆</w:t>
      </w:r>
      <w:r>
        <w:rPr>
          <w:rFonts w:hint="eastAsia" w:ascii="宋体" w:hAnsi="宋体" w:eastAsia="宋体" w:cs="宋体"/>
          <w:sz w:val="24"/>
          <w:szCs w:val="24"/>
          <w:highlight w:val="none"/>
        </w:rPr>
        <w:t>份，发包方执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份，承包方执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份，每份具有同等法律效力。</w:t>
      </w:r>
    </w:p>
    <w:p w14:paraId="62D158EC">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第16条其他</w:t>
      </w:r>
    </w:p>
    <w:p w14:paraId="5FC60371">
      <w:pPr>
        <w:spacing w:after="0"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16.1本合同自双方法定代表人(负责人)或其授权代表人签字并加盖公章后发生法律效力。</w:t>
      </w:r>
    </w:p>
    <w:p w14:paraId="3A9512B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16.2合同未尽事宜，双方另行签订补充协议，但不得背离本合同的实质性内容。补充协议是合同文件的组成部分，与本合同具有同等法律效力，不一致处以补充协议为准。</w:t>
      </w:r>
    </w:p>
    <w:p w14:paraId="3E04107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16.3本合同地址系真实、有效地址，作为接收司法通知及相关文书的有效地址。如一方联系人及地址发生变更的，应在变更前3日内通知相对方，未进行通知的，送达拒收或查无此址的，视为已送达。</w:t>
      </w:r>
    </w:p>
    <w:p w14:paraId="021EE13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16.4附件：</w:t>
      </w:r>
    </w:p>
    <w:p w14:paraId="01EEC8B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本合同附件与本合同具有同等法律效力，本合同约定与附件不一致的，以本合同约定为准。</w:t>
      </w:r>
    </w:p>
    <w:p w14:paraId="1ECE2A1D">
      <w:pPr>
        <w:spacing w:after="0" w:line="360" w:lineRule="auto"/>
        <w:jc w:val="center"/>
        <w:rPr>
          <w:rFonts w:hint="eastAsia" w:ascii="宋体" w:hAnsi="宋体" w:eastAsia="宋体" w:cs="宋体"/>
          <w:b/>
          <w:bCs/>
          <w:spacing w:val="20"/>
          <w:sz w:val="24"/>
          <w:szCs w:val="24"/>
          <w:highlight w:val="none"/>
        </w:rPr>
      </w:pPr>
      <w:r>
        <w:rPr>
          <w:rFonts w:hint="eastAsia" w:ascii="宋体" w:hAnsi="宋体" w:eastAsia="宋体" w:cs="宋体"/>
          <w:b/>
          <w:bCs/>
          <w:sz w:val="24"/>
          <w:szCs w:val="24"/>
          <w:highlight w:val="none"/>
          <w:lang w:val="en-US" w:eastAsia="zh-CN"/>
        </w:rPr>
        <w:t>以下</w:t>
      </w:r>
      <w:r>
        <w:rPr>
          <w:rFonts w:hint="eastAsia" w:ascii="宋体" w:hAnsi="宋体" w:eastAsia="宋体" w:cs="宋体"/>
          <w:b/>
          <w:bCs/>
          <w:sz w:val="24"/>
          <w:szCs w:val="24"/>
          <w:highlight w:val="none"/>
        </w:rPr>
        <w:t>为合同签署页</w:t>
      </w:r>
    </w:p>
    <w:tbl>
      <w:tblPr>
        <w:tblStyle w:val="43"/>
        <w:tblW w:w="0" w:type="auto"/>
        <w:jc w:val="center"/>
        <w:tblLayout w:type="fixed"/>
        <w:tblCellMar>
          <w:top w:w="0" w:type="dxa"/>
          <w:left w:w="108" w:type="dxa"/>
          <w:bottom w:w="0" w:type="dxa"/>
          <w:right w:w="108" w:type="dxa"/>
        </w:tblCellMar>
      </w:tblPr>
      <w:tblGrid>
        <w:gridCol w:w="4329"/>
        <w:gridCol w:w="4248"/>
      </w:tblGrid>
      <w:tr w14:paraId="6D3D3E62">
        <w:tblPrEx>
          <w:tblCellMar>
            <w:top w:w="0" w:type="dxa"/>
            <w:left w:w="108" w:type="dxa"/>
            <w:bottom w:w="0" w:type="dxa"/>
            <w:right w:w="108" w:type="dxa"/>
          </w:tblCellMar>
        </w:tblPrEx>
        <w:trPr>
          <w:cantSplit/>
          <w:trHeight w:val="1620" w:hRule="exact"/>
          <w:jc w:val="center"/>
        </w:trPr>
        <w:tc>
          <w:tcPr>
            <w:tcW w:w="4329" w:type="dxa"/>
            <w:noWrap w:val="0"/>
            <w:vAlign w:val="center"/>
          </w:tcPr>
          <w:p w14:paraId="1CF4D054">
            <w:pPr>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北京市丰台区人民政府马家堡街道办事处</w:t>
            </w:r>
          </w:p>
          <w:p w14:paraId="7351F20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p>
        </w:tc>
        <w:tc>
          <w:tcPr>
            <w:tcW w:w="4248" w:type="dxa"/>
            <w:noWrap w:val="0"/>
            <w:vAlign w:val="center"/>
          </w:tcPr>
          <w:p w14:paraId="24851DF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 xxxxxxxxxxxx</w:t>
            </w:r>
          </w:p>
          <w:p w14:paraId="092728C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14:paraId="3F8DA203">
        <w:tblPrEx>
          <w:tblCellMar>
            <w:top w:w="0" w:type="dxa"/>
            <w:left w:w="108" w:type="dxa"/>
            <w:bottom w:w="0" w:type="dxa"/>
            <w:right w:w="108" w:type="dxa"/>
          </w:tblCellMar>
        </w:tblPrEx>
        <w:trPr>
          <w:cantSplit/>
          <w:trHeight w:val="1059" w:hRule="exact"/>
          <w:jc w:val="center"/>
        </w:trPr>
        <w:tc>
          <w:tcPr>
            <w:tcW w:w="4329" w:type="dxa"/>
            <w:noWrap w:val="0"/>
            <w:vAlign w:val="center"/>
          </w:tcPr>
          <w:p w14:paraId="103A6F8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C79E5A6">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c>
          <w:tcPr>
            <w:tcW w:w="4248" w:type="dxa"/>
            <w:noWrap w:val="0"/>
            <w:vAlign w:val="center"/>
          </w:tcPr>
          <w:p w14:paraId="52DC56D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500C2A6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r>
      <w:tr w14:paraId="68D2C9E8">
        <w:tblPrEx>
          <w:tblCellMar>
            <w:top w:w="0" w:type="dxa"/>
            <w:left w:w="108" w:type="dxa"/>
            <w:bottom w:w="0" w:type="dxa"/>
            <w:right w:w="108" w:type="dxa"/>
          </w:tblCellMar>
        </w:tblPrEx>
        <w:trPr>
          <w:cantSplit/>
          <w:trHeight w:val="526" w:hRule="exact"/>
          <w:jc w:val="center"/>
        </w:trPr>
        <w:tc>
          <w:tcPr>
            <w:tcW w:w="4329" w:type="dxa"/>
            <w:noWrap w:val="0"/>
            <w:vAlign w:val="center"/>
          </w:tcPr>
          <w:p w14:paraId="647BB58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住所：北京市丰台区嘉园三里17号楼</w:t>
            </w:r>
          </w:p>
          <w:p w14:paraId="5E2AF634">
            <w:pPr>
              <w:spacing w:after="0" w:line="360" w:lineRule="auto"/>
              <w:rPr>
                <w:rFonts w:hint="eastAsia" w:ascii="宋体" w:hAnsi="宋体" w:eastAsia="宋体" w:cs="宋体"/>
                <w:sz w:val="24"/>
                <w:szCs w:val="24"/>
                <w:highlight w:val="none"/>
              </w:rPr>
            </w:pPr>
          </w:p>
        </w:tc>
        <w:tc>
          <w:tcPr>
            <w:tcW w:w="4248" w:type="dxa"/>
            <w:noWrap w:val="0"/>
            <w:vAlign w:val="center"/>
          </w:tcPr>
          <w:p w14:paraId="4BC4357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p w14:paraId="56577F65">
            <w:pPr>
              <w:spacing w:after="0" w:line="360" w:lineRule="auto"/>
              <w:rPr>
                <w:rFonts w:hint="eastAsia" w:ascii="宋体" w:hAnsi="宋体" w:eastAsia="宋体" w:cs="宋体"/>
                <w:sz w:val="24"/>
                <w:szCs w:val="24"/>
                <w:highlight w:val="none"/>
              </w:rPr>
            </w:pPr>
          </w:p>
        </w:tc>
      </w:tr>
      <w:tr w14:paraId="4BCE718B">
        <w:tblPrEx>
          <w:tblCellMar>
            <w:top w:w="0" w:type="dxa"/>
            <w:left w:w="108" w:type="dxa"/>
            <w:bottom w:w="0" w:type="dxa"/>
            <w:right w:w="108" w:type="dxa"/>
          </w:tblCellMar>
        </w:tblPrEx>
        <w:trPr>
          <w:cantSplit/>
          <w:trHeight w:val="571" w:hRule="exact"/>
          <w:jc w:val="center"/>
        </w:trPr>
        <w:tc>
          <w:tcPr>
            <w:tcW w:w="4329" w:type="dxa"/>
            <w:noWrap w:val="0"/>
            <w:vAlign w:val="center"/>
          </w:tcPr>
          <w:p w14:paraId="0F4741B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4248" w:type="dxa"/>
            <w:noWrap w:val="0"/>
            <w:vAlign w:val="center"/>
          </w:tcPr>
          <w:p w14:paraId="6B35600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p>
        </w:tc>
      </w:tr>
      <w:tr w14:paraId="510AEAA0">
        <w:tblPrEx>
          <w:tblCellMar>
            <w:top w:w="0" w:type="dxa"/>
            <w:left w:w="108" w:type="dxa"/>
            <w:bottom w:w="0" w:type="dxa"/>
            <w:right w:w="108" w:type="dxa"/>
          </w:tblCellMar>
        </w:tblPrEx>
        <w:trPr>
          <w:cantSplit/>
          <w:trHeight w:val="676" w:hRule="exact"/>
          <w:jc w:val="center"/>
        </w:trPr>
        <w:tc>
          <w:tcPr>
            <w:tcW w:w="4329" w:type="dxa"/>
            <w:noWrap w:val="0"/>
            <w:vAlign w:val="center"/>
          </w:tcPr>
          <w:p w14:paraId="05362A5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48" w:type="dxa"/>
            <w:noWrap w:val="0"/>
            <w:vAlign w:val="center"/>
          </w:tcPr>
          <w:p w14:paraId="01BC2A9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14:paraId="46E10585">
        <w:tblPrEx>
          <w:tblCellMar>
            <w:top w:w="0" w:type="dxa"/>
            <w:left w:w="108" w:type="dxa"/>
            <w:bottom w:w="0" w:type="dxa"/>
            <w:right w:w="108" w:type="dxa"/>
          </w:tblCellMar>
        </w:tblPrEx>
        <w:trPr>
          <w:cantSplit/>
          <w:trHeight w:val="586" w:hRule="exact"/>
          <w:jc w:val="center"/>
        </w:trPr>
        <w:tc>
          <w:tcPr>
            <w:tcW w:w="4329" w:type="dxa"/>
            <w:noWrap w:val="0"/>
            <w:vAlign w:val="center"/>
          </w:tcPr>
          <w:p w14:paraId="70088E3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48" w:type="dxa"/>
            <w:noWrap w:val="0"/>
            <w:vAlign w:val="center"/>
          </w:tcPr>
          <w:p w14:paraId="66C0706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tc>
      </w:tr>
      <w:tr w14:paraId="4F0DDAEF">
        <w:tblPrEx>
          <w:tblCellMar>
            <w:top w:w="0" w:type="dxa"/>
            <w:left w:w="108" w:type="dxa"/>
            <w:bottom w:w="0" w:type="dxa"/>
            <w:right w:w="108" w:type="dxa"/>
          </w:tblCellMar>
        </w:tblPrEx>
        <w:trPr>
          <w:cantSplit/>
          <w:trHeight w:val="586" w:hRule="exact"/>
          <w:jc w:val="center"/>
        </w:trPr>
        <w:tc>
          <w:tcPr>
            <w:tcW w:w="4329" w:type="dxa"/>
            <w:noWrap w:val="0"/>
            <w:vAlign w:val="center"/>
          </w:tcPr>
          <w:p w14:paraId="0D409B00">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Email: </w:t>
            </w:r>
          </w:p>
        </w:tc>
        <w:tc>
          <w:tcPr>
            <w:tcW w:w="4248" w:type="dxa"/>
            <w:noWrap w:val="0"/>
            <w:vAlign w:val="center"/>
          </w:tcPr>
          <w:p w14:paraId="6A2A00D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Email： </w:t>
            </w:r>
          </w:p>
        </w:tc>
      </w:tr>
      <w:tr w14:paraId="4ED76821">
        <w:tblPrEx>
          <w:tblCellMar>
            <w:top w:w="0" w:type="dxa"/>
            <w:left w:w="108" w:type="dxa"/>
            <w:bottom w:w="0" w:type="dxa"/>
            <w:right w:w="108" w:type="dxa"/>
          </w:tblCellMar>
        </w:tblPrEx>
        <w:trPr>
          <w:cantSplit/>
          <w:trHeight w:val="1046" w:hRule="exact"/>
          <w:jc w:val="center"/>
        </w:trPr>
        <w:tc>
          <w:tcPr>
            <w:tcW w:w="4329" w:type="dxa"/>
            <w:noWrap w:val="0"/>
            <w:vAlign w:val="center"/>
          </w:tcPr>
          <w:p w14:paraId="1555A9B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48" w:type="dxa"/>
            <w:noWrap w:val="0"/>
            <w:vAlign w:val="center"/>
          </w:tcPr>
          <w:p w14:paraId="36DCF63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tc>
      </w:tr>
      <w:tr w14:paraId="50C8C435">
        <w:tblPrEx>
          <w:tblCellMar>
            <w:top w:w="0" w:type="dxa"/>
            <w:left w:w="108" w:type="dxa"/>
            <w:bottom w:w="0" w:type="dxa"/>
            <w:right w:w="108" w:type="dxa"/>
          </w:tblCellMar>
        </w:tblPrEx>
        <w:trPr>
          <w:cantSplit/>
          <w:trHeight w:val="646" w:hRule="exact"/>
          <w:jc w:val="center"/>
        </w:trPr>
        <w:tc>
          <w:tcPr>
            <w:tcW w:w="4329" w:type="dxa"/>
            <w:noWrap w:val="0"/>
            <w:vAlign w:val="center"/>
          </w:tcPr>
          <w:p w14:paraId="2D183390">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248" w:type="dxa"/>
            <w:noWrap w:val="0"/>
            <w:vAlign w:val="center"/>
          </w:tcPr>
          <w:p w14:paraId="1A439D7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bl>
    <w:p w14:paraId="40C0748B">
      <w:pPr>
        <w:snapToGrid w:val="0"/>
        <w:spacing w:after="0" w:line="360" w:lineRule="auto"/>
        <w:ind w:firstLine="472" w:firstLineChars="196"/>
        <w:rPr>
          <w:rFonts w:hint="eastAsia" w:ascii="宋体" w:hAnsi="宋体" w:eastAsia="宋体" w:cs="宋体"/>
          <w:b/>
          <w:sz w:val="24"/>
          <w:szCs w:val="24"/>
          <w:highlight w:val="none"/>
        </w:rPr>
      </w:pPr>
    </w:p>
    <w:p w14:paraId="1F7EE5C9">
      <w:pPr>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B4C6CB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附件一：</w:t>
      </w:r>
    </w:p>
    <w:p w14:paraId="556DC02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工程质量保修书</w:t>
      </w:r>
    </w:p>
    <w:p w14:paraId="0A78826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sz w:val="24"/>
          <w:szCs w:val="24"/>
          <w:highlight w:val="none"/>
        </w:rPr>
        <w:t>发包方（全称）：</w:t>
      </w:r>
      <w:r>
        <w:rPr>
          <w:rFonts w:hint="eastAsia" w:ascii="宋体" w:hAnsi="宋体" w:eastAsia="宋体" w:cs="宋体"/>
          <w:sz w:val="24"/>
          <w:szCs w:val="24"/>
          <w:highlight w:val="none"/>
          <w:u w:val="single"/>
          <w:lang w:eastAsia="zh-CN"/>
        </w:rPr>
        <w:t>北京市丰台区人民政府马家堡街道办事处</w:t>
      </w:r>
    </w:p>
    <w:p w14:paraId="5AD7461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承包方（全称）：</w:t>
      </w:r>
    </w:p>
    <w:p w14:paraId="7559A48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为保证本合同项下项目在合理使用期限内项目工程正常使用，双方协商一致签订工程质量保修书，承包方在质量保修期内按照有关管理规定及双方约定承担工程质量保修责任。</w:t>
      </w:r>
    </w:p>
    <w:p w14:paraId="14FA011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一、工程质量保修规范和内容：</w:t>
      </w:r>
    </w:p>
    <w:p w14:paraId="1F71D94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质量保修规范包括主体结构工程和双方约定的其他项目。具体质量保修内容双方约定如下：</w:t>
      </w:r>
      <w:r>
        <w:rPr>
          <w:rFonts w:hint="eastAsia" w:ascii="宋体" w:hAnsi="宋体" w:eastAsia="宋体" w:cs="宋体"/>
          <w:sz w:val="24"/>
          <w:szCs w:val="24"/>
          <w:highlight w:val="none"/>
          <w:u w:val="single"/>
        </w:rPr>
        <w:t>合同约定的全部内容。</w:t>
      </w:r>
    </w:p>
    <w:p w14:paraId="07CC30E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二、质量保修期：</w:t>
      </w:r>
    </w:p>
    <w:p w14:paraId="744AF13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质量保修期从工程实际竣工验收合格之日起开始计算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rPr>
        <w:t>年</w:t>
      </w:r>
      <w:r>
        <w:rPr>
          <w:rFonts w:hint="eastAsia" w:ascii="宋体" w:hAnsi="宋体" w:eastAsia="宋体" w:cs="宋体"/>
          <w:color w:val="000000"/>
          <w:sz w:val="24"/>
          <w:szCs w:val="24"/>
          <w:highlight w:val="none"/>
        </w:rPr>
        <w:t>，分单项竣工验收的工程，按单项工程分别计算质量保修期。</w:t>
      </w:r>
    </w:p>
    <w:p w14:paraId="3C092D3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双方根据国家有关规定，结合具体工程约定质量保修期如下：</w:t>
      </w:r>
    </w:p>
    <w:p w14:paraId="23A21BDC">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color w:val="000000"/>
          <w:sz w:val="24"/>
          <w:szCs w:val="24"/>
          <w:highlight w:val="none"/>
        </w:rPr>
        <w:t>质量保修期间，承包方应负责维修，并承担鉴定及维修费用。</w:t>
      </w:r>
    </w:p>
    <w:p w14:paraId="2F345D0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三、</w:t>
      </w:r>
      <w:r>
        <w:rPr>
          <w:rFonts w:hint="eastAsia" w:ascii="宋体" w:hAnsi="宋体" w:eastAsia="宋体" w:cs="宋体"/>
          <w:sz w:val="24"/>
          <w:szCs w:val="24"/>
          <w:highlight w:val="none"/>
        </w:rPr>
        <w:t>质量保修责任：</w:t>
      </w:r>
    </w:p>
    <w:p w14:paraId="1C5B17C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属于保修范围和内容的项目，承包应在接到修理通知之日后7日内派人修理。承包方不在约定期限内派人修理，发包方可委托其他人员修理，费用由承包方支付。</w:t>
      </w:r>
    </w:p>
    <w:p w14:paraId="0144471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发生须紧急抢修事故，承包方接到事故通知后，应立即到达事故现场抢修。非承包方施工质量引起的事故，抢修费用由发包方承担。</w:t>
      </w:r>
    </w:p>
    <w:p w14:paraId="22B3484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在国家规定的工程合理使用期限内，承包方承担主体结构的质量保修责任。因承包方原因致使工程在合理使用期限内造成人身和财产损害的，承包方应承担损害赔偿责任。</w:t>
      </w:r>
    </w:p>
    <w:p w14:paraId="03657E9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四、</w:t>
      </w:r>
      <w:r>
        <w:rPr>
          <w:rFonts w:hint="eastAsia" w:ascii="宋体" w:hAnsi="宋体" w:eastAsia="宋体" w:cs="宋体"/>
          <w:sz w:val="24"/>
          <w:szCs w:val="24"/>
          <w:highlight w:val="none"/>
        </w:rPr>
        <w:t>其他：</w:t>
      </w:r>
    </w:p>
    <w:p w14:paraId="3FAC4CC8">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属于基本和重大使用功能，不受上述保修期限制，保修期为该工程的合理使用年限。</w:t>
      </w:r>
    </w:p>
    <w:p w14:paraId="6D45AA46">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本工程质量保修书作为施工合同附件，由施工合同双方共同签署。</w:t>
      </w:r>
    </w:p>
    <w:p w14:paraId="09B74DB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发包方（公章）：</w:t>
      </w:r>
      <w:r>
        <w:rPr>
          <w:rFonts w:hint="eastAsia" w:ascii="宋体" w:hAnsi="宋体" w:eastAsia="宋体" w:cs="宋体"/>
          <w:sz w:val="24"/>
          <w:szCs w:val="24"/>
          <w:highlight w:val="none"/>
          <w:u w:val="single"/>
          <w:lang w:eastAsia="zh-CN"/>
        </w:rPr>
        <w:t>北京市丰台区人民政府马家堡街道办事处</w:t>
      </w:r>
      <w:r>
        <w:rPr>
          <w:rFonts w:hint="eastAsia" w:ascii="宋体" w:hAnsi="宋体" w:eastAsia="宋体" w:cs="宋体"/>
          <w:sz w:val="24"/>
          <w:szCs w:val="24"/>
          <w:highlight w:val="none"/>
        </w:rPr>
        <w:t>承包方(公章)：</w:t>
      </w:r>
    </w:p>
    <w:p w14:paraId="2F0FBC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负责人或授权代表人：                                法定代表人或授权代表人：</w:t>
      </w:r>
    </w:p>
    <w:p w14:paraId="30997F8E">
      <w:pPr>
        <w:keepNext w:val="0"/>
        <w:keepLines w:val="0"/>
        <w:pageBreakBefore w:val="0"/>
        <w:widowControl w:val="0"/>
        <w:kinsoku/>
        <w:wordWrap/>
        <w:overflowPunct/>
        <w:topLinePunct w:val="0"/>
        <w:autoSpaceDE/>
        <w:autoSpaceDN/>
        <w:bidi w:val="0"/>
        <w:adjustRightInd/>
        <w:snapToGrid/>
        <w:spacing w:after="0" w:line="360" w:lineRule="auto"/>
        <w:ind w:firstLine="1200" w:firstLineChars="5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年   月   日                                         年  月  日</w:t>
      </w: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附件二：</w:t>
      </w:r>
    </w:p>
    <w:p w14:paraId="0EC811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安全生产承诺书</w:t>
      </w:r>
    </w:p>
    <w:p w14:paraId="2BB25743">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为确保顺利进行，确保施工期间安全生产，不发生各类生产事故，我公司郑重承诺如下：</w:t>
      </w:r>
    </w:p>
    <w:p w14:paraId="4A353C8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一、认真落实安全生产主体责任，建立健全安全生产责任制，认真落实“一岗双责”。</w:t>
      </w:r>
    </w:p>
    <w:p w14:paraId="3991E0E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二、建立健全各项规章制度，严格执行重大危险源管理、隐患排查治理、高处作业、动火作业、临时用电等制度。</w:t>
      </w:r>
    </w:p>
    <w:p w14:paraId="656CB327">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三、做好安全检查。建立检查制度、巡查制度，及时纠正安全隐患。</w:t>
      </w:r>
    </w:p>
    <w:p w14:paraId="6BFF212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四、提高从业人员安全素质，定期培训员工，加强特种作业人员管理，做到持证上岗。</w:t>
      </w:r>
    </w:p>
    <w:p w14:paraId="1413277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五、提高企业安全投入，采用新工艺，淘汰旧工艺。</w:t>
      </w:r>
    </w:p>
    <w:p w14:paraId="55E9323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六、建立应急预案，加强日常演练。</w:t>
      </w:r>
    </w:p>
    <w:p w14:paraId="0739E08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七、严格执行项目安全许可。</w:t>
      </w:r>
    </w:p>
    <w:p w14:paraId="0237FD0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八、积极推行安全标准化管理，提高安全管理水平。</w:t>
      </w:r>
    </w:p>
    <w:p w14:paraId="28371A88">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九、因施工过程中产生的重大责任事故或者其他人身、财产损害，均由本公司承担。</w:t>
      </w:r>
    </w:p>
    <w:p w14:paraId="0B1F52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p>
    <w:p w14:paraId="2506453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公司（盖章）：</w:t>
      </w:r>
    </w:p>
    <w:p w14:paraId="177265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法定代表人或授权代表人（签字）：</w:t>
      </w:r>
    </w:p>
    <w:p w14:paraId="693144E0">
      <w:pPr>
        <w:keepNext w:val="0"/>
        <w:keepLines w:val="0"/>
        <w:pageBreakBefore w:val="0"/>
        <w:widowControl w:val="0"/>
        <w:kinsoku/>
        <w:wordWrap/>
        <w:overflowPunct/>
        <w:topLinePunct w:val="0"/>
        <w:autoSpaceDE/>
        <w:autoSpaceDN/>
        <w:bidi w:val="0"/>
        <w:adjustRightInd/>
        <w:snapToGrid/>
        <w:spacing w:after="0" w:line="360" w:lineRule="auto"/>
        <w:ind w:firstLine="960" w:firstLineChars="4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年  月  日</w:t>
      </w:r>
    </w:p>
    <w:p w14:paraId="7E9819E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u w:val="single"/>
        </w:rPr>
      </w:pPr>
    </w:p>
    <w:p w14:paraId="0B94C66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14:paraId="56C17E6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14:paraId="28BD0A9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附件三：</w:t>
      </w:r>
    </w:p>
    <w:p w14:paraId="7A2335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北京市丰台区人民政府马家堡街道办事处</w:t>
      </w:r>
    </w:p>
    <w:p w14:paraId="7E6F624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保密责任书</w:t>
      </w:r>
    </w:p>
    <w:p w14:paraId="099EAC5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鉴于（承包方）为</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项目提供服务，为保证在服务过程中所涉秘密安全，承包方依据《中华人民共和国保守国家秘密法》的有关规定，自愿遵守以下保密条款：</w:t>
      </w:r>
    </w:p>
    <w:p w14:paraId="0CC64BE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本项目及履行合同过程中的下列信息属于保密信息：</w:t>
      </w:r>
    </w:p>
    <w:p w14:paraId="1D482732">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（1）发包方向承包方提供的所有资料，以及承包方编制的所有与本项目相关的信息、文档、资料，</w:t>
      </w:r>
    </w:p>
    <w:p w14:paraId="722C9A7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（2）发包方通过注明“保密”、“涉密”字样等方式或其他技术手段采取保密措施的其他信息或资料。</w:t>
      </w:r>
    </w:p>
    <w:p w14:paraId="2FFC27F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本合同保密信息及资料仅供承包方本项目小组人员参考使用，承包方须严守资料中所涉秘密、妥善保管，不得遗失、转借、复印，未经发包方书面同意不得以任何方式使用、销售、或向第三方披露、泄漏。不得以任何形式进行模仿、抄袭或自身或许可第三方使用。</w:t>
      </w:r>
    </w:p>
    <w:p w14:paraId="6538FE92">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3.本项目完成后15天内，承包方应向发包方提交本项目全部合同资料及数据。承包方不得擅自复制、备份或用于其他项目。</w:t>
      </w:r>
    </w:p>
    <w:p w14:paraId="6CD0A7F6">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4.承包方在接受和退还涉密内容的资料时必须建立登记制度。</w:t>
      </w:r>
    </w:p>
    <w:p w14:paraId="794DD6D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5.在项目执行期间，承包方应保证承包方项目队伍人员严格遵守发包方的保密规定。</w:t>
      </w:r>
    </w:p>
    <w:p w14:paraId="04FE3B7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承包方发现发包方的保密事项已经泄露或可能泄露时，应当立即采取补救措施，并及时报告发包方。如承包方造成的泄失密事件，承包方须承担有关法律责任。发包方解除合同的，承包方应退还本合同款项，按照合同金额30%标准支付违约金。</w:t>
      </w:r>
    </w:p>
    <w:p w14:paraId="435E3A41">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7.本项目保密期限为永久。</w:t>
      </w:r>
    </w:p>
    <w:p w14:paraId="7B1E797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609AAC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4AE61AC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承诺公司名称：（印章）</w:t>
      </w:r>
    </w:p>
    <w:p w14:paraId="0EE7F15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9375D3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14:paraId="1B9D711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附件四：</w:t>
      </w:r>
    </w:p>
    <w:p w14:paraId="43A62E3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廉政承诺书</w:t>
      </w:r>
    </w:p>
    <w:p w14:paraId="73F20897">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我单位所承接的</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项目。为确保项目廉洁、高效实施，我单位作出如下承诺：</w:t>
      </w:r>
    </w:p>
    <w:p w14:paraId="60064719">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1.严格遵守工程项目实施的有关规定，保证项目资金管理使用安全、规范。</w:t>
      </w:r>
    </w:p>
    <w:p w14:paraId="142C137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2.严格遵守商业规范和商业道德，依法合规推进项目工作，努力推进诚信建设，绝不从事任何不正当竞争和任何违法违纪行为。</w:t>
      </w:r>
    </w:p>
    <w:p w14:paraId="3A002D6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3.严格落实建设项目质量监管保证体系，严格按照国家相关法规和技术规范实施项目服务，争创优质工程。</w:t>
      </w:r>
    </w:p>
    <w:p w14:paraId="44C8B02D">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4.定期对项目实施过程中的廉政建设和廉洁从业情况进行内部监督检查，及时发现和整改存在各类问题。</w:t>
      </w:r>
    </w:p>
    <w:p w14:paraId="6B95EB1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5.如在项目实施中发现违法违纪行为和腐败问题，承诺配合发包方进行相应的调查，并提供相关材料。</w:t>
      </w:r>
    </w:p>
    <w:p w14:paraId="3069897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6.如在项目实施中发现违法违纪行为和腐败问题，自愿接受发包方要求支付违约金、解除合同、赔偿经济损失直至追究其他法律责任。</w:t>
      </w:r>
    </w:p>
    <w:p w14:paraId="2C09243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68EF9B8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539672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5048DD7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承诺公司名称：（印章）</w:t>
      </w:r>
    </w:p>
    <w:p w14:paraId="0784DC4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0BF6AD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14:paraId="6BE482E0">
      <w:pPr>
        <w:pStyle w:val="20"/>
        <w:pageBreakBefore w:val="0"/>
        <w:wordWrap w:val="0"/>
        <w:topLinePunct w:val="0"/>
        <w:bidi w:val="0"/>
        <w:spacing w:after="0"/>
        <w:ind w:left="840" w:hanging="420"/>
        <w:textAlignment w:val="auto"/>
        <w:rPr>
          <w:highlight w:val="none"/>
        </w:rPr>
      </w:pPr>
      <w:r>
        <w:rPr>
          <w:rFonts w:hint="eastAsia"/>
          <w:highlight w:val="none"/>
        </w:rPr>
        <w:br w:type="page"/>
      </w:r>
    </w:p>
    <w:p w14:paraId="19113C97">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51" w:name="_Toc5160"/>
      <w:bookmarkStart w:id="1252" w:name="_Toc15156"/>
      <w:r>
        <w:rPr>
          <w:rFonts w:hint="eastAsia" w:ascii="宋体" w:hAnsi="宋体" w:cs="宋体"/>
          <w:b/>
          <w:sz w:val="36"/>
          <w:szCs w:val="36"/>
          <w:highlight w:val="none"/>
        </w:rPr>
        <w:t>第六章   响应文件格式</w:t>
      </w:r>
      <w:bookmarkEnd w:id="1251"/>
      <w:bookmarkEnd w:id="1252"/>
    </w:p>
    <w:p w14:paraId="454E274D">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62468286">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b/>
          <w:kern w:val="0"/>
          <w:sz w:val="24"/>
          <w:highlight w:val="none"/>
        </w:rPr>
      </w:pPr>
      <w:r>
        <w:rPr>
          <w:rFonts w:hint="eastAsia" w:ascii="宋体" w:hAnsi="宋体" w:cs="宋体"/>
          <w:b/>
          <w:kern w:val="0"/>
          <w:sz w:val="24"/>
          <w:highlight w:val="none"/>
        </w:rPr>
        <w:t>供应商编制文件须知</w:t>
      </w:r>
    </w:p>
    <w:p w14:paraId="460A2872">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1、供应商按照本部分的顺序编制响应文件，编制中涉及格式资料的，应按照本部分提供的内容和格式（所有表格的格式可扩展）填写提交。</w:t>
      </w:r>
    </w:p>
    <w:p w14:paraId="0EBE681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对于竞争性磋商文件中标记了“实质性格式”文件的，供应商</w:t>
      </w:r>
      <w:r>
        <w:rPr>
          <w:rFonts w:hint="eastAsia" w:ascii="宋体" w:hAnsi="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9AD2469">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25A9DF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p>
    <w:p w14:paraId="296C0EEA">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3184E13A">
      <w:pPr>
        <w:pageBreakBefore w:val="0"/>
        <w:wordWrap w:val="0"/>
        <w:topLinePunct w:val="0"/>
        <w:bidi w:val="0"/>
        <w:spacing w:after="0" w:line="360" w:lineRule="auto"/>
        <w:textAlignment w:val="auto"/>
        <w:rPr>
          <w:rFonts w:hint="eastAsia" w:ascii="宋体" w:hAnsi="宋体" w:cs="宋体"/>
          <w:b/>
          <w:spacing w:val="20"/>
          <w:szCs w:val="21"/>
          <w:highlight w:val="none"/>
        </w:rPr>
      </w:pPr>
    </w:p>
    <w:p w14:paraId="51C14D14">
      <w:pPr>
        <w:pageBreakBefore w:val="0"/>
        <w:wordWrap w:val="0"/>
        <w:topLinePunct w:val="0"/>
        <w:bidi w:val="0"/>
        <w:spacing w:after="0" w:line="360" w:lineRule="auto"/>
        <w:textAlignment w:val="auto"/>
        <w:rPr>
          <w:rFonts w:hint="eastAsia" w:ascii="宋体" w:hAnsi="宋体" w:cs="宋体"/>
          <w:b/>
          <w:sz w:val="24"/>
          <w:highlight w:val="none"/>
        </w:rPr>
      </w:pPr>
      <w:r>
        <w:rPr>
          <w:rFonts w:hint="eastAsia" w:ascii="宋体" w:hAnsi="宋体" w:cs="宋体"/>
          <w:b/>
          <w:spacing w:val="20"/>
          <w:sz w:val="24"/>
          <w:highlight w:val="none"/>
        </w:rPr>
        <w:t>响应文件</w:t>
      </w:r>
      <w:r>
        <w:rPr>
          <w:rFonts w:hint="eastAsia" w:ascii="宋体" w:hAnsi="宋体" w:cs="宋体"/>
          <w:b/>
          <w:sz w:val="24"/>
          <w:highlight w:val="none"/>
        </w:rPr>
        <w:t>封面（非实质性格式）</w:t>
      </w:r>
    </w:p>
    <w:p w14:paraId="7FB6DE64">
      <w:pPr>
        <w:pageBreakBefore w:val="0"/>
        <w:wordWrap w:val="0"/>
        <w:topLinePunct w:val="0"/>
        <w:bidi w:val="0"/>
        <w:spacing w:after="0" w:line="360" w:lineRule="auto"/>
        <w:jc w:val="center"/>
        <w:textAlignment w:val="auto"/>
        <w:rPr>
          <w:rFonts w:hint="eastAsia" w:ascii="宋体" w:hAnsi="宋体" w:cs="宋体"/>
          <w:szCs w:val="21"/>
          <w:highlight w:val="none"/>
        </w:rPr>
      </w:pPr>
    </w:p>
    <w:p w14:paraId="257E9246">
      <w:pPr>
        <w:pageBreakBefore w:val="0"/>
        <w:wordWrap w:val="0"/>
        <w:topLinePunct w:val="0"/>
        <w:bidi w:val="0"/>
        <w:spacing w:after="0" w:line="360" w:lineRule="auto"/>
        <w:jc w:val="center"/>
        <w:textAlignment w:val="auto"/>
        <w:rPr>
          <w:rFonts w:hint="eastAsia" w:ascii="宋体" w:hAnsi="宋体" w:cs="宋体"/>
          <w:b/>
          <w:spacing w:val="60"/>
          <w:sz w:val="84"/>
          <w:szCs w:val="84"/>
          <w:highlight w:val="none"/>
        </w:rPr>
      </w:pPr>
      <w:r>
        <w:rPr>
          <w:rFonts w:hint="eastAsia" w:ascii="宋体" w:hAnsi="宋体" w:cs="宋体"/>
          <w:b/>
          <w:spacing w:val="60"/>
          <w:sz w:val="84"/>
          <w:szCs w:val="84"/>
          <w:highlight w:val="none"/>
        </w:rPr>
        <w:t>响 应 文 件</w:t>
      </w:r>
    </w:p>
    <w:p w14:paraId="03BE494C">
      <w:pPr>
        <w:pageBreakBefore w:val="0"/>
        <w:wordWrap w:val="0"/>
        <w:topLinePunct w:val="0"/>
        <w:bidi w:val="0"/>
        <w:spacing w:after="0" w:line="360" w:lineRule="auto"/>
        <w:jc w:val="center"/>
        <w:textAlignment w:val="auto"/>
        <w:rPr>
          <w:rFonts w:hint="eastAsia" w:ascii="宋体" w:hAnsi="宋体" w:cs="宋体"/>
          <w:b/>
          <w:spacing w:val="60"/>
          <w:sz w:val="52"/>
          <w:szCs w:val="52"/>
          <w:highlight w:val="none"/>
        </w:rPr>
      </w:pPr>
    </w:p>
    <w:p w14:paraId="360E8F20">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7958009">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D5DC90F">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1F744F4">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61D0BE6">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35E466D">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32C0B591">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260239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3E6D0A9B">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783CB013">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4B3BCBF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500C1DA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7BD9F9C9">
      <w:pPr>
        <w:pageBreakBefore w:val="0"/>
        <w:wordWrap w:val="0"/>
        <w:topLinePunct w:val="0"/>
        <w:bidi w:val="0"/>
        <w:spacing w:after="0" w:line="360" w:lineRule="auto"/>
        <w:ind w:firstLine="1445" w:firstLineChars="400"/>
        <w:jc w:val="left"/>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供应商名称：</w:t>
      </w:r>
    </w:p>
    <w:p w14:paraId="745092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5219A30A">
      <w:pPr>
        <w:pageBreakBefore w:val="0"/>
        <w:wordWrap w:val="0"/>
        <w:topLinePunct w:val="0"/>
        <w:bidi w:val="0"/>
        <w:spacing w:after="0" w:line="360" w:lineRule="auto"/>
        <w:textAlignment w:val="auto"/>
        <w:rPr>
          <w:rFonts w:hint="eastAsia" w:ascii="宋体" w:hAnsi="宋体" w:cs="宋体"/>
          <w:b/>
          <w:highlight w:val="none"/>
        </w:rPr>
      </w:pPr>
    </w:p>
    <w:p w14:paraId="3C909CC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4" w:type="default"/>
          <w:footerReference r:id="rId15" w:type="default"/>
          <w:pgSz w:w="11905" w:h="16838"/>
          <w:pgMar w:top="1474" w:right="1474" w:bottom="1474" w:left="1474" w:header="850" w:footer="992" w:gutter="0"/>
          <w:pgNumType w:fmt="decimal"/>
          <w:cols w:space="0" w:num="1"/>
          <w:rtlGutter w:val="0"/>
          <w:docGrid w:linePitch="462" w:charSpace="0"/>
        </w:sectPr>
      </w:pPr>
    </w:p>
    <w:p w14:paraId="12DAAE6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 满足《中华人民共和国政府采购法》第二十二条规定</w:t>
      </w:r>
    </w:p>
    <w:p w14:paraId="6A6226F2">
      <w:pPr>
        <w:pageBreakBefore w:val="0"/>
        <w:wordWrap w:val="0"/>
        <w:topLinePunct w:val="0"/>
        <w:bidi w:val="0"/>
        <w:spacing w:after="0" w:line="360" w:lineRule="auto"/>
        <w:textAlignment w:val="auto"/>
        <w:outlineLvl w:val="2"/>
        <w:rPr>
          <w:rFonts w:hint="eastAsia" w:ascii="宋体" w:hAnsi="宋体" w:cs="宋体"/>
          <w:color w:val="000000"/>
          <w:sz w:val="24"/>
          <w:highlight w:val="none"/>
        </w:rPr>
      </w:pPr>
      <w:r>
        <w:rPr>
          <w:rFonts w:hint="eastAsia" w:ascii="宋体" w:hAnsi="宋体" w:cs="宋体"/>
          <w:color w:val="000000"/>
          <w:sz w:val="24"/>
          <w:highlight w:val="none"/>
        </w:rPr>
        <w:t>1-1营业执照等证明文件</w:t>
      </w:r>
    </w:p>
    <w:p w14:paraId="527CF73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p w14:paraId="1F24E900">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660B6DAE">
      <w:pPr>
        <w:pStyle w:val="4"/>
        <w:pageBreakBefore w:val="0"/>
        <w:wordWrap w:val="0"/>
        <w:topLinePunct w:val="0"/>
        <w:bidi w:val="0"/>
        <w:spacing w:after="0" w:line="360" w:lineRule="auto"/>
        <w:textAlignment w:val="auto"/>
        <w:rPr>
          <w:rFonts w:hint="eastAsia" w:hAnsi="宋体" w:cs="宋体"/>
          <w:b w:val="0"/>
          <w:color w:val="000000"/>
          <w:szCs w:val="24"/>
          <w:highlight w:val="none"/>
          <w:u w:val="none"/>
        </w:rPr>
        <w:sectPr>
          <w:pgSz w:w="11905" w:h="16838"/>
          <w:pgMar w:top="1474" w:right="1474" w:bottom="1474" w:left="1474" w:header="850" w:footer="992" w:gutter="0"/>
          <w:pgNumType w:fmt="decimal"/>
          <w:cols w:space="0" w:num="1"/>
          <w:rtlGutter w:val="0"/>
          <w:docGrid w:linePitch="462" w:charSpace="0"/>
        </w:sectPr>
      </w:pPr>
    </w:p>
    <w:p w14:paraId="5F7B8D64">
      <w:pPr>
        <w:pStyle w:val="4"/>
        <w:pageBreakBefore w:val="0"/>
        <w:wordWrap w:val="0"/>
        <w:topLinePunct w:val="0"/>
        <w:bidi w:val="0"/>
        <w:spacing w:after="0" w:line="360" w:lineRule="auto"/>
        <w:textAlignment w:val="auto"/>
        <w:rPr>
          <w:rFonts w:hint="eastAsia" w:hAnsi="宋体" w:cs="宋体"/>
          <w:b w:val="0"/>
          <w:bCs/>
          <w:color w:val="000000"/>
          <w:szCs w:val="24"/>
          <w:highlight w:val="none"/>
          <w:u w:val="none"/>
        </w:rPr>
      </w:pPr>
      <w:r>
        <w:rPr>
          <w:rFonts w:hint="eastAsia" w:hAnsi="宋体" w:cs="宋体"/>
          <w:b w:val="0"/>
          <w:color w:val="000000"/>
          <w:szCs w:val="24"/>
          <w:highlight w:val="none"/>
          <w:u w:val="none"/>
        </w:rPr>
        <w:t>1-2 供应商资格声明书</w:t>
      </w:r>
    </w:p>
    <w:p w14:paraId="21EC25B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供应商资格声明书</w:t>
      </w:r>
    </w:p>
    <w:p w14:paraId="7B6FEF5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03EB5BA">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在参与本次项目磋商中，我单位承诺：</w:t>
      </w:r>
    </w:p>
    <w:p w14:paraId="50CE6C9F">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1A29F79D">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570D126F">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2B890258">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2BB187">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1464D6E">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1153015">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F5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E255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39EA2DA9">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67E67A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相互关系</w:t>
            </w:r>
          </w:p>
        </w:tc>
      </w:tr>
      <w:tr w14:paraId="6A6B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834D2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64338AF0">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2865F4C0">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1929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D90BD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34A8A76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452AE1E6">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6E7E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BDB77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0134CF3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61FE292D">
            <w:pPr>
              <w:pageBreakBefore w:val="0"/>
              <w:wordWrap w:val="0"/>
              <w:topLinePunct w:val="0"/>
              <w:bidi w:val="0"/>
              <w:spacing w:after="0" w:line="360" w:lineRule="auto"/>
              <w:jc w:val="center"/>
              <w:textAlignment w:val="auto"/>
              <w:rPr>
                <w:rFonts w:hint="eastAsia" w:ascii="宋体" w:hAnsi="宋体" w:cs="宋体"/>
                <w:sz w:val="24"/>
                <w:highlight w:val="none"/>
              </w:rPr>
            </w:pPr>
          </w:p>
        </w:tc>
      </w:tr>
    </w:tbl>
    <w:p w14:paraId="06E8A851">
      <w:pPr>
        <w:pageBreakBefore w:val="0"/>
        <w:wordWrap w:val="0"/>
        <w:topLinePunct w:val="0"/>
        <w:bidi w:val="0"/>
        <w:spacing w:after="0" w:line="360" w:lineRule="auto"/>
        <w:ind w:firstLine="480" w:firstLineChars="200"/>
        <w:textAlignment w:val="auto"/>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268DE2F3">
      <w:pPr>
        <w:pageBreakBefore w:val="0"/>
        <w:wordWrap w:val="0"/>
        <w:topLinePunct w:val="0"/>
        <w:autoSpaceDE w:val="0"/>
        <w:autoSpaceDN w:val="0"/>
        <w:bidi w:val="0"/>
        <w:adjustRightInd w:val="0"/>
        <w:snapToGrid w:val="0"/>
        <w:spacing w:before="25" w:after="0" w:line="360" w:lineRule="auto"/>
        <w:ind w:right="360"/>
        <w:jc w:val="righ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2C484E9C">
      <w:pPr>
        <w:pageBreakBefore w:val="0"/>
        <w:wordWrap w:val="0"/>
        <w:topLinePunct w:val="0"/>
        <w:bidi w:val="0"/>
        <w:spacing w:after="0" w:line="360" w:lineRule="auto"/>
        <w:ind w:right="360" w:firstLine="480"/>
        <w:jc w:val="right"/>
        <w:textAlignment w:val="auto"/>
        <w:rPr>
          <w:rFonts w:hint="eastAsia" w:ascii="宋体" w:hAnsi="宋体" w:cs="宋体"/>
          <w:sz w:val="24"/>
          <w:highlight w:val="none"/>
        </w:rPr>
      </w:pPr>
      <w:r>
        <w:rPr>
          <w:rFonts w:hint="eastAsia" w:ascii="宋体" w:hAnsi="宋体" w:cs="宋体"/>
          <w:color w:val="000000"/>
          <w:sz w:val="24"/>
          <w:szCs w:val="20"/>
          <w:highlight w:val="none"/>
        </w:rPr>
        <w:t xml:space="preserve">日期：____年____月____日   </w:t>
      </w:r>
    </w:p>
    <w:p w14:paraId="6CFC7157">
      <w:pPr>
        <w:pageBreakBefore w:val="0"/>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2B94F91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7" w:type="first"/>
          <w:footerReference r:id="rId19" w:type="first"/>
          <w:headerReference r:id="rId16" w:type="even"/>
          <w:footerReference r:id="rId18" w:type="even"/>
          <w:pgSz w:w="11905" w:h="16838"/>
          <w:pgMar w:top="1474" w:right="1474" w:bottom="1474" w:left="1474" w:header="850" w:footer="992" w:gutter="0"/>
          <w:pgNumType w:fmt="decimal"/>
          <w:cols w:space="0" w:num="1"/>
          <w:rtlGutter w:val="0"/>
          <w:docGrid w:linePitch="462" w:charSpace="0"/>
        </w:sectPr>
      </w:pPr>
    </w:p>
    <w:p w14:paraId="0D23A85E">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2 落实政府采购政策需满足的资格要求（如有）</w:t>
      </w:r>
    </w:p>
    <w:p w14:paraId="2BFED18D">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2-1中小企业声明函</w:t>
      </w:r>
    </w:p>
    <w:p w14:paraId="69B9D8E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w:t>
      </w:r>
    </w:p>
    <w:p w14:paraId="19C3D99C">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800387">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F13FAF5">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C8F433A">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（4）中小企业声明函填写注意事项</w:t>
      </w:r>
    </w:p>
    <w:p w14:paraId="6F12C0B7">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1）《中小企业声明函》由参加政府采购活动的供应商出具。联合体参与的，《中小企业声明函》可由牵头人出具。</w:t>
      </w:r>
    </w:p>
    <w:p w14:paraId="3D78129C">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6EB454">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3）对于多标的采购项目，供应商应充分、准确地了解所提供货物的制造企业、提供服务的承接企业信息。对相关情况了解不清楚的，不建议填报本声明函。</w:t>
      </w:r>
    </w:p>
    <w:p w14:paraId="2C08C333">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宋体" w:hAnsi="宋体" w:cs="宋体"/>
          <w:sz w:val="24"/>
          <w:highlight w:val="none"/>
        </w:rPr>
        <w:br w:type="page"/>
      </w:r>
    </w:p>
    <w:p w14:paraId="67353658">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2-1-1中小企业声明函及残疾人福利性单位声明函格式</w:t>
      </w:r>
    </w:p>
    <w:p w14:paraId="7F72BE5C">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FFDBAF1">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F9A290">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ADE679F">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13A1B99">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p>
    <w:p w14:paraId="3D419872">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w:t>
      </w:r>
    </w:p>
    <w:p w14:paraId="18821B6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2628EB8">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A0A0130">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5CDC47D5">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9BC9577">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2BEBCF7">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p w14:paraId="0A64153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44778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C8DBAE3">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4DCE44C">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vertAlign w:val="superscript"/>
        </w:rPr>
      </w:pPr>
    </w:p>
    <w:p w14:paraId="092F2888">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7132929D">
      <w:pPr>
        <w:pageBreakBefore w:val="0"/>
        <w:wordWrap w:val="0"/>
        <w:topLinePunct w:val="0"/>
        <w:bidi w:val="0"/>
        <w:spacing w:after="0" w:line="360" w:lineRule="auto"/>
        <w:textAlignment w:val="auto"/>
        <w:rPr>
          <w:rFonts w:hint="eastAsia" w:ascii="宋体" w:hAnsi="宋体" w:cs="宋体"/>
          <w:highlight w:val="none"/>
        </w:rPr>
      </w:pPr>
    </w:p>
    <w:p w14:paraId="3C2F8D7E">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753E961">
      <w:pPr>
        <w:pageBreakBefore w:val="0"/>
        <w:wordWrap w:val="0"/>
        <w:topLinePunct w:val="0"/>
        <w:bidi w:val="0"/>
        <w:spacing w:before="240" w:beforeLines="100" w:after="0" w:line="360" w:lineRule="auto"/>
        <w:jc w:val="center"/>
        <w:textAlignment w:val="auto"/>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392CD01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0738798C">
      <w:pPr>
        <w:pageBreakBefore w:val="0"/>
        <w:wordWrap w:val="0"/>
        <w:topLinePunct w:val="0"/>
        <w:bidi w:val="0"/>
        <w:spacing w:after="0" w:line="360" w:lineRule="auto"/>
        <w:ind w:firstLine="482"/>
        <w:textAlignment w:val="auto"/>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C9BAC41">
      <w:pPr>
        <w:pageBreakBefore w:val="0"/>
        <w:wordWrap w:val="0"/>
        <w:topLinePunct w:val="0"/>
        <w:bidi w:val="0"/>
        <w:spacing w:after="0" w:line="360" w:lineRule="auto"/>
        <w:ind w:firstLine="482"/>
        <w:textAlignment w:val="auto"/>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B2BFC87">
      <w:pPr>
        <w:pageBreakBefore w:val="0"/>
        <w:wordWrap w:val="0"/>
        <w:topLinePunct w:val="0"/>
        <w:bidi w:val="0"/>
        <w:spacing w:after="0" w:line="360" w:lineRule="auto"/>
        <w:ind w:firstLine="506" w:firstLineChars="200"/>
        <w:textAlignment w:val="auto"/>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01838264">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2D2DE469">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54A05ED2">
      <w:pPr>
        <w:pageBreakBefore w:val="0"/>
        <w:wordWrap w:val="0"/>
        <w:topLinePunct w:val="0"/>
        <w:bidi w:val="0"/>
        <w:spacing w:after="0" w:line="360" w:lineRule="auto"/>
        <w:ind w:right="360" w:firstLine="5108" w:firstLineChars="2027"/>
        <w:textAlignment w:val="auto"/>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276278FE">
      <w:pPr>
        <w:pageBreakBefore w:val="0"/>
        <w:tabs>
          <w:tab w:val="left" w:pos="4860"/>
          <w:tab w:val="left" w:pos="9040"/>
          <w:tab w:val="left" w:pos="9460"/>
        </w:tabs>
        <w:wordWrap w:val="0"/>
        <w:topLinePunct w:val="0"/>
        <w:bidi w:val="0"/>
        <w:spacing w:after="0" w:line="360" w:lineRule="auto"/>
        <w:ind w:right="337" w:firstLine="480" w:firstLineChars="200"/>
        <w:jc w:val="center"/>
        <w:textAlignment w:val="auto"/>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7C86A37">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2E9F6D77">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35372B86">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2-1-2拟分包情况说明及分包意向协议</w:t>
      </w:r>
    </w:p>
    <w:p w14:paraId="208D7D7C">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说明：</w:t>
      </w:r>
    </w:p>
    <w:p w14:paraId="6F13D4A9">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如本项目（包）允许分包，且供应商拟进行分包时，</w:t>
      </w:r>
    </w:p>
    <w:p w14:paraId="66D256B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（1）响应文件中须提供《拟分包情况说明》，否则响应无效； </w:t>
      </w:r>
    </w:p>
    <w:p w14:paraId="2E54DBE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（2）当同时符合下列情形时，响应文件还须提供《分包意向协议》，否则响应无效： </w:t>
      </w:r>
      <w:r>
        <w:rPr>
          <w:rFonts w:hint="eastAsia" w:ascii="宋体" w:hAnsi="宋体" w:cs="宋体"/>
          <w:spacing w:val="6"/>
          <w:sz w:val="24"/>
          <w:highlight w:val="none"/>
        </w:rPr>
        <w:tab/>
      </w:r>
    </w:p>
    <w:p w14:paraId="08843230">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A.本项目（包）预留部分采购项目预算专门面向中小企业采购，且要求获得采购合同的供应商将采购项目中的一定比例分包给一家或者多家中小企业的；</w:t>
      </w:r>
    </w:p>
    <w:p w14:paraId="5286210C">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B.供应商通过分包方式满足中小企业政策要求的。</w:t>
      </w:r>
    </w:p>
    <w:p w14:paraId="7EAE996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p>
    <w:p w14:paraId="0B3F1E25">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F74275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761518E7">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26944E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的</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49B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B8492C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7FECB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w:t>
            </w:r>
          </w:p>
          <w:p w14:paraId="34C77D76">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6424E85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w:t>
            </w:r>
          </w:p>
          <w:p w14:paraId="76F22E9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主体类型</w:t>
            </w:r>
          </w:p>
          <w:p w14:paraId="43F240A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FA732CA">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0C544D59">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拟分包</w:t>
            </w:r>
          </w:p>
          <w:p w14:paraId="1927FA45">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2DB8DF9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w:t>
            </w:r>
          </w:p>
          <w:p w14:paraId="28676CD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22C84A8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8DFFAA0">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占该采购包</w:t>
            </w:r>
          </w:p>
          <w:p w14:paraId="439EC74F">
            <w:pPr>
              <w:pStyle w:val="247"/>
              <w:pageBreakBefore w:val="0"/>
              <w:wordWrap w:val="0"/>
              <w:topLinePunct w:val="0"/>
              <w:bidi w:val="0"/>
              <w:spacing w:after="0" w:line="360" w:lineRule="auto"/>
              <w:jc w:val="center"/>
              <w:textAlignment w:val="auto"/>
              <w:rPr>
                <w:rFonts w:hint="eastAsia"/>
                <w:b/>
                <w:sz w:val="24"/>
                <w:highlight w:val="none"/>
                <w:lang w:eastAsia="zh-CN"/>
              </w:rPr>
            </w:pPr>
            <w:r>
              <w:rPr>
                <w:rFonts w:hint="eastAsia"/>
                <w:b/>
                <w:sz w:val="24"/>
                <w:highlight w:val="none"/>
                <w:lang w:eastAsia="zh-CN"/>
              </w:rPr>
              <w:t>合同金额的</w:t>
            </w:r>
          </w:p>
          <w:p w14:paraId="3D50ECD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比例（%）</w:t>
            </w:r>
          </w:p>
        </w:tc>
      </w:tr>
      <w:tr w14:paraId="17728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42BDBA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11968D8E">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7C14C0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D8EF21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5FEA9A7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3400CC">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40F75D7">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02889E0">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E3E4F3C">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1ECA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02C21A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8144282">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C48679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0BA068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1B9A7079">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ED981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3FCC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F8B1A26">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677036B">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24C5A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4CD5E01">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359C3770">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5078CD1">
            <w:pPr>
              <w:pStyle w:val="247"/>
              <w:pageBreakBefore w:val="0"/>
              <w:tabs>
                <w:tab w:val="left" w:pos="235"/>
              </w:tabs>
              <w:wordWrap w:val="0"/>
              <w:topLinePunct w:val="0"/>
              <w:bidi w:val="0"/>
              <w:spacing w:after="0" w:line="360" w:lineRule="auto"/>
              <w:jc w:val="center"/>
              <w:textAlignment w:val="auto"/>
              <w:rPr>
                <w:rFonts w:hint="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DB2128E">
            <w:pPr>
              <w:pStyle w:val="247"/>
              <w:pageBreakBefore w:val="0"/>
              <w:wordWrap w:val="0"/>
              <w:topLinePunct w:val="0"/>
              <w:bidi w:val="0"/>
              <w:spacing w:after="0" w:line="360" w:lineRule="auto"/>
              <w:jc w:val="center"/>
              <w:textAlignment w:val="auto"/>
              <w:rPr>
                <w:rFonts w:hint="eastAsia"/>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37EA941">
            <w:pPr>
              <w:pStyle w:val="247"/>
              <w:pageBreakBefore w:val="0"/>
              <w:wordWrap w:val="0"/>
              <w:topLinePunct w:val="0"/>
              <w:bidi w:val="0"/>
              <w:spacing w:after="0" w:line="360" w:lineRule="auto"/>
              <w:jc w:val="center"/>
              <w:textAlignment w:val="auto"/>
              <w:rPr>
                <w:rFonts w:hint="eastAsia"/>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6D2FEA04">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2319FA0">
            <w:pPr>
              <w:pStyle w:val="247"/>
              <w:pageBreakBefore w:val="0"/>
              <w:wordWrap w:val="0"/>
              <w:topLinePunct w:val="0"/>
              <w:bidi w:val="0"/>
              <w:spacing w:after="0" w:line="360" w:lineRule="auto"/>
              <w:jc w:val="center"/>
              <w:textAlignment w:val="auto"/>
              <w:rPr>
                <w:rFonts w:hint="eastAsia"/>
                <w:sz w:val="30"/>
                <w:highlight w:val="none"/>
              </w:rPr>
            </w:pPr>
          </w:p>
        </w:tc>
      </w:tr>
      <w:tr w14:paraId="24F4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9EB7F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5D0520A0">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C1916A">
            <w:pPr>
              <w:pStyle w:val="247"/>
              <w:pageBreakBefore w:val="0"/>
              <w:wordWrap w:val="0"/>
              <w:topLinePunct w:val="0"/>
              <w:bidi w:val="0"/>
              <w:spacing w:after="0" w:line="360" w:lineRule="auto"/>
              <w:jc w:val="center"/>
              <w:textAlignment w:val="auto"/>
              <w:rPr>
                <w:rFonts w:hint="eastAsia"/>
                <w:sz w:val="30"/>
                <w:highlight w:val="none"/>
              </w:rPr>
            </w:pPr>
          </w:p>
        </w:tc>
      </w:tr>
    </w:tbl>
    <w:p w14:paraId="4AB783D6">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 xml:space="preserve">                             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7D49971C">
      <w:pPr>
        <w:pageBreakBefore w:val="0"/>
        <w:wordWrap w:val="0"/>
        <w:topLinePunct w:val="0"/>
        <w:bidi w:val="0"/>
        <w:spacing w:after="0" w:line="360" w:lineRule="auto"/>
        <w:ind w:right="-57" w:firstLine="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B36FC5E">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说明：</w:t>
      </w:r>
    </w:p>
    <w:p w14:paraId="577C6AE7">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5B1E0811">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2A286073">
      <w:pPr>
        <w:pageBreakBefore w:val="0"/>
        <w:wordWrap w:val="0"/>
        <w:topLinePunct w:val="0"/>
        <w:bidi w:val="0"/>
        <w:adjustRightInd w:val="0"/>
        <w:snapToGrid w:val="0"/>
        <w:spacing w:after="0" w:line="360" w:lineRule="auto"/>
        <w:ind w:firstLine="420"/>
        <w:jc w:val="left"/>
        <w:textAlignment w:val="auto"/>
        <w:rPr>
          <w:rFonts w:hint="eastAsia" w:ascii="宋体" w:hAnsi="宋体" w:cs="宋体"/>
          <w:color w:val="000000"/>
          <w:sz w:val="30"/>
          <w:szCs w:val="30"/>
          <w:highlight w:val="none"/>
        </w:rPr>
      </w:pPr>
      <w:r>
        <w:rPr>
          <w:rFonts w:hint="eastAsia" w:ascii="宋体" w:hAnsi="宋体" w:cs="宋体"/>
          <w:sz w:val="24"/>
          <w:highlight w:val="none"/>
        </w:rPr>
        <w:t>（3）如本采购文件《供应商须知资料表》载明本项目分包承担主体应具备的相应资质条件，则供应商须在本表中列明分包承担主体的资质等级，并后附资质证书电子件，否则响应无效。</w:t>
      </w:r>
    </w:p>
    <w:p w14:paraId="6A08E14F">
      <w:pPr>
        <w:pageBreakBefore w:val="0"/>
        <w:wordWrap w:val="0"/>
        <w:topLinePunct w:val="0"/>
        <w:autoSpaceDE w:val="0"/>
        <w:autoSpaceDN w:val="0"/>
        <w:bidi w:val="0"/>
        <w:adjustRightInd w:val="0"/>
        <w:spacing w:after="0" w:line="360" w:lineRule="auto"/>
        <w:ind w:firstLine="420"/>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71B8831D">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4E8AF38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甲方（供应商）：</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3AE90E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1AF9297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）采购项目中获得采购合同，将按照下述约定将合同项下部分内容分包给乙方：</w:t>
      </w:r>
    </w:p>
    <w:p w14:paraId="63B7606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CFA9B3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521B5F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794DCF6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本协议自各方盖章之日起生效，如甲方未在该项目（采购包）成交，本协议自动终止。</w:t>
      </w:r>
    </w:p>
    <w:p w14:paraId="391A1E4C">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p>
    <w:p w14:paraId="3A0923E6">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0BB303AD">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6DA0C482">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B9FA610">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B290F3">
      <w:pPr>
        <w:pageBreakBefore w:val="0"/>
        <w:tabs>
          <w:tab w:val="left" w:pos="82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p w14:paraId="4B6F8BA6">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（1）当供应商属于本部分说明中第（2）类情形，必须提供，否则响应无效；其他情形无须提供；</w:t>
      </w:r>
    </w:p>
    <w:p w14:paraId="114D4330">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color w:val="000000"/>
          <w:sz w:val="24"/>
          <w:highlight w:val="none"/>
        </w:rPr>
        <w:t>（2）供应商须与所有拟分包单位分别签订《分包意向协议》，每单位签订一份，并在响应文件中提交全部协议原件的电子件，否则响应无效。</w:t>
      </w:r>
    </w:p>
    <w:p w14:paraId="5C1740C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031D2947">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10C53C7F">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79AE945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21" w:type="first"/>
          <w:footerReference r:id="rId23" w:type="first"/>
          <w:headerReference r:id="rId20" w:type="even"/>
          <w:footerReference r:id="rId22" w:type="even"/>
          <w:pgSz w:w="11905" w:h="16838"/>
          <w:pgMar w:top="1474" w:right="1474" w:bottom="1474" w:left="1474" w:header="850" w:footer="992" w:gutter="0"/>
          <w:pgNumType w:fmt="decimal"/>
          <w:cols w:space="0" w:num="1"/>
          <w:rtlGutter w:val="0"/>
          <w:docGrid w:linePitch="462" w:charSpace="0"/>
        </w:sectPr>
      </w:pPr>
    </w:p>
    <w:p w14:paraId="397E24BA">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3 本项目的特定资格要求（如有）</w:t>
      </w:r>
    </w:p>
    <w:p w14:paraId="3753B9EE">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210A87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pPr>
      <w:r>
        <w:rPr>
          <w:rFonts w:hint="eastAsia" w:ascii="宋体" w:hAnsi="宋体" w:cs="宋体"/>
          <w:b/>
          <w:color w:val="000000"/>
          <w:sz w:val="36"/>
          <w:szCs w:val="36"/>
          <w:highlight w:val="none"/>
        </w:rPr>
        <w:t>联合协议</w:t>
      </w:r>
    </w:p>
    <w:p w14:paraId="741ACDBD">
      <w:pPr>
        <w:pageBreakBefore w:val="0"/>
        <w:wordWrap w:val="0"/>
        <w:topLinePunct w:val="0"/>
        <w:bidi w:val="0"/>
        <w:spacing w:after="0" w:line="360" w:lineRule="auto"/>
        <w:ind w:firstLine="828" w:firstLineChars="345"/>
        <w:textAlignment w:val="auto"/>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采购项目的磋商事宜，经各方充分协商一致，达成如下协议：</w:t>
      </w:r>
    </w:p>
    <w:p w14:paraId="4353D1EF">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参加，组成联合体共同进行采购项目的磋商工作。</w:t>
      </w:r>
    </w:p>
    <w:p w14:paraId="01A9847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联合体成交后，联合体各方共同与采购人签订合同，就</w:t>
      </w:r>
      <w:r>
        <w:rPr>
          <w:rFonts w:hint="eastAsia" w:ascii="宋体" w:hAnsi="宋体" w:cs="宋体"/>
          <w:color w:val="000000"/>
          <w:sz w:val="24"/>
          <w:szCs w:val="20"/>
          <w:highlight w:val="none"/>
        </w:rPr>
        <w:t>采购合同约定的事项</w:t>
      </w:r>
      <w:r>
        <w:rPr>
          <w:rFonts w:hint="eastAsia" w:ascii="宋体" w:hAnsi="宋体" w:cs="宋体"/>
          <w:bCs/>
          <w:color w:val="000000"/>
          <w:sz w:val="24"/>
          <w:highlight w:val="none"/>
        </w:rPr>
        <w:t>对采购人承担连带责任。</w:t>
      </w:r>
    </w:p>
    <w:p w14:paraId="5F4C4789">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联合体各方均同意由牵头人代表其他联合体成员单位按竞争性磋商文件要求出具《授权委托书》。</w:t>
      </w:r>
    </w:p>
    <w:p w14:paraId="0C613F58">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09C7D97B">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52EEF43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341C969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（如有），具体工作范围、内容以响应文件及合同为准。</w:t>
      </w:r>
    </w:p>
    <w:p w14:paraId="47CABF54">
      <w:pPr>
        <w:pageBreakBefore w:val="0"/>
        <w:numPr>
          <w:ilvl w:val="0"/>
          <w:numId w:val="12"/>
        </w:numPr>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元，联合体各成员按照如下比例分摊（按联合体成员分别列明）：</w:t>
      </w:r>
    </w:p>
    <w:p w14:paraId="481ADF7E">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9FCC6C8">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0162B09D">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21E353A">
      <w:pPr>
        <w:pageBreakBefore w:val="0"/>
        <w:numPr>
          <w:ilvl w:val="0"/>
          <w:numId w:val="12"/>
        </w:numPr>
        <w:tabs>
          <w:tab w:val="left" w:pos="993"/>
        </w:tabs>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szCs w:val="20"/>
          <w:highlight w:val="none"/>
        </w:rPr>
        <w:t>以联合体形式参加政府采购活动的，联合体各方不得再单独参加或者与其他供应商另外组成联合体参加同一合同项下的政府采购活动。</w:t>
      </w:r>
    </w:p>
    <w:p w14:paraId="1BECC2C6">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64F8D68E">
      <w:pPr>
        <w:pageBreakBefore w:val="0"/>
        <w:tabs>
          <w:tab w:val="left" w:pos="780"/>
        </w:tabs>
        <w:wordWrap w:val="0"/>
        <w:topLinePunct w:val="0"/>
        <w:bidi w:val="0"/>
        <w:spacing w:after="0" w:line="360" w:lineRule="auto"/>
        <w:ind w:left="180" w:firstLine="480" w:firstLineChars="200"/>
        <w:textAlignment w:val="auto"/>
        <w:rPr>
          <w:rFonts w:hint="eastAsia" w:ascii="宋体" w:hAnsi="宋体" w:cs="宋体"/>
          <w:b/>
          <w:color w:val="000000"/>
          <w:sz w:val="24"/>
          <w:highlight w:val="none"/>
        </w:rPr>
      </w:pPr>
      <w:r>
        <w:rPr>
          <w:rFonts w:hint="eastAsia" w:ascii="宋体" w:hAnsi="宋体" w:cs="宋体"/>
          <w:bCs/>
          <w:color w:val="000000"/>
          <w:sz w:val="24"/>
          <w:highlight w:val="none"/>
        </w:rPr>
        <w:t>本协议自各方盖章后生效，采购合同履行完毕后自动失效。如未成交，本协议自动终止。</w:t>
      </w:r>
    </w:p>
    <w:p w14:paraId="394C015E">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br w:type="page"/>
      </w:r>
    </w:p>
    <w:p w14:paraId="33DD4FB0">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C46D2ED">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5416AC95">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04E7ABD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46B83D8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251D6FDC">
      <w:pPr>
        <w:pageBreakBefore w:val="0"/>
        <w:widowControl/>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559228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778DE26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1932F843">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p>
    <w:p w14:paraId="536AE566">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EF69B3">
      <w:pPr>
        <w:pageBreakBefore w:val="0"/>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69B6C43A">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1. 如本项目（包）接受供应商以联合体形式参加采购活动，且供应商以联合体形式参与时，须提供《联合协议》，否则响应无效。 </w:t>
      </w:r>
    </w:p>
    <w:p w14:paraId="2392DADC">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2. 联合体各方成员需在本协议上共同盖章。</w:t>
      </w:r>
    </w:p>
    <w:p w14:paraId="53E2F214">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446DC00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416CD9C8">
      <w:pPr>
        <w:pageBreakBefore w:val="0"/>
        <w:wordWrap w:val="0"/>
        <w:topLinePunct w:val="0"/>
        <w:bidi w:val="0"/>
        <w:spacing w:after="0" w:line="360" w:lineRule="auto"/>
        <w:textAlignment w:val="auto"/>
        <w:outlineLvl w:val="2"/>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07EBB68F">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p>
    <w:p w14:paraId="78C74AD0">
      <w:pPr>
        <w:pageBreakBefore w:val="0"/>
        <w:widowControl/>
        <w:wordWrap w:val="0"/>
        <w:topLinePunct w:val="0"/>
        <w:bidi w:val="0"/>
        <w:spacing w:after="0" w:line="360" w:lineRule="auto"/>
        <w:jc w:val="left"/>
        <w:textAlignment w:val="auto"/>
        <w:rPr>
          <w:rFonts w:hint="eastAsia" w:ascii="宋体" w:hAnsi="宋体" w:cs="宋体"/>
          <w:sz w:val="24"/>
          <w:szCs w:val="20"/>
          <w:highlight w:val="none"/>
        </w:rPr>
      </w:pPr>
    </w:p>
    <w:p w14:paraId="108DF69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13AB1F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4 磋商保证金凭证/交款单据电子件</w:t>
      </w:r>
    </w:p>
    <w:p w14:paraId="33CAFF4B">
      <w:pPr>
        <w:pageBreakBefore w:val="0"/>
        <w:widowControl/>
        <w:wordWrap w:val="0"/>
        <w:topLinePunct w:val="0"/>
        <w:bidi w:val="0"/>
        <w:spacing w:after="0" w:line="360" w:lineRule="auto"/>
        <w:jc w:val="left"/>
        <w:textAlignment w:val="auto"/>
        <w:rPr>
          <w:rFonts w:hint="eastAsia" w:ascii="宋体" w:hAnsi="宋体" w:cs="宋体"/>
          <w:kern w:val="0"/>
          <w:sz w:val="24"/>
          <w:szCs w:val="20"/>
          <w:highlight w:val="none"/>
        </w:rPr>
      </w:pPr>
    </w:p>
    <w:p w14:paraId="0DB0A58F">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4CCC131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253" w:name="_Hlt520271212"/>
      <w:bookmarkEnd w:id="1253"/>
      <w:bookmarkStart w:id="1254" w:name="_Hlt520343392"/>
      <w:bookmarkEnd w:id="1254"/>
      <w:bookmarkStart w:id="1255" w:name="_Hlt520273711"/>
      <w:bookmarkEnd w:id="1255"/>
      <w:bookmarkStart w:id="1256" w:name="_Hlt520343000"/>
      <w:bookmarkEnd w:id="1256"/>
      <w:bookmarkStart w:id="1257" w:name="_Hlt520274393"/>
      <w:bookmarkEnd w:id="1257"/>
      <w:bookmarkStart w:id="1258" w:name="_Hlt520274407"/>
      <w:bookmarkEnd w:id="1258"/>
      <w:bookmarkStart w:id="1259" w:name="_Hlt520274065"/>
      <w:bookmarkEnd w:id="1259"/>
      <w:bookmarkStart w:id="1260" w:name="_Hlt520355504"/>
      <w:bookmarkEnd w:id="1260"/>
      <w:bookmarkStart w:id="1261" w:name="_Hlt520350918"/>
      <w:bookmarkEnd w:id="1261"/>
      <w:bookmarkStart w:id="1262" w:name="_Hlt520274121"/>
      <w:bookmarkEnd w:id="1262"/>
      <w:bookmarkStart w:id="1263" w:name="_Toc480942349"/>
      <w:bookmarkStart w:id="1264" w:name="_Ref467988698"/>
      <w:bookmarkStart w:id="1265" w:name="_Toc226337252"/>
      <w:bookmarkStart w:id="1266" w:name="_Toc226309800"/>
      <w:bookmarkStart w:id="1267" w:name="_Toc150774761"/>
      <w:bookmarkStart w:id="1268" w:name="_Toc226965829"/>
      <w:bookmarkStart w:id="1269" w:name="_Toc195842921"/>
      <w:bookmarkStart w:id="1270" w:name="_Toc142311058"/>
      <w:bookmarkStart w:id="1271" w:name="_Toc150480794"/>
      <w:bookmarkStart w:id="1272" w:name="_Toc226965746"/>
      <w:bookmarkStart w:id="1273" w:name="_Toc127151556"/>
      <w:bookmarkStart w:id="1274" w:name="_Toc520356217"/>
    </w:p>
    <w:p w14:paraId="4C05901B">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highlight w:val="none"/>
        </w:rPr>
      </w:pPr>
      <w:r>
        <w:rPr>
          <w:rFonts w:hint="eastAsia" w:ascii="宋体" w:hAnsi="宋体" w:cs="宋体"/>
          <w:sz w:val="24"/>
          <w:highlight w:val="none"/>
        </w:rPr>
        <w:t xml:space="preserve">5 </w:t>
      </w:r>
      <w:bookmarkEnd w:id="1263"/>
      <w:bookmarkEnd w:id="1264"/>
      <w:r>
        <w:rPr>
          <w:rFonts w:hint="eastAsia" w:ascii="宋体" w:hAnsi="宋体" w:cs="宋体"/>
          <w:sz w:val="24"/>
          <w:highlight w:val="none"/>
        </w:rPr>
        <w:t>响应书</w:t>
      </w:r>
      <w:bookmarkEnd w:id="1265"/>
      <w:bookmarkEnd w:id="1266"/>
      <w:bookmarkEnd w:id="1267"/>
      <w:bookmarkEnd w:id="1268"/>
      <w:bookmarkEnd w:id="1269"/>
      <w:bookmarkEnd w:id="1270"/>
      <w:bookmarkEnd w:id="1271"/>
      <w:bookmarkEnd w:id="1272"/>
      <w:bookmarkEnd w:id="1273"/>
      <w:bookmarkEnd w:id="1274"/>
    </w:p>
    <w:p w14:paraId="0C76367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响应书</w:t>
      </w:r>
    </w:p>
    <w:p w14:paraId="2E14918E">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620C701">
      <w:pPr>
        <w:pageBreakBefore w:val="0"/>
        <w:tabs>
          <w:tab w:val="left" w:pos="5580"/>
        </w:tabs>
        <w:wordWrap w:val="0"/>
        <w:topLinePunct w:val="0"/>
        <w:bidi w:val="0"/>
        <w:spacing w:after="0" w:line="360" w:lineRule="auto"/>
        <w:textAlignment w:val="auto"/>
        <w:rPr>
          <w:rFonts w:hint="eastAsia" w:ascii="宋体" w:hAnsi="宋体" w:cs="宋体"/>
          <w:color w:val="000000"/>
          <w:sz w:val="24"/>
          <w:szCs w:val="20"/>
          <w:highlight w:val="none"/>
        </w:rPr>
      </w:pPr>
    </w:p>
    <w:p w14:paraId="127F6A13">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（项目名称，项目编号/包号）组织的采购活动，并对此项目进行磋商。</w:t>
      </w:r>
    </w:p>
    <w:p w14:paraId="3D152648">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已详细审查全部竞争性磋商文件</w:t>
      </w:r>
      <w:r>
        <w:rPr>
          <w:rFonts w:hint="eastAsia" w:ascii="宋体" w:hAnsi="宋体" w:cs="宋体"/>
          <w:color w:val="000000"/>
          <w:sz w:val="24"/>
          <w:szCs w:val="20"/>
          <w:highlight w:val="none"/>
        </w:rPr>
        <w:t>，自愿参与磋商并承诺如下：</w:t>
      </w:r>
    </w:p>
    <w:p w14:paraId="6F6A67A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（1）本响应有效期为自提交响应文件的截止之日起</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个日历日。</w:t>
      </w:r>
    </w:p>
    <w:p w14:paraId="6017672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（2）除合同条款及采购需求偏离表列出的偏离外，我方响应竞争性磋商文件的全部要求。</w:t>
      </w:r>
    </w:p>
    <w:p w14:paraId="7CDD3C2C">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4E5A7199">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7EC4E01B">
      <w:pPr>
        <w:pageBreakBefore w:val="0"/>
        <w:wordWrap w:val="0"/>
        <w:topLinePunct w:val="0"/>
        <w:bidi w:val="0"/>
        <w:spacing w:after="0" w:line="360" w:lineRule="auto"/>
        <w:ind w:left="420"/>
        <w:textAlignment w:val="auto"/>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sz w:val="24"/>
          <w:highlight w:val="none"/>
          <w:u w:val="single"/>
        </w:rPr>
        <w:t xml:space="preserve">        </w:t>
      </w:r>
      <w:r>
        <w:rPr>
          <w:rFonts w:hint="eastAsia" w:ascii="宋体" w:hAnsi="宋体" w:cs="宋体"/>
          <w:color w:val="000000"/>
          <w:sz w:val="24"/>
          <w:highlight w:val="none"/>
        </w:rPr>
        <w:t>。</w:t>
      </w:r>
    </w:p>
    <w:p w14:paraId="61D670BB">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与本磋商有关的一切正式往来信函请寄：</w:t>
      </w:r>
    </w:p>
    <w:p w14:paraId="7AAF98C3">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3D846115">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1A8D405E">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sz w:val="24"/>
          <w:highlight w:val="none"/>
          <w:u w:val="single"/>
        </w:rPr>
        <w:t xml:space="preserve">                  </w:t>
      </w:r>
    </w:p>
    <w:p w14:paraId="37EB128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50332168">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sz w:val="24"/>
          <w:highlight w:val="none"/>
          <w:u w:val="single"/>
        </w:rPr>
        <w:t xml:space="preserve">                  </w:t>
      </w:r>
    </w:p>
    <w:p w14:paraId="5495747D">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4A2B3DC">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70DAA73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F4E7800">
      <w:pPr>
        <w:pageBreakBefore w:val="0"/>
        <w:wordWrap w:val="0"/>
        <w:topLinePunct w:val="0"/>
        <w:autoSpaceDE w:val="0"/>
        <w:autoSpaceDN w:val="0"/>
        <w:bidi w:val="0"/>
        <w:adjustRightInd w:val="0"/>
        <w:snapToGrid w:val="0"/>
        <w:spacing w:before="25" w:after="0" w:line="360" w:lineRule="auto"/>
        <w:ind w:right="360" w:firstLine="360" w:firstLineChars="150"/>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05E4B53">
      <w:pPr>
        <w:pageBreakBefore w:val="0"/>
        <w:tabs>
          <w:tab w:val="left" w:pos="5580"/>
        </w:tabs>
        <w:wordWrap w:val="0"/>
        <w:topLinePunct w:val="0"/>
        <w:bidi w:val="0"/>
        <w:spacing w:after="0" w:line="360" w:lineRule="auto"/>
        <w:ind w:firstLine="360" w:firstLineChars="15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C7C9940">
      <w:pPr>
        <w:pageBreakBefore w:val="0"/>
        <w:widowControl/>
        <w:wordWrap w:val="0"/>
        <w:topLinePunct w:val="0"/>
        <w:bidi w:val="0"/>
        <w:spacing w:after="0" w:line="360" w:lineRule="auto"/>
        <w:jc w:val="left"/>
        <w:textAlignment w:val="auto"/>
        <w:rPr>
          <w:rFonts w:hint="eastAsia" w:ascii="宋体" w:hAnsi="宋体" w:cs="宋体"/>
          <w:b/>
          <w:color w:val="000000"/>
          <w:sz w:val="24"/>
          <w:szCs w:val="20"/>
          <w:highlight w:val="none"/>
        </w:rPr>
      </w:pPr>
    </w:p>
    <w:p w14:paraId="63100DE1">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bookmarkStart w:id="1275" w:name="_Hlt520356243"/>
      <w:bookmarkEnd w:id="1275"/>
      <w:bookmarkStart w:id="1276" w:name="_Hlt520355938"/>
      <w:bookmarkEnd w:id="1276"/>
      <w:bookmarkStart w:id="1277" w:name="_Toc265228395"/>
      <w:bookmarkStart w:id="1278" w:name="_Toc305158899"/>
      <w:bookmarkStart w:id="1279" w:name="_Toc226337253"/>
      <w:bookmarkStart w:id="1280" w:name="_Toc226965830"/>
      <w:bookmarkStart w:id="1281" w:name="_Toc305158825"/>
      <w:bookmarkStart w:id="1282" w:name="_Toc127151557"/>
      <w:bookmarkStart w:id="1283" w:name="_Toc195842922"/>
      <w:bookmarkStart w:id="1284" w:name="_Toc480942350"/>
      <w:bookmarkStart w:id="1285" w:name="_Toc150774762"/>
      <w:bookmarkStart w:id="1286" w:name="_Ref467988705"/>
      <w:bookmarkStart w:id="1287" w:name="_Toc264969247"/>
      <w:bookmarkStart w:id="1288" w:name="_Toc226309801"/>
      <w:bookmarkStart w:id="1289" w:name="_Toc520356218"/>
      <w:bookmarkStart w:id="1290" w:name="_Toc150480795"/>
      <w:bookmarkStart w:id="1291" w:name="_Toc226965747"/>
      <w:bookmarkStart w:id="1292" w:name="_Toc142311059"/>
    </w:p>
    <w:p w14:paraId="79F1649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CAC549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6 授权委托书（实质性格式）</w:t>
      </w:r>
    </w:p>
    <w:p w14:paraId="3A34E736">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1A96E6B9">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（供应商名称）的法定代表人（单位负责人），现委托</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（姓名）为我方代理人。代理人根据授权，以我方名义签署、澄清确认、递交、撤回、修改</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（项目名称）响应文件和处理有关事宜，其法律后果由我方承担。</w:t>
      </w:r>
    </w:p>
    <w:p w14:paraId="2A1E1476">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委托期限：自本授权委托书签署之日起至响应有效期届满之日止。</w:t>
      </w:r>
    </w:p>
    <w:p w14:paraId="5F03B0C2">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2BA0DDAA">
      <w:pPr>
        <w:pageBreakBefore w:val="0"/>
        <w:wordWrap w:val="0"/>
        <w:topLinePunct w:val="0"/>
        <w:bidi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5649EC5">
      <w:pPr>
        <w:pageBreakBefore w:val="0"/>
        <w:wordWrap w:val="0"/>
        <w:topLinePunct w:val="0"/>
        <w:bidi w:val="0"/>
        <w:spacing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sz w:val="24"/>
          <w:highlight w:val="none"/>
          <w:u w:val="single"/>
        </w:rPr>
        <w:t xml:space="preserve">          </w:t>
      </w:r>
    </w:p>
    <w:p w14:paraId="102BC782">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w:t>
      </w:r>
      <w:r>
        <w:rPr>
          <w:rFonts w:hint="eastAsia" w:ascii="宋体" w:hAnsi="宋体" w:cs="宋体"/>
          <w:color w:val="000000"/>
          <w:sz w:val="24"/>
          <w:szCs w:val="20"/>
          <w:highlight w:val="none"/>
        </w:rPr>
        <w:t>签章</w:t>
      </w:r>
      <w:r>
        <w:rPr>
          <w:rFonts w:hint="eastAsia" w:ascii="宋体" w:hAnsi="宋体" w:cs="宋体"/>
          <w:color w:val="000000"/>
          <w:sz w:val="24"/>
          <w:highlight w:val="none"/>
        </w:rPr>
        <w:t>）：</w:t>
      </w:r>
      <w:r>
        <w:rPr>
          <w:rFonts w:hint="eastAsia" w:ascii="宋体" w:hAnsi="宋体" w:cs="宋体"/>
          <w:sz w:val="24"/>
          <w:highlight w:val="none"/>
          <w:u w:val="single"/>
        </w:rPr>
        <w:t xml:space="preserve">          </w:t>
      </w:r>
      <w:r>
        <w:rPr>
          <w:rFonts w:hint="eastAsia" w:ascii="宋体" w:hAnsi="宋体" w:cs="宋体"/>
          <w:color w:val="000000"/>
          <w:sz w:val="24"/>
          <w:highlight w:val="none"/>
          <w:lang w:val="zh-CN"/>
        </w:rPr>
        <w:t xml:space="preserve">        </w:t>
      </w:r>
    </w:p>
    <w:p w14:paraId="7A9174D4">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93BE87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A521C62">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3"/>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33D9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4B17BEC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68FFD18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391723E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47CA3827">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294A95ED">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D666397">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4C075E10">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1B06D38">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785ADC46">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p>
    <w:p w14:paraId="50C16EF4">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27CA547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1818350D">
      <w:pPr>
        <w:pageBreakBefore w:val="0"/>
        <w:kinsoku w:val="0"/>
        <w:wordWrap w:val="0"/>
        <w:overflowPunct w:val="0"/>
        <w:topLinePunct w:val="0"/>
        <w:bidi w:val="0"/>
        <w:spacing w:after="0" w:line="360" w:lineRule="auto"/>
        <w:textAlignment w:val="auto"/>
        <w:rPr>
          <w:rFonts w:hint="eastAsia" w:ascii="宋体" w:hAnsi="宋体" w:cs="宋体"/>
          <w:sz w:val="20"/>
          <w:szCs w:val="20"/>
          <w:highlight w:val="none"/>
        </w:rPr>
      </w:pPr>
    </w:p>
    <w:p w14:paraId="73B7EDF0">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sz w:val="24"/>
          <w:highlight w:val="none"/>
          <w:u w:val="single"/>
        </w:rPr>
        <w:t xml:space="preserve">        </w:t>
      </w:r>
      <w:r>
        <w:rPr>
          <w:rFonts w:hint="eastAsia" w:ascii="宋体" w:hAnsi="宋体" w:cs="宋体"/>
          <w:color w:val="000000"/>
          <w:sz w:val="24"/>
          <w:highlight w:val="none"/>
        </w:rPr>
        <w:t>（采购人或采购代理机构）</w:t>
      </w:r>
    </w:p>
    <w:p w14:paraId="7230158F">
      <w:pPr>
        <w:pStyle w:val="18"/>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cs="宋体"/>
          <w:highlight w:val="none"/>
        </w:rPr>
      </w:pPr>
      <w:r>
        <w:rPr>
          <w:rFonts w:hint="eastAsia" w:cs="宋体"/>
          <w:highlight w:val="none"/>
        </w:rPr>
        <w:t>兹证明，</w:t>
      </w:r>
    </w:p>
    <w:p w14:paraId="39B7F514">
      <w:pPr>
        <w:pStyle w:val="18"/>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姓名：</w:t>
      </w:r>
      <w:r>
        <w:rPr>
          <w:rFonts w:hint="eastAsia" w:cs="宋体"/>
          <w:highlight w:val="none"/>
          <w:u w:val="single"/>
        </w:rPr>
        <w:t xml:space="preserve">        </w:t>
      </w:r>
      <w:r>
        <w:rPr>
          <w:rFonts w:hint="eastAsia" w:cs="宋体"/>
          <w:highlight w:val="none"/>
        </w:rPr>
        <w:t>性别：</w:t>
      </w:r>
      <w:r>
        <w:rPr>
          <w:rFonts w:hint="eastAsia" w:cs="宋体"/>
          <w:highlight w:val="none"/>
          <w:u w:val="single"/>
        </w:rPr>
        <w:t xml:space="preserve">        </w:t>
      </w:r>
      <w:r>
        <w:rPr>
          <w:rFonts w:hint="eastAsia" w:cs="宋体"/>
          <w:highlight w:val="none"/>
        </w:rPr>
        <w:t>年龄：</w:t>
      </w:r>
      <w:r>
        <w:rPr>
          <w:rFonts w:hint="eastAsia" w:cs="宋体"/>
          <w:highlight w:val="none"/>
          <w:u w:val="single"/>
        </w:rPr>
        <w:t xml:space="preserve">        </w:t>
      </w:r>
      <w:r>
        <w:rPr>
          <w:rFonts w:hint="eastAsia" w:cs="宋体"/>
          <w:highlight w:val="none"/>
        </w:rPr>
        <w:t>职务：</w:t>
      </w:r>
      <w:r>
        <w:rPr>
          <w:rFonts w:hint="eastAsia" w:cs="宋体"/>
          <w:highlight w:val="none"/>
          <w:u w:val="single"/>
        </w:rPr>
        <w:t xml:space="preserve">        </w:t>
      </w:r>
    </w:p>
    <w:p w14:paraId="6141C9EB">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33EC2B6A">
      <w:pPr>
        <w:pStyle w:val="18"/>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系</w:t>
      </w:r>
      <w:r>
        <w:rPr>
          <w:rFonts w:hint="eastAsia" w:cs="宋体"/>
          <w:highlight w:val="none"/>
          <w:u w:val="single"/>
        </w:rPr>
        <w:t xml:space="preserve">                </w:t>
      </w:r>
      <w:r>
        <w:rPr>
          <w:rFonts w:hint="eastAsia" w:cs="宋体"/>
          <w:highlight w:val="none"/>
        </w:rPr>
        <w:t>（供应商名称）的法定代表人（单位负责人）。</w:t>
      </w:r>
    </w:p>
    <w:p w14:paraId="064A62B2">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6EB8EA54">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702840A">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6904049">
      <w:pPr>
        <w:pStyle w:val="18"/>
        <w:pageBreakBefore w:val="0"/>
        <w:kinsoku w:val="0"/>
        <w:wordWrap w:val="0"/>
        <w:overflowPunct w:val="0"/>
        <w:topLinePunct w:val="0"/>
        <w:bidi w:val="0"/>
        <w:spacing w:after="0" w:line="360" w:lineRule="auto"/>
        <w:ind w:right="-46"/>
        <w:textAlignment w:val="auto"/>
        <w:rPr>
          <w:rFonts w:hint="eastAsia" w:cs="宋体"/>
          <w:spacing w:val="-3"/>
          <w:highlight w:val="none"/>
        </w:rPr>
      </w:pPr>
      <w:r>
        <w:rPr>
          <w:rFonts w:hint="eastAsia" w:cs="宋体"/>
          <w:spacing w:val="-3"/>
          <w:highlight w:val="none"/>
        </w:rPr>
        <w:t>附：法定代表人（单位负责人）身份证或护照等身份证明文件电子件：</w:t>
      </w:r>
    </w:p>
    <w:tbl>
      <w:tblPr>
        <w:tblStyle w:val="4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35C9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520" w:type="dxa"/>
          </w:tcPr>
          <w:p w14:paraId="26FF0364">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2031E920">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005B2C8B">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44C88A7E">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5C75CDE1">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2E680B41">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68848045">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spacing w:val="-3"/>
          <w:sz w:val="24"/>
          <w:highlight w:val="none"/>
        </w:rPr>
        <w:t>法定代表人（</w:t>
      </w:r>
      <w:r>
        <w:rPr>
          <w:rFonts w:hint="eastAsia" w:ascii="宋体" w:hAnsi="宋体" w:cs="宋体"/>
          <w:sz w:val="24"/>
          <w:highlight w:val="none"/>
        </w:rPr>
        <w:t>单位负责人</w:t>
      </w:r>
      <w:r>
        <w:rPr>
          <w:rFonts w:hint="eastAsia" w:ascii="宋体" w:hAnsi="宋体" w:cs="宋体"/>
          <w:spacing w:val="-3"/>
          <w:sz w:val="24"/>
          <w:highlight w:val="none"/>
        </w:rPr>
        <w:t>）（签字或</w:t>
      </w:r>
      <w:r>
        <w:rPr>
          <w:rFonts w:hint="eastAsia" w:ascii="宋体" w:hAnsi="宋体" w:cs="宋体"/>
          <w:color w:val="000000"/>
          <w:sz w:val="24"/>
          <w:szCs w:val="20"/>
          <w:highlight w:val="none"/>
        </w:rPr>
        <w:t>签章</w:t>
      </w:r>
      <w:r>
        <w:rPr>
          <w:rFonts w:hint="eastAsia" w:ascii="宋体" w:hAnsi="宋体" w:cs="宋体"/>
          <w:spacing w:val="-3"/>
          <w:sz w:val="24"/>
          <w:highlight w:val="none"/>
        </w:rPr>
        <w:t>）：</w:t>
      </w:r>
      <w:r>
        <w:rPr>
          <w:rFonts w:hint="eastAsia" w:ascii="宋体" w:hAnsi="宋体" w:cs="宋体"/>
          <w:color w:val="000000"/>
          <w:sz w:val="24"/>
          <w:highlight w:val="none"/>
          <w:u w:val="single"/>
          <w:lang w:val="zh-CN"/>
        </w:rPr>
        <w:t xml:space="preserve">           </w:t>
      </w:r>
    </w:p>
    <w:p w14:paraId="3E39D818">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C23E251">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u w:val="single"/>
        </w:rPr>
      </w:pPr>
    </w:p>
    <w:p w14:paraId="17AE0FDA">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BA2CA2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F331216">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7 报价一览表</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549CBD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bookmarkStart w:id="1293" w:name="_Toc264969248"/>
      <w:bookmarkStart w:id="1294" w:name="_Toc195842923"/>
      <w:bookmarkStart w:id="1295" w:name="_Toc305158900"/>
      <w:bookmarkStart w:id="1296" w:name="_Toc226965831"/>
      <w:bookmarkStart w:id="1297" w:name="_Toc305158826"/>
      <w:bookmarkStart w:id="1298" w:name="_Toc164608827"/>
      <w:bookmarkStart w:id="1299" w:name="_Toc265228396"/>
      <w:bookmarkStart w:id="1300" w:name="_Toc226965748"/>
      <w:bookmarkStart w:id="1301" w:name="_Toc226309802"/>
      <w:bookmarkStart w:id="1302" w:name="_Toc226337254"/>
      <w:bookmarkStart w:id="1303" w:name="_Toc164608672"/>
      <w:r>
        <w:rPr>
          <w:rFonts w:hint="eastAsia" w:ascii="宋体" w:hAnsi="宋体" w:cs="宋体"/>
          <w:b/>
          <w:color w:val="000000"/>
          <w:sz w:val="28"/>
          <w:szCs w:val="28"/>
          <w:highlight w:val="none"/>
        </w:rPr>
        <w:t>报价一览表</w:t>
      </w:r>
      <w:bookmarkEnd w:id="1293"/>
      <w:bookmarkEnd w:id="1294"/>
      <w:bookmarkEnd w:id="1295"/>
      <w:bookmarkEnd w:id="1296"/>
      <w:bookmarkEnd w:id="1297"/>
      <w:bookmarkEnd w:id="1298"/>
      <w:bookmarkEnd w:id="1299"/>
      <w:bookmarkEnd w:id="1300"/>
      <w:bookmarkEnd w:id="1301"/>
      <w:bookmarkEnd w:id="1302"/>
      <w:bookmarkEnd w:id="1303"/>
    </w:p>
    <w:p w14:paraId="5B1E5FC2">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374C6F17">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A4EA87D">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11B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6A282CE">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380BF9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D4240B9">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报价（元）</w:t>
            </w:r>
          </w:p>
        </w:tc>
      </w:tr>
      <w:tr w14:paraId="222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9276B2">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E04748">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C1B6CF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33061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r>
      <w:tr w14:paraId="46E0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891090C">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6F1518A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760A6DA">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71EDB25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F278BC3">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1B298A1D">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.此表中，每包的报价应和《分项报价表》中的总价相一致。</w:t>
      </w:r>
    </w:p>
    <w:p w14:paraId="23A43EF2">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6F0F9D8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51B5F8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462C478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BC2156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4FBC3C87">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36AE9A7">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 xml:space="preserve">  </w:t>
      </w:r>
    </w:p>
    <w:p w14:paraId="379260A5">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bookmarkStart w:id="1304" w:name="_Toc127151558"/>
      <w:bookmarkStart w:id="1305" w:name="_Toc142311060"/>
      <w:bookmarkStart w:id="1306" w:name="_Toc264969249"/>
      <w:bookmarkStart w:id="1307" w:name="_Toc305158827"/>
      <w:bookmarkStart w:id="1308" w:name="_Toc305158901"/>
      <w:bookmarkStart w:id="1309" w:name="_Toc195842924"/>
      <w:bookmarkStart w:id="1310" w:name="_Toc226309803"/>
      <w:bookmarkStart w:id="1311" w:name="_Toc265228397"/>
      <w:bookmarkStart w:id="1312" w:name="_Toc226337255"/>
      <w:bookmarkStart w:id="1313" w:name="_Toc150480796"/>
      <w:bookmarkStart w:id="1314" w:name="_Toc150774763"/>
      <w:bookmarkStart w:id="1315" w:name="_Toc226965832"/>
      <w:bookmarkStart w:id="1316" w:name="_Toc226965749"/>
    </w:p>
    <w:p w14:paraId="05925D88">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B1AD7B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8 分项报价表</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2FD34361">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w:t>
      </w:r>
    </w:p>
    <w:p w14:paraId="56CCB24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分项报价表(清单计价表格)</w:t>
      </w:r>
    </w:p>
    <w:p w14:paraId="05E0706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0E4465F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7107E8E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1.本表应按包分别填写。</w:t>
      </w:r>
    </w:p>
    <w:p w14:paraId="577EC6A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2.如果不提供分项报价将视为没有实质性响应磋商文件。</w:t>
      </w:r>
    </w:p>
    <w:p w14:paraId="3597BB5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8FA4402">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540FC6E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317" w:name="_Toc265228400"/>
      <w:bookmarkStart w:id="1318" w:name="_Toc195842927"/>
      <w:bookmarkStart w:id="1319" w:name="_Toc264969252"/>
      <w:bookmarkStart w:id="1320" w:name="_Toc226965752"/>
      <w:bookmarkStart w:id="1321" w:name="_Toc226309806"/>
      <w:bookmarkStart w:id="1322" w:name="_Toc150774765"/>
      <w:bookmarkStart w:id="1323" w:name="_Toc127151562"/>
      <w:bookmarkStart w:id="1324" w:name="_Toc226965835"/>
      <w:bookmarkStart w:id="1325" w:name="_Toc142311062"/>
      <w:bookmarkStart w:id="1326" w:name="_Toc226337258"/>
      <w:bookmarkStart w:id="1327" w:name="_Toc305158904"/>
      <w:bookmarkStart w:id="1328" w:name="_Toc150480798"/>
      <w:bookmarkStart w:id="1329" w:name="_Toc305158830"/>
      <w:bookmarkStart w:id="1330" w:name="_Toc226965751"/>
      <w:bookmarkStart w:id="1331" w:name="_Toc150480797"/>
      <w:bookmarkStart w:id="1332" w:name="_Toc195842926"/>
      <w:bookmarkStart w:id="1333" w:name="_Toc150774764"/>
      <w:bookmarkStart w:id="1334" w:name="_Toc226965834"/>
      <w:bookmarkStart w:id="1335" w:name="_Toc265228399"/>
      <w:bookmarkStart w:id="1336" w:name="_Toc142311061"/>
      <w:bookmarkStart w:id="1337" w:name="_Toc127151561"/>
      <w:bookmarkStart w:id="1338" w:name="_Toc264969251"/>
      <w:bookmarkStart w:id="1339" w:name="_Toc226337257"/>
      <w:bookmarkStart w:id="1340" w:name="_Toc305158829"/>
      <w:bookmarkStart w:id="1341" w:name="_Toc305158903"/>
      <w:bookmarkStart w:id="1342" w:name="_Toc226309805"/>
    </w:p>
    <w:p w14:paraId="7C4FA03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9 合同条款偏离表</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r>
        <w:rPr>
          <w:rFonts w:hint="eastAsia" w:ascii="宋体" w:hAnsi="宋体" w:cs="宋体"/>
          <w:sz w:val="24"/>
          <w:highlight w:val="none"/>
        </w:rPr>
        <w:t>（实质性格式）</w:t>
      </w:r>
    </w:p>
    <w:p w14:paraId="15C2D65F">
      <w:pPr>
        <w:pageBreakBefore w:val="0"/>
        <w:tabs>
          <w:tab w:val="left" w:pos="2775"/>
          <w:tab w:val="center" w:pos="4153"/>
        </w:tabs>
        <w:wordWrap w:val="0"/>
        <w:topLinePunct w:val="0"/>
        <w:autoSpaceDE w:val="0"/>
        <w:autoSpaceDN w:val="0"/>
        <w:bidi w:val="0"/>
        <w:adjustRightInd w:val="0"/>
        <w:spacing w:after="0" w:line="360" w:lineRule="auto"/>
        <w:jc w:val="left"/>
        <w:textAlignment w:val="auto"/>
        <w:rPr>
          <w:rFonts w:hint="eastAsia" w:ascii="宋体" w:hAnsi="宋体" w:cs="宋体"/>
          <w:b/>
          <w:color w:val="000000"/>
          <w:sz w:val="28"/>
          <w:szCs w:val="28"/>
          <w:highlight w:val="none"/>
        </w:rPr>
      </w:pPr>
      <w:r>
        <w:rPr>
          <w:rFonts w:hint="eastAsia" w:ascii="宋体" w:hAnsi="宋体" w:cs="宋体"/>
          <w:color w:val="000000"/>
          <w:sz w:val="28"/>
          <w:szCs w:val="28"/>
          <w:highlight w:val="none"/>
        </w:rPr>
        <w:tab/>
      </w:r>
      <w:r>
        <w:rPr>
          <w:rFonts w:hint="eastAsia" w:ascii="宋体" w:hAnsi="宋体" w:cs="宋体"/>
          <w:b/>
          <w:color w:val="000000"/>
          <w:sz w:val="28"/>
          <w:szCs w:val="28"/>
          <w:highlight w:val="none"/>
        </w:rPr>
        <w:tab/>
      </w:r>
      <w:r>
        <w:rPr>
          <w:rFonts w:hint="eastAsia" w:ascii="宋体" w:hAnsi="宋体" w:cs="宋体"/>
          <w:b/>
          <w:color w:val="000000"/>
          <w:sz w:val="28"/>
          <w:szCs w:val="28"/>
          <w:highlight w:val="none"/>
        </w:rPr>
        <w:t>合同条款偏离表</w:t>
      </w:r>
    </w:p>
    <w:p w14:paraId="6EA6B361">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C3C8B46">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255F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9B7B9C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98" w:type="dxa"/>
            <w:vAlign w:val="center"/>
          </w:tcPr>
          <w:p w14:paraId="685F97E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竞争性磋商文件</w:t>
            </w:r>
            <w:r>
              <w:rPr>
                <w:rFonts w:hint="eastAsia" w:ascii="宋体" w:hAnsi="宋体" w:cs="宋体"/>
                <w:color w:val="000000"/>
                <w:sz w:val="24"/>
                <w:highlight w:val="none"/>
              </w:rPr>
              <w:t>条目号（页码）</w:t>
            </w:r>
          </w:p>
        </w:tc>
        <w:tc>
          <w:tcPr>
            <w:tcW w:w="1732" w:type="dxa"/>
            <w:vAlign w:val="center"/>
          </w:tcPr>
          <w:p w14:paraId="36528B9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szCs w:val="21"/>
                <w:highlight w:val="none"/>
              </w:rPr>
            </w:pPr>
            <w:r>
              <w:rPr>
                <w:rFonts w:hint="eastAsia" w:ascii="宋体" w:hAnsi="宋体" w:cs="宋体"/>
                <w:color w:val="000000"/>
                <w:sz w:val="24"/>
                <w:szCs w:val="21"/>
                <w:highlight w:val="none"/>
              </w:rPr>
              <w:t>竞争性磋商</w:t>
            </w:r>
          </w:p>
          <w:p w14:paraId="17C245E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文件</w:t>
            </w:r>
            <w:r>
              <w:rPr>
                <w:rFonts w:hint="eastAsia" w:ascii="宋体" w:hAnsi="宋体" w:cs="宋体"/>
                <w:color w:val="000000"/>
                <w:sz w:val="24"/>
                <w:highlight w:val="none"/>
              </w:rPr>
              <w:t>要求</w:t>
            </w:r>
          </w:p>
        </w:tc>
        <w:tc>
          <w:tcPr>
            <w:tcW w:w="1952" w:type="dxa"/>
            <w:vAlign w:val="center"/>
          </w:tcPr>
          <w:p w14:paraId="13004FD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响应文件内容</w:t>
            </w:r>
          </w:p>
        </w:tc>
        <w:tc>
          <w:tcPr>
            <w:tcW w:w="2394" w:type="dxa"/>
            <w:vAlign w:val="center"/>
          </w:tcPr>
          <w:p w14:paraId="0E02AE70">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17EA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2FA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568AA2A5">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对本项目合同条款的偏离情况（应进行选择，未选择响应无效）：</w:t>
            </w:r>
          </w:p>
          <w:p w14:paraId="1F8E67B7">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52D8DCE">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（如有偏离，则应在本表中对负偏离项逐一列明，否则响应无效；对合同条款中的所有要求，除本表列明的偏离外，均视作供应商已对之理解和响应。）</w:t>
            </w:r>
          </w:p>
        </w:tc>
      </w:tr>
      <w:tr w14:paraId="6831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A6C40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75E342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2A6B4BB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7145745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108D0F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0EA8437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1CD1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664D7B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5B551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380319F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6A0833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57B94C1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7AA8124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49E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BE6D85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207418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B6A88E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1113C9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3F2A338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51076AF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7438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0E5B0B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06B942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C3D24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20A49E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666DF89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23E71C6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3363A2A9">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10640AA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“偏离情况”列应据实填写“正偏离”或“负偏离”。</w:t>
      </w:r>
    </w:p>
    <w:p w14:paraId="68FA9484">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70208DF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BF2A91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74E0DC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28747CFE">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 xml:space="preserve">10 </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r>
        <w:rPr>
          <w:rFonts w:hint="eastAsia" w:ascii="宋体" w:hAnsi="宋体" w:cs="宋体"/>
          <w:sz w:val="24"/>
          <w:highlight w:val="none"/>
        </w:rPr>
        <w:t>采购需求偏离表（实质性格式）</w:t>
      </w:r>
    </w:p>
    <w:p w14:paraId="17EBD7F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采购需求偏离表</w:t>
      </w:r>
    </w:p>
    <w:p w14:paraId="4DC9FC3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8DCEA98">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554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20C0A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98BB5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竞争性磋商文件条目号(页码)</w:t>
            </w:r>
          </w:p>
        </w:tc>
        <w:tc>
          <w:tcPr>
            <w:tcW w:w="2384" w:type="dxa"/>
            <w:vAlign w:val="center"/>
          </w:tcPr>
          <w:p w14:paraId="3FAD09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竞争性磋商文件要求</w:t>
            </w:r>
          </w:p>
        </w:tc>
        <w:tc>
          <w:tcPr>
            <w:tcW w:w="2126" w:type="dxa"/>
            <w:vAlign w:val="center"/>
          </w:tcPr>
          <w:p w14:paraId="6C50E2F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响应内容</w:t>
            </w:r>
          </w:p>
        </w:tc>
        <w:tc>
          <w:tcPr>
            <w:tcW w:w="1875" w:type="dxa"/>
            <w:vAlign w:val="center"/>
          </w:tcPr>
          <w:p w14:paraId="7620C5B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624D2A1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C42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2EB2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0792954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D7659B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605D1B9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6EF88D0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0482F1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0177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0423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1309D1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7ABC2B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FEC7CD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4E7EABD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93E9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41C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8417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493640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0570DC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55BC55D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535CD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1020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3AE9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8C747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475D996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6CD2F4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7409749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29CAB3A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05BC0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E3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9187B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7115B8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FF19CF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31F95C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DC202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6EBC6A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689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167E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6EE22E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58BE70A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CF59ED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15DB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2BEC627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163DF22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61802BC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0D1CF23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2A8548A1">
      <w:pPr>
        <w:pageBreakBefore w:val="0"/>
        <w:tabs>
          <w:tab w:val="left" w:pos="1800"/>
          <w:tab w:val="left" w:pos="5580"/>
        </w:tabs>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sz w:val="24"/>
          <w:highlight w:val="none"/>
        </w:rPr>
        <w:t>响应无效</w:t>
      </w:r>
      <w:r>
        <w:rPr>
          <w:rFonts w:hint="eastAsia" w:ascii="宋体" w:hAnsi="宋体" w:cs="宋体"/>
          <w:sz w:val="24"/>
          <w:highlight w:val="none"/>
        </w:rPr>
        <w:t>。</w:t>
      </w:r>
    </w:p>
    <w:p w14:paraId="56400CB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7235E76E">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18FC6452">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5A14CEC">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3810B6E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444919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11 竞争性磋商文件要求提供或供应商认为应附的其他材料</w:t>
      </w:r>
    </w:p>
    <w:p w14:paraId="0592C62C">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11-1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351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6AC937F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供应商名称</w:t>
            </w:r>
          </w:p>
        </w:tc>
        <w:tc>
          <w:tcPr>
            <w:tcW w:w="3095" w:type="dxa"/>
            <w:vAlign w:val="center"/>
          </w:tcPr>
          <w:p w14:paraId="4474B82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供应商所属性别</w:t>
            </w:r>
          </w:p>
        </w:tc>
        <w:tc>
          <w:tcPr>
            <w:tcW w:w="3098" w:type="dxa"/>
            <w:vAlign w:val="center"/>
          </w:tcPr>
          <w:p w14:paraId="4CC882DC">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外商投资类型</w:t>
            </w:r>
          </w:p>
        </w:tc>
      </w:tr>
      <w:tr w14:paraId="09C0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1676B27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2A8358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6A1A306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48B0C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320103FD">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C02D3A1">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437DB5B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983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40129DF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2542A34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087EF4D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DC2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center"/>
          </w:tcPr>
          <w:p w14:paraId="2542765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01C3D08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5023F02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bl>
    <w:p w14:paraId="6B97A770">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33FF581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65E3537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5D06697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5A0863D3">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0EEA89F2">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6BAB8CB">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12 最后报价一览表（实质性格式，磋商后提交）</w:t>
      </w:r>
    </w:p>
    <w:p w14:paraId="54502035">
      <w:pPr>
        <w:pageBreakBefore w:val="0"/>
        <w:wordWrap w:val="0"/>
        <w:topLinePunct w:val="0"/>
        <w:bidi w:val="0"/>
        <w:spacing w:after="0" w:line="360" w:lineRule="auto"/>
        <w:ind w:firstLine="720"/>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最后报价一览表</w:t>
      </w:r>
    </w:p>
    <w:p w14:paraId="20F070A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431DFFD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70EBF6A0">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3B0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761421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序号</w:t>
            </w:r>
          </w:p>
        </w:tc>
        <w:tc>
          <w:tcPr>
            <w:tcW w:w="1498" w:type="pct"/>
            <w:vMerge w:val="restart"/>
            <w:vAlign w:val="center"/>
          </w:tcPr>
          <w:p w14:paraId="5930A6BF">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106" w:type="pct"/>
            <w:gridSpan w:val="2"/>
            <w:vAlign w:val="center"/>
          </w:tcPr>
          <w:p w14:paraId="3A79D10B">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最后报价（元）</w:t>
            </w:r>
          </w:p>
        </w:tc>
        <w:tc>
          <w:tcPr>
            <w:tcW w:w="949" w:type="pct"/>
            <w:vMerge w:val="restart"/>
            <w:vAlign w:val="center"/>
          </w:tcPr>
          <w:p w14:paraId="6E555C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其他</w:t>
            </w:r>
          </w:p>
          <w:p w14:paraId="5BD5FB17">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声明</w:t>
            </w:r>
          </w:p>
        </w:tc>
      </w:tr>
      <w:tr w14:paraId="4856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576806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Merge w:val="continue"/>
            <w:vAlign w:val="center"/>
          </w:tcPr>
          <w:p w14:paraId="1E283A72">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0856F126">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992" w:type="pct"/>
            <w:vAlign w:val="center"/>
          </w:tcPr>
          <w:p w14:paraId="0A6DE81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c>
          <w:tcPr>
            <w:tcW w:w="949" w:type="pct"/>
            <w:vMerge w:val="continue"/>
            <w:vAlign w:val="center"/>
          </w:tcPr>
          <w:p w14:paraId="356D976B">
            <w:pPr>
              <w:pageBreakBefore w:val="0"/>
              <w:tabs>
                <w:tab w:val="left" w:pos="5580"/>
              </w:tabs>
              <w:wordWrap w:val="0"/>
              <w:topLinePunct w:val="0"/>
              <w:bidi w:val="0"/>
              <w:spacing w:after="0" w:line="360" w:lineRule="auto"/>
              <w:ind w:firstLine="482"/>
              <w:jc w:val="center"/>
              <w:textAlignment w:val="auto"/>
              <w:rPr>
                <w:rFonts w:hint="eastAsia" w:ascii="宋体" w:hAnsi="宋体" w:cs="宋体"/>
                <w:b/>
                <w:sz w:val="24"/>
                <w:highlight w:val="none"/>
              </w:rPr>
            </w:pPr>
          </w:p>
        </w:tc>
      </w:tr>
      <w:tr w14:paraId="434A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0689B6E">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Align w:val="center"/>
          </w:tcPr>
          <w:p w14:paraId="081FA94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41AE9663">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92" w:type="pct"/>
            <w:vAlign w:val="center"/>
          </w:tcPr>
          <w:p w14:paraId="61CC1C45">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49" w:type="pct"/>
            <w:vAlign w:val="center"/>
          </w:tcPr>
          <w:p w14:paraId="6E6567C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7FBC141">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0031996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注：</w:t>
      </w:r>
    </w:p>
    <w:p w14:paraId="09D6E681">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1.此表中，每包的最后报价应和《最后分项报价表》中的总价相一致。</w:t>
      </w:r>
    </w:p>
    <w:p w14:paraId="14558D6D">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2.本表必须按包分别填写。</w:t>
      </w:r>
    </w:p>
    <w:p w14:paraId="311F570C">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3.此表无需在响应文件中提交，磋商后供应商按磋商小组要求提交</w:t>
      </w:r>
      <w:r>
        <w:rPr>
          <w:rFonts w:hint="eastAsia" w:ascii="宋体" w:hAnsi="宋体" w:cs="宋体"/>
          <w:color w:val="000000"/>
          <w:sz w:val="24"/>
          <w:szCs w:val="20"/>
          <w:highlight w:val="none"/>
        </w:rPr>
        <w:t>。</w:t>
      </w:r>
    </w:p>
    <w:p w14:paraId="1A5B246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358FD4E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69E859F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11CFE3AC">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F5E04E3">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4EE7CA4">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4C3062F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13 最后分项报价表（实质性格式，磋商后提交）</w:t>
      </w:r>
    </w:p>
    <w:p w14:paraId="77507656">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4D8C9A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u w:val="single"/>
          <w:lang w:val="zh-CN"/>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BBE35E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4867"/>
        <w:gridCol w:w="2118"/>
        <w:gridCol w:w="1623"/>
      </w:tblGrid>
      <w:tr w14:paraId="15D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Align w:val="center"/>
          </w:tcPr>
          <w:p w14:paraId="7B27F939">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2654" w:type="pct"/>
            <w:vAlign w:val="center"/>
          </w:tcPr>
          <w:p w14:paraId="4790F306">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最后报价计算过程或说明</w:t>
            </w:r>
          </w:p>
          <w:p w14:paraId="1EC7F5A3">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（可以填写按第一次报价下浮/上浮比例，</w:t>
            </w:r>
          </w:p>
          <w:p w14:paraId="78273A7D">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也可以填写相对第一次报价某部分价格变化情况）</w:t>
            </w:r>
          </w:p>
        </w:tc>
        <w:tc>
          <w:tcPr>
            <w:tcW w:w="1155" w:type="pct"/>
            <w:vAlign w:val="center"/>
          </w:tcPr>
          <w:p w14:paraId="13FBCA2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总价（元）</w:t>
            </w:r>
          </w:p>
        </w:tc>
        <w:tc>
          <w:tcPr>
            <w:tcW w:w="885" w:type="pct"/>
            <w:vAlign w:val="center"/>
          </w:tcPr>
          <w:p w14:paraId="3D8797B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23CF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5" w:type="pct"/>
            <w:vAlign w:val="center"/>
          </w:tcPr>
          <w:p w14:paraId="1DB1E83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w:t>
            </w:r>
          </w:p>
        </w:tc>
        <w:tc>
          <w:tcPr>
            <w:tcW w:w="2654" w:type="pct"/>
            <w:vAlign w:val="center"/>
          </w:tcPr>
          <w:p w14:paraId="4D26F41A">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1155" w:type="pct"/>
            <w:vAlign w:val="center"/>
          </w:tcPr>
          <w:p w14:paraId="6A6F6D06">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4FB6686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r w14:paraId="52D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59" w:type="pct"/>
            <w:gridSpan w:val="2"/>
            <w:vAlign w:val="center"/>
          </w:tcPr>
          <w:p w14:paraId="5DD6EE6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1155" w:type="pct"/>
            <w:vAlign w:val="center"/>
          </w:tcPr>
          <w:p w14:paraId="19841A45">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7BF0756C">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bl>
    <w:p w14:paraId="682CA978">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146E5EED">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693C6703">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4D48D1C7">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p>
    <w:p w14:paraId="7DA4AA8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312E610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B4CD95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2E3B380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14 最后报价构成表（如有，实质性格式，磋商后提交）</w:t>
      </w:r>
    </w:p>
    <w:p w14:paraId="30E202D8">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14-1最终报价中分包情况说明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7080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6993F42E">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6C0B6F23">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0DB3772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38EF845D">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拟分包合同金额</w:t>
            </w:r>
          </w:p>
          <w:p w14:paraId="57B5B229">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5B5D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12D046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5B2300B3">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68DEC6DD">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45800572">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6CC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4FEC24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2C70AEFC">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79F5B70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627CBF85">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B0B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450A47E3">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3674B60B">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36789106">
            <w:pPr>
              <w:pStyle w:val="247"/>
              <w:pageBreakBefore w:val="0"/>
              <w:wordWrap w:val="0"/>
              <w:topLinePunct w:val="0"/>
              <w:bidi w:val="0"/>
              <w:spacing w:after="0" w:line="360" w:lineRule="auto"/>
              <w:jc w:val="center"/>
              <w:textAlignment w:val="auto"/>
              <w:rPr>
                <w:rFonts w:hint="eastAsia"/>
                <w:sz w:val="30"/>
                <w:highlight w:val="none"/>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4A606287">
            <w:pPr>
              <w:pStyle w:val="247"/>
              <w:pageBreakBefore w:val="0"/>
              <w:wordWrap w:val="0"/>
              <w:topLinePunct w:val="0"/>
              <w:bidi w:val="0"/>
              <w:spacing w:after="0" w:line="360" w:lineRule="auto"/>
              <w:jc w:val="center"/>
              <w:textAlignment w:val="auto"/>
              <w:rPr>
                <w:rFonts w:hint="eastAsia"/>
                <w:sz w:val="30"/>
                <w:highlight w:val="none"/>
              </w:rPr>
            </w:pPr>
          </w:p>
        </w:tc>
      </w:tr>
      <w:tr w14:paraId="2017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0D3FEE1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689E6862">
            <w:pPr>
              <w:pStyle w:val="247"/>
              <w:pageBreakBefore w:val="0"/>
              <w:wordWrap w:val="0"/>
              <w:topLinePunct w:val="0"/>
              <w:bidi w:val="0"/>
              <w:spacing w:after="0" w:line="360" w:lineRule="auto"/>
              <w:jc w:val="center"/>
              <w:textAlignment w:val="auto"/>
              <w:rPr>
                <w:rFonts w:hint="eastAsia"/>
                <w:sz w:val="30"/>
                <w:highlight w:val="none"/>
              </w:rPr>
            </w:pPr>
          </w:p>
        </w:tc>
      </w:tr>
    </w:tbl>
    <w:p w14:paraId="3D70619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14-2联合体最终报价情况说明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7B5D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B5DF85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7F0BEFF2">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080123C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2EC675B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0E9EC0F4">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22FD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C736D8D">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333E8EF8">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1FF8448">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42827CDF">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475F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B4481AB">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3E2F7A7A">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E7A6FD0">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7A206210">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68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23D25CB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583BB7A3">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600DC48">
            <w:pPr>
              <w:pStyle w:val="247"/>
              <w:pageBreakBefore w:val="0"/>
              <w:wordWrap w:val="0"/>
              <w:topLinePunct w:val="0"/>
              <w:bidi w:val="0"/>
              <w:spacing w:after="0" w:line="360" w:lineRule="auto"/>
              <w:jc w:val="center"/>
              <w:textAlignment w:val="auto"/>
              <w:rPr>
                <w:rFonts w:hint="eastAsia"/>
                <w:sz w:val="30"/>
                <w:highlight w:val="none"/>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A0F777E">
            <w:pPr>
              <w:pStyle w:val="247"/>
              <w:pageBreakBefore w:val="0"/>
              <w:wordWrap w:val="0"/>
              <w:topLinePunct w:val="0"/>
              <w:bidi w:val="0"/>
              <w:spacing w:after="0" w:line="360" w:lineRule="auto"/>
              <w:jc w:val="center"/>
              <w:textAlignment w:val="auto"/>
              <w:rPr>
                <w:rFonts w:hint="eastAsia"/>
                <w:sz w:val="30"/>
                <w:highlight w:val="none"/>
              </w:rPr>
            </w:pPr>
          </w:p>
        </w:tc>
      </w:tr>
      <w:tr w14:paraId="69EB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27AB9CD8">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7DACD16C">
            <w:pPr>
              <w:pStyle w:val="247"/>
              <w:pageBreakBefore w:val="0"/>
              <w:wordWrap w:val="0"/>
              <w:topLinePunct w:val="0"/>
              <w:bidi w:val="0"/>
              <w:spacing w:after="0" w:line="360" w:lineRule="auto"/>
              <w:jc w:val="center"/>
              <w:textAlignment w:val="auto"/>
              <w:rPr>
                <w:rFonts w:hint="eastAsia"/>
                <w:sz w:val="30"/>
                <w:highlight w:val="none"/>
              </w:rPr>
            </w:pPr>
          </w:p>
        </w:tc>
      </w:tr>
    </w:tbl>
    <w:p w14:paraId="7BC2E59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7EEF35C9">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2.供应商可根据自身响应实际情况，选择一种表格填报提交即可。</w:t>
      </w:r>
    </w:p>
    <w:p w14:paraId="39EF4F2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3.本表应按包分别填写。</w:t>
      </w:r>
    </w:p>
    <w:p w14:paraId="2CBBD9F1">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4.此表无需在响应文件中提交，磋商后供应商按磋商小组要求提交。</w:t>
      </w:r>
    </w:p>
    <w:p w14:paraId="3DA4BF6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kern w:val="0"/>
          <w:sz w:val="24"/>
          <w:highlight w:val="none"/>
        </w:rPr>
      </w:pPr>
    </w:p>
    <w:p w14:paraId="7450A05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54254C4E">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sectPr>
      <w:pgSz w:w="11905" w:h="16838"/>
      <w:pgMar w:top="1474" w:right="1474" w:bottom="1474" w:left="1474" w:header="850"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FB7F">
    <w:pPr>
      <w:pStyle w:val="29"/>
      <w:jc w:val="center"/>
    </w:pPr>
    <w:r>
      <w:fldChar w:fldCharType="begin"/>
    </w:r>
    <w:r>
      <w:instrText xml:space="preserve">PAGE   \* MERGEFORMAT</w:instrText>
    </w:r>
    <w:r>
      <w:fldChar w:fldCharType="separate"/>
    </w:r>
    <w:r>
      <w:rPr>
        <w:lang w:val="zh-CN"/>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AB3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1B418A1">
    <w:pPr>
      <w:pStyle w:val="29"/>
      <w:ind w:right="360"/>
    </w:pPr>
  </w:p>
  <w:p w14:paraId="75217C1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007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2D1">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9AC10">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69AC10">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65A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18C4AF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2B8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D65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F1D0D">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DF1D0D">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72FC">
    <w:pPr>
      <w:pStyle w:val="29"/>
      <w:jc w:val="center"/>
    </w:pPr>
    <w:r>
      <w:fldChar w:fldCharType="begin"/>
    </w:r>
    <w:r>
      <w:instrText xml:space="preserve"> PAGE   \* MERGEFORMAT </w:instrText>
    </w:r>
    <w:r>
      <w:fldChar w:fldCharType="separate"/>
    </w:r>
    <w:r>
      <w:rPr>
        <w:lang w:val="zh-CN"/>
      </w:rPr>
      <w:t>267</w:t>
    </w:r>
    <w:r>
      <w:rPr>
        <w:lang w:val="zh-CN"/>
      </w:rPr>
      <w:fldChar w:fldCharType="end"/>
    </w:r>
  </w:p>
  <w:p w14:paraId="72910775">
    <w:pPr>
      <w:pStyle w:val="29"/>
      <w:tabs>
        <w:tab w:val="left" w:pos="4668"/>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6CC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C8909">
                          <w:pPr>
                            <w:pStyle w:val="2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47C8909">
                    <w:pPr>
                      <w:pStyle w:val="2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F12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8075E2D">
    <w:pPr>
      <w:pStyle w:val="29"/>
      <w:ind w:right="360"/>
    </w:pPr>
  </w:p>
  <w:p w14:paraId="5DB4CB9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7AE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4C72">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3310">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950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AE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1E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63F7">
    <w:pPr>
      <w:pStyle w:val="30"/>
      <w:pBdr>
        <w:bottom w:val="thinThickSmallGap" w:color="auto" w:sz="12" w:space="2"/>
      </w:pBdr>
      <w:ind w:left="400"/>
      <w:jc w:val="left"/>
      <w:rPr>
        <w:shd w:val="clear" w:color="auto" w:fill="FFFFFF"/>
      </w:rPr>
    </w:pPr>
    <w:r>
      <w:rPr>
        <w:rFonts w:hint="eastAsia"/>
        <w:shd w:val="clear" w:color="auto" w:fill="FFFFFF"/>
      </w:rPr>
      <w:t>.</w:t>
    </w:r>
    <w:r>
      <w:rPr>
        <w:shd w:val="clear" w:color="auto" w:fill="FFFFFF"/>
      </w:rPr>
      <w:fldChar w:fldCharType="begin"/>
    </w:r>
    <w:r>
      <w:rPr>
        <w:shd w:val="clear" w:color="auto" w:fill="FFFFFF"/>
      </w:rPr>
      <w:instrText xml:space="preserve">PAGE   \* MERGEFORMAT</w:instrText>
    </w:r>
    <w:r>
      <w:rPr>
        <w:shd w:val="clear" w:color="auto" w:fill="FFFFFF"/>
      </w:rPr>
      <w:fldChar w:fldCharType="separate"/>
    </w:r>
    <w:r>
      <w:rPr>
        <w:bCs/>
        <w:shd w:val="clear" w:color="auto" w:fill="FFFFFF"/>
      </w:rPr>
      <w:t>6</w:t>
    </w:r>
    <w:r>
      <w:rPr>
        <w:bCs/>
        <w:shd w:val="clear" w:color="auto" w:fill="FFFFFF"/>
      </w:rPr>
      <w:fldChar w:fldCharType="end"/>
    </w:r>
    <w:r>
      <w:rPr>
        <w:rFonts w:hint="eastAsia"/>
        <w:shd w:val="clear" w:color="auto" w:fill="FFFFFF"/>
      </w:rPr>
      <w:t>.</w:t>
    </w:r>
    <w:bookmarkStart w:id="1343" w:name="_Hlk517857777"/>
    <w:r>
      <w:rPr>
        <w:rFonts w:hint="eastAsia"/>
        <w:shd w:val="clear" w:color="auto" w:fill="FFFFFF"/>
      </w:rPr>
      <w:t>北京市房屋建筑和市政工程专业承包施工招标文件示范文本（</w:t>
    </w:r>
    <w:r>
      <w:rPr>
        <w:shd w:val="clear" w:color="auto" w:fill="FFFFFF"/>
      </w:rPr>
      <w:t>2018</w:t>
    </w:r>
    <w:r>
      <w:rPr>
        <w:rFonts w:hint="eastAsia"/>
        <w:shd w:val="clear" w:color="auto" w:fill="FFFFFF"/>
      </w:rPr>
      <w:t>版）专用部分</w:t>
    </w:r>
    <w:bookmarkEnd w:id="134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DA92">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C86F">
    <w:pPr>
      <w:pStyle w:val="30"/>
    </w:pPr>
  </w:p>
  <w:p w14:paraId="2113455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5AFD">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F695">
    <w:pPr>
      <w:pStyle w:val="30"/>
    </w:pPr>
  </w:p>
  <w:p w14:paraId="146A80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WD7NRDLaynHABAPwWAP+F0nYMlw=" w:salt="60Tz2o9Nt881L1eYU8dtXw=="/>
  <w:defaultTabStop w:val="420"/>
  <w:drawingGridHorizontalSpacing w:val="210"/>
  <w:drawingGridVerticalSpacing w:val="999999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99A"/>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E1"/>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8D7"/>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A4"/>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F6"/>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6FA5"/>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76"/>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0F6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3FBC"/>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7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8D1"/>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B4"/>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9F1"/>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03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AFE"/>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6F"/>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A5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313A8"/>
    <w:rsid w:val="01260E98"/>
    <w:rsid w:val="01303AC5"/>
    <w:rsid w:val="013B4944"/>
    <w:rsid w:val="01527EDF"/>
    <w:rsid w:val="019404F8"/>
    <w:rsid w:val="01C963F3"/>
    <w:rsid w:val="01DD3C4D"/>
    <w:rsid w:val="01EA0118"/>
    <w:rsid w:val="01EA70B3"/>
    <w:rsid w:val="01FD42EF"/>
    <w:rsid w:val="020624C0"/>
    <w:rsid w:val="021533E7"/>
    <w:rsid w:val="021A6C4F"/>
    <w:rsid w:val="021F6013"/>
    <w:rsid w:val="02301FCF"/>
    <w:rsid w:val="026003DA"/>
    <w:rsid w:val="0264611C"/>
    <w:rsid w:val="0288005D"/>
    <w:rsid w:val="029F7154"/>
    <w:rsid w:val="02C60B85"/>
    <w:rsid w:val="02FA25DD"/>
    <w:rsid w:val="030F42DA"/>
    <w:rsid w:val="03123DCA"/>
    <w:rsid w:val="03186EC8"/>
    <w:rsid w:val="03465822"/>
    <w:rsid w:val="03655CA8"/>
    <w:rsid w:val="03CC5D27"/>
    <w:rsid w:val="03DD1CE2"/>
    <w:rsid w:val="03E2379C"/>
    <w:rsid w:val="03F84D6E"/>
    <w:rsid w:val="043B1F2D"/>
    <w:rsid w:val="046225B0"/>
    <w:rsid w:val="046E3282"/>
    <w:rsid w:val="04714B20"/>
    <w:rsid w:val="04787C5D"/>
    <w:rsid w:val="048C54B6"/>
    <w:rsid w:val="049C3EFF"/>
    <w:rsid w:val="049E62A1"/>
    <w:rsid w:val="04A22F2C"/>
    <w:rsid w:val="04B62533"/>
    <w:rsid w:val="04C44C50"/>
    <w:rsid w:val="04C64E6C"/>
    <w:rsid w:val="04C759C7"/>
    <w:rsid w:val="05085485"/>
    <w:rsid w:val="05184F9C"/>
    <w:rsid w:val="05436F4F"/>
    <w:rsid w:val="05687CD1"/>
    <w:rsid w:val="058204B5"/>
    <w:rsid w:val="05B9052D"/>
    <w:rsid w:val="05F11A75"/>
    <w:rsid w:val="05FD48BE"/>
    <w:rsid w:val="06064044"/>
    <w:rsid w:val="06163BD1"/>
    <w:rsid w:val="062B7C6E"/>
    <w:rsid w:val="065B7836"/>
    <w:rsid w:val="0687062B"/>
    <w:rsid w:val="068B1EC9"/>
    <w:rsid w:val="06A411DD"/>
    <w:rsid w:val="06B07B82"/>
    <w:rsid w:val="06DF0467"/>
    <w:rsid w:val="06EB6E0C"/>
    <w:rsid w:val="070B6B66"/>
    <w:rsid w:val="070E2AFA"/>
    <w:rsid w:val="071360F1"/>
    <w:rsid w:val="07866B35"/>
    <w:rsid w:val="079F3753"/>
    <w:rsid w:val="07BC2556"/>
    <w:rsid w:val="07BE007D"/>
    <w:rsid w:val="07CD02C0"/>
    <w:rsid w:val="07D7113E"/>
    <w:rsid w:val="07F33244"/>
    <w:rsid w:val="08145EEF"/>
    <w:rsid w:val="081952B3"/>
    <w:rsid w:val="08202AE5"/>
    <w:rsid w:val="0878022B"/>
    <w:rsid w:val="08D4657B"/>
    <w:rsid w:val="08E458C1"/>
    <w:rsid w:val="08FF26FB"/>
    <w:rsid w:val="09297778"/>
    <w:rsid w:val="092D54BA"/>
    <w:rsid w:val="09475E50"/>
    <w:rsid w:val="095011A8"/>
    <w:rsid w:val="09594211"/>
    <w:rsid w:val="09664528"/>
    <w:rsid w:val="099C619C"/>
    <w:rsid w:val="09B71227"/>
    <w:rsid w:val="09B80F59"/>
    <w:rsid w:val="09EF451D"/>
    <w:rsid w:val="09F9539C"/>
    <w:rsid w:val="0A0A1357"/>
    <w:rsid w:val="0A1E12A6"/>
    <w:rsid w:val="0A3C5699"/>
    <w:rsid w:val="0A3D172D"/>
    <w:rsid w:val="0A6A0048"/>
    <w:rsid w:val="0A6D18E6"/>
    <w:rsid w:val="0A856C30"/>
    <w:rsid w:val="0A9F23E7"/>
    <w:rsid w:val="0AAF0151"/>
    <w:rsid w:val="0AF67B2D"/>
    <w:rsid w:val="0B00275A"/>
    <w:rsid w:val="0B071EAE"/>
    <w:rsid w:val="0B0D1E69"/>
    <w:rsid w:val="0B2823DD"/>
    <w:rsid w:val="0B5C5BE2"/>
    <w:rsid w:val="0B660C1A"/>
    <w:rsid w:val="0B845139"/>
    <w:rsid w:val="0B884C29"/>
    <w:rsid w:val="0BDC31C7"/>
    <w:rsid w:val="0BF202F5"/>
    <w:rsid w:val="0BFC1173"/>
    <w:rsid w:val="0C040028"/>
    <w:rsid w:val="0C142961"/>
    <w:rsid w:val="0C3E0055"/>
    <w:rsid w:val="0C476893"/>
    <w:rsid w:val="0C760F26"/>
    <w:rsid w:val="0CC25F19"/>
    <w:rsid w:val="0CD619C5"/>
    <w:rsid w:val="0CDF2F6F"/>
    <w:rsid w:val="0CEE4F60"/>
    <w:rsid w:val="0CFA1B57"/>
    <w:rsid w:val="0CFB142B"/>
    <w:rsid w:val="0CFB58CF"/>
    <w:rsid w:val="0D156991"/>
    <w:rsid w:val="0D554690"/>
    <w:rsid w:val="0DA87805"/>
    <w:rsid w:val="0DAF0B93"/>
    <w:rsid w:val="0DC14423"/>
    <w:rsid w:val="0DCE6B40"/>
    <w:rsid w:val="0DD57ECE"/>
    <w:rsid w:val="0DE85E53"/>
    <w:rsid w:val="0DF447F8"/>
    <w:rsid w:val="0DF90060"/>
    <w:rsid w:val="0E0B38F0"/>
    <w:rsid w:val="0E252C04"/>
    <w:rsid w:val="0E3C38B9"/>
    <w:rsid w:val="0E464928"/>
    <w:rsid w:val="0E59465B"/>
    <w:rsid w:val="0E67321C"/>
    <w:rsid w:val="0E884F40"/>
    <w:rsid w:val="0E8F2773"/>
    <w:rsid w:val="0EA95AE9"/>
    <w:rsid w:val="0EC86A0D"/>
    <w:rsid w:val="0EC95F88"/>
    <w:rsid w:val="0EFB3964"/>
    <w:rsid w:val="0F296723"/>
    <w:rsid w:val="0F4446C6"/>
    <w:rsid w:val="0F452E31"/>
    <w:rsid w:val="0F4B669A"/>
    <w:rsid w:val="0F4C5F6E"/>
    <w:rsid w:val="0F59068B"/>
    <w:rsid w:val="0F735BF1"/>
    <w:rsid w:val="0FCE1079"/>
    <w:rsid w:val="0FD04DF1"/>
    <w:rsid w:val="0FEC61F7"/>
    <w:rsid w:val="0FEE008E"/>
    <w:rsid w:val="0FF7237E"/>
    <w:rsid w:val="10046849"/>
    <w:rsid w:val="100827DD"/>
    <w:rsid w:val="10195736"/>
    <w:rsid w:val="10505F32"/>
    <w:rsid w:val="10525806"/>
    <w:rsid w:val="10594DE6"/>
    <w:rsid w:val="10640EFB"/>
    <w:rsid w:val="108F6A5A"/>
    <w:rsid w:val="10A818CA"/>
    <w:rsid w:val="10B10889"/>
    <w:rsid w:val="10BB33AB"/>
    <w:rsid w:val="10F1501F"/>
    <w:rsid w:val="11405FA6"/>
    <w:rsid w:val="115C2EBC"/>
    <w:rsid w:val="11916802"/>
    <w:rsid w:val="11C72224"/>
    <w:rsid w:val="11E44B84"/>
    <w:rsid w:val="11F72B09"/>
    <w:rsid w:val="121216F1"/>
    <w:rsid w:val="12176D07"/>
    <w:rsid w:val="125735A8"/>
    <w:rsid w:val="126D2DCB"/>
    <w:rsid w:val="12706417"/>
    <w:rsid w:val="128123D2"/>
    <w:rsid w:val="128C628C"/>
    <w:rsid w:val="12B04A66"/>
    <w:rsid w:val="12DC585B"/>
    <w:rsid w:val="12F2507E"/>
    <w:rsid w:val="1315735E"/>
    <w:rsid w:val="13394A5B"/>
    <w:rsid w:val="133D09EF"/>
    <w:rsid w:val="13631AD8"/>
    <w:rsid w:val="13675A6C"/>
    <w:rsid w:val="137912FC"/>
    <w:rsid w:val="137B102F"/>
    <w:rsid w:val="13AC7923"/>
    <w:rsid w:val="13C74BBE"/>
    <w:rsid w:val="13CA2663"/>
    <w:rsid w:val="13D36C5E"/>
    <w:rsid w:val="1404150D"/>
    <w:rsid w:val="1432607A"/>
    <w:rsid w:val="14353475"/>
    <w:rsid w:val="143D057B"/>
    <w:rsid w:val="14755F67"/>
    <w:rsid w:val="147F0B94"/>
    <w:rsid w:val="14951E1C"/>
    <w:rsid w:val="14A30D26"/>
    <w:rsid w:val="14BC3B96"/>
    <w:rsid w:val="14C44849"/>
    <w:rsid w:val="14E31122"/>
    <w:rsid w:val="14E76E65"/>
    <w:rsid w:val="15007F26"/>
    <w:rsid w:val="15080B89"/>
    <w:rsid w:val="15155054"/>
    <w:rsid w:val="1525173B"/>
    <w:rsid w:val="15267261"/>
    <w:rsid w:val="1528122B"/>
    <w:rsid w:val="152F25BA"/>
    <w:rsid w:val="154F4A0A"/>
    <w:rsid w:val="1565422D"/>
    <w:rsid w:val="157B75AD"/>
    <w:rsid w:val="15AC59B8"/>
    <w:rsid w:val="15C26F8A"/>
    <w:rsid w:val="15C9016D"/>
    <w:rsid w:val="15C9656A"/>
    <w:rsid w:val="15CC7E09"/>
    <w:rsid w:val="15CE1DD3"/>
    <w:rsid w:val="15E45152"/>
    <w:rsid w:val="15EA64E1"/>
    <w:rsid w:val="15F335E7"/>
    <w:rsid w:val="15FB249C"/>
    <w:rsid w:val="1609105D"/>
    <w:rsid w:val="162E461F"/>
    <w:rsid w:val="163E3107"/>
    <w:rsid w:val="16556050"/>
    <w:rsid w:val="16557DFE"/>
    <w:rsid w:val="1675224E"/>
    <w:rsid w:val="16AB3EC2"/>
    <w:rsid w:val="16D03928"/>
    <w:rsid w:val="16F413C5"/>
    <w:rsid w:val="171F21BA"/>
    <w:rsid w:val="172B6DB1"/>
    <w:rsid w:val="17312619"/>
    <w:rsid w:val="17463BEB"/>
    <w:rsid w:val="17544559"/>
    <w:rsid w:val="17577BA6"/>
    <w:rsid w:val="17740758"/>
    <w:rsid w:val="17B15508"/>
    <w:rsid w:val="17B44FF8"/>
    <w:rsid w:val="17D46287"/>
    <w:rsid w:val="17F93E0B"/>
    <w:rsid w:val="18194E5B"/>
    <w:rsid w:val="18253800"/>
    <w:rsid w:val="18297794"/>
    <w:rsid w:val="18383533"/>
    <w:rsid w:val="183879D7"/>
    <w:rsid w:val="183D4FEE"/>
    <w:rsid w:val="184D216A"/>
    <w:rsid w:val="18581E27"/>
    <w:rsid w:val="187229F5"/>
    <w:rsid w:val="188624F1"/>
    <w:rsid w:val="18890233"/>
    <w:rsid w:val="189270E7"/>
    <w:rsid w:val="19067AD5"/>
    <w:rsid w:val="19341F4D"/>
    <w:rsid w:val="19406B43"/>
    <w:rsid w:val="194128BC"/>
    <w:rsid w:val="194D2C0B"/>
    <w:rsid w:val="19744A3F"/>
    <w:rsid w:val="19A05834"/>
    <w:rsid w:val="19B808EA"/>
    <w:rsid w:val="19D76D7C"/>
    <w:rsid w:val="19D90D46"/>
    <w:rsid w:val="1A1A55E6"/>
    <w:rsid w:val="1A2024D1"/>
    <w:rsid w:val="1A270DC3"/>
    <w:rsid w:val="1A2975D8"/>
    <w:rsid w:val="1A401FFC"/>
    <w:rsid w:val="1A4E34E2"/>
    <w:rsid w:val="1A654388"/>
    <w:rsid w:val="1A75281D"/>
    <w:rsid w:val="1AB8095B"/>
    <w:rsid w:val="1ABC48F0"/>
    <w:rsid w:val="1ABD41C4"/>
    <w:rsid w:val="1ABD5F72"/>
    <w:rsid w:val="1ABF3CDF"/>
    <w:rsid w:val="1AE50ED5"/>
    <w:rsid w:val="1AE71241"/>
    <w:rsid w:val="1AFC1190"/>
    <w:rsid w:val="1B0060D2"/>
    <w:rsid w:val="1B261D69"/>
    <w:rsid w:val="1B3C158C"/>
    <w:rsid w:val="1B3F2E2B"/>
    <w:rsid w:val="1B5607CD"/>
    <w:rsid w:val="1B6A60FA"/>
    <w:rsid w:val="1B813443"/>
    <w:rsid w:val="1B8D003A"/>
    <w:rsid w:val="1B8F790E"/>
    <w:rsid w:val="1BA55384"/>
    <w:rsid w:val="1BAD5FE6"/>
    <w:rsid w:val="1BD17F27"/>
    <w:rsid w:val="1C00080C"/>
    <w:rsid w:val="1C4050AC"/>
    <w:rsid w:val="1C455CA5"/>
    <w:rsid w:val="1C694603"/>
    <w:rsid w:val="1C6A3ED7"/>
    <w:rsid w:val="1C730FDE"/>
    <w:rsid w:val="1C8925AF"/>
    <w:rsid w:val="1CB3762C"/>
    <w:rsid w:val="1CC31C11"/>
    <w:rsid w:val="1CCE26B8"/>
    <w:rsid w:val="1CCE4466"/>
    <w:rsid w:val="1CF06AD2"/>
    <w:rsid w:val="1CF163A7"/>
    <w:rsid w:val="1D2C69D2"/>
    <w:rsid w:val="1D383FD6"/>
    <w:rsid w:val="1D412E8A"/>
    <w:rsid w:val="1D4604A0"/>
    <w:rsid w:val="1D69418F"/>
    <w:rsid w:val="1D9E652E"/>
    <w:rsid w:val="1DA82F09"/>
    <w:rsid w:val="1DAA4ED3"/>
    <w:rsid w:val="1DCD471E"/>
    <w:rsid w:val="1DE859FC"/>
    <w:rsid w:val="1E075E82"/>
    <w:rsid w:val="1E18008F"/>
    <w:rsid w:val="1E7F389C"/>
    <w:rsid w:val="1E8C604D"/>
    <w:rsid w:val="1E960FB4"/>
    <w:rsid w:val="1E9D2342"/>
    <w:rsid w:val="1EAC6A29"/>
    <w:rsid w:val="1EB06519"/>
    <w:rsid w:val="1EC43D73"/>
    <w:rsid w:val="1ED41ADC"/>
    <w:rsid w:val="1ED85A70"/>
    <w:rsid w:val="1F0E1492"/>
    <w:rsid w:val="1F150595"/>
    <w:rsid w:val="1F1B770B"/>
    <w:rsid w:val="1F3C7DAD"/>
    <w:rsid w:val="1F6E6131"/>
    <w:rsid w:val="1F861028"/>
    <w:rsid w:val="1F86727A"/>
    <w:rsid w:val="1F9951FF"/>
    <w:rsid w:val="1FDC50EC"/>
    <w:rsid w:val="1FF561AE"/>
    <w:rsid w:val="20124432"/>
    <w:rsid w:val="201E16E6"/>
    <w:rsid w:val="202076CF"/>
    <w:rsid w:val="20397555"/>
    <w:rsid w:val="207F2647"/>
    <w:rsid w:val="208E288A"/>
    <w:rsid w:val="208F03B0"/>
    <w:rsid w:val="20BD316F"/>
    <w:rsid w:val="20C20786"/>
    <w:rsid w:val="20D3029D"/>
    <w:rsid w:val="20D364EF"/>
    <w:rsid w:val="20D81D57"/>
    <w:rsid w:val="20E97AC1"/>
    <w:rsid w:val="20EA55E7"/>
    <w:rsid w:val="21333432"/>
    <w:rsid w:val="213A031C"/>
    <w:rsid w:val="213C560E"/>
    <w:rsid w:val="21C1390C"/>
    <w:rsid w:val="21EB1616"/>
    <w:rsid w:val="21F735E1"/>
    <w:rsid w:val="22275183"/>
    <w:rsid w:val="222F1E4B"/>
    <w:rsid w:val="224F429B"/>
    <w:rsid w:val="225C60FA"/>
    <w:rsid w:val="22791318"/>
    <w:rsid w:val="2298377C"/>
    <w:rsid w:val="22BB548D"/>
    <w:rsid w:val="22C500B9"/>
    <w:rsid w:val="22D402FC"/>
    <w:rsid w:val="22EF3388"/>
    <w:rsid w:val="22F822B9"/>
    <w:rsid w:val="231A0405"/>
    <w:rsid w:val="23386ADD"/>
    <w:rsid w:val="23623B5A"/>
    <w:rsid w:val="2369313B"/>
    <w:rsid w:val="238E494F"/>
    <w:rsid w:val="239E00B4"/>
    <w:rsid w:val="23B23B5F"/>
    <w:rsid w:val="23D83E1C"/>
    <w:rsid w:val="240510B5"/>
    <w:rsid w:val="245A2A83"/>
    <w:rsid w:val="245E4322"/>
    <w:rsid w:val="248D4C07"/>
    <w:rsid w:val="249E0BC2"/>
    <w:rsid w:val="24B46637"/>
    <w:rsid w:val="24D07C50"/>
    <w:rsid w:val="250E5D48"/>
    <w:rsid w:val="25140E84"/>
    <w:rsid w:val="251E74A4"/>
    <w:rsid w:val="25275F7D"/>
    <w:rsid w:val="252E056F"/>
    <w:rsid w:val="25590984"/>
    <w:rsid w:val="255D3476"/>
    <w:rsid w:val="25651981"/>
    <w:rsid w:val="258B35B3"/>
    <w:rsid w:val="25AC730F"/>
    <w:rsid w:val="25B34B41"/>
    <w:rsid w:val="25BF7042"/>
    <w:rsid w:val="25E940BF"/>
    <w:rsid w:val="25F52A64"/>
    <w:rsid w:val="26154EB4"/>
    <w:rsid w:val="261D1FBA"/>
    <w:rsid w:val="262339B3"/>
    <w:rsid w:val="262B2929"/>
    <w:rsid w:val="26527EB6"/>
    <w:rsid w:val="265453B2"/>
    <w:rsid w:val="26647BE9"/>
    <w:rsid w:val="2666570F"/>
    <w:rsid w:val="266876DA"/>
    <w:rsid w:val="26926505"/>
    <w:rsid w:val="26AA1AA0"/>
    <w:rsid w:val="26D44D6F"/>
    <w:rsid w:val="26D92385"/>
    <w:rsid w:val="26DE4A87"/>
    <w:rsid w:val="26E86A6C"/>
    <w:rsid w:val="26F176CF"/>
    <w:rsid w:val="27084A19"/>
    <w:rsid w:val="270D202F"/>
    <w:rsid w:val="274E68CF"/>
    <w:rsid w:val="2755685C"/>
    <w:rsid w:val="2765535C"/>
    <w:rsid w:val="27843CE5"/>
    <w:rsid w:val="278542BB"/>
    <w:rsid w:val="27897907"/>
    <w:rsid w:val="278C73F8"/>
    <w:rsid w:val="27910EB2"/>
    <w:rsid w:val="27962024"/>
    <w:rsid w:val="27B32BD6"/>
    <w:rsid w:val="27B4707A"/>
    <w:rsid w:val="27CE1D41"/>
    <w:rsid w:val="27DD7C53"/>
    <w:rsid w:val="27DF5779"/>
    <w:rsid w:val="27E92A9C"/>
    <w:rsid w:val="27EC0D45"/>
    <w:rsid w:val="28017DE6"/>
    <w:rsid w:val="280478D6"/>
    <w:rsid w:val="280E605F"/>
    <w:rsid w:val="285A74F6"/>
    <w:rsid w:val="286D0FD7"/>
    <w:rsid w:val="288D3427"/>
    <w:rsid w:val="28CF62FC"/>
    <w:rsid w:val="28D64DCE"/>
    <w:rsid w:val="28E31299"/>
    <w:rsid w:val="28F2772E"/>
    <w:rsid w:val="29057462"/>
    <w:rsid w:val="29192F0D"/>
    <w:rsid w:val="291F1B43"/>
    <w:rsid w:val="29325D7D"/>
    <w:rsid w:val="29341449"/>
    <w:rsid w:val="2973261D"/>
    <w:rsid w:val="297B5976"/>
    <w:rsid w:val="29C235A5"/>
    <w:rsid w:val="29C76E0D"/>
    <w:rsid w:val="29EB69CB"/>
    <w:rsid w:val="29F319B0"/>
    <w:rsid w:val="29FF0355"/>
    <w:rsid w:val="2A1831C5"/>
    <w:rsid w:val="2A1C2CB5"/>
    <w:rsid w:val="2A4B359A"/>
    <w:rsid w:val="2A4D10C0"/>
    <w:rsid w:val="2A5563FD"/>
    <w:rsid w:val="2A7D4187"/>
    <w:rsid w:val="2AB50D09"/>
    <w:rsid w:val="2AD03A9F"/>
    <w:rsid w:val="2AD27817"/>
    <w:rsid w:val="2AFE060C"/>
    <w:rsid w:val="2B053749"/>
    <w:rsid w:val="2B3E4EAD"/>
    <w:rsid w:val="2B4029D3"/>
    <w:rsid w:val="2B54663C"/>
    <w:rsid w:val="2B724B56"/>
    <w:rsid w:val="2BBF5C96"/>
    <w:rsid w:val="2BC74EA2"/>
    <w:rsid w:val="2BD82C0B"/>
    <w:rsid w:val="2BDA4F78"/>
    <w:rsid w:val="2BDA67DF"/>
    <w:rsid w:val="2BF5596C"/>
    <w:rsid w:val="2BFA5278"/>
    <w:rsid w:val="2C2E4F21"/>
    <w:rsid w:val="2C300CD1"/>
    <w:rsid w:val="2C3818FC"/>
    <w:rsid w:val="2C412EA7"/>
    <w:rsid w:val="2C4402A1"/>
    <w:rsid w:val="2C610E53"/>
    <w:rsid w:val="2C66290D"/>
    <w:rsid w:val="2C697D08"/>
    <w:rsid w:val="2C75051B"/>
    <w:rsid w:val="2CA62D0A"/>
    <w:rsid w:val="2CC82C80"/>
    <w:rsid w:val="2CC94C4A"/>
    <w:rsid w:val="2CDE06F5"/>
    <w:rsid w:val="2CF75313"/>
    <w:rsid w:val="2D12039F"/>
    <w:rsid w:val="2D1C0C0C"/>
    <w:rsid w:val="2D481418"/>
    <w:rsid w:val="2D5704A8"/>
    <w:rsid w:val="2D8748E9"/>
    <w:rsid w:val="2D8B00C8"/>
    <w:rsid w:val="2D9139BA"/>
    <w:rsid w:val="2DB72CF5"/>
    <w:rsid w:val="2DC84F02"/>
    <w:rsid w:val="2DEE2BBA"/>
    <w:rsid w:val="2E051CB2"/>
    <w:rsid w:val="2E0E0B66"/>
    <w:rsid w:val="2E104BCF"/>
    <w:rsid w:val="2E156399"/>
    <w:rsid w:val="2E2A1718"/>
    <w:rsid w:val="2E2C36E3"/>
    <w:rsid w:val="2E33681F"/>
    <w:rsid w:val="2E3D144C"/>
    <w:rsid w:val="2E3F51C4"/>
    <w:rsid w:val="2E70537D"/>
    <w:rsid w:val="2EA52121"/>
    <w:rsid w:val="2EB84F76"/>
    <w:rsid w:val="2EE376E6"/>
    <w:rsid w:val="2F03389D"/>
    <w:rsid w:val="2F177EEF"/>
    <w:rsid w:val="2F6B1FE9"/>
    <w:rsid w:val="2F7470EF"/>
    <w:rsid w:val="2FD8767E"/>
    <w:rsid w:val="30006BD5"/>
    <w:rsid w:val="30010B15"/>
    <w:rsid w:val="30093CDB"/>
    <w:rsid w:val="30191A45"/>
    <w:rsid w:val="3029612C"/>
    <w:rsid w:val="30395C43"/>
    <w:rsid w:val="306A22A0"/>
    <w:rsid w:val="30717AD3"/>
    <w:rsid w:val="30990960"/>
    <w:rsid w:val="30A457B2"/>
    <w:rsid w:val="30B01126"/>
    <w:rsid w:val="30DD6F16"/>
    <w:rsid w:val="31046251"/>
    <w:rsid w:val="312468F3"/>
    <w:rsid w:val="31280F0C"/>
    <w:rsid w:val="31336B36"/>
    <w:rsid w:val="31400623"/>
    <w:rsid w:val="3148438F"/>
    <w:rsid w:val="3183186B"/>
    <w:rsid w:val="31927D00"/>
    <w:rsid w:val="31944FEB"/>
    <w:rsid w:val="31B00187"/>
    <w:rsid w:val="31D420C7"/>
    <w:rsid w:val="32116E77"/>
    <w:rsid w:val="32144BB9"/>
    <w:rsid w:val="322D17D7"/>
    <w:rsid w:val="32554A80"/>
    <w:rsid w:val="325D20BC"/>
    <w:rsid w:val="32650F71"/>
    <w:rsid w:val="32CE6B16"/>
    <w:rsid w:val="32E14A9C"/>
    <w:rsid w:val="32EB653A"/>
    <w:rsid w:val="32EE71B8"/>
    <w:rsid w:val="32F02F31"/>
    <w:rsid w:val="32F26CA9"/>
    <w:rsid w:val="32F50547"/>
    <w:rsid w:val="332E1CAB"/>
    <w:rsid w:val="33613E2E"/>
    <w:rsid w:val="336A2CE3"/>
    <w:rsid w:val="337D69FA"/>
    <w:rsid w:val="338418CB"/>
    <w:rsid w:val="33CF2B46"/>
    <w:rsid w:val="33DC34B5"/>
    <w:rsid w:val="33F001AC"/>
    <w:rsid w:val="34050F42"/>
    <w:rsid w:val="34056568"/>
    <w:rsid w:val="34160775"/>
    <w:rsid w:val="344572AC"/>
    <w:rsid w:val="346314E0"/>
    <w:rsid w:val="34675474"/>
    <w:rsid w:val="346F60D7"/>
    <w:rsid w:val="34757B91"/>
    <w:rsid w:val="34781430"/>
    <w:rsid w:val="34802092"/>
    <w:rsid w:val="34A2025B"/>
    <w:rsid w:val="34AC10D9"/>
    <w:rsid w:val="34C208FD"/>
    <w:rsid w:val="34CC3529"/>
    <w:rsid w:val="34D05CDE"/>
    <w:rsid w:val="34D10B40"/>
    <w:rsid w:val="34DF14AF"/>
    <w:rsid w:val="34E42621"/>
    <w:rsid w:val="35154ED0"/>
    <w:rsid w:val="351729F7"/>
    <w:rsid w:val="351C000D"/>
    <w:rsid w:val="35417A73"/>
    <w:rsid w:val="35633F7F"/>
    <w:rsid w:val="359A6C78"/>
    <w:rsid w:val="35D83DA9"/>
    <w:rsid w:val="35E46651"/>
    <w:rsid w:val="35EA010B"/>
    <w:rsid w:val="35ED7BFB"/>
    <w:rsid w:val="35FE7442"/>
    <w:rsid w:val="36301896"/>
    <w:rsid w:val="36541A28"/>
    <w:rsid w:val="3660217B"/>
    <w:rsid w:val="366C0B20"/>
    <w:rsid w:val="36743E79"/>
    <w:rsid w:val="367E6AA5"/>
    <w:rsid w:val="3683176F"/>
    <w:rsid w:val="369462C9"/>
    <w:rsid w:val="36C26992"/>
    <w:rsid w:val="36C3270A"/>
    <w:rsid w:val="36C50230"/>
    <w:rsid w:val="36C77679"/>
    <w:rsid w:val="36DE12F2"/>
    <w:rsid w:val="36E27034"/>
    <w:rsid w:val="36F079A3"/>
    <w:rsid w:val="36F77460"/>
    <w:rsid w:val="3709636F"/>
    <w:rsid w:val="370E1BD7"/>
    <w:rsid w:val="370E7E29"/>
    <w:rsid w:val="373A29CC"/>
    <w:rsid w:val="379540A7"/>
    <w:rsid w:val="37AB1B1C"/>
    <w:rsid w:val="37B61ECD"/>
    <w:rsid w:val="37B81B43"/>
    <w:rsid w:val="37BC7885"/>
    <w:rsid w:val="37CD3474"/>
    <w:rsid w:val="37DD1C56"/>
    <w:rsid w:val="37DE77FC"/>
    <w:rsid w:val="37E868CC"/>
    <w:rsid w:val="37F44976"/>
    <w:rsid w:val="37FE7E9E"/>
    <w:rsid w:val="382275F5"/>
    <w:rsid w:val="384855BD"/>
    <w:rsid w:val="38507FCD"/>
    <w:rsid w:val="38514471"/>
    <w:rsid w:val="38563836"/>
    <w:rsid w:val="38804D57"/>
    <w:rsid w:val="38C05153"/>
    <w:rsid w:val="38CA7D80"/>
    <w:rsid w:val="38D64977"/>
    <w:rsid w:val="38E76B84"/>
    <w:rsid w:val="38F2694B"/>
    <w:rsid w:val="39033292"/>
    <w:rsid w:val="390C1745"/>
    <w:rsid w:val="39335925"/>
    <w:rsid w:val="3958538C"/>
    <w:rsid w:val="395A1104"/>
    <w:rsid w:val="39627FB8"/>
    <w:rsid w:val="397228F1"/>
    <w:rsid w:val="397C551E"/>
    <w:rsid w:val="39861EF9"/>
    <w:rsid w:val="398E5251"/>
    <w:rsid w:val="399F7A72"/>
    <w:rsid w:val="39A70B0F"/>
    <w:rsid w:val="39AD3929"/>
    <w:rsid w:val="39EA2D8B"/>
    <w:rsid w:val="39F8091D"/>
    <w:rsid w:val="3A0B4AF4"/>
    <w:rsid w:val="3A821748"/>
    <w:rsid w:val="3AB900AC"/>
    <w:rsid w:val="3ACC4283"/>
    <w:rsid w:val="3AD15273"/>
    <w:rsid w:val="3AE72E6B"/>
    <w:rsid w:val="3AEC222F"/>
    <w:rsid w:val="3AFB2473"/>
    <w:rsid w:val="3B2A0FAA"/>
    <w:rsid w:val="3B334302"/>
    <w:rsid w:val="3B381919"/>
    <w:rsid w:val="3B3B4F65"/>
    <w:rsid w:val="3B5F6EA5"/>
    <w:rsid w:val="3B602C1D"/>
    <w:rsid w:val="3B611832"/>
    <w:rsid w:val="3B8B7C9A"/>
    <w:rsid w:val="3BA5090C"/>
    <w:rsid w:val="3BA90120"/>
    <w:rsid w:val="3BA96372"/>
    <w:rsid w:val="3BC1190E"/>
    <w:rsid w:val="3BCB0097"/>
    <w:rsid w:val="3BCB6780"/>
    <w:rsid w:val="3BD322AF"/>
    <w:rsid w:val="3BDA477E"/>
    <w:rsid w:val="3C487939"/>
    <w:rsid w:val="3C5E715D"/>
    <w:rsid w:val="3C6504EB"/>
    <w:rsid w:val="3CA134EE"/>
    <w:rsid w:val="3CC21B20"/>
    <w:rsid w:val="3D08531B"/>
    <w:rsid w:val="3D0D2931"/>
    <w:rsid w:val="3D0F2205"/>
    <w:rsid w:val="3D255363"/>
    <w:rsid w:val="3D2A6394"/>
    <w:rsid w:val="3D597924"/>
    <w:rsid w:val="3D6A7650"/>
    <w:rsid w:val="3DA45043"/>
    <w:rsid w:val="3DBA6615"/>
    <w:rsid w:val="3DD516A1"/>
    <w:rsid w:val="3DE25B6C"/>
    <w:rsid w:val="3DF5764D"/>
    <w:rsid w:val="3E3143FD"/>
    <w:rsid w:val="3E530817"/>
    <w:rsid w:val="3EA572C5"/>
    <w:rsid w:val="3EC7672F"/>
    <w:rsid w:val="3ECD05CA"/>
    <w:rsid w:val="3ED71FF0"/>
    <w:rsid w:val="3F253D28"/>
    <w:rsid w:val="3F32189E"/>
    <w:rsid w:val="3F476B9F"/>
    <w:rsid w:val="3F5356B7"/>
    <w:rsid w:val="3F584337"/>
    <w:rsid w:val="3F743FC9"/>
    <w:rsid w:val="3F9335C1"/>
    <w:rsid w:val="3FAE3F57"/>
    <w:rsid w:val="3FC63871"/>
    <w:rsid w:val="3FE91433"/>
    <w:rsid w:val="3FF5F3AE"/>
    <w:rsid w:val="3FFA53EF"/>
    <w:rsid w:val="3FFA719D"/>
    <w:rsid w:val="40240823"/>
    <w:rsid w:val="403A57EB"/>
    <w:rsid w:val="403E0931"/>
    <w:rsid w:val="40416B7A"/>
    <w:rsid w:val="40442B0E"/>
    <w:rsid w:val="405F5252"/>
    <w:rsid w:val="407056B1"/>
    <w:rsid w:val="4077259B"/>
    <w:rsid w:val="40A13ABC"/>
    <w:rsid w:val="40A315E2"/>
    <w:rsid w:val="40AC39CF"/>
    <w:rsid w:val="40AF61D9"/>
    <w:rsid w:val="40BA4B7E"/>
    <w:rsid w:val="40CF687B"/>
    <w:rsid w:val="40F0234E"/>
    <w:rsid w:val="40F025E8"/>
    <w:rsid w:val="40F736DC"/>
    <w:rsid w:val="40FD49D1"/>
    <w:rsid w:val="41474664"/>
    <w:rsid w:val="414F176A"/>
    <w:rsid w:val="41566655"/>
    <w:rsid w:val="418A4550"/>
    <w:rsid w:val="418D5DEE"/>
    <w:rsid w:val="41AA69A0"/>
    <w:rsid w:val="41C4346C"/>
    <w:rsid w:val="41F93484"/>
    <w:rsid w:val="41FF0A9A"/>
    <w:rsid w:val="42254279"/>
    <w:rsid w:val="42446DF5"/>
    <w:rsid w:val="426052B1"/>
    <w:rsid w:val="42733236"/>
    <w:rsid w:val="4278084D"/>
    <w:rsid w:val="428B0083"/>
    <w:rsid w:val="42903DE8"/>
    <w:rsid w:val="429C09DF"/>
    <w:rsid w:val="429C278D"/>
    <w:rsid w:val="42C13A57"/>
    <w:rsid w:val="42CD0A98"/>
    <w:rsid w:val="42D27F5D"/>
    <w:rsid w:val="42DA5063"/>
    <w:rsid w:val="42DB6C41"/>
    <w:rsid w:val="431A0C09"/>
    <w:rsid w:val="432F1853"/>
    <w:rsid w:val="432F3601"/>
    <w:rsid w:val="433C5D1E"/>
    <w:rsid w:val="43540139"/>
    <w:rsid w:val="43727992"/>
    <w:rsid w:val="439A302D"/>
    <w:rsid w:val="43A044FF"/>
    <w:rsid w:val="43BD6E5F"/>
    <w:rsid w:val="43C04259"/>
    <w:rsid w:val="43EC504E"/>
    <w:rsid w:val="441A7E0D"/>
    <w:rsid w:val="442944F4"/>
    <w:rsid w:val="444F55DD"/>
    <w:rsid w:val="445448B1"/>
    <w:rsid w:val="447A2AD1"/>
    <w:rsid w:val="44A122DD"/>
    <w:rsid w:val="44AB4F09"/>
    <w:rsid w:val="44DF2E05"/>
    <w:rsid w:val="4517434D"/>
    <w:rsid w:val="451A5BEB"/>
    <w:rsid w:val="45392515"/>
    <w:rsid w:val="453B5A2B"/>
    <w:rsid w:val="4574179F"/>
    <w:rsid w:val="45864B7E"/>
    <w:rsid w:val="45921C25"/>
    <w:rsid w:val="45A51959"/>
    <w:rsid w:val="45BE0C6C"/>
    <w:rsid w:val="461D5993"/>
    <w:rsid w:val="462D5BC5"/>
    <w:rsid w:val="46340F2E"/>
    <w:rsid w:val="46362EF9"/>
    <w:rsid w:val="463D4287"/>
    <w:rsid w:val="46476EB4"/>
    <w:rsid w:val="464E0242"/>
    <w:rsid w:val="466435C2"/>
    <w:rsid w:val="46A00372"/>
    <w:rsid w:val="46BF4C9C"/>
    <w:rsid w:val="46C202E8"/>
    <w:rsid w:val="46EE10DD"/>
    <w:rsid w:val="47022DDB"/>
    <w:rsid w:val="47060B1D"/>
    <w:rsid w:val="4710374A"/>
    <w:rsid w:val="475E44B5"/>
    <w:rsid w:val="475F022D"/>
    <w:rsid w:val="478B587E"/>
    <w:rsid w:val="479C4FDD"/>
    <w:rsid w:val="479E0D55"/>
    <w:rsid w:val="47A125F4"/>
    <w:rsid w:val="47D227AD"/>
    <w:rsid w:val="47E250E6"/>
    <w:rsid w:val="47E349BA"/>
    <w:rsid w:val="47F15329"/>
    <w:rsid w:val="48021483"/>
    <w:rsid w:val="480E2158"/>
    <w:rsid w:val="482079BC"/>
    <w:rsid w:val="48384D06"/>
    <w:rsid w:val="483B65A4"/>
    <w:rsid w:val="48480CC1"/>
    <w:rsid w:val="485853A8"/>
    <w:rsid w:val="486024AF"/>
    <w:rsid w:val="48684BFE"/>
    <w:rsid w:val="48B16866"/>
    <w:rsid w:val="48C12F4D"/>
    <w:rsid w:val="48C52312"/>
    <w:rsid w:val="48C90054"/>
    <w:rsid w:val="48FC21D7"/>
    <w:rsid w:val="490966A2"/>
    <w:rsid w:val="490E3CB9"/>
    <w:rsid w:val="492C413F"/>
    <w:rsid w:val="49351245"/>
    <w:rsid w:val="49366D6C"/>
    <w:rsid w:val="496514F4"/>
    <w:rsid w:val="4968130F"/>
    <w:rsid w:val="49731D6E"/>
    <w:rsid w:val="49B26D3A"/>
    <w:rsid w:val="49CD147E"/>
    <w:rsid w:val="49F17862"/>
    <w:rsid w:val="4A064EEE"/>
    <w:rsid w:val="4A203CA4"/>
    <w:rsid w:val="4A930919"/>
    <w:rsid w:val="4A9B5A20"/>
    <w:rsid w:val="4AC7411F"/>
    <w:rsid w:val="4AEB42B2"/>
    <w:rsid w:val="4AEC002A"/>
    <w:rsid w:val="4B007631"/>
    <w:rsid w:val="4B241572"/>
    <w:rsid w:val="4B263F96"/>
    <w:rsid w:val="4B3053A6"/>
    <w:rsid w:val="4B407F2F"/>
    <w:rsid w:val="4B425E9C"/>
    <w:rsid w:val="4B65373A"/>
    <w:rsid w:val="4B6D116B"/>
    <w:rsid w:val="4B7047B7"/>
    <w:rsid w:val="4B7F49FA"/>
    <w:rsid w:val="4B83273C"/>
    <w:rsid w:val="4B920BD1"/>
    <w:rsid w:val="4B9A0F31"/>
    <w:rsid w:val="4BB943B0"/>
    <w:rsid w:val="4BC92119"/>
    <w:rsid w:val="4BC93EC7"/>
    <w:rsid w:val="4BD74836"/>
    <w:rsid w:val="4BDC009E"/>
    <w:rsid w:val="4BE56F53"/>
    <w:rsid w:val="4BEF1B80"/>
    <w:rsid w:val="4C03387D"/>
    <w:rsid w:val="4C0F3FD0"/>
    <w:rsid w:val="4C1930A0"/>
    <w:rsid w:val="4C371778"/>
    <w:rsid w:val="4C4243A5"/>
    <w:rsid w:val="4C59524B"/>
    <w:rsid w:val="4C6C1422"/>
    <w:rsid w:val="4C6D0CF6"/>
    <w:rsid w:val="4C8524E4"/>
    <w:rsid w:val="4CA87F80"/>
    <w:rsid w:val="4CE0596C"/>
    <w:rsid w:val="4CE216E4"/>
    <w:rsid w:val="4CF82CB6"/>
    <w:rsid w:val="4D00163A"/>
    <w:rsid w:val="4D4B7289"/>
    <w:rsid w:val="4D9A1FBF"/>
    <w:rsid w:val="4DB34E2F"/>
    <w:rsid w:val="4DD76D6F"/>
    <w:rsid w:val="4DDF79D2"/>
    <w:rsid w:val="4DEB281B"/>
    <w:rsid w:val="4DEB6377"/>
    <w:rsid w:val="4DF571F5"/>
    <w:rsid w:val="4E08517B"/>
    <w:rsid w:val="4E157897"/>
    <w:rsid w:val="4E261AA5"/>
    <w:rsid w:val="4E2B2C17"/>
    <w:rsid w:val="4E320449"/>
    <w:rsid w:val="4E3C4E24"/>
    <w:rsid w:val="4E3C6BD2"/>
    <w:rsid w:val="4E5818E4"/>
    <w:rsid w:val="4E8D38D2"/>
    <w:rsid w:val="4E916F1E"/>
    <w:rsid w:val="4EA76741"/>
    <w:rsid w:val="4EB8094F"/>
    <w:rsid w:val="4EDB288F"/>
    <w:rsid w:val="4EE03A01"/>
    <w:rsid w:val="4EE259CC"/>
    <w:rsid w:val="4EEE3858"/>
    <w:rsid w:val="4F02606E"/>
    <w:rsid w:val="4F0F5BE3"/>
    <w:rsid w:val="4F231B40"/>
    <w:rsid w:val="4F244236"/>
    <w:rsid w:val="4F253B0A"/>
    <w:rsid w:val="4F2A1121"/>
    <w:rsid w:val="4F2A7373"/>
    <w:rsid w:val="4F521DA4"/>
    <w:rsid w:val="4F7F35E3"/>
    <w:rsid w:val="4F8E7901"/>
    <w:rsid w:val="4F97681A"/>
    <w:rsid w:val="4FC34D5C"/>
    <w:rsid w:val="4FF83F0C"/>
    <w:rsid w:val="4FFD05E3"/>
    <w:rsid w:val="500876B4"/>
    <w:rsid w:val="500B0F52"/>
    <w:rsid w:val="501047BA"/>
    <w:rsid w:val="50210776"/>
    <w:rsid w:val="503F0BFC"/>
    <w:rsid w:val="509176A9"/>
    <w:rsid w:val="50A76ECD"/>
    <w:rsid w:val="50CF3D2E"/>
    <w:rsid w:val="50DE3365"/>
    <w:rsid w:val="5100482F"/>
    <w:rsid w:val="51022355"/>
    <w:rsid w:val="511A58F1"/>
    <w:rsid w:val="512C5624"/>
    <w:rsid w:val="512D6CA6"/>
    <w:rsid w:val="513D439B"/>
    <w:rsid w:val="514C537E"/>
    <w:rsid w:val="51532BB1"/>
    <w:rsid w:val="515E50B1"/>
    <w:rsid w:val="51A46F68"/>
    <w:rsid w:val="51A90A23"/>
    <w:rsid w:val="51B55619"/>
    <w:rsid w:val="51E23F34"/>
    <w:rsid w:val="520C2D5F"/>
    <w:rsid w:val="523522B6"/>
    <w:rsid w:val="52422029"/>
    <w:rsid w:val="527F3531"/>
    <w:rsid w:val="529C2335"/>
    <w:rsid w:val="52A35472"/>
    <w:rsid w:val="52BA27BB"/>
    <w:rsid w:val="52C8312A"/>
    <w:rsid w:val="52E361B6"/>
    <w:rsid w:val="52F201A7"/>
    <w:rsid w:val="531B5950"/>
    <w:rsid w:val="53373E0C"/>
    <w:rsid w:val="536524C3"/>
    <w:rsid w:val="537D2167"/>
    <w:rsid w:val="53AF7E46"/>
    <w:rsid w:val="53B51901"/>
    <w:rsid w:val="53BD6A07"/>
    <w:rsid w:val="53CB2ED2"/>
    <w:rsid w:val="53CE4770"/>
    <w:rsid w:val="53DF24DA"/>
    <w:rsid w:val="5438608E"/>
    <w:rsid w:val="544D1B39"/>
    <w:rsid w:val="54512191"/>
    <w:rsid w:val="54817A35"/>
    <w:rsid w:val="548412D3"/>
    <w:rsid w:val="54B27BEE"/>
    <w:rsid w:val="54CD4A28"/>
    <w:rsid w:val="54D04518"/>
    <w:rsid w:val="55032DA2"/>
    <w:rsid w:val="55040901"/>
    <w:rsid w:val="55173EF5"/>
    <w:rsid w:val="553920BD"/>
    <w:rsid w:val="5543118E"/>
    <w:rsid w:val="555B0286"/>
    <w:rsid w:val="556709D9"/>
    <w:rsid w:val="556E620B"/>
    <w:rsid w:val="558F7F2F"/>
    <w:rsid w:val="55A61974"/>
    <w:rsid w:val="55B31E70"/>
    <w:rsid w:val="55BB2B19"/>
    <w:rsid w:val="55D025B4"/>
    <w:rsid w:val="55D41DE6"/>
    <w:rsid w:val="55DA73FC"/>
    <w:rsid w:val="55F10BEA"/>
    <w:rsid w:val="56097CE2"/>
    <w:rsid w:val="560C1580"/>
    <w:rsid w:val="561641AD"/>
    <w:rsid w:val="561A3DA8"/>
    <w:rsid w:val="56665134"/>
    <w:rsid w:val="56794E67"/>
    <w:rsid w:val="567D5FDA"/>
    <w:rsid w:val="56B51C18"/>
    <w:rsid w:val="56C1236A"/>
    <w:rsid w:val="56D92565"/>
    <w:rsid w:val="56DF05DE"/>
    <w:rsid w:val="570010E5"/>
    <w:rsid w:val="571526B6"/>
    <w:rsid w:val="571A483D"/>
    <w:rsid w:val="57376AD1"/>
    <w:rsid w:val="57723665"/>
    <w:rsid w:val="57776ECD"/>
    <w:rsid w:val="57792C45"/>
    <w:rsid w:val="57996E43"/>
    <w:rsid w:val="57CC7219"/>
    <w:rsid w:val="57CF0AB7"/>
    <w:rsid w:val="57DD4F82"/>
    <w:rsid w:val="57FC6189"/>
    <w:rsid w:val="58030761"/>
    <w:rsid w:val="58195595"/>
    <w:rsid w:val="58331046"/>
    <w:rsid w:val="583A23D4"/>
    <w:rsid w:val="586631C9"/>
    <w:rsid w:val="58845D45"/>
    <w:rsid w:val="58B06B3A"/>
    <w:rsid w:val="58CE0D6F"/>
    <w:rsid w:val="58E32A6C"/>
    <w:rsid w:val="58EA21DF"/>
    <w:rsid w:val="58F20F01"/>
    <w:rsid w:val="58FB698C"/>
    <w:rsid w:val="590824D3"/>
    <w:rsid w:val="59154BEF"/>
    <w:rsid w:val="591E0896"/>
    <w:rsid w:val="5923730C"/>
    <w:rsid w:val="59367040"/>
    <w:rsid w:val="593E7CA2"/>
    <w:rsid w:val="594E239C"/>
    <w:rsid w:val="596040BD"/>
    <w:rsid w:val="596174A9"/>
    <w:rsid w:val="596811C3"/>
    <w:rsid w:val="59777658"/>
    <w:rsid w:val="597E2795"/>
    <w:rsid w:val="598A738C"/>
    <w:rsid w:val="599D22C3"/>
    <w:rsid w:val="59B85CA7"/>
    <w:rsid w:val="59C53F20"/>
    <w:rsid w:val="59EA607C"/>
    <w:rsid w:val="59F6057D"/>
    <w:rsid w:val="59FB5F47"/>
    <w:rsid w:val="5A0232D6"/>
    <w:rsid w:val="5A0A5DD6"/>
    <w:rsid w:val="5A0C1B4F"/>
    <w:rsid w:val="5A1B6236"/>
    <w:rsid w:val="5A32392B"/>
    <w:rsid w:val="5AB04BD0"/>
    <w:rsid w:val="5AB83A84"/>
    <w:rsid w:val="5AC71F19"/>
    <w:rsid w:val="5ADD39F1"/>
    <w:rsid w:val="5AE26D53"/>
    <w:rsid w:val="5AF26F96"/>
    <w:rsid w:val="5B0809A3"/>
    <w:rsid w:val="5B1038C0"/>
    <w:rsid w:val="5B196202"/>
    <w:rsid w:val="5B3D3F8A"/>
    <w:rsid w:val="5B7C4516"/>
    <w:rsid w:val="5B9718EC"/>
    <w:rsid w:val="5B9C6F02"/>
    <w:rsid w:val="5BBB7CD0"/>
    <w:rsid w:val="5BC85F49"/>
    <w:rsid w:val="5BCD17B1"/>
    <w:rsid w:val="5BD26DC8"/>
    <w:rsid w:val="5BE82147"/>
    <w:rsid w:val="5BF141C0"/>
    <w:rsid w:val="5BF22FC6"/>
    <w:rsid w:val="5BF7509C"/>
    <w:rsid w:val="5C003935"/>
    <w:rsid w:val="5C0A3512"/>
    <w:rsid w:val="5C0F2BFF"/>
    <w:rsid w:val="5C1D46E1"/>
    <w:rsid w:val="5C3B671B"/>
    <w:rsid w:val="5C3C25D8"/>
    <w:rsid w:val="5C4D7325"/>
    <w:rsid w:val="5C6E4D42"/>
    <w:rsid w:val="5C7834CB"/>
    <w:rsid w:val="5C8E7193"/>
    <w:rsid w:val="5C9C18B0"/>
    <w:rsid w:val="5CCC1A69"/>
    <w:rsid w:val="5CD31049"/>
    <w:rsid w:val="5CD41832"/>
    <w:rsid w:val="5CDD77D2"/>
    <w:rsid w:val="5CDF354A"/>
    <w:rsid w:val="5CE70651"/>
    <w:rsid w:val="5D1A4582"/>
    <w:rsid w:val="5D1F445D"/>
    <w:rsid w:val="5D2E6280"/>
    <w:rsid w:val="5D4C64CA"/>
    <w:rsid w:val="5D5A52C7"/>
    <w:rsid w:val="5D683540"/>
    <w:rsid w:val="5D8F4F70"/>
    <w:rsid w:val="5D92680F"/>
    <w:rsid w:val="5D9C768D"/>
    <w:rsid w:val="5DB03139"/>
    <w:rsid w:val="5DB20C5F"/>
    <w:rsid w:val="5DC310BE"/>
    <w:rsid w:val="5DCD7FD3"/>
    <w:rsid w:val="5DD24E5D"/>
    <w:rsid w:val="5DD5494D"/>
    <w:rsid w:val="5DD92690"/>
    <w:rsid w:val="5DF50900"/>
    <w:rsid w:val="5DFC31B0"/>
    <w:rsid w:val="5E084D23"/>
    <w:rsid w:val="5E167440"/>
    <w:rsid w:val="5E260E6F"/>
    <w:rsid w:val="5E29424F"/>
    <w:rsid w:val="5E2C27BF"/>
    <w:rsid w:val="5E6A153A"/>
    <w:rsid w:val="5E7E6D93"/>
    <w:rsid w:val="5E9A1E1F"/>
    <w:rsid w:val="5EA734E4"/>
    <w:rsid w:val="5EDD7F5D"/>
    <w:rsid w:val="5EFD0600"/>
    <w:rsid w:val="5F036867"/>
    <w:rsid w:val="5F073306"/>
    <w:rsid w:val="5F1C6CD8"/>
    <w:rsid w:val="5F2B6F1B"/>
    <w:rsid w:val="5F4678B1"/>
    <w:rsid w:val="5F585836"/>
    <w:rsid w:val="5F5F73B9"/>
    <w:rsid w:val="5F9C1BC7"/>
    <w:rsid w:val="603911C4"/>
    <w:rsid w:val="603F2269"/>
    <w:rsid w:val="60457B68"/>
    <w:rsid w:val="60600E46"/>
    <w:rsid w:val="606049A2"/>
    <w:rsid w:val="609A1FB7"/>
    <w:rsid w:val="60BE4E23"/>
    <w:rsid w:val="61077514"/>
    <w:rsid w:val="61204131"/>
    <w:rsid w:val="61300818"/>
    <w:rsid w:val="6146003C"/>
    <w:rsid w:val="61534507"/>
    <w:rsid w:val="61776447"/>
    <w:rsid w:val="617F70AA"/>
    <w:rsid w:val="618B1EF3"/>
    <w:rsid w:val="619B7808"/>
    <w:rsid w:val="61CB73F0"/>
    <w:rsid w:val="61CD42B9"/>
    <w:rsid w:val="61D10269"/>
    <w:rsid w:val="61D41430"/>
    <w:rsid w:val="61FC06FB"/>
    <w:rsid w:val="620123E4"/>
    <w:rsid w:val="621243C2"/>
    <w:rsid w:val="621C2B4B"/>
    <w:rsid w:val="623068C3"/>
    <w:rsid w:val="624D53FA"/>
    <w:rsid w:val="625C5701"/>
    <w:rsid w:val="62712E97"/>
    <w:rsid w:val="6299063F"/>
    <w:rsid w:val="629B43B7"/>
    <w:rsid w:val="62AC5F30"/>
    <w:rsid w:val="62C31A1B"/>
    <w:rsid w:val="62E43D52"/>
    <w:rsid w:val="62E775FD"/>
    <w:rsid w:val="62EC69C1"/>
    <w:rsid w:val="62F330EE"/>
    <w:rsid w:val="631A1780"/>
    <w:rsid w:val="6320666B"/>
    <w:rsid w:val="63260125"/>
    <w:rsid w:val="63267317"/>
    <w:rsid w:val="63350368"/>
    <w:rsid w:val="63715118"/>
    <w:rsid w:val="637B1AF3"/>
    <w:rsid w:val="63927568"/>
    <w:rsid w:val="63AB062A"/>
    <w:rsid w:val="63BC2837"/>
    <w:rsid w:val="63C94F54"/>
    <w:rsid w:val="63EE0517"/>
    <w:rsid w:val="63F7561D"/>
    <w:rsid w:val="641461CF"/>
    <w:rsid w:val="642D54E3"/>
    <w:rsid w:val="64303292"/>
    <w:rsid w:val="644B5969"/>
    <w:rsid w:val="64520AA6"/>
    <w:rsid w:val="64552344"/>
    <w:rsid w:val="648C045C"/>
    <w:rsid w:val="64AD03D2"/>
    <w:rsid w:val="64AF7CA6"/>
    <w:rsid w:val="64EB5977"/>
    <w:rsid w:val="65044496"/>
    <w:rsid w:val="650A1380"/>
    <w:rsid w:val="651B0EED"/>
    <w:rsid w:val="6546685C"/>
    <w:rsid w:val="6549634D"/>
    <w:rsid w:val="65864EAB"/>
    <w:rsid w:val="65B86A3A"/>
    <w:rsid w:val="65D472FA"/>
    <w:rsid w:val="65EB7404"/>
    <w:rsid w:val="660364FC"/>
    <w:rsid w:val="662D17CA"/>
    <w:rsid w:val="66495ED8"/>
    <w:rsid w:val="6663343E"/>
    <w:rsid w:val="667B2536"/>
    <w:rsid w:val="668A2779"/>
    <w:rsid w:val="66B1690D"/>
    <w:rsid w:val="66C37A39"/>
    <w:rsid w:val="66C57C55"/>
    <w:rsid w:val="66DB2FD4"/>
    <w:rsid w:val="66EC3434"/>
    <w:rsid w:val="66F145A6"/>
    <w:rsid w:val="67000C8D"/>
    <w:rsid w:val="670D6F06"/>
    <w:rsid w:val="672056DD"/>
    <w:rsid w:val="6727621A"/>
    <w:rsid w:val="67424E02"/>
    <w:rsid w:val="67582877"/>
    <w:rsid w:val="67713939"/>
    <w:rsid w:val="677551D7"/>
    <w:rsid w:val="67762CFD"/>
    <w:rsid w:val="677F6056"/>
    <w:rsid w:val="67B53825"/>
    <w:rsid w:val="67CF3EE8"/>
    <w:rsid w:val="68024591"/>
    <w:rsid w:val="68246BFD"/>
    <w:rsid w:val="682664D1"/>
    <w:rsid w:val="6838144E"/>
    <w:rsid w:val="686A21E8"/>
    <w:rsid w:val="687646CE"/>
    <w:rsid w:val="68815DFE"/>
    <w:rsid w:val="688F051A"/>
    <w:rsid w:val="68953657"/>
    <w:rsid w:val="68994EF5"/>
    <w:rsid w:val="68AA5354"/>
    <w:rsid w:val="68AA7398"/>
    <w:rsid w:val="68BE2BAE"/>
    <w:rsid w:val="69085BD7"/>
    <w:rsid w:val="690A5DF3"/>
    <w:rsid w:val="69132EFA"/>
    <w:rsid w:val="69280027"/>
    <w:rsid w:val="69472BA3"/>
    <w:rsid w:val="69733998"/>
    <w:rsid w:val="69D1246D"/>
    <w:rsid w:val="6A022F6E"/>
    <w:rsid w:val="6A2942B7"/>
    <w:rsid w:val="6A2C58F8"/>
    <w:rsid w:val="6A707ED8"/>
    <w:rsid w:val="6AB13144"/>
    <w:rsid w:val="6ABE6E95"/>
    <w:rsid w:val="6AD00976"/>
    <w:rsid w:val="6B080110"/>
    <w:rsid w:val="6B1765A5"/>
    <w:rsid w:val="6B1C3BBC"/>
    <w:rsid w:val="6B364C7D"/>
    <w:rsid w:val="6B3709F5"/>
    <w:rsid w:val="6B594E10"/>
    <w:rsid w:val="6B6D4A66"/>
    <w:rsid w:val="6B797260"/>
    <w:rsid w:val="6B9B0F84"/>
    <w:rsid w:val="6BBE2E94"/>
    <w:rsid w:val="6BC02799"/>
    <w:rsid w:val="6BE7241B"/>
    <w:rsid w:val="6C172D01"/>
    <w:rsid w:val="6C474C68"/>
    <w:rsid w:val="6C494E84"/>
    <w:rsid w:val="6C732E5F"/>
    <w:rsid w:val="6C823EF2"/>
    <w:rsid w:val="6C874CC2"/>
    <w:rsid w:val="6CA0308B"/>
    <w:rsid w:val="6CB00A5F"/>
    <w:rsid w:val="6CB0535E"/>
    <w:rsid w:val="6CB73B9C"/>
    <w:rsid w:val="6CC369E5"/>
    <w:rsid w:val="6CEE3336"/>
    <w:rsid w:val="6D093549"/>
    <w:rsid w:val="6D232655"/>
    <w:rsid w:val="6D45564C"/>
    <w:rsid w:val="6D480C98"/>
    <w:rsid w:val="6D5533B5"/>
    <w:rsid w:val="6D68133A"/>
    <w:rsid w:val="6D760E66"/>
    <w:rsid w:val="6D8C327A"/>
    <w:rsid w:val="6D9E6B0A"/>
    <w:rsid w:val="6DB70429"/>
    <w:rsid w:val="6DBA24F0"/>
    <w:rsid w:val="6DC76061"/>
    <w:rsid w:val="6DCC7B1B"/>
    <w:rsid w:val="6DDF784E"/>
    <w:rsid w:val="6DE54739"/>
    <w:rsid w:val="6DFB5D0A"/>
    <w:rsid w:val="6E001573"/>
    <w:rsid w:val="6E0332E1"/>
    <w:rsid w:val="6E070B53"/>
    <w:rsid w:val="6E1E6B73"/>
    <w:rsid w:val="6E731D44"/>
    <w:rsid w:val="6E7F693B"/>
    <w:rsid w:val="6E881C94"/>
    <w:rsid w:val="6E9514C8"/>
    <w:rsid w:val="6EB34837"/>
    <w:rsid w:val="6EB64310"/>
    <w:rsid w:val="6EC16F54"/>
    <w:rsid w:val="6EE113A4"/>
    <w:rsid w:val="6F0B6421"/>
    <w:rsid w:val="6F1572A0"/>
    <w:rsid w:val="6F430380"/>
    <w:rsid w:val="6F5C6C7D"/>
    <w:rsid w:val="6F6A1CC7"/>
    <w:rsid w:val="6F6C3363"/>
    <w:rsid w:val="6F6D4110"/>
    <w:rsid w:val="6F773AB6"/>
    <w:rsid w:val="6F7A7103"/>
    <w:rsid w:val="6F8B1310"/>
    <w:rsid w:val="6F993A2D"/>
    <w:rsid w:val="6FAA5C3A"/>
    <w:rsid w:val="6FD76303"/>
    <w:rsid w:val="6FE54EC4"/>
    <w:rsid w:val="70076BE8"/>
    <w:rsid w:val="704A2F79"/>
    <w:rsid w:val="707D334E"/>
    <w:rsid w:val="708C17E3"/>
    <w:rsid w:val="70C90342"/>
    <w:rsid w:val="70D2369A"/>
    <w:rsid w:val="70D54F38"/>
    <w:rsid w:val="713559D7"/>
    <w:rsid w:val="71445C1A"/>
    <w:rsid w:val="716167CC"/>
    <w:rsid w:val="71663DE2"/>
    <w:rsid w:val="71752972"/>
    <w:rsid w:val="718E13B9"/>
    <w:rsid w:val="71932224"/>
    <w:rsid w:val="71C8627B"/>
    <w:rsid w:val="71D52E2E"/>
    <w:rsid w:val="71DE7E1D"/>
    <w:rsid w:val="71EA67C2"/>
    <w:rsid w:val="71F217C6"/>
    <w:rsid w:val="72035AD5"/>
    <w:rsid w:val="72071122"/>
    <w:rsid w:val="72086C48"/>
    <w:rsid w:val="720F7FD6"/>
    <w:rsid w:val="72231CD3"/>
    <w:rsid w:val="722650A8"/>
    <w:rsid w:val="723637B5"/>
    <w:rsid w:val="723E2669"/>
    <w:rsid w:val="725917E7"/>
    <w:rsid w:val="72606A84"/>
    <w:rsid w:val="726E11A1"/>
    <w:rsid w:val="726F4F19"/>
    <w:rsid w:val="727A5D97"/>
    <w:rsid w:val="728C1627"/>
    <w:rsid w:val="729D3834"/>
    <w:rsid w:val="72B50B7E"/>
    <w:rsid w:val="72BD5C84"/>
    <w:rsid w:val="72DA6836"/>
    <w:rsid w:val="72E72D01"/>
    <w:rsid w:val="72EE408F"/>
    <w:rsid w:val="72F5541E"/>
    <w:rsid w:val="730E4732"/>
    <w:rsid w:val="73214465"/>
    <w:rsid w:val="73655314"/>
    <w:rsid w:val="7375030D"/>
    <w:rsid w:val="73880040"/>
    <w:rsid w:val="739369E5"/>
    <w:rsid w:val="73966C01"/>
    <w:rsid w:val="73A806E2"/>
    <w:rsid w:val="73B25A48"/>
    <w:rsid w:val="73E060CE"/>
    <w:rsid w:val="73E7745D"/>
    <w:rsid w:val="73F456D6"/>
    <w:rsid w:val="742C597A"/>
    <w:rsid w:val="74581379"/>
    <w:rsid w:val="746F1200"/>
    <w:rsid w:val="747D391D"/>
    <w:rsid w:val="74934EEE"/>
    <w:rsid w:val="74BB2697"/>
    <w:rsid w:val="74DA0D6F"/>
    <w:rsid w:val="74E92D60"/>
    <w:rsid w:val="74FF4332"/>
    <w:rsid w:val="75120509"/>
    <w:rsid w:val="75136213"/>
    <w:rsid w:val="7530273D"/>
    <w:rsid w:val="75363ACC"/>
    <w:rsid w:val="753C7334"/>
    <w:rsid w:val="75433E6E"/>
    <w:rsid w:val="75630AF4"/>
    <w:rsid w:val="75CB4B5C"/>
    <w:rsid w:val="75E25E8E"/>
    <w:rsid w:val="76193DFA"/>
    <w:rsid w:val="762F50EB"/>
    <w:rsid w:val="763077F0"/>
    <w:rsid w:val="76326989"/>
    <w:rsid w:val="763E532E"/>
    <w:rsid w:val="76937428"/>
    <w:rsid w:val="76A41635"/>
    <w:rsid w:val="76A96C4B"/>
    <w:rsid w:val="76AC2297"/>
    <w:rsid w:val="76AF1D88"/>
    <w:rsid w:val="76CF5F86"/>
    <w:rsid w:val="771E5550"/>
    <w:rsid w:val="774108B3"/>
    <w:rsid w:val="77737259"/>
    <w:rsid w:val="77770AF7"/>
    <w:rsid w:val="777D66FD"/>
    <w:rsid w:val="77974CF6"/>
    <w:rsid w:val="779C40BA"/>
    <w:rsid w:val="77B238DE"/>
    <w:rsid w:val="77B51620"/>
    <w:rsid w:val="77B91110"/>
    <w:rsid w:val="77BC29AE"/>
    <w:rsid w:val="77CB499F"/>
    <w:rsid w:val="77FF2D7F"/>
    <w:rsid w:val="78762B5D"/>
    <w:rsid w:val="78767001"/>
    <w:rsid w:val="787A3715"/>
    <w:rsid w:val="7893651F"/>
    <w:rsid w:val="78947487"/>
    <w:rsid w:val="78E026CC"/>
    <w:rsid w:val="78E73A5B"/>
    <w:rsid w:val="79004B1D"/>
    <w:rsid w:val="790E0FE8"/>
    <w:rsid w:val="796230E1"/>
    <w:rsid w:val="79A11E5C"/>
    <w:rsid w:val="79A951B4"/>
    <w:rsid w:val="79AC25AE"/>
    <w:rsid w:val="79C8388C"/>
    <w:rsid w:val="79D264B9"/>
    <w:rsid w:val="79D97847"/>
    <w:rsid w:val="79F20909"/>
    <w:rsid w:val="7A1545F8"/>
    <w:rsid w:val="7A230AC3"/>
    <w:rsid w:val="7A287E87"/>
    <w:rsid w:val="7A2E1215"/>
    <w:rsid w:val="7A3031E0"/>
    <w:rsid w:val="7A4D1E12"/>
    <w:rsid w:val="7A5B64AE"/>
    <w:rsid w:val="7A5E7D4D"/>
    <w:rsid w:val="7A897628"/>
    <w:rsid w:val="7AA5772A"/>
    <w:rsid w:val="7ABB519F"/>
    <w:rsid w:val="7AD46261"/>
    <w:rsid w:val="7AE5221C"/>
    <w:rsid w:val="7B0C77A9"/>
    <w:rsid w:val="7B474C85"/>
    <w:rsid w:val="7B5D1DB2"/>
    <w:rsid w:val="7B647318"/>
    <w:rsid w:val="7B694BFB"/>
    <w:rsid w:val="7B7A0BB6"/>
    <w:rsid w:val="7B7B66DC"/>
    <w:rsid w:val="7B7E3E42"/>
    <w:rsid w:val="7B841A35"/>
    <w:rsid w:val="7B972F24"/>
    <w:rsid w:val="7B9D26BC"/>
    <w:rsid w:val="7BA93249"/>
    <w:rsid w:val="7BB73BB8"/>
    <w:rsid w:val="7BE129E3"/>
    <w:rsid w:val="7BF70459"/>
    <w:rsid w:val="7C0D22DA"/>
    <w:rsid w:val="7C1F350C"/>
    <w:rsid w:val="7C3C40BE"/>
    <w:rsid w:val="7C3E1BE4"/>
    <w:rsid w:val="7C624616"/>
    <w:rsid w:val="7C683105"/>
    <w:rsid w:val="7C727ADF"/>
    <w:rsid w:val="7C773348"/>
    <w:rsid w:val="7C790E6E"/>
    <w:rsid w:val="7C815F74"/>
    <w:rsid w:val="7C920181"/>
    <w:rsid w:val="7CA26617"/>
    <w:rsid w:val="7CB2612E"/>
    <w:rsid w:val="7CB4634A"/>
    <w:rsid w:val="7CCB71F0"/>
    <w:rsid w:val="7CD04806"/>
    <w:rsid w:val="7CD71AFC"/>
    <w:rsid w:val="7CDB38D7"/>
    <w:rsid w:val="7CF90201"/>
    <w:rsid w:val="7D1D3EEF"/>
    <w:rsid w:val="7D3B25C7"/>
    <w:rsid w:val="7D513B99"/>
    <w:rsid w:val="7D6E02A7"/>
    <w:rsid w:val="7DAE0FEB"/>
    <w:rsid w:val="7DC73E5B"/>
    <w:rsid w:val="7DCB56F9"/>
    <w:rsid w:val="7DCC321F"/>
    <w:rsid w:val="7DCE51E9"/>
    <w:rsid w:val="7DD65A11"/>
    <w:rsid w:val="7DDA4A6C"/>
    <w:rsid w:val="7DE44A0D"/>
    <w:rsid w:val="7DF033B2"/>
    <w:rsid w:val="7DFA7D8C"/>
    <w:rsid w:val="7E327526"/>
    <w:rsid w:val="7E3554D7"/>
    <w:rsid w:val="7E4436FD"/>
    <w:rsid w:val="7E5971A9"/>
    <w:rsid w:val="7E6323F1"/>
    <w:rsid w:val="7E7C69F3"/>
    <w:rsid w:val="7EB77A2B"/>
    <w:rsid w:val="7EEC1DCB"/>
    <w:rsid w:val="7EEF5417"/>
    <w:rsid w:val="7EF7251E"/>
    <w:rsid w:val="7F127358"/>
    <w:rsid w:val="7F3C0728"/>
    <w:rsid w:val="7F3D2627"/>
    <w:rsid w:val="7F3E639F"/>
    <w:rsid w:val="7F871AF4"/>
    <w:rsid w:val="7F8E4C30"/>
    <w:rsid w:val="7F98785D"/>
    <w:rsid w:val="7F9F0FE3"/>
    <w:rsid w:val="7FAC4C99"/>
    <w:rsid w:val="7FAE08F2"/>
    <w:rsid w:val="7FB1091F"/>
    <w:rsid w:val="7FC271E1"/>
    <w:rsid w:val="7FCC301A"/>
    <w:rsid w:val="7FF25EEA"/>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57"/>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toa heading"/>
    <w:basedOn w:val="1"/>
    <w:next w:val="1"/>
    <w:qFormat/>
    <w:uiPriority w:val="0"/>
    <w:pPr>
      <w:adjustRightInd w:val="0"/>
      <w:snapToGrid w:val="0"/>
      <w:spacing w:before="120" w:line="360" w:lineRule="auto"/>
      <w:ind w:firstLine="420" w:firstLineChars="200"/>
    </w:pPr>
    <w:rPr>
      <w:rFonts w:ascii="Arial" w:hAnsi="Arial" w:eastAsiaTheme="minorEastAsia" w:cstheme="minorBidi"/>
      <w:sz w:val="24"/>
      <w:szCs w:val="20"/>
    </w:rPr>
  </w:style>
  <w:style w:type="paragraph" w:styleId="16">
    <w:name w:val="annotation text"/>
    <w:basedOn w:val="1"/>
    <w:link w:val="65"/>
    <w:qFormat/>
    <w:uiPriority w:val="0"/>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link w:val="67"/>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标题 1 字符"/>
    <w:basedOn w:val="46"/>
    <w:link w:val="2"/>
    <w:qFormat/>
    <w:uiPriority w:val="0"/>
    <w:rPr>
      <w:rFonts w:ascii="宋体"/>
      <w:b/>
      <w:kern w:val="44"/>
      <w:sz w:val="32"/>
    </w:rPr>
  </w:style>
  <w:style w:type="character" w:customStyle="1" w:styleId="57">
    <w:name w:val="正文缩进 字符"/>
    <w:link w:val="12"/>
    <w:qFormat/>
    <w:uiPriority w:val="0"/>
    <w:rPr>
      <w:rFonts w:ascii="宋体" w:eastAsia="宋体"/>
      <w:kern w:val="2"/>
      <w:sz w:val="24"/>
      <w:szCs w:val="24"/>
      <w:lang w:val="en-US" w:eastAsia="zh-CN" w:bidi="ar-SA"/>
    </w:rPr>
  </w:style>
  <w:style w:type="character" w:customStyle="1" w:styleId="58">
    <w:name w:val="标题 4 字符"/>
    <w:basedOn w:val="46"/>
    <w:link w:val="5"/>
    <w:qFormat/>
    <w:uiPriority w:val="0"/>
    <w:rPr>
      <w:rFonts w:ascii="Arial" w:hAnsi="Arial" w:eastAsia="黑体"/>
      <w:b/>
      <w:sz w:val="28"/>
    </w:rPr>
  </w:style>
  <w:style w:type="character" w:customStyle="1" w:styleId="59">
    <w:name w:val="标题 5 字符"/>
    <w:basedOn w:val="46"/>
    <w:link w:val="6"/>
    <w:qFormat/>
    <w:uiPriority w:val="0"/>
    <w:rPr>
      <w:b/>
      <w:sz w:val="28"/>
    </w:rPr>
  </w:style>
  <w:style w:type="character" w:customStyle="1" w:styleId="60">
    <w:name w:val="标题 6 字符"/>
    <w:basedOn w:val="46"/>
    <w:link w:val="7"/>
    <w:qFormat/>
    <w:uiPriority w:val="0"/>
    <w:rPr>
      <w:rFonts w:ascii="Arial" w:hAnsi="Arial" w:eastAsia="黑体"/>
      <w:b/>
      <w:sz w:val="24"/>
    </w:rPr>
  </w:style>
  <w:style w:type="character" w:customStyle="1" w:styleId="61">
    <w:name w:val="标题 7 字符"/>
    <w:basedOn w:val="46"/>
    <w:link w:val="8"/>
    <w:qFormat/>
    <w:uiPriority w:val="0"/>
    <w:rPr>
      <w:b/>
      <w:sz w:val="24"/>
    </w:rPr>
  </w:style>
  <w:style w:type="character" w:customStyle="1" w:styleId="62">
    <w:name w:val="标题 8 字符"/>
    <w:basedOn w:val="46"/>
    <w:link w:val="9"/>
    <w:qFormat/>
    <w:uiPriority w:val="0"/>
    <w:rPr>
      <w:rFonts w:ascii="Arial" w:hAnsi="Arial" w:eastAsia="黑体"/>
      <w:sz w:val="24"/>
    </w:rPr>
  </w:style>
  <w:style w:type="character" w:customStyle="1" w:styleId="63">
    <w:name w:val="标题 9 字符"/>
    <w:basedOn w:val="46"/>
    <w:link w:val="10"/>
    <w:qFormat/>
    <w:uiPriority w:val="0"/>
    <w:rPr>
      <w:rFonts w:ascii="Arial" w:hAnsi="Arial" w:eastAsia="黑体"/>
      <w:sz w:val="21"/>
    </w:rPr>
  </w:style>
  <w:style w:type="character" w:customStyle="1" w:styleId="64">
    <w:name w:val="文档结构图 字符"/>
    <w:basedOn w:val="46"/>
    <w:link w:val="14"/>
    <w:qFormat/>
    <w:uiPriority w:val="0"/>
    <w:rPr>
      <w:kern w:val="2"/>
      <w:sz w:val="21"/>
      <w:szCs w:val="24"/>
      <w:shd w:val="clear" w:color="auto" w:fill="000080"/>
    </w:rPr>
  </w:style>
  <w:style w:type="character" w:customStyle="1" w:styleId="65">
    <w:name w:val="批注文字 字符1"/>
    <w:link w:val="16"/>
    <w:qFormat/>
    <w:uiPriority w:val="0"/>
    <w:rPr>
      <w:kern w:val="2"/>
      <w:sz w:val="21"/>
      <w:szCs w:val="24"/>
    </w:rPr>
  </w:style>
  <w:style w:type="character" w:customStyle="1" w:styleId="66">
    <w:name w:val="正文文本 3 字符"/>
    <w:basedOn w:val="46"/>
    <w:link w:val="17"/>
    <w:qFormat/>
    <w:uiPriority w:val="0"/>
    <w:rPr>
      <w:kern w:val="2"/>
      <w:sz w:val="16"/>
      <w:szCs w:val="16"/>
    </w:rPr>
  </w:style>
  <w:style w:type="character" w:customStyle="1" w:styleId="67">
    <w:name w:val="正文文本 字符"/>
    <w:basedOn w:val="46"/>
    <w:link w:val="18"/>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12"/>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2"/>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Calibri" w:hAnsi="Calibri"/>
      <w:sz w:val="22"/>
      <w:szCs w:val="22"/>
    </w:rPr>
    <w:tblPr>
      <w:tblCellMar>
        <w:top w:w="0" w:type="dxa"/>
        <w:left w:w="0" w:type="dxa"/>
        <w:bottom w:w="0" w:type="dxa"/>
        <w:right w:w="0" w:type="dxa"/>
      </w:tblCellMar>
    </w:tblPr>
  </w:style>
  <w:style w:type="paragraph" w:customStyle="1" w:styleId="249">
    <w:name w:val="Table Text"/>
    <w:basedOn w:val="1"/>
    <w:semiHidden/>
    <w:qFormat/>
    <w:uiPriority w:val="0"/>
    <w:rPr>
      <w:rFonts w:ascii="Arial" w:hAnsi="Arial" w:eastAsia="Arial" w:cs="Arial"/>
      <w:szCs w:val="21"/>
      <w:lang w:eastAsia="en-US"/>
    </w:rPr>
  </w:style>
  <w:style w:type="paragraph" w:customStyle="1" w:styleId="25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251">
    <w:name w:val="样式 标题 3 + (中文) 黑体 小四 非加粗 段前: 7.8 磅 段后: 0 磅 行距: 固定值 20 磅"/>
    <w:basedOn w:val="4"/>
    <w:qFormat/>
    <w:uiPriority w:val="0"/>
    <w:pPr>
      <w:spacing w:beforeLines="50" w:afterLines="50" w:line="360" w:lineRule="auto"/>
      <w:jc w:val="both"/>
    </w:pPr>
    <w:rPr>
      <w:b w:val="0"/>
    </w:rPr>
  </w:style>
  <w:style w:type="character" w:customStyle="1" w:styleId="252">
    <w:name w:val="样式 粉红"/>
    <w:qFormat/>
    <w:uiPriority w:val="0"/>
    <w:rPr>
      <w:color w:val="auto"/>
      <w:u w:val="none"/>
    </w:rPr>
  </w:style>
  <w:style w:type="paragraph" w:customStyle="1" w:styleId="253">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4">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4"/>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106</Pages>
  <Words>7102</Words>
  <Characters>7633</Characters>
  <Lines>775</Lines>
  <Paragraphs>218</Paragraphs>
  <TotalTime>6</TotalTime>
  <ScaleCrop>false</ScaleCrop>
  <LinksUpToDate>false</LinksUpToDate>
  <CharactersWithSpaces>7850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2025-11-11T02:12:18Z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C13342720A5340B2A82F658A2E6A65B9_13</vt:lpwstr>
  </property>
  <property fmtid="{D5CDD505-2E9C-101B-9397-08002B2CF9AE}" pid="3" name="KSOProductBuildVer">
    <vt:lpwstr>2052-12.1.0.23542</vt:lpwstr>
  </property>
  <property fmtid="{D5CDD505-2E9C-101B-9397-08002B2CF9AE}" pid="4" name="KSOTemplateDocerSaveRecord">
    <vt:lpwstr>eyJoZGlkIjoiMjc3ZDA1YWY0Y2VhNWUwZDJmMjZhM2FiZTRkMDk4MmUiLCJ1c2VySWQiOiIzNTQzNzQyNzAifQ==</vt:lpwstr>
  </property>
</Properties>
</file>