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spacing w:line="360" w:lineRule="auto"/>
        <w:ind w:firstLine="300" w:firstLineChars="50"/>
        <w:rPr>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北京市政府采购项目</w:t>
      </w:r>
    </w:p>
    <w:p>
      <w:pPr>
        <w:jc w:val="center"/>
        <w:rPr>
          <w:b/>
          <w:bCs/>
          <w:sz w:val="60"/>
          <w:szCs w:val="60"/>
        </w:rPr>
      </w:pPr>
      <w:r>
        <w:rPr>
          <w:b/>
          <w:bCs/>
          <w:sz w:val="60"/>
          <w:szCs w:val="60"/>
        </w:rPr>
        <w:t>公开招标文件</w:t>
      </w:r>
    </w:p>
    <w:p>
      <w:pPr>
        <w:spacing w:line="360" w:lineRule="auto"/>
        <w:jc w:val="center"/>
        <w:rPr>
          <w:sz w:val="60"/>
          <w:szCs w:val="60"/>
        </w:rPr>
      </w:pPr>
    </w:p>
    <w:p>
      <w:pPr>
        <w:spacing w:line="360" w:lineRule="auto"/>
        <w:jc w:val="center"/>
        <w:rPr>
          <w:sz w:val="60"/>
          <w:szCs w:val="60"/>
        </w:rPr>
      </w:pPr>
    </w:p>
    <w:p>
      <w:pPr>
        <w:spacing w:line="360" w:lineRule="auto"/>
        <w:rPr>
          <w:sz w:val="60"/>
          <w:szCs w:val="60"/>
        </w:rPr>
      </w:pPr>
    </w:p>
    <w:p>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bookmarkStart w:id="1068" w:name="_GoBack"/>
      <w:bookmarkEnd w:id="1068"/>
      <w:r>
        <w:rPr>
          <w:rFonts w:hint="eastAsia"/>
          <w:bCs/>
          <w:sz w:val="36"/>
          <w:szCs w:val="36"/>
          <w:lang w:eastAsia="zh-CN"/>
        </w:rPr>
        <w:t>管委会机关餐饮服务</w:t>
      </w:r>
    </w:p>
    <w:p>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r>
        <w:fldChar w:fldCharType="begin"/>
      </w:r>
      <w:r>
        <w:instrText xml:space="preserve"> HYPERLINK "http://219.232.204.193:8080/frontend/plan/project_detail.html?projectUuid=fc17cc13-9508-44d4-be02-529951f13c61" </w:instrText>
      </w:r>
      <w:r>
        <w:fldChar w:fldCharType="separate"/>
      </w:r>
      <w:r>
        <w:rPr>
          <w:rFonts w:hint="eastAsia"/>
          <w:bCs/>
          <w:sz w:val="36"/>
          <w:szCs w:val="36"/>
          <w:lang w:eastAsia="zh-CN"/>
        </w:rPr>
        <w:t>11011325210200024773-XM001</w:t>
      </w:r>
      <w:r>
        <w:rPr>
          <w:rFonts w:hint="eastAsia"/>
          <w:bCs/>
          <w:sz w:val="36"/>
          <w:szCs w:val="36"/>
        </w:rPr>
        <w:fldChar w:fldCharType="end"/>
      </w:r>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北京首都国际机场临空经济区管理委员会</w:t>
      </w:r>
    </w:p>
    <w:p>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北京鑫中招标代理有限公司</w:t>
      </w:r>
      <w:r>
        <w:rPr>
          <w:bCs/>
          <w:sz w:val="36"/>
          <w:szCs w:val="36"/>
        </w:rPr>
        <w:t xml:space="preserve"> </w:t>
      </w:r>
    </w:p>
    <w:p>
      <w:pPr>
        <w:widowControl/>
        <w:jc w:val="left"/>
        <w:rPr>
          <w:b/>
          <w:bCs/>
          <w:sz w:val="44"/>
        </w:rPr>
      </w:pPr>
      <w:r>
        <w:rPr>
          <w:b/>
          <w:bCs/>
          <w:sz w:val="44"/>
        </w:rPr>
        <w:br w:type="page"/>
      </w:r>
    </w:p>
    <w:p>
      <w:pPr>
        <w:pStyle w:val="164"/>
        <w:spacing w:line="360" w:lineRule="auto"/>
        <w:ind w:firstLine="723" w:firstLineChars="200"/>
        <w:rPr>
          <w:rFonts w:ascii="Times New Roman" w:hAnsi="Times New Roman" w:cs="Times New Roman"/>
          <w:b/>
          <w:sz w:val="36"/>
          <w:szCs w:val="36"/>
        </w:rPr>
      </w:pPr>
      <w:bookmarkStart w:id="0" w:name="_Toc99301417"/>
      <w:bookmarkStart w:id="1" w:name="_Toc74227630"/>
    </w:p>
    <w:p>
      <w:pPr>
        <w:spacing w:line="360" w:lineRule="auto"/>
        <w:jc w:val="center"/>
        <w:outlineLvl w:val="0"/>
        <w:rPr>
          <w:b/>
          <w:sz w:val="36"/>
          <w:szCs w:val="36"/>
        </w:rPr>
      </w:pPr>
      <w:bookmarkStart w:id="2" w:name="_Toc17326"/>
      <w:r>
        <w:rPr>
          <w:b/>
          <w:sz w:val="36"/>
          <w:szCs w:val="36"/>
        </w:rPr>
        <w:t>使用说明</w:t>
      </w:r>
      <w:bookmarkEnd w:id="0"/>
      <w:bookmarkEnd w:id="1"/>
      <w:bookmarkEnd w:id="2"/>
    </w:p>
    <w:p>
      <w:pPr>
        <w:pStyle w:val="164"/>
        <w:spacing w:line="360" w:lineRule="auto"/>
        <w:ind w:firstLine="640" w:firstLineChars="200"/>
        <w:rPr>
          <w:rFonts w:ascii="Times New Roman" w:hAnsi="Times New Roman" w:cs="Times New Roman"/>
          <w:color w:val="auto"/>
          <w:sz w:val="32"/>
          <w:szCs w:val="32"/>
        </w:rPr>
      </w:pP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pPr>
        <w:pStyle w:val="164"/>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pPr>
        <w:pStyle w:val="164"/>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w:t>
      </w:r>
      <w:r>
        <w:rPr>
          <w:rFonts w:ascii="Times New Roman" w:hAnsi="Times New Roman" w:cs="Times New Roman"/>
          <w:color w:val="auto"/>
          <w:sz w:val="32"/>
          <w:szCs w:val="32"/>
        </w:rPr>
        <w:t>”中用“ / ”标记。</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pPr>
        <w:pStyle w:val="164"/>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pPr>
        <w:pStyle w:val="164"/>
        <w:spacing w:line="360" w:lineRule="auto"/>
        <w:ind w:firstLine="640" w:firstLineChars="200"/>
        <w:rPr>
          <w:rFonts w:ascii="Times New Roman" w:hAnsi="Times New Roman" w:cs="Times New Roman"/>
          <w:b/>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pPr>
        <w:pStyle w:val="164"/>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pPr>
        <w:pStyle w:val="164"/>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《示范文本》在第五章“采购需求”部分列出了需求大纲供采购人或采购代理机构参考。</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pPr>
        <w:pStyle w:val="164"/>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pPr>
        <w:pStyle w:val="164"/>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pPr>
        <w:pStyle w:val="164"/>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pPr>
        <w:spacing w:line="500" w:lineRule="exact"/>
        <w:rPr>
          <w:i/>
        </w:rPr>
      </w:pPr>
    </w:p>
    <w:p>
      <w:pPr>
        <w:spacing w:line="360" w:lineRule="auto"/>
        <w:jc w:val="center"/>
        <w:rPr>
          <w:b/>
          <w:sz w:val="44"/>
          <w:szCs w:val="44"/>
        </w:rPr>
      </w:pPr>
    </w:p>
    <w:p>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bookmarkStart w:id="3" w:name="_Toc5165"/>
      <w:bookmarkStart w:id="4" w:name="_Toc99301418"/>
      <w:r>
        <w:rPr>
          <w:b/>
          <w:sz w:val="36"/>
          <w:szCs w:val="36"/>
        </w:rPr>
        <w:t>目      录</w:t>
      </w:r>
      <w:bookmarkEnd w:id="3"/>
      <w:bookmarkEnd w:id="4"/>
    </w:p>
    <w:p/>
    <w:p/>
    <w:p/>
    <w:p>
      <w:pPr>
        <w:pStyle w:val="33"/>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3"/>
        <w:tabs>
          <w:tab w:val="right" w:leader="dot" w:pos="9072"/>
          <w:tab w:val="clear" w:pos="1050"/>
          <w:tab w:val="clear" w:pos="8937"/>
        </w:tabs>
      </w:pPr>
      <w:r>
        <w:fldChar w:fldCharType="begin"/>
      </w:r>
      <w:r>
        <w:instrText xml:space="preserve"> HYPERLINK \l "_Toc20697" </w:instrText>
      </w:r>
      <w:r>
        <w:fldChar w:fldCharType="separate"/>
      </w:r>
      <w:r>
        <w:rPr>
          <w:szCs w:val="36"/>
        </w:rPr>
        <w:t>第一章   投标邀请</w:t>
      </w:r>
      <w:r>
        <w:tab/>
      </w:r>
      <w:r>
        <w:fldChar w:fldCharType="begin"/>
      </w:r>
      <w:r>
        <w:instrText xml:space="preserve"> PAGEREF _Toc20697 \h </w:instrText>
      </w:r>
      <w:r>
        <w:fldChar w:fldCharType="separate"/>
      </w:r>
      <w:r>
        <w:t>1</w:t>
      </w:r>
      <w:r>
        <w:fldChar w:fldCharType="end"/>
      </w:r>
      <w:r>
        <w:fldChar w:fldCharType="end"/>
      </w:r>
    </w:p>
    <w:p>
      <w:pPr>
        <w:pStyle w:val="33"/>
        <w:tabs>
          <w:tab w:val="right" w:leader="dot" w:pos="9072"/>
          <w:tab w:val="clear" w:pos="1050"/>
          <w:tab w:val="clear" w:pos="8937"/>
        </w:tabs>
      </w:pPr>
      <w:r>
        <w:fldChar w:fldCharType="begin"/>
      </w:r>
      <w:r>
        <w:instrText xml:space="preserve"> HYPERLINK \l "_Toc19083" </w:instrText>
      </w:r>
      <w:r>
        <w:fldChar w:fldCharType="separate"/>
      </w:r>
      <w:r>
        <w:rPr>
          <w:szCs w:val="36"/>
        </w:rPr>
        <w:t>第二章   投标人须知</w:t>
      </w:r>
      <w:r>
        <w:tab/>
      </w:r>
      <w:r>
        <w:fldChar w:fldCharType="begin"/>
      </w:r>
      <w:r>
        <w:instrText xml:space="preserve"> PAGEREF _Toc19083 \h </w:instrText>
      </w:r>
      <w:r>
        <w:fldChar w:fldCharType="separate"/>
      </w:r>
      <w:r>
        <w:t>5</w:t>
      </w:r>
      <w:r>
        <w:fldChar w:fldCharType="end"/>
      </w:r>
      <w:r>
        <w:fldChar w:fldCharType="end"/>
      </w:r>
    </w:p>
    <w:p>
      <w:pPr>
        <w:pStyle w:val="33"/>
        <w:tabs>
          <w:tab w:val="right" w:leader="dot" w:pos="9072"/>
          <w:tab w:val="clear" w:pos="1050"/>
          <w:tab w:val="clear" w:pos="8937"/>
        </w:tabs>
      </w:pPr>
      <w:r>
        <w:fldChar w:fldCharType="begin"/>
      </w:r>
      <w:r>
        <w:instrText xml:space="preserve"> HYPERLINK \l "_Toc24516" </w:instrText>
      </w:r>
      <w:r>
        <w:fldChar w:fldCharType="separate"/>
      </w:r>
      <w:r>
        <w:rPr>
          <w:szCs w:val="36"/>
        </w:rPr>
        <w:t>第三章   资格审查</w:t>
      </w:r>
      <w:r>
        <w:tab/>
      </w:r>
      <w:r>
        <w:fldChar w:fldCharType="begin"/>
      </w:r>
      <w:r>
        <w:instrText xml:space="preserve"> PAGEREF _Toc24516 \h </w:instrText>
      </w:r>
      <w:r>
        <w:fldChar w:fldCharType="separate"/>
      </w:r>
      <w:r>
        <w:t>21</w:t>
      </w:r>
      <w:r>
        <w:fldChar w:fldCharType="end"/>
      </w:r>
      <w:r>
        <w:fldChar w:fldCharType="end"/>
      </w:r>
    </w:p>
    <w:p>
      <w:pPr>
        <w:pStyle w:val="33"/>
        <w:tabs>
          <w:tab w:val="right" w:leader="dot" w:pos="9072"/>
          <w:tab w:val="clear" w:pos="1050"/>
          <w:tab w:val="clear" w:pos="8937"/>
        </w:tabs>
      </w:pPr>
      <w:r>
        <w:fldChar w:fldCharType="begin"/>
      </w:r>
      <w:r>
        <w:instrText xml:space="preserve"> HYPERLINK \l "_Toc9436" </w:instrText>
      </w:r>
      <w:r>
        <w:fldChar w:fldCharType="separate"/>
      </w:r>
      <w:r>
        <w:rPr>
          <w:szCs w:val="36"/>
        </w:rPr>
        <w:t>第四章   评标程序、评标方法和评标标准</w:t>
      </w:r>
      <w:r>
        <w:tab/>
      </w:r>
      <w:r>
        <w:fldChar w:fldCharType="begin"/>
      </w:r>
      <w:r>
        <w:instrText xml:space="preserve"> PAGEREF _Toc9436 \h </w:instrText>
      </w:r>
      <w:r>
        <w:fldChar w:fldCharType="separate"/>
      </w:r>
      <w:r>
        <w:t>23</w:t>
      </w:r>
      <w:r>
        <w:fldChar w:fldCharType="end"/>
      </w:r>
      <w:r>
        <w:fldChar w:fldCharType="end"/>
      </w:r>
    </w:p>
    <w:p>
      <w:pPr>
        <w:pStyle w:val="33"/>
        <w:tabs>
          <w:tab w:val="right" w:leader="dot" w:pos="9072"/>
          <w:tab w:val="clear" w:pos="1050"/>
          <w:tab w:val="clear" w:pos="8937"/>
        </w:tabs>
      </w:pPr>
      <w:r>
        <w:fldChar w:fldCharType="begin"/>
      </w:r>
      <w:r>
        <w:instrText xml:space="preserve"> HYPERLINK \l "_Toc25661" </w:instrText>
      </w:r>
      <w:r>
        <w:fldChar w:fldCharType="separate"/>
      </w:r>
      <w:r>
        <w:rPr>
          <w:rFonts w:hint="eastAsia"/>
          <w:szCs w:val="36"/>
        </w:rPr>
        <w:t xml:space="preserve">第五章   </w:t>
      </w:r>
      <w:r>
        <w:rPr>
          <w:szCs w:val="36"/>
        </w:rPr>
        <w:t>采购需求</w:t>
      </w:r>
      <w:r>
        <w:tab/>
      </w:r>
      <w:r>
        <w:fldChar w:fldCharType="begin"/>
      </w:r>
      <w:r>
        <w:instrText xml:space="preserve"> PAGEREF _Toc25661 \h </w:instrText>
      </w:r>
      <w:r>
        <w:fldChar w:fldCharType="separate"/>
      </w:r>
      <w:r>
        <w:t>31</w:t>
      </w:r>
      <w:r>
        <w:fldChar w:fldCharType="end"/>
      </w:r>
      <w:r>
        <w:fldChar w:fldCharType="end"/>
      </w:r>
    </w:p>
    <w:p>
      <w:pPr>
        <w:pStyle w:val="33"/>
        <w:tabs>
          <w:tab w:val="right" w:leader="dot" w:pos="9072"/>
          <w:tab w:val="clear" w:pos="1050"/>
          <w:tab w:val="clear" w:pos="8937"/>
        </w:tabs>
      </w:pPr>
      <w:r>
        <w:fldChar w:fldCharType="begin"/>
      </w:r>
      <w:r>
        <w:instrText xml:space="preserve"> HYPERLINK \l "_Toc25422" </w:instrText>
      </w:r>
      <w:r>
        <w:fldChar w:fldCharType="separate"/>
      </w:r>
      <w:r>
        <w:rPr>
          <w:szCs w:val="36"/>
        </w:rPr>
        <w:t>第六章   拟签订的合同文本</w:t>
      </w:r>
      <w:r>
        <w:tab/>
      </w:r>
      <w:r>
        <w:fldChar w:fldCharType="begin"/>
      </w:r>
      <w:r>
        <w:instrText xml:space="preserve"> PAGEREF _Toc25422 \h </w:instrText>
      </w:r>
      <w:r>
        <w:fldChar w:fldCharType="separate"/>
      </w:r>
      <w:r>
        <w:t>39</w:t>
      </w:r>
      <w:r>
        <w:fldChar w:fldCharType="end"/>
      </w:r>
      <w:r>
        <w:fldChar w:fldCharType="end"/>
      </w:r>
    </w:p>
    <w:p>
      <w:pPr>
        <w:pStyle w:val="33"/>
        <w:tabs>
          <w:tab w:val="right" w:leader="dot" w:pos="9072"/>
          <w:tab w:val="clear" w:pos="1050"/>
          <w:tab w:val="clear" w:pos="8937"/>
        </w:tabs>
        <w:rPr>
          <w:rFonts w:hint="eastAsia" w:eastAsia="宋体"/>
          <w:lang w:val="en-US" w:eastAsia="zh-CN"/>
        </w:rPr>
      </w:pPr>
      <w:r>
        <w:fldChar w:fldCharType="begin"/>
      </w:r>
      <w:r>
        <w:instrText xml:space="preserve"> HYPERLINK \l "_Toc13032" </w:instrText>
      </w:r>
      <w:r>
        <w:fldChar w:fldCharType="separate"/>
      </w:r>
      <w:r>
        <w:rPr>
          <w:szCs w:val="36"/>
        </w:rPr>
        <w:t>第七章   投标文件格式</w:t>
      </w:r>
      <w:r>
        <w:tab/>
      </w:r>
      <w:r>
        <w:rPr>
          <w:rFonts w:hint="eastAsia"/>
          <w:lang w:val="en-US" w:eastAsia="zh-CN"/>
        </w:rPr>
        <w:t>4</w:t>
      </w:r>
      <w:r>
        <w:fldChar w:fldCharType="end"/>
      </w:r>
      <w:r>
        <w:rPr>
          <w:rFonts w:hint="eastAsia"/>
          <w:lang w:val="en-US" w:eastAsia="zh-CN"/>
        </w:rPr>
        <w:t>8</w:t>
      </w:r>
    </w:p>
    <w:p>
      <w:pPr>
        <w:pStyle w:val="33"/>
        <w:spacing w:line="480" w:lineRule="auto"/>
        <w:rPr>
          <w:rFonts w:ascii="Times New Roman" w:hAnsi="Times New Roman" w:eastAsiaTheme="minorEastAsia"/>
          <w:b w:val="0"/>
        </w:rPr>
      </w:pPr>
      <w:r>
        <w:rPr>
          <w:rFonts w:ascii="Times New Roman" w:hAnsi="Times New Roman"/>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3"/>
        <w:spacing w:line="360" w:lineRule="auto"/>
        <w:rPr>
          <w:rFonts w:ascii="Times New Roman" w:hAnsi="Times New Roman"/>
          <w:b w:val="0"/>
        </w:rPr>
      </w:pPr>
    </w:p>
    <w:p>
      <w:pPr>
        <w:spacing w:line="360" w:lineRule="auto"/>
        <w:jc w:val="center"/>
        <w:outlineLvl w:val="0"/>
        <w:rPr>
          <w:b/>
          <w:sz w:val="36"/>
          <w:szCs w:val="36"/>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line="360" w:lineRule="auto"/>
        <w:jc w:val="center"/>
        <w:outlineLvl w:val="0"/>
        <w:rPr>
          <w:b/>
          <w:sz w:val="36"/>
          <w:szCs w:val="36"/>
        </w:rPr>
      </w:pPr>
      <w:bookmarkStart w:id="5" w:name="_Toc20697"/>
      <w:r>
        <w:rPr>
          <w:b/>
          <w:sz w:val="36"/>
          <w:szCs w:val="36"/>
        </w:rPr>
        <w:t>第一章   投标邀请</w:t>
      </w:r>
      <w:bookmarkEnd w:id="5"/>
    </w:p>
    <w:p>
      <w:pPr>
        <w:spacing w:line="360" w:lineRule="auto"/>
        <w:ind w:firstLine="640" w:firstLineChars="200"/>
        <w:rPr>
          <w:sz w:val="32"/>
          <w:szCs w:val="32"/>
        </w:rPr>
      </w:pPr>
    </w:p>
    <w:p>
      <w:pPr>
        <w:pStyle w:val="4"/>
        <w:spacing w:before="0" w:line="360" w:lineRule="auto"/>
        <w:jc w:val="left"/>
        <w:rPr>
          <w:rFonts w:ascii="Times New Roman" w:hAnsi="Times New Roman" w:eastAsia="宋体"/>
          <w:sz w:val="24"/>
          <w:szCs w:val="24"/>
        </w:rPr>
      </w:pPr>
      <w:bookmarkStart w:id="6" w:name="_Toc28359079"/>
      <w:bookmarkStart w:id="7" w:name="_Toc35393621"/>
      <w:bookmarkStart w:id="8" w:name="_Toc28359002"/>
      <w:bookmarkStart w:id="9" w:name="_Toc35393790"/>
      <w:bookmarkStart w:id="10" w:name="_Hlk24379207"/>
      <w:r>
        <w:rPr>
          <w:rFonts w:ascii="Times New Roman" w:hAnsi="Times New Roman" w:eastAsia="宋体"/>
          <w:sz w:val="24"/>
          <w:szCs w:val="24"/>
        </w:rPr>
        <w:t>一、项目基本情况</w:t>
      </w:r>
      <w:bookmarkEnd w:id="6"/>
      <w:bookmarkEnd w:id="7"/>
      <w:bookmarkEnd w:id="8"/>
      <w:bookmarkEnd w:id="9"/>
    </w:p>
    <w:p>
      <w:pPr>
        <w:spacing w:line="360" w:lineRule="auto"/>
        <w:ind w:firstLine="480" w:firstLineChars="200"/>
        <w:rPr>
          <w:sz w:val="24"/>
        </w:rPr>
      </w:pPr>
      <w:r>
        <w:rPr>
          <w:sz w:val="24"/>
        </w:rPr>
        <w:t>1.项目编号：</w:t>
      </w:r>
      <w:bookmarkStart w:id="11" w:name="OLE_LINK17"/>
      <w:r>
        <w:rPr>
          <w:sz w:val="24"/>
        </w:rPr>
        <w:fldChar w:fldCharType="begin"/>
      </w:r>
      <w:r>
        <w:rPr>
          <w:sz w:val="24"/>
        </w:rPr>
        <w:instrText xml:space="preserve"> HYPERLINK "http://219.232.204.193:8080/frontend/plan/project_detail.html?projectUuid=fc17cc13-9508-44d4-be02-529951f13c61" </w:instrText>
      </w:r>
      <w:r>
        <w:rPr>
          <w:sz w:val="24"/>
        </w:rPr>
        <w:fldChar w:fldCharType="separate"/>
      </w:r>
      <w:r>
        <w:rPr>
          <w:rFonts w:hint="eastAsia"/>
          <w:sz w:val="24"/>
          <w:lang w:eastAsia="zh-CN"/>
        </w:rPr>
        <w:t>11011325210200024773-XM001</w:t>
      </w:r>
      <w:r>
        <w:rPr>
          <w:sz w:val="24"/>
        </w:rPr>
        <w:fldChar w:fldCharType="end"/>
      </w:r>
      <w:bookmarkEnd w:id="11"/>
    </w:p>
    <w:p>
      <w:pPr>
        <w:spacing w:line="360" w:lineRule="auto"/>
        <w:ind w:firstLine="480" w:firstLineChars="200"/>
        <w:rPr>
          <w:rFonts w:hint="eastAsia" w:eastAsia="宋体"/>
          <w:sz w:val="24"/>
          <w:lang w:eastAsia="zh-CN"/>
        </w:rPr>
      </w:pPr>
      <w:r>
        <w:rPr>
          <w:sz w:val="24"/>
        </w:rPr>
        <w:t>2.项目名称：</w:t>
      </w:r>
      <w:r>
        <w:rPr>
          <w:rFonts w:hint="eastAsia"/>
          <w:sz w:val="24"/>
          <w:lang w:eastAsia="zh-CN"/>
        </w:rPr>
        <w:t>管委会机关餐饮服务</w:t>
      </w:r>
    </w:p>
    <w:bookmarkEnd w:id="10"/>
    <w:p>
      <w:pPr>
        <w:spacing w:line="360" w:lineRule="auto"/>
        <w:ind w:firstLine="480" w:firstLineChars="200"/>
        <w:rPr>
          <w:sz w:val="24"/>
        </w:rPr>
      </w:pPr>
      <w:r>
        <w:rPr>
          <w:sz w:val="24"/>
        </w:rPr>
        <w:t>3.项目预算金额：__</w:t>
      </w:r>
      <w:r>
        <w:rPr>
          <w:rFonts w:hint="eastAsia"/>
          <w:sz w:val="24"/>
          <w:u w:val="single"/>
        </w:rPr>
        <w:t xml:space="preserve"> </w:t>
      </w:r>
      <w:r>
        <w:rPr>
          <w:rFonts w:hint="eastAsia"/>
          <w:sz w:val="24"/>
          <w:u w:val="single"/>
          <w:lang w:eastAsia="zh-CN"/>
        </w:rPr>
        <w:t>729.953</w:t>
      </w:r>
      <w:r>
        <w:rPr>
          <w:sz w:val="24"/>
        </w:rPr>
        <w:t>__万元、项目最高限价（如有）：_</w:t>
      </w:r>
      <w:r>
        <w:rPr>
          <w:rFonts w:hint="eastAsia"/>
          <w:sz w:val="24"/>
          <w:u w:val="single"/>
        </w:rPr>
        <w:t xml:space="preserve"> </w:t>
      </w:r>
      <w:r>
        <w:rPr>
          <w:rFonts w:hint="eastAsia"/>
          <w:sz w:val="24"/>
          <w:u w:val="single"/>
          <w:lang w:eastAsia="zh-CN"/>
        </w:rPr>
        <w:t>729.953</w:t>
      </w:r>
      <w:r>
        <w:rPr>
          <w:sz w:val="24"/>
        </w:rPr>
        <w:t>___万元</w:t>
      </w:r>
    </w:p>
    <w:p>
      <w:pPr>
        <w:spacing w:line="360" w:lineRule="auto"/>
        <w:ind w:firstLine="480" w:firstLineChars="200"/>
        <w:rPr>
          <w:sz w:val="24"/>
        </w:rPr>
      </w:pPr>
      <w:r>
        <w:rPr>
          <w:sz w:val="24"/>
        </w:rPr>
        <w:t>4.采购需求：</w:t>
      </w:r>
    </w:p>
    <w:tbl>
      <w:tblPr>
        <w:tblStyle w:val="49"/>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527"/>
        <w:gridCol w:w="1637"/>
        <w:gridCol w:w="871"/>
        <w:gridCol w:w="4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2" w:type="pct"/>
            <w:vAlign w:val="center"/>
          </w:tcPr>
          <w:p>
            <w:pPr>
              <w:jc w:val="center"/>
              <w:rPr>
                <w:bCs/>
                <w:szCs w:val="21"/>
              </w:rPr>
            </w:pPr>
            <w:bookmarkStart w:id="12" w:name="OLE_LINK106"/>
            <w:bookmarkStart w:id="13" w:name="OLE_LINK5" w:colFirst="2" w:colLast="3"/>
            <w:r>
              <w:rPr>
                <w:rFonts w:hint="eastAsia"/>
                <w:bCs/>
                <w:szCs w:val="21"/>
              </w:rPr>
              <w:t>包号</w:t>
            </w:r>
          </w:p>
        </w:tc>
        <w:tc>
          <w:tcPr>
            <w:tcW w:w="819" w:type="pct"/>
            <w:vAlign w:val="center"/>
          </w:tcPr>
          <w:p>
            <w:pPr>
              <w:jc w:val="center"/>
              <w:rPr>
                <w:bCs/>
                <w:szCs w:val="21"/>
              </w:rPr>
            </w:pPr>
            <w:r>
              <w:rPr>
                <w:rFonts w:hint="eastAsia"/>
                <w:bCs/>
                <w:szCs w:val="21"/>
              </w:rPr>
              <w:t>标的名称</w:t>
            </w:r>
          </w:p>
        </w:tc>
        <w:tc>
          <w:tcPr>
            <w:tcW w:w="878" w:type="pct"/>
            <w:vAlign w:val="center"/>
          </w:tcPr>
          <w:p>
            <w:pPr>
              <w:jc w:val="center"/>
              <w:rPr>
                <w:rFonts w:ascii="宋体" w:hAnsi="宋体" w:cs="宋体"/>
                <w:bCs/>
                <w:szCs w:val="21"/>
              </w:rPr>
            </w:pPr>
            <w:r>
              <w:rPr>
                <w:rFonts w:hint="eastAsia" w:ascii="宋体" w:hAnsi="宋体" w:cs="宋体"/>
                <w:bCs/>
                <w:szCs w:val="21"/>
              </w:rPr>
              <w:t>采购包预算金额/最高限价</w:t>
            </w:r>
          </w:p>
          <w:p>
            <w:pPr>
              <w:jc w:val="center"/>
              <w:rPr>
                <w:bCs/>
                <w:szCs w:val="21"/>
              </w:rPr>
            </w:pPr>
            <w:r>
              <w:rPr>
                <w:rFonts w:hint="eastAsia" w:ascii="宋体" w:hAnsi="宋体" w:cs="宋体"/>
                <w:bCs/>
                <w:szCs w:val="21"/>
              </w:rPr>
              <w:t>（万元）</w:t>
            </w:r>
          </w:p>
        </w:tc>
        <w:tc>
          <w:tcPr>
            <w:tcW w:w="467" w:type="pct"/>
            <w:vAlign w:val="center"/>
          </w:tcPr>
          <w:p>
            <w:pPr>
              <w:jc w:val="center"/>
              <w:rPr>
                <w:bCs/>
                <w:szCs w:val="21"/>
              </w:rPr>
            </w:pPr>
            <w:r>
              <w:rPr>
                <w:rFonts w:hint="eastAsia"/>
                <w:bCs/>
                <w:szCs w:val="21"/>
              </w:rPr>
              <w:t>数量</w:t>
            </w:r>
          </w:p>
        </w:tc>
        <w:tc>
          <w:tcPr>
            <w:tcW w:w="2482" w:type="pct"/>
            <w:vAlign w:val="center"/>
          </w:tcPr>
          <w:p>
            <w:pPr>
              <w:jc w:val="center"/>
              <w:rPr>
                <w:bCs/>
                <w:szCs w:val="21"/>
              </w:rPr>
            </w:pPr>
            <w:r>
              <w:rPr>
                <w:rFonts w:hint="eastAsia"/>
                <w:bCs/>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2" w:type="pct"/>
            <w:vAlign w:val="center"/>
          </w:tcPr>
          <w:p>
            <w:pPr>
              <w:jc w:val="center"/>
              <w:rPr>
                <w:bCs/>
                <w:szCs w:val="21"/>
              </w:rPr>
            </w:pPr>
            <w:bookmarkStart w:id="14" w:name="OLE_LINK6" w:colFirst="2" w:colLast="3"/>
            <w:bookmarkStart w:id="15" w:name="OLE_LINK4" w:colFirst="2" w:colLast="2"/>
            <w:r>
              <w:rPr>
                <w:rFonts w:hint="eastAsia"/>
                <w:bCs/>
                <w:szCs w:val="21"/>
              </w:rPr>
              <w:t>1</w:t>
            </w:r>
          </w:p>
        </w:tc>
        <w:tc>
          <w:tcPr>
            <w:tcW w:w="819" w:type="pct"/>
            <w:vAlign w:val="center"/>
          </w:tcPr>
          <w:p>
            <w:pPr>
              <w:jc w:val="center"/>
              <w:rPr>
                <w:rFonts w:hint="eastAsia" w:eastAsia="宋体"/>
                <w:bCs/>
                <w:szCs w:val="21"/>
                <w:lang w:eastAsia="zh-CN"/>
              </w:rPr>
            </w:pPr>
            <w:r>
              <w:rPr>
                <w:rFonts w:hint="eastAsia"/>
                <w:bCs/>
                <w:szCs w:val="21"/>
                <w:lang w:eastAsia="zh-CN"/>
              </w:rPr>
              <w:t>管委会机关餐饮服务</w:t>
            </w:r>
          </w:p>
        </w:tc>
        <w:tc>
          <w:tcPr>
            <w:tcW w:w="878" w:type="pct"/>
            <w:vAlign w:val="center"/>
          </w:tcPr>
          <w:p>
            <w:pPr>
              <w:jc w:val="center"/>
              <w:rPr>
                <w:rFonts w:hint="eastAsia" w:eastAsia="宋体"/>
                <w:bCs/>
                <w:szCs w:val="21"/>
                <w:lang w:eastAsia="zh-CN"/>
              </w:rPr>
            </w:pPr>
            <w:r>
              <w:rPr>
                <w:rFonts w:hint="eastAsia"/>
                <w:bCs/>
                <w:szCs w:val="21"/>
                <w:lang w:eastAsia="zh-CN"/>
              </w:rPr>
              <w:t>729.953</w:t>
            </w:r>
          </w:p>
        </w:tc>
        <w:tc>
          <w:tcPr>
            <w:tcW w:w="467" w:type="pct"/>
            <w:vAlign w:val="center"/>
          </w:tcPr>
          <w:p>
            <w:pPr>
              <w:jc w:val="center"/>
              <w:rPr>
                <w:rFonts w:ascii="宋体" w:hAnsi="宋体" w:cs="宋体"/>
                <w:bCs/>
                <w:szCs w:val="21"/>
              </w:rPr>
            </w:pPr>
            <w:r>
              <w:rPr>
                <w:rFonts w:hint="eastAsia" w:ascii="宋体" w:hAnsi="宋体" w:cs="宋体"/>
                <w:bCs/>
                <w:szCs w:val="21"/>
              </w:rPr>
              <w:t>1</w:t>
            </w:r>
          </w:p>
        </w:tc>
        <w:tc>
          <w:tcPr>
            <w:tcW w:w="2482" w:type="pct"/>
            <w:vAlign w:val="center"/>
          </w:tcPr>
          <w:p>
            <w:pPr>
              <w:jc w:val="center"/>
              <w:rPr>
                <w:bCs/>
                <w:szCs w:val="21"/>
              </w:rPr>
            </w:pPr>
            <w:bookmarkStart w:id="16" w:name="OLE_LINK94"/>
            <w:r>
              <w:rPr>
                <w:rFonts w:hint="eastAsia" w:ascii="宋体" w:hAnsi="宋体" w:cs="宋体"/>
                <w:bCs/>
                <w:szCs w:val="21"/>
                <w:lang w:val="en-US" w:eastAsia="zh-CN"/>
              </w:rPr>
              <w:t>保障本单位约644人，工作日用餐。包括早餐、午餐、晚餐及配送餐。每月不低于10次的应急保障性用餐，包括早餐、午餐、晚餐。</w:t>
            </w:r>
            <w:r>
              <w:rPr>
                <w:rFonts w:hint="eastAsia" w:ascii="宋体" w:hAnsi="宋体" w:cs="宋体"/>
                <w:bCs/>
                <w:szCs w:val="21"/>
              </w:rPr>
              <w:t>（详见采购需求）</w:t>
            </w:r>
            <w:bookmarkEnd w:id="16"/>
          </w:p>
        </w:tc>
      </w:tr>
      <w:bookmarkEnd w:id="12"/>
      <w:bookmarkEnd w:id="13"/>
      <w:bookmarkEnd w:id="14"/>
      <w:bookmarkEnd w:id="15"/>
    </w:tbl>
    <w:p>
      <w:pPr>
        <w:spacing w:line="360" w:lineRule="auto"/>
        <w:ind w:firstLine="480" w:firstLineChars="200"/>
        <w:rPr>
          <w:rFonts w:hint="eastAsia"/>
          <w:sz w:val="24"/>
        </w:rPr>
      </w:pPr>
      <w:r>
        <w:rPr>
          <w:sz w:val="24"/>
        </w:rPr>
        <w:t>5.合同履行期限：</w:t>
      </w:r>
      <w:bookmarkStart w:id="17" w:name="OLE_LINK91"/>
      <w:bookmarkStart w:id="18" w:name="OLE_LINK90"/>
      <w:r>
        <w:rPr>
          <w:rFonts w:hint="eastAsia"/>
          <w:sz w:val="24"/>
          <w:lang w:val="en-US" w:eastAsia="zh-CN"/>
        </w:rPr>
        <w:t>1</w:t>
      </w:r>
      <w:r>
        <w:rPr>
          <w:rFonts w:hint="eastAsia"/>
          <w:sz w:val="24"/>
        </w:rPr>
        <w:t>年</w:t>
      </w:r>
      <w:bookmarkEnd w:id="17"/>
      <w:bookmarkEnd w:id="18"/>
      <w:r>
        <w:rPr>
          <w:rFonts w:hint="eastAsia"/>
          <w:sz w:val="24"/>
          <w:lang w:eastAsia="zh-CN"/>
        </w:rPr>
        <w:t>（</w:t>
      </w:r>
      <w:r>
        <w:rPr>
          <w:rFonts w:hint="eastAsia"/>
          <w:sz w:val="24"/>
        </w:rPr>
        <w:t>202</w:t>
      </w:r>
      <w:r>
        <w:rPr>
          <w:rFonts w:hint="eastAsia"/>
          <w:sz w:val="24"/>
          <w:lang w:val="en-US" w:eastAsia="zh-CN"/>
        </w:rPr>
        <w:t>6</w:t>
      </w:r>
      <w:r>
        <w:rPr>
          <w:rFonts w:hint="eastAsia"/>
          <w:sz w:val="24"/>
        </w:rPr>
        <w:t>年1月1日-202</w:t>
      </w:r>
      <w:r>
        <w:rPr>
          <w:rFonts w:hint="eastAsia"/>
          <w:sz w:val="24"/>
          <w:lang w:val="en-US" w:eastAsia="zh-CN"/>
        </w:rPr>
        <w:t>6</w:t>
      </w:r>
      <w:r>
        <w:rPr>
          <w:rFonts w:hint="eastAsia"/>
          <w:sz w:val="24"/>
        </w:rPr>
        <w:t>年12月31日以合同签订时间为准）</w:t>
      </w:r>
    </w:p>
    <w:p>
      <w:pPr>
        <w:spacing w:line="360" w:lineRule="auto"/>
        <w:ind w:firstLine="480" w:firstLineChars="200"/>
        <w:rPr>
          <w:sz w:val="24"/>
          <w:u w:val="single"/>
        </w:rPr>
      </w:pPr>
    </w:p>
    <w:p>
      <w:pPr>
        <w:spacing w:line="360" w:lineRule="auto"/>
        <w:ind w:firstLine="480" w:firstLineChars="200"/>
      </w:pPr>
      <w:r>
        <w:rPr>
          <w:sz w:val="24"/>
        </w:rPr>
        <w:t xml:space="preserve">6.本项目是否接受联合体投标：□是  </w:t>
      </w:r>
      <w:r>
        <w:rPr>
          <w:rFonts w:eastAsiaTheme="minorEastAsia"/>
          <w:sz w:val="24"/>
        </w:rPr>
        <w:t>■</w:t>
      </w:r>
      <w:r>
        <w:rPr>
          <w:sz w:val="24"/>
        </w:rPr>
        <w:t>否。</w:t>
      </w:r>
    </w:p>
    <w:p>
      <w:pPr>
        <w:pStyle w:val="4"/>
        <w:spacing w:before="0" w:line="360" w:lineRule="auto"/>
        <w:jc w:val="left"/>
        <w:rPr>
          <w:rFonts w:ascii="Times New Roman" w:hAnsi="Times New Roman" w:eastAsia="宋体"/>
          <w:sz w:val="24"/>
          <w:szCs w:val="24"/>
        </w:rPr>
      </w:pPr>
      <w:bookmarkStart w:id="19" w:name="_Toc35393791"/>
      <w:bookmarkStart w:id="20" w:name="_Toc28359080"/>
      <w:bookmarkStart w:id="21" w:name="_Toc35393622"/>
      <w:bookmarkStart w:id="22" w:name="_Toc28359003"/>
      <w:r>
        <w:rPr>
          <w:rFonts w:ascii="Times New Roman" w:hAnsi="Times New Roman" w:eastAsia="宋体"/>
          <w:sz w:val="24"/>
          <w:szCs w:val="24"/>
        </w:rPr>
        <w:t>二、</w:t>
      </w:r>
      <w:bookmarkStart w:id="23" w:name="OLE_LINK115"/>
      <w:bookmarkStart w:id="24" w:name="OLE_LINK95"/>
      <w:r>
        <w:rPr>
          <w:rFonts w:ascii="Times New Roman" w:hAnsi="Times New Roman" w:eastAsia="宋体"/>
          <w:sz w:val="24"/>
          <w:szCs w:val="24"/>
        </w:rPr>
        <w:t>申请人的资格要求（须同时满足）</w:t>
      </w:r>
      <w:bookmarkEnd w:id="19"/>
      <w:bookmarkEnd w:id="20"/>
      <w:bookmarkEnd w:id="21"/>
      <w:bookmarkEnd w:id="22"/>
    </w:p>
    <w:p>
      <w:pPr>
        <w:spacing w:line="360" w:lineRule="auto"/>
        <w:ind w:firstLine="480" w:firstLineChars="200"/>
        <w:rPr>
          <w:sz w:val="24"/>
        </w:rPr>
      </w:pPr>
      <w:bookmarkStart w:id="25" w:name="OLE_LINK147"/>
      <w:bookmarkStart w:id="26" w:name="OLE_LINK148"/>
      <w:r>
        <w:rPr>
          <w:sz w:val="24"/>
        </w:rPr>
        <w:t>1.满足《中华人民共和国政府采购法》第二十二条规定；</w:t>
      </w:r>
    </w:p>
    <w:p>
      <w:pPr>
        <w:spacing w:line="360" w:lineRule="auto"/>
        <w:ind w:firstLine="480" w:firstLineChars="200"/>
        <w:rPr>
          <w:sz w:val="24"/>
        </w:rPr>
      </w:pPr>
      <w:bookmarkStart w:id="27" w:name="OLE_LINK107"/>
      <w:bookmarkStart w:id="28" w:name="_Toc28359004"/>
      <w:bookmarkStart w:id="29" w:name="_Toc28359081"/>
      <w:r>
        <w:rPr>
          <w:sz w:val="24"/>
        </w:rPr>
        <w:t>2.落实政府采购政策需满足的资格要求：</w:t>
      </w:r>
    </w:p>
    <w:p>
      <w:pPr>
        <w:spacing w:line="360" w:lineRule="auto"/>
        <w:ind w:firstLine="480" w:firstLineChars="200"/>
        <w:rPr>
          <w:sz w:val="24"/>
        </w:rPr>
      </w:pPr>
      <w:bookmarkStart w:id="30" w:name="OLE_LINK108"/>
      <w:bookmarkStart w:id="31" w:name="OLE_LINK149"/>
      <w:r>
        <w:rPr>
          <w:sz w:val="24"/>
        </w:rPr>
        <w:t>2.1 中小</w:t>
      </w:r>
      <w:bookmarkEnd w:id="27"/>
      <w:r>
        <w:rPr>
          <w:sz w:val="24"/>
        </w:rPr>
        <w:t>企业政策</w:t>
      </w:r>
    </w:p>
    <w:p>
      <w:pPr>
        <w:spacing w:line="360" w:lineRule="auto"/>
        <w:ind w:firstLine="480" w:firstLineChars="200"/>
        <w:rPr>
          <w:sz w:val="24"/>
        </w:rPr>
      </w:pPr>
      <w:r>
        <w:rPr>
          <w:rFonts w:eastAsiaTheme="minorEastAsia"/>
          <w:sz w:val="24"/>
        </w:rPr>
        <w:t>■</w:t>
      </w:r>
      <w:r>
        <w:rPr>
          <w:sz w:val="24"/>
        </w:rPr>
        <w:t>本项目不专门面向中小企业预留采购份额。</w:t>
      </w:r>
    </w:p>
    <w:p>
      <w:pPr>
        <w:spacing w:line="360" w:lineRule="auto"/>
        <w:ind w:firstLine="480" w:firstLineChars="200"/>
        <w:rPr>
          <w:sz w:val="24"/>
        </w:rPr>
      </w:pPr>
      <w:bookmarkStart w:id="32" w:name="OLE_LINK86"/>
      <w:r>
        <w:rPr>
          <w:sz w:val="24"/>
        </w:rPr>
        <w:t>□</w:t>
      </w:r>
      <w:bookmarkEnd w:id="32"/>
      <w:r>
        <w:rPr>
          <w:sz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sz w:val="24"/>
          <w:u w:val="single"/>
        </w:rPr>
        <w:t xml:space="preserve">           /             </w:t>
      </w:r>
      <w:r>
        <w:rPr>
          <w:sz w:val="24"/>
        </w:rPr>
        <w:t>_。</w:t>
      </w:r>
    </w:p>
    <w:p>
      <w:pPr>
        <w:spacing w:line="360" w:lineRule="auto"/>
        <w:ind w:firstLine="480" w:firstLineChars="200"/>
        <w:rPr>
          <w:sz w:val="24"/>
        </w:rPr>
      </w:pPr>
      <w:r>
        <w:rPr>
          <w:sz w:val="24"/>
        </w:rPr>
        <w:t>2.2 其它落实政府采购政策的资格要求（如有）：________</w:t>
      </w:r>
      <w:r>
        <w:rPr>
          <w:rFonts w:hint="eastAsia"/>
          <w:sz w:val="24"/>
        </w:rPr>
        <w:t>/</w:t>
      </w:r>
      <w:r>
        <w:rPr>
          <w:sz w:val="24"/>
        </w:rPr>
        <w:t>___________。</w:t>
      </w:r>
      <w:bookmarkEnd w:id="25"/>
      <w:bookmarkEnd w:id="26"/>
      <w:bookmarkEnd w:id="30"/>
    </w:p>
    <w:bookmarkEnd w:id="31"/>
    <w:p>
      <w:pPr>
        <w:spacing w:line="360" w:lineRule="auto"/>
        <w:ind w:firstLine="480" w:firstLineChars="200"/>
        <w:rPr>
          <w:sz w:val="24"/>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bookmarkStart w:id="33" w:name="OLE_LINK116"/>
      <w:bookmarkStart w:id="34" w:name="OLE_LINK109"/>
      <w:r>
        <w:rPr>
          <w:sz w:val="24"/>
        </w:rPr>
        <w:t>3.</w:t>
      </w:r>
      <w:r>
        <w:rPr>
          <w:rFonts w:hint="eastAsia"/>
          <w:sz w:val="24"/>
        </w:rPr>
        <w:t>1</w:t>
      </w:r>
      <w:r>
        <w:rPr>
          <w:sz w:val="24"/>
        </w:rPr>
        <w:t>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w:t>
      </w:r>
      <w:r>
        <w:rPr>
          <w:rFonts w:hint="eastAsia"/>
          <w:sz w:val="24"/>
        </w:rPr>
        <w:t>2</w:t>
      </w:r>
      <w:r>
        <w:rPr>
          <w:sz w:val="24"/>
        </w:rPr>
        <w:t>其他特定资格要求</w:t>
      </w:r>
      <w:r>
        <w:rPr>
          <w:rFonts w:eastAsiaTheme="minorEastAsia"/>
          <w:sz w:val="24"/>
        </w:rPr>
        <w:t>：</w:t>
      </w:r>
    </w:p>
    <w:p>
      <w:pPr>
        <w:tabs>
          <w:tab w:val="left" w:pos="900"/>
          <w:tab w:val="left" w:pos="1134"/>
          <w:tab w:val="left" w:pos="1589"/>
          <w:tab w:val="left" w:pos="5521"/>
        </w:tabs>
        <w:snapToGrid w:val="0"/>
        <w:spacing w:line="360" w:lineRule="auto"/>
        <w:ind w:firstLine="480" w:firstLineChars="200"/>
        <w:rPr>
          <w:sz w:val="24"/>
        </w:rPr>
      </w:pPr>
      <w:r>
        <w:rPr>
          <w:rFonts w:hint="eastAsia" w:eastAsiaTheme="minorEastAsia"/>
          <w:sz w:val="24"/>
          <w:u w:val="single"/>
        </w:rPr>
        <w:t>1.</w:t>
      </w:r>
      <w:r>
        <w:rPr>
          <w:rFonts w:eastAsiaTheme="minorEastAsia"/>
          <w:sz w:val="24"/>
          <w:u w:val="single"/>
        </w:rPr>
        <w:t>通过“信用中国”网站（</w:t>
      </w:r>
      <w:r>
        <w:rPr>
          <w:rFonts w:hint="eastAsia" w:eastAsiaTheme="minorEastAsia"/>
          <w:sz w:val="24"/>
          <w:u w:val="single"/>
        </w:rPr>
        <w:t>www.creditchina.gov.cn）和中国政府采购网（www.ccgp.gov.cn）查询信用记录，被列入失信被执行人、严重失信名单、重大税收违法案件当事人名单或政府采购严重违法失信行为记录名单的供应商，没有资格参加本项目的采购活动（开标当日代理机构查询）</w:t>
      </w:r>
      <w:r>
        <w:rPr>
          <w:sz w:val="24"/>
          <w:u w:val="single"/>
        </w:rPr>
        <w:t>。</w:t>
      </w:r>
      <w:bookmarkEnd w:id="23"/>
      <w:bookmarkEnd w:id="24"/>
    </w:p>
    <w:bookmarkEnd w:id="33"/>
    <w:bookmarkEnd w:id="34"/>
    <w:p>
      <w:pPr>
        <w:spacing w:line="360" w:lineRule="auto"/>
        <w:ind w:firstLine="480" w:firstLineChars="200"/>
        <w:rPr>
          <w:i/>
          <w:iCs/>
          <w:sz w:val="24"/>
          <w:u w:val="single"/>
        </w:rPr>
      </w:pPr>
    </w:p>
    <w:bookmarkEnd w:id="28"/>
    <w:bookmarkEnd w:id="29"/>
    <w:p>
      <w:pPr>
        <w:pStyle w:val="4"/>
        <w:widowControl/>
        <w:spacing w:before="0" w:line="360" w:lineRule="auto"/>
        <w:jc w:val="left"/>
        <w:rPr>
          <w:rFonts w:ascii="Times New Roman" w:hAnsi="Times New Roman" w:eastAsia="宋体"/>
          <w:sz w:val="24"/>
          <w:szCs w:val="24"/>
        </w:rPr>
      </w:pPr>
      <w:bookmarkStart w:id="35" w:name="_Toc35393792"/>
      <w:bookmarkStart w:id="36" w:name="_Toc35393623"/>
      <w:r>
        <w:rPr>
          <w:rFonts w:ascii="Times New Roman" w:hAnsi="Times New Roman" w:eastAsia="宋体"/>
          <w:sz w:val="24"/>
          <w:szCs w:val="24"/>
        </w:rPr>
        <w:t>三、获取招标文件</w:t>
      </w:r>
      <w:bookmarkEnd w:id="35"/>
      <w:bookmarkEnd w:id="36"/>
    </w:p>
    <w:p>
      <w:pPr>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3</w:t>
      </w:r>
      <w:r>
        <w:rPr>
          <w:sz w:val="24"/>
          <w:lang w:bidi="ar"/>
        </w:rPr>
        <w:t>日至</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9</w:t>
      </w:r>
      <w:r>
        <w:rPr>
          <w:sz w:val="24"/>
          <w:lang w:bidi="ar"/>
        </w:rPr>
        <w:t>日，每天上午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w:t>
      </w:r>
      <w:bookmarkStart w:id="37" w:name="OLE_LINK110"/>
      <w:bookmarkStart w:id="38" w:name="OLE_LINK150"/>
      <w:r>
        <w:rPr>
          <w:sz w:val="24"/>
          <w:lang w:bidi="ar"/>
        </w:rPr>
        <w:t>北京市政府采购电子交易平台</w:t>
      </w:r>
      <w:bookmarkEnd w:id="37"/>
      <w:bookmarkEnd w:id="38"/>
    </w:p>
    <w:p>
      <w:pPr>
        <w:widowControl/>
        <w:adjustRightInd w:val="0"/>
        <w:snapToGrid w:val="0"/>
        <w:spacing w:line="360" w:lineRule="auto"/>
        <w:ind w:firstLine="480" w:firstLineChars="200"/>
        <w:jc w:val="left"/>
        <w:rPr>
          <w:sz w:val="24"/>
          <w:lang w:bidi="ar"/>
        </w:rPr>
      </w:pPr>
      <w:r>
        <w:rPr>
          <w:sz w:val="24"/>
          <w:lang w:bidi="ar"/>
        </w:rPr>
        <w:t>3.方式：</w:t>
      </w:r>
      <w:bookmarkStart w:id="39" w:name="OLE_LINK111"/>
      <w:bookmarkStart w:id="40" w:name="OLE_LINK151"/>
      <w:r>
        <w:rPr>
          <w:sz w:val="24"/>
          <w:lang w:bidi="ar"/>
        </w:rPr>
        <w:t>供应商使用CA数字证书或电子营业执照登录北京市政府采购电子交易平台（http://zbcg-bjzc.zhongcy.com/bjczj-portal-site/index.html#/home）获取电子版招标文件。</w:t>
      </w:r>
      <w:bookmarkEnd w:id="39"/>
    </w:p>
    <w:bookmarkEnd w:id="40"/>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rPr>
      </w:pPr>
      <w:bookmarkStart w:id="41" w:name="_Toc28359082"/>
      <w:bookmarkStart w:id="42" w:name="_Toc28359005"/>
      <w:bookmarkStart w:id="43" w:name="_Toc35393793"/>
      <w:bookmarkStart w:id="44" w:name="_Toc35393624"/>
      <w:r>
        <w:rPr>
          <w:rFonts w:ascii="Times New Roman" w:hAnsi="Times New Roman" w:eastAsia="宋体"/>
          <w:sz w:val="24"/>
          <w:szCs w:val="24"/>
        </w:rPr>
        <w:t>四、提交投标文件</w:t>
      </w:r>
      <w:bookmarkEnd w:id="41"/>
      <w:bookmarkEnd w:id="42"/>
      <w:r>
        <w:rPr>
          <w:rFonts w:ascii="Times New Roman" w:hAnsi="Times New Roman" w:eastAsia="宋体"/>
          <w:sz w:val="24"/>
          <w:szCs w:val="24"/>
        </w:rPr>
        <w:t>截止时间、开标时间和地点</w:t>
      </w:r>
      <w:bookmarkEnd w:id="43"/>
      <w:bookmarkEnd w:id="44"/>
    </w:p>
    <w:p>
      <w:pPr>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24</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w:t>
      </w:r>
      <w:bookmarkStart w:id="45" w:name="OLE_LINK112"/>
      <w:bookmarkStart w:id="46" w:name="OLE_LINK152"/>
      <w:bookmarkStart w:id="47" w:name="OLE_LINK153"/>
      <w:r>
        <w:rPr>
          <w:rFonts w:hint="eastAsia"/>
          <w:sz w:val="24"/>
          <w:u w:val="single"/>
          <w:lang w:bidi="ar"/>
        </w:rPr>
        <w:t>北京市顺义区复兴东街3号院顺义区政务服务中心</w:t>
      </w:r>
      <w:r>
        <w:rPr>
          <w:sz w:val="24"/>
          <w:u w:val="single"/>
          <w:lang w:bidi="ar"/>
        </w:rPr>
        <w:t>6号电梯厅二层(具体标室以开标当天显示为准）</w:t>
      </w:r>
      <w:r>
        <w:rPr>
          <w:sz w:val="24"/>
          <w:lang w:val="zh-TW" w:bidi="ar"/>
        </w:rPr>
        <w:t>。</w:t>
      </w:r>
      <w:bookmarkEnd w:id="45"/>
    </w:p>
    <w:bookmarkEnd w:id="46"/>
    <w:bookmarkEnd w:id="47"/>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48" w:name="_Toc28359084"/>
      <w:bookmarkStart w:id="49" w:name="_Toc35393794"/>
      <w:bookmarkStart w:id="50" w:name="_Toc28359007"/>
      <w:bookmarkStart w:id="51" w:name="_Toc35393625"/>
      <w:r>
        <w:rPr>
          <w:rFonts w:ascii="Times New Roman" w:hAnsi="Times New Roman" w:eastAsia="宋体"/>
          <w:sz w:val="24"/>
          <w:szCs w:val="24"/>
        </w:rPr>
        <w:t>五、公告期限</w:t>
      </w:r>
      <w:bookmarkEnd w:id="48"/>
      <w:bookmarkEnd w:id="49"/>
      <w:bookmarkEnd w:id="50"/>
      <w:bookmarkEnd w:id="51"/>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52" w:name="_Toc35393626"/>
      <w:bookmarkStart w:id="53" w:name="_Toc35393795"/>
      <w:r>
        <w:rPr>
          <w:rFonts w:ascii="Times New Roman" w:hAnsi="Times New Roman" w:eastAsia="宋体"/>
          <w:sz w:val="24"/>
          <w:szCs w:val="24"/>
        </w:rPr>
        <w:t>六、其他补充事宜</w:t>
      </w:r>
      <w:bookmarkEnd w:id="52"/>
      <w:bookmarkEnd w:id="53"/>
    </w:p>
    <w:p>
      <w:pPr>
        <w:spacing w:line="360" w:lineRule="auto"/>
        <w:ind w:firstLine="480" w:firstLineChars="200"/>
        <w:rPr>
          <w:sz w:val="24"/>
        </w:rPr>
      </w:pPr>
      <w:bookmarkStart w:id="54" w:name="OLE_LINK113"/>
      <w:r>
        <w:rPr>
          <w:sz w:val="24"/>
        </w:rPr>
        <w:t>1.本项目需要落实的政府采购政策：</w:t>
      </w:r>
    </w:p>
    <w:p>
      <w:pPr>
        <w:spacing w:line="360" w:lineRule="auto"/>
        <w:ind w:firstLine="480" w:firstLineChars="200"/>
        <w:rPr>
          <w:sz w:val="24"/>
        </w:rPr>
      </w:pPr>
      <w:r>
        <w:rPr>
          <w:rFonts w:hint="eastAsia"/>
          <w:sz w:val="24"/>
        </w:rPr>
        <w:t>（1）执行《财政部生态环境部关于印发《环境标志产品政府采购品目清单》的通知（财库[2019]18号）；</w:t>
      </w:r>
    </w:p>
    <w:p>
      <w:pPr>
        <w:spacing w:line="360" w:lineRule="auto"/>
        <w:ind w:firstLine="480" w:firstLineChars="200"/>
        <w:rPr>
          <w:sz w:val="24"/>
        </w:rPr>
      </w:pPr>
      <w:r>
        <w:rPr>
          <w:rFonts w:hint="eastAsia"/>
          <w:sz w:val="24"/>
        </w:rPr>
        <w:t>（2）执行《财政部发展改革委关于印发《节能产品政府采购品目清单》的通知》（财库[2019]19号）；</w:t>
      </w:r>
    </w:p>
    <w:p>
      <w:pPr>
        <w:spacing w:line="360" w:lineRule="auto"/>
        <w:ind w:firstLine="480" w:firstLineChars="200"/>
        <w:rPr>
          <w:sz w:val="24"/>
        </w:rPr>
      </w:pPr>
      <w:r>
        <w:rPr>
          <w:rFonts w:hint="eastAsia"/>
          <w:sz w:val="24"/>
        </w:rPr>
        <w:t>（3）执行《财政部、司法部关于政府采购支持监狱企业发展有关问题的通知》（财库[2014]68号）；</w:t>
      </w:r>
    </w:p>
    <w:p>
      <w:pPr>
        <w:spacing w:line="360" w:lineRule="auto"/>
        <w:ind w:firstLine="480" w:firstLineChars="200"/>
        <w:rPr>
          <w:sz w:val="24"/>
        </w:rPr>
      </w:pPr>
      <w:r>
        <w:rPr>
          <w:rFonts w:hint="eastAsia"/>
          <w:sz w:val="24"/>
        </w:rPr>
        <w:t>（4）执行《关于促进残疾人就业政府采购政策的通知》（财库[2017]141号）;</w:t>
      </w:r>
    </w:p>
    <w:p>
      <w:pPr>
        <w:spacing w:line="360" w:lineRule="auto"/>
        <w:ind w:firstLine="480" w:firstLineChars="200"/>
        <w:rPr>
          <w:sz w:val="24"/>
        </w:rPr>
      </w:pPr>
      <w:r>
        <w:rPr>
          <w:rFonts w:hint="eastAsia"/>
          <w:sz w:val="24"/>
        </w:rPr>
        <w:t>（5）财政部、工业和信息化部关于印发《政府采购促进中小企业发展管理办法》的通知财库〔2020〕46号。</w:t>
      </w:r>
      <w:r>
        <w:rPr>
          <w:sz w:val="24"/>
        </w:rPr>
        <w:t xml:space="preserve"> </w:t>
      </w:r>
    </w:p>
    <w:p>
      <w:pPr>
        <w:spacing w:line="360" w:lineRule="auto"/>
        <w:ind w:firstLine="480" w:firstLineChars="200"/>
        <w:rPr>
          <w:sz w:val="24"/>
        </w:rPr>
      </w:pPr>
      <w:r>
        <w:rPr>
          <w:rFonts w:hint="eastAsia"/>
          <w:sz w:val="24"/>
        </w:rPr>
        <w:t>（6）《关于在相关自由贸易试验区和自由贸易港开展推动解决政府采购异常低价问题试点工作的通知》（财办库〔2024〕265号）。</w:t>
      </w:r>
    </w:p>
    <w:p>
      <w:pPr>
        <w:spacing w:line="360" w:lineRule="auto"/>
        <w:ind w:firstLine="480" w:firstLineChars="200"/>
        <w:rPr>
          <w:sz w:val="24"/>
        </w:rPr>
      </w:pPr>
      <w:r>
        <w:rPr>
          <w:sz w:val="24"/>
        </w:rPr>
        <w:t>2.</w:t>
      </w:r>
      <w:r>
        <w:rPr>
          <w:rFonts w:hint="eastAsia"/>
          <w:sz w:val="24"/>
        </w:rPr>
        <w:t>本公告在中国政府采购网（http://www.ccgp.gov.cn）、北京市政府采购网（http://www.ccgp-beijing.gov.cn）、北京市公共资源交易服务平台（https://ggzyfw.beijing.gov.cn）上发布。</w:t>
      </w:r>
    </w:p>
    <w:p>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3.1办理CA数字证书或电子营业执照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3.2注册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3.3驱动、客户端下载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3.4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3.5编制电子投标文件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widowControl/>
        <w:spacing w:line="360" w:lineRule="auto"/>
        <w:ind w:firstLine="480" w:firstLineChars="200"/>
        <w:jc w:val="left"/>
        <w:rPr>
          <w:sz w:val="24"/>
          <w:lang w:bidi="ar"/>
        </w:rPr>
      </w:pPr>
      <w:r>
        <w:rPr>
          <w:rFonts w:hint="eastAsia"/>
          <w:sz w:val="24"/>
          <w:lang w:bidi="ar"/>
        </w:rPr>
        <w:t xml:space="preserve">4 </w:t>
      </w:r>
      <w:r>
        <w:rPr>
          <w:rFonts w:hint="eastAsia"/>
          <w:sz w:val="24"/>
          <w:lang w:val="zh-TW" w:eastAsia="zh-TW" w:bidi="ar"/>
        </w:rPr>
        <w:t>投标人</w:t>
      </w:r>
      <w:r>
        <w:rPr>
          <w:rFonts w:hint="eastAsia"/>
          <w:sz w:val="24"/>
          <w:lang w:val="zh-TW" w:bidi="ar"/>
        </w:rPr>
        <w:t>代表</w:t>
      </w:r>
      <w:r>
        <w:rPr>
          <w:rFonts w:hint="eastAsia"/>
          <w:sz w:val="24"/>
          <w:lang w:val="zh-TW" w:eastAsia="zh-TW" w:bidi="ar"/>
        </w:rPr>
        <w:t>持法定代表人身份证明书原件（需写明所投项目名称、编号、办理事项，并盖单位公章）、法定代表人的身份证原件及复印件（适用于法定代表人）或法定代表人授权委托书原件（需写明所投项目名称、编号、办理事项，并盖单位公章）、委托代理人身份证原件及复印件（适用于委托代理人）。</w:t>
      </w:r>
    </w:p>
    <w:bookmarkEnd w:id="54"/>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55" w:name="_Toc35393627"/>
      <w:bookmarkStart w:id="56" w:name="_Toc28359008"/>
      <w:bookmarkStart w:id="57" w:name="_Toc28359085"/>
      <w:bookmarkStart w:id="58" w:name="_Toc35393796"/>
      <w:r>
        <w:rPr>
          <w:rFonts w:ascii="Times New Roman" w:hAnsi="Times New Roman" w:eastAsia="宋体"/>
          <w:sz w:val="24"/>
          <w:szCs w:val="24"/>
        </w:rPr>
        <w:t>七、对本次招标提出询问，请按以下方式联系。</w:t>
      </w:r>
      <w:bookmarkEnd w:id="55"/>
      <w:bookmarkEnd w:id="56"/>
      <w:bookmarkEnd w:id="57"/>
      <w:bookmarkEnd w:id="58"/>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bookmarkStart w:id="59" w:name="_Toc28359086"/>
      <w:bookmarkStart w:id="60" w:name="_Toc28359009"/>
      <w:r>
        <w:rPr>
          <w:sz w:val="24"/>
        </w:rPr>
        <w:t>名    称：</w:t>
      </w:r>
      <w:bookmarkStart w:id="61" w:name="OLE_LINK8"/>
      <w:r>
        <w:rPr>
          <w:rFonts w:hint="eastAsia"/>
          <w:sz w:val="24"/>
          <w:u w:val="single"/>
        </w:rPr>
        <w:t>北京首都国际机场临空经济区管理委员会</w:t>
      </w:r>
      <w:bookmarkEnd w:id="61"/>
    </w:p>
    <w:p>
      <w:pPr>
        <w:spacing w:line="360" w:lineRule="auto"/>
        <w:ind w:left="1079" w:leftChars="371" w:hanging="300" w:hangingChars="125"/>
        <w:jc w:val="left"/>
        <w:rPr>
          <w:sz w:val="24"/>
          <w:u w:val="single"/>
        </w:rPr>
      </w:pPr>
      <w:r>
        <w:rPr>
          <w:sz w:val="24"/>
        </w:rPr>
        <w:t>地    址：</w:t>
      </w:r>
      <w:bookmarkStart w:id="62" w:name="OLE_LINK27"/>
      <w:bookmarkStart w:id="63" w:name="OLE_LINK103"/>
      <w:bookmarkStart w:id="64" w:name="OLE_LINK16"/>
      <w:r>
        <w:rPr>
          <w:rFonts w:hint="eastAsia"/>
          <w:sz w:val="24"/>
          <w:u w:val="single"/>
        </w:rPr>
        <w:t>北京市顺义区金航中路1号院2号楼</w:t>
      </w:r>
      <w:bookmarkEnd w:id="62"/>
    </w:p>
    <w:bookmarkEnd w:id="63"/>
    <w:bookmarkEnd w:id="64"/>
    <w:p>
      <w:pPr>
        <w:spacing w:line="360" w:lineRule="auto"/>
        <w:ind w:left="1079" w:leftChars="371" w:hanging="300" w:hangingChars="125"/>
        <w:jc w:val="left"/>
        <w:rPr>
          <w:sz w:val="24"/>
          <w:u w:val="single"/>
        </w:rPr>
      </w:pPr>
      <w:r>
        <w:rPr>
          <w:sz w:val="24"/>
        </w:rPr>
        <w:t>联系方式：</w:t>
      </w:r>
      <w:bookmarkStart w:id="65" w:name="OLE_LINK14"/>
      <w:r>
        <w:rPr>
          <w:rFonts w:hint="eastAsia"/>
          <w:sz w:val="24"/>
          <w:u w:val="single"/>
        </w:rPr>
        <w:t>李全辉</w:t>
      </w:r>
      <w:bookmarkEnd w:id="65"/>
      <w:r>
        <w:rPr>
          <w:rFonts w:hint="eastAsia"/>
          <w:sz w:val="24"/>
          <w:u w:val="single"/>
        </w:rPr>
        <w:t>、</w:t>
      </w:r>
      <w:r>
        <w:rPr>
          <w:rFonts w:hint="eastAsia"/>
          <w:sz w:val="24"/>
          <w:u w:val="single"/>
          <w:lang w:val="en-US" w:eastAsia="zh-CN"/>
        </w:rPr>
        <w:t>010-</w:t>
      </w:r>
      <w:r>
        <w:rPr>
          <w:rFonts w:hint="eastAsia"/>
          <w:sz w:val="24"/>
          <w:u w:val="single"/>
        </w:rPr>
        <w:t>80479579</w:t>
      </w:r>
    </w:p>
    <w:p>
      <w:pPr>
        <w:spacing w:line="360" w:lineRule="auto"/>
        <w:ind w:left="1080" w:leftChars="371" w:hanging="301" w:hangingChars="125"/>
        <w:jc w:val="left"/>
        <w:rPr>
          <w:b/>
          <w:sz w:val="24"/>
        </w:rPr>
      </w:pPr>
      <w:r>
        <w:rPr>
          <w:b/>
          <w:sz w:val="24"/>
        </w:rPr>
        <w:t>2.采购代理机构信息</w:t>
      </w:r>
      <w:bookmarkEnd w:id="59"/>
      <w:bookmarkEnd w:id="60"/>
    </w:p>
    <w:p>
      <w:pPr>
        <w:spacing w:line="360" w:lineRule="auto"/>
        <w:ind w:left="1079" w:leftChars="371" w:hanging="300" w:hangingChars="125"/>
        <w:jc w:val="left"/>
        <w:rPr>
          <w:sz w:val="24"/>
        </w:rPr>
      </w:pPr>
      <w:bookmarkStart w:id="66" w:name="_Toc28359087"/>
      <w:bookmarkStart w:id="67" w:name="_Toc28359010"/>
      <w:r>
        <w:rPr>
          <w:sz w:val="24"/>
        </w:rPr>
        <w:t>名    称：</w:t>
      </w:r>
      <w:r>
        <w:rPr>
          <w:rFonts w:hint="eastAsia"/>
          <w:sz w:val="24"/>
          <w:u w:val="single"/>
        </w:rPr>
        <w:t>北京鑫中招标代理有限公司</w:t>
      </w:r>
    </w:p>
    <w:p>
      <w:pPr>
        <w:spacing w:line="360" w:lineRule="auto"/>
        <w:ind w:left="1079" w:leftChars="371" w:hanging="300" w:hangingChars="125"/>
        <w:jc w:val="left"/>
        <w:rPr>
          <w:sz w:val="24"/>
        </w:rPr>
      </w:pPr>
      <w:r>
        <w:rPr>
          <w:sz w:val="24"/>
        </w:rPr>
        <w:t>地    址：</w:t>
      </w:r>
      <w:bookmarkStart w:id="68" w:name="OLE_LINK33"/>
      <w:bookmarkStart w:id="69" w:name="OLE_LINK18"/>
      <w:bookmarkStart w:id="70" w:name="OLE_LINK28"/>
      <w:r>
        <w:rPr>
          <w:rFonts w:hint="eastAsia"/>
          <w:sz w:val="24"/>
          <w:u w:val="single"/>
        </w:rPr>
        <w:t>北京市顺义区西环路西50米、减河桥南30米</w:t>
      </w:r>
      <w:bookmarkEnd w:id="68"/>
      <w:bookmarkEnd w:id="69"/>
      <w:bookmarkEnd w:id="70"/>
    </w:p>
    <w:p>
      <w:pPr>
        <w:spacing w:line="360" w:lineRule="auto"/>
        <w:ind w:left="1079" w:leftChars="371" w:hanging="300" w:hangingChars="125"/>
        <w:jc w:val="left"/>
        <w:rPr>
          <w:sz w:val="24"/>
          <w:u w:val="single"/>
        </w:rPr>
      </w:pPr>
      <w:r>
        <w:rPr>
          <w:sz w:val="24"/>
        </w:rPr>
        <w:t>联系方式：</w:t>
      </w:r>
      <w:r>
        <w:rPr>
          <w:rFonts w:hint="eastAsia"/>
          <w:sz w:val="24"/>
          <w:u w:val="single"/>
        </w:rPr>
        <w:t>西安、</w:t>
      </w:r>
      <w:bookmarkStart w:id="71" w:name="OLE_LINK19"/>
      <w:bookmarkStart w:id="72" w:name="OLE_LINK101"/>
      <w:bookmarkStart w:id="73" w:name="OLE_LINK102"/>
      <w:r>
        <w:rPr>
          <w:sz w:val="24"/>
          <w:u w:val="single"/>
        </w:rPr>
        <w:t>010-69449323</w:t>
      </w:r>
      <w:bookmarkEnd w:id="71"/>
      <w:bookmarkEnd w:id="72"/>
    </w:p>
    <w:bookmarkEnd w:id="73"/>
    <w:p>
      <w:pPr>
        <w:spacing w:line="360" w:lineRule="auto"/>
        <w:ind w:left="1080" w:leftChars="371" w:hanging="301" w:hangingChars="125"/>
        <w:jc w:val="left"/>
        <w:rPr>
          <w:b/>
          <w:sz w:val="24"/>
          <w:u w:val="single"/>
        </w:rPr>
      </w:pPr>
      <w:r>
        <w:rPr>
          <w:b/>
          <w:sz w:val="24"/>
        </w:rPr>
        <w:t>3.项目联系方式</w:t>
      </w:r>
      <w:bookmarkEnd w:id="66"/>
      <w:bookmarkEnd w:id="67"/>
    </w:p>
    <w:p>
      <w:pPr>
        <w:spacing w:line="360" w:lineRule="auto"/>
        <w:ind w:left="1079" w:leftChars="371" w:hanging="300" w:hangingChars="125"/>
        <w:jc w:val="left"/>
        <w:rPr>
          <w:sz w:val="24"/>
        </w:rPr>
      </w:pPr>
      <w:r>
        <w:rPr>
          <w:sz w:val="24"/>
        </w:rPr>
        <w:t>项目联系人：</w:t>
      </w:r>
      <w:r>
        <w:rPr>
          <w:rFonts w:hint="eastAsia"/>
          <w:sz w:val="24"/>
          <w:u w:val="single"/>
        </w:rPr>
        <w:t>西安</w:t>
      </w:r>
    </w:p>
    <w:p>
      <w:pPr>
        <w:spacing w:line="360" w:lineRule="auto"/>
        <w:ind w:left="1079" w:leftChars="371" w:hanging="300" w:hangingChars="125"/>
        <w:jc w:val="left"/>
        <w:rPr>
          <w:sz w:val="24"/>
        </w:rPr>
      </w:pPr>
      <w:r>
        <w:rPr>
          <w:sz w:val="24"/>
        </w:rPr>
        <w:t>电      话：</w:t>
      </w:r>
      <w:bookmarkStart w:id="74" w:name="OLE_LINK7"/>
      <w:r>
        <w:rPr>
          <w:sz w:val="24"/>
          <w:u w:val="single"/>
        </w:rPr>
        <w:t>010-69449323</w:t>
      </w:r>
      <w:bookmarkEnd w:id="74"/>
    </w:p>
    <w:p>
      <w:pPr>
        <w:spacing w:line="360" w:lineRule="auto"/>
        <w:jc w:val="center"/>
        <w:outlineLvl w:val="0"/>
        <w:rPr>
          <w:b/>
          <w:sz w:val="32"/>
          <w:szCs w:val="32"/>
        </w:rPr>
      </w:pPr>
      <w:r>
        <w:rPr>
          <w:sz w:val="24"/>
        </w:rPr>
        <w:br w:type="page"/>
      </w:r>
      <w:bookmarkStart w:id="75" w:name="_Toc127161488"/>
      <w:bookmarkStart w:id="76" w:name="_Toc195842950"/>
      <w:bookmarkStart w:id="77" w:name="_Toc353825548"/>
      <w:bookmarkStart w:id="78" w:name="_Toc305158854"/>
      <w:bookmarkStart w:id="79" w:name="_Toc265228423"/>
      <w:bookmarkStart w:id="80" w:name="_Toc264969275"/>
      <w:bookmarkStart w:id="81" w:name="_Toc19083"/>
      <w:bookmarkStart w:id="82" w:name="_Toc305158928"/>
      <w:bookmarkStart w:id="83" w:name="_Toc150774783"/>
      <w:bookmarkStart w:id="84" w:name="_Toc353873938"/>
      <w:bookmarkStart w:id="85" w:name="_Toc226965856"/>
      <w:bookmarkStart w:id="86" w:name="_Toc512937850"/>
      <w:bookmarkStart w:id="87" w:name="_Toc127151777"/>
      <w:r>
        <w:rPr>
          <w:b/>
          <w:sz w:val="36"/>
          <w:szCs w:val="36"/>
        </w:rPr>
        <w:t>第二章   投标人须知</w:t>
      </w:r>
      <w:bookmarkEnd w:id="75"/>
      <w:bookmarkEnd w:id="76"/>
      <w:bookmarkEnd w:id="77"/>
      <w:bookmarkEnd w:id="78"/>
      <w:bookmarkEnd w:id="79"/>
      <w:bookmarkEnd w:id="80"/>
      <w:bookmarkEnd w:id="81"/>
      <w:bookmarkEnd w:id="82"/>
      <w:bookmarkEnd w:id="83"/>
      <w:bookmarkEnd w:id="84"/>
      <w:bookmarkEnd w:id="85"/>
      <w:bookmarkEnd w:id="86"/>
      <w:bookmarkEnd w:id="87"/>
    </w:p>
    <w:p>
      <w:pPr>
        <w:pStyle w:val="4"/>
        <w:tabs>
          <w:tab w:val="center" w:pos="4592"/>
          <w:tab w:val="left" w:pos="7860"/>
        </w:tabs>
        <w:spacing w:before="0" w:line="360" w:lineRule="auto"/>
        <w:rPr>
          <w:rFonts w:ascii="Times New Roman" w:hAnsi="Times New Roman" w:eastAsia="宋体"/>
          <w:sz w:val="28"/>
        </w:rPr>
      </w:pPr>
      <w:bookmarkStart w:id="88" w:name="_Toc164608633"/>
      <w:bookmarkStart w:id="89" w:name="_Toc127161433"/>
      <w:bookmarkStart w:id="90" w:name="_Toc150774724"/>
      <w:bookmarkStart w:id="91" w:name="_Toc226309763"/>
      <w:bookmarkStart w:id="92" w:name="_Toc226965792"/>
      <w:bookmarkStart w:id="93" w:name="_Toc164229360"/>
      <w:bookmarkStart w:id="94" w:name="_Toc127151720"/>
      <w:bookmarkStart w:id="95" w:name="_Toc151193907"/>
      <w:bookmarkStart w:id="96" w:name="_Toc150509270"/>
      <w:bookmarkStart w:id="97" w:name="_Toc226337215"/>
      <w:bookmarkStart w:id="98" w:name="_Toc149720812"/>
      <w:bookmarkStart w:id="99" w:name="_Toc151190146"/>
      <w:bookmarkStart w:id="100" w:name="_Toc151193617"/>
      <w:bookmarkStart w:id="101" w:name="_Toc150774619"/>
      <w:bookmarkStart w:id="102" w:name="_Toc195842884"/>
      <w:bookmarkStart w:id="103" w:name="_Toc142311021"/>
      <w:bookmarkStart w:id="104" w:name="_Toc151193689"/>
      <w:bookmarkStart w:id="105" w:name="_Toc226965709"/>
      <w:bookmarkStart w:id="106" w:name="_Toc127151519"/>
      <w:bookmarkStart w:id="107" w:name="_Toc164608788"/>
      <w:bookmarkStart w:id="108" w:name="_Toc164351613"/>
      <w:bookmarkStart w:id="109" w:name="_Toc520356144"/>
      <w:bookmarkStart w:id="110" w:name="_Toc150480757"/>
      <w:bookmarkStart w:id="111" w:name="_Toc164229214"/>
      <w:bookmarkStart w:id="112" w:name="_Toc151193833"/>
      <w:bookmarkStart w:id="113" w:name="_Toc151193761"/>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rFonts w:eastAsiaTheme="minorEastAsia"/>
                <w:sz w:val="24"/>
              </w:rPr>
              <w:t>■</w:t>
            </w:r>
            <w:r>
              <w:rPr>
                <w:sz w:val="24"/>
              </w:rPr>
              <w:t>服务</w:t>
            </w:r>
          </w:p>
          <w:p>
            <w:pPr>
              <w:jc w:val="left"/>
              <w:rPr>
                <w:sz w:val="24"/>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rFonts w:eastAsiaTheme="minorEastAsia"/>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5"/>
              <w:adjustRightInd w:val="0"/>
              <w:snapToGrid w:val="0"/>
              <w:rPr>
                <w:rFonts w:hint="default" w:ascii="Times New Roman" w:hAnsi="Times New Roman"/>
                <w:sz w:val="24"/>
                <w:szCs w:val="24"/>
              </w:rPr>
            </w:pPr>
            <w:r>
              <w:rPr>
                <w:rFonts w:eastAsiaTheme="minorEastAsia"/>
                <w:sz w:val="24"/>
              </w:rPr>
              <w:t>■</w:t>
            </w:r>
            <w:r>
              <w:rPr>
                <w:rFonts w:hint="default" w:ascii="Times New Roman" w:hAnsi="Times New Roman"/>
                <w:sz w:val="24"/>
                <w:szCs w:val="24"/>
              </w:rPr>
              <w:t>关于核心产品本项目_</w:t>
            </w:r>
            <w:r>
              <w:rPr>
                <w:rFonts w:ascii="Times New Roman" w:hAnsi="Times New Roman"/>
                <w:sz w:val="24"/>
                <w:szCs w:val="24"/>
              </w:rPr>
              <w:t>/</w:t>
            </w:r>
            <w:r>
              <w:rPr>
                <w:rFonts w:hint="default" w:ascii="Times New Roman" w:hAnsi="Times New Roman"/>
                <w:sz w:val="24"/>
                <w:szCs w:val="24"/>
              </w:rPr>
              <w:t>_包不适用。</w:t>
            </w:r>
          </w:p>
          <w:p>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rFonts w:eastAsiaTheme="minorEastAsia"/>
                <w:sz w:val="24"/>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5"/>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rFonts w:eastAsiaTheme="minorEastAsia"/>
                <w:sz w:val="24"/>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rFonts w:eastAsiaTheme="minorEastAsia"/>
                <w:sz w:val="24"/>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9"/>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572"/>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189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bookmarkStart w:id="114" w:name="OLE_LINK13" w:colFirst="0" w:colLast="2"/>
                  <w:r>
                    <w:rPr>
                      <w:rFonts w:hint="eastAsia" w:eastAsiaTheme="minorEastAsia"/>
                      <w:bCs/>
                      <w:sz w:val="24"/>
                    </w:rPr>
                    <w:t>1</w:t>
                  </w:r>
                </w:p>
              </w:tc>
              <w:tc>
                <w:tcPr>
                  <w:tcW w:w="1891"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Cs/>
                      <w:sz w:val="24"/>
                      <w:lang w:eastAsia="zh-CN"/>
                    </w:rPr>
                  </w:pPr>
                  <w:r>
                    <w:rPr>
                      <w:rFonts w:hint="eastAsia" w:eastAsiaTheme="minorEastAsia"/>
                      <w:bCs/>
                      <w:szCs w:val="21"/>
                      <w:lang w:eastAsia="zh-CN"/>
                    </w:rPr>
                    <w:t>管委会机关餐饮服务</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kern w:val="0"/>
                      <w:sz w:val="24"/>
                    </w:rPr>
                    <w:t>餐饮业</w:t>
                  </w:r>
                </w:p>
              </w:tc>
            </w:tr>
            <w:bookmarkEnd w:id="114"/>
          </w:tbl>
          <w:p>
            <w:pPr>
              <w:jc w:val="left"/>
              <w:rPr>
                <w:rFonts w:hint="default" w:eastAsia="宋体"/>
                <w:sz w:val="24"/>
                <w:lang w:val="en-US" w:eastAsia="zh-CN"/>
              </w:rPr>
            </w:pPr>
            <w:r>
              <w:rPr>
                <w:rFonts w:hint="eastAsia"/>
                <w:sz w:val="24"/>
                <w:lang w:val="en-US" w:eastAsia="zh-CN"/>
              </w:rPr>
              <w:t>行业划分标准：餐饮业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sz w:val="24"/>
              </w:rPr>
              <w:t>□无</w:t>
            </w:r>
          </w:p>
          <w:p>
            <w:pPr>
              <w:jc w:val="left"/>
              <w:rPr>
                <w:sz w:val="24"/>
              </w:rPr>
            </w:pPr>
            <w:r>
              <w:rPr>
                <w:rFonts w:eastAsiaTheme="minorEastAsia"/>
                <w:sz w:val="24"/>
              </w:rPr>
              <w:t>■</w:t>
            </w:r>
            <w:r>
              <w:rPr>
                <w:sz w:val="24"/>
              </w:rPr>
              <w:t>有，具体情形：__</w:t>
            </w:r>
            <w:r>
              <w:rPr>
                <w:rFonts w:hint="eastAsia" w:ascii="宋体" w:hAnsi="宋体" w:cs="宋体"/>
                <w:sz w:val="24"/>
                <w:u w:val="single"/>
              </w:rPr>
              <w:t>最高投标限价：</w:t>
            </w:r>
            <w:r>
              <w:rPr>
                <w:rFonts w:hint="eastAsia" w:ascii="宋体" w:hAnsi="宋体" w:cs="宋体"/>
                <w:sz w:val="24"/>
                <w:u w:val="single"/>
                <w:lang w:eastAsia="zh-CN"/>
              </w:rPr>
              <w:t>729.953</w:t>
            </w:r>
            <w:r>
              <w:rPr>
                <w:rFonts w:hint="eastAsia" w:ascii="宋体" w:hAnsi="宋体" w:cs="宋体"/>
                <w:sz w:val="24"/>
                <w:u w:val="single"/>
              </w:rPr>
              <w:t>万元</w:t>
            </w:r>
            <w:r>
              <w:rPr>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540" w:type="dxa"/>
            <w:vAlign w:val="center"/>
          </w:tcPr>
          <w:p>
            <w:pPr>
              <w:pStyle w:val="25"/>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5"/>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w:t>
            </w:r>
            <w:r>
              <w:rPr>
                <w:rFonts w:ascii="Times New Roman" w:hAnsi="Times New Roman"/>
                <w:sz w:val="24"/>
              </w:rPr>
              <w:t>/</w:t>
            </w:r>
            <w:r>
              <w:rPr>
                <w:rFonts w:hint="default" w:ascii="Times New Roman" w:hAnsi="Times New Roman"/>
                <w:sz w:val="24"/>
              </w:rPr>
              <w:t>_______</w:t>
            </w:r>
            <w:r>
              <w:rPr>
                <w:rFonts w:hint="default" w:ascii="Times New Roman" w:hAnsi="Times New Roman"/>
                <w:sz w:val="24"/>
                <w:szCs w:val="24"/>
              </w:rPr>
              <w:t>；</w:t>
            </w:r>
          </w:p>
          <w:p>
            <w:pPr>
              <w:pStyle w:val="25"/>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w:t>
            </w:r>
            <w:r>
              <w:rPr>
                <w:rFonts w:ascii="Times New Roman" w:hAnsi="Times New Roman"/>
                <w:sz w:val="24"/>
              </w:rPr>
              <w:t>/</w:t>
            </w:r>
            <w:r>
              <w:rPr>
                <w:rFonts w:hint="default" w:ascii="Times New Roman" w:hAnsi="Times New Roman"/>
                <w:sz w:val="24"/>
              </w:rPr>
              <w:t>_______</w:t>
            </w:r>
            <w:r>
              <w:rPr>
                <w:rFonts w:hint="default" w:ascii="Times New Roman" w:hAnsi="Times New Roman"/>
                <w:sz w:val="24"/>
                <w:szCs w:val="24"/>
              </w:rPr>
              <w:t>。</w:t>
            </w:r>
          </w:p>
          <w:p>
            <w:pPr>
              <w:jc w:val="left"/>
              <w:rPr>
                <w:sz w:val="24"/>
              </w:rPr>
            </w:pPr>
            <w:r>
              <w:rPr>
                <w:sz w:val="24"/>
              </w:rPr>
              <w:t>投标保证金收受人信息：_____</w:t>
            </w:r>
            <w:r>
              <w:rPr>
                <w:rFonts w:hint="eastAsia"/>
                <w:sz w:val="24"/>
              </w:rPr>
              <w:t>/</w:t>
            </w:r>
            <w:r>
              <w:rPr>
                <w:sz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pPr>
              <w:jc w:val="center"/>
              <w:rPr>
                <w:sz w:val="24"/>
              </w:rPr>
            </w:pPr>
          </w:p>
        </w:tc>
        <w:tc>
          <w:tcPr>
            <w:tcW w:w="7540" w:type="dxa"/>
            <w:vAlign w:val="center"/>
          </w:tcPr>
          <w:p>
            <w:pPr>
              <w:jc w:val="left"/>
              <w:rPr>
                <w:sz w:val="24"/>
              </w:rPr>
            </w:pPr>
            <w:r>
              <w:rPr>
                <w:sz w:val="24"/>
              </w:rPr>
              <w:t>投标保证金可以不予退还的其他情形：</w:t>
            </w:r>
          </w:p>
          <w:p>
            <w:pPr>
              <w:jc w:val="left"/>
              <w:rPr>
                <w:sz w:val="24"/>
              </w:rPr>
            </w:pPr>
            <w:r>
              <w:rPr>
                <w:rFonts w:eastAsiaTheme="minorEastAsia"/>
                <w:sz w:val="24"/>
              </w:rPr>
              <w:t>■</w:t>
            </w:r>
            <w:r>
              <w:rPr>
                <w:sz w:val="24"/>
              </w:rPr>
              <w:t>无</w:t>
            </w:r>
          </w:p>
          <w:p>
            <w:pPr>
              <w:pStyle w:val="25"/>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u w:val="single"/>
              </w:rPr>
              <w:t xml:space="preserve"> 90 </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pPr>
              <w:jc w:val="center"/>
              <w:rPr>
                <w:sz w:val="24"/>
              </w:rPr>
            </w:pPr>
            <w:r>
              <w:rPr>
                <w:sz w:val="24"/>
              </w:rPr>
              <w:t>解密时间</w:t>
            </w:r>
          </w:p>
        </w:tc>
        <w:tc>
          <w:tcPr>
            <w:tcW w:w="7540" w:type="dxa"/>
            <w:vAlign w:val="center"/>
          </w:tcPr>
          <w:p>
            <w:pPr>
              <w:jc w:val="left"/>
              <w:rPr>
                <w:sz w:val="24"/>
                <w:u w:val="single"/>
              </w:rPr>
            </w:pPr>
            <w:r>
              <w:rPr>
                <w:sz w:val="24"/>
              </w:rPr>
              <w:t>解密时间：</w:t>
            </w:r>
            <w:r>
              <w:rPr>
                <w:rFonts w:hint="eastAsia"/>
                <w:sz w:val="24"/>
                <w:u w:val="single"/>
              </w:rPr>
              <w:t>开标会开始90</w:t>
            </w:r>
            <w:r>
              <w:rPr>
                <w:sz w:val="24"/>
                <w:u w:val="single"/>
              </w:rPr>
              <w:t>分钟</w:t>
            </w:r>
            <w:r>
              <w:rPr>
                <w:rFonts w:hint="eastAsia"/>
                <w:sz w:val="24"/>
                <w:u w:val="singl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5"/>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pPr>
              <w:pStyle w:val="25"/>
              <w:adjustRightInd w:val="0"/>
              <w:snapToGrid w:val="0"/>
              <w:rPr>
                <w:rFonts w:hint="default" w:ascii="Times New Roman" w:hAnsi="Times New Roman"/>
                <w:sz w:val="24"/>
              </w:rPr>
            </w:pPr>
            <w:r>
              <w:rPr>
                <w:rFonts w:hint="default" w:ascii="Times New Roman" w:hAnsi="Times New Roman"/>
                <w:sz w:val="24"/>
              </w:rPr>
              <w:t>■否</w:t>
            </w:r>
          </w:p>
          <w:p>
            <w:pPr>
              <w:pStyle w:val="25"/>
              <w:adjustRightInd w:val="0"/>
              <w:snapToGrid w:val="0"/>
              <w:rPr>
                <w:rFonts w:hint="default" w:ascii="Times New Roman" w:hAnsi="Times New Roman"/>
                <w:sz w:val="24"/>
              </w:rPr>
            </w:pPr>
            <w:r>
              <w:rPr>
                <w:rFonts w:hint="default" w:ascii="Times New Roman" w:hAnsi="Times New Roman"/>
                <w:sz w:val="24"/>
              </w:rPr>
              <w:t>□是</w:t>
            </w:r>
          </w:p>
          <w:p>
            <w:pPr>
              <w:pStyle w:val="25"/>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pPr>
              <w:pStyle w:val="25"/>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u w:val="single"/>
              </w:rPr>
              <w:t xml:space="preserve">  技术评审  </w:t>
            </w:r>
            <w:r>
              <w:rPr>
                <w:rFonts w:hint="default" w:ascii="Times New Roman" w:hAnsi="Times New Roman"/>
                <w:sz w:val="24"/>
              </w:rPr>
              <w:t>得分高者为中标人</w:t>
            </w:r>
          </w:p>
          <w:p>
            <w:pPr>
              <w:jc w:val="left"/>
              <w:rPr>
                <w:sz w:val="24"/>
                <w:u w:val="single"/>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（1）可以分包履行的具体内容：___</w:t>
            </w:r>
            <w:r>
              <w:rPr>
                <w:rFonts w:hint="eastAsia"/>
                <w:sz w:val="24"/>
              </w:rPr>
              <w:t>/</w:t>
            </w:r>
            <w:r>
              <w:rPr>
                <w:sz w:val="24"/>
              </w:rPr>
              <w:t>__；</w:t>
            </w:r>
          </w:p>
          <w:p>
            <w:pPr>
              <w:jc w:val="left"/>
              <w:rPr>
                <w:sz w:val="24"/>
              </w:rPr>
            </w:pPr>
            <w:r>
              <w:rPr>
                <w:sz w:val="24"/>
              </w:rPr>
              <w:t>（2）允许分包的金额或者比例：__</w:t>
            </w:r>
            <w:r>
              <w:rPr>
                <w:rFonts w:hint="eastAsia"/>
                <w:sz w:val="24"/>
              </w:rPr>
              <w:t>/</w:t>
            </w:r>
            <w:r>
              <w:rPr>
                <w:sz w:val="24"/>
              </w:rPr>
              <w:t>___；</w:t>
            </w:r>
          </w:p>
          <w:p>
            <w:pPr>
              <w:jc w:val="left"/>
              <w:rPr>
                <w:sz w:val="24"/>
                <w:u w:val="single"/>
              </w:rPr>
            </w:pPr>
            <w:r>
              <w:rPr>
                <w:sz w:val="24"/>
              </w:rPr>
              <w:t>（3）其他要求：___</w:t>
            </w:r>
            <w:r>
              <w:rPr>
                <w:rFonts w:hint="eastAsia"/>
                <w:sz w:val="24"/>
              </w:rPr>
              <w:t>/</w:t>
            </w:r>
            <w:r>
              <w:rPr>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w:t>
            </w:r>
            <w:r>
              <w:rPr>
                <w:rFonts w:hint="eastAsia"/>
                <w:sz w:val="24"/>
              </w:rPr>
              <w:t>提出</w:t>
            </w:r>
            <w:r>
              <w:rPr>
                <w:sz w:val="24"/>
              </w:rPr>
              <w:t>形式：</w:t>
            </w:r>
            <w:r>
              <w:fldChar w:fldCharType="begin"/>
            </w:r>
            <w:r>
              <w:instrText xml:space="preserve"> HYPERLINK "mailto:原件扫描件发送至xinzhongzhaobiao@126.com" </w:instrText>
            </w:r>
            <w:r>
              <w:fldChar w:fldCharType="separate"/>
            </w:r>
            <w:r>
              <w:rPr>
                <w:rStyle w:val="57"/>
                <w:rFonts w:hint="eastAsia"/>
                <w:color w:val="auto"/>
                <w:sz w:val="24"/>
              </w:rPr>
              <w:t>原件盖章扫描件发送至xinzhongzhaobiao@126.com</w:t>
            </w:r>
            <w:r>
              <w:rPr>
                <w:rStyle w:val="57"/>
                <w:rFonts w:hint="eastAsia"/>
                <w:color w:val="auto"/>
                <w:sz w:val="24"/>
              </w:rPr>
              <w:fldChar w:fldCharType="end"/>
            </w:r>
            <w:r>
              <w:rPr>
                <w:rFonts w:hint="eastAsia"/>
                <w:sz w:val="24"/>
                <w:u w:val="single"/>
              </w:rPr>
              <w:t>邮箱，原件现场递交或邮寄至北京鑫中招标代理有限公司，收件人：西安。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w:t>
            </w:r>
            <w:r>
              <w:rPr>
                <w:rFonts w:hint="eastAsia"/>
                <w:sz w:val="24"/>
                <w:u w:val="single"/>
              </w:rPr>
              <w:t>北京鑫中招标代理有限公司</w:t>
            </w:r>
            <w:r>
              <w:rPr>
                <w:sz w:val="24"/>
              </w:rPr>
              <w:t>；</w:t>
            </w:r>
          </w:p>
          <w:p>
            <w:pPr>
              <w:jc w:val="left"/>
              <w:rPr>
                <w:sz w:val="24"/>
              </w:rPr>
            </w:pPr>
            <w:r>
              <w:rPr>
                <w:sz w:val="24"/>
              </w:rPr>
              <w:t>联系电话：</w:t>
            </w:r>
            <w:r>
              <w:rPr>
                <w:sz w:val="24"/>
                <w:u w:val="single"/>
              </w:rPr>
              <w:t>010-69449323</w:t>
            </w:r>
            <w:r>
              <w:rPr>
                <w:sz w:val="24"/>
              </w:rPr>
              <w:t>；</w:t>
            </w:r>
            <w:r>
              <w:rPr>
                <w:rFonts w:hint="eastAsia"/>
                <w:sz w:val="24"/>
              </w:rPr>
              <w:t>联系人：</w:t>
            </w:r>
            <w:r>
              <w:rPr>
                <w:rFonts w:hint="eastAsia"/>
                <w:sz w:val="24"/>
                <w:u w:val="single"/>
              </w:rPr>
              <w:t>西安</w:t>
            </w:r>
          </w:p>
          <w:p>
            <w:pPr>
              <w:jc w:val="left"/>
              <w:rPr>
                <w:sz w:val="24"/>
              </w:rPr>
            </w:pPr>
            <w:r>
              <w:rPr>
                <w:sz w:val="24"/>
              </w:rPr>
              <w:t>通讯地址：</w:t>
            </w:r>
            <w:r>
              <w:rPr>
                <w:rFonts w:hint="eastAsia"/>
                <w:sz w:val="24"/>
                <w:u w:val="single"/>
              </w:rPr>
              <w:t>北京市顺义区西环路西50米、减河桥南30米</w:t>
            </w:r>
            <w:r>
              <w:rPr>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jc w:val="left"/>
              <w:rPr>
                <w:sz w:val="24"/>
              </w:rPr>
            </w:pPr>
            <w:r>
              <w:rPr>
                <w:sz w:val="24"/>
              </w:rPr>
              <w:t>□采购人</w:t>
            </w:r>
          </w:p>
          <w:p>
            <w:pPr>
              <w:jc w:val="left"/>
              <w:rPr>
                <w:sz w:val="24"/>
              </w:rPr>
            </w:pPr>
            <w:r>
              <w:rPr>
                <w:sz w:val="24"/>
              </w:rPr>
              <w:t>■中标人</w:t>
            </w:r>
          </w:p>
          <w:p>
            <w:pPr>
              <w:jc w:val="left"/>
              <w:rPr>
                <w:sz w:val="24"/>
                <w:u w:val="single"/>
              </w:rPr>
            </w:pPr>
            <w:r>
              <w:rPr>
                <w:sz w:val="24"/>
              </w:rPr>
              <w:t>收费标准：</w:t>
            </w:r>
            <w:r>
              <w:rPr>
                <w:rFonts w:hint="eastAsia"/>
                <w:sz w:val="24"/>
              </w:rPr>
              <w:t>参照国家计委印发的计价格[2002]1980号关于《招标代理机构服务收费管理暂行办法》、发改办价格[2003]857号文《国家发展改革委办公厅关于招标代理服务收费有关问题的通知》、《国家发展改革委关于降低部分建设项目收费标准规范收费行为等有关问题的通知》（发改价格【2011】534号）、《国家发展改革委关于进一步放开建设项目专业服务价格的通知》（发改价格〔2015〕299号）以招标标的</w:t>
            </w:r>
            <w:r>
              <w:rPr>
                <w:rFonts w:hint="eastAsia"/>
                <w:sz w:val="24"/>
                <w:lang w:eastAsia="zh-CN"/>
              </w:rPr>
              <w:t>729.953</w:t>
            </w:r>
            <w:r>
              <w:rPr>
                <w:rFonts w:hint="eastAsia"/>
                <w:sz w:val="24"/>
              </w:rPr>
              <w:t>万元计算，优惠</w:t>
            </w:r>
            <w:r>
              <w:rPr>
                <w:rFonts w:hint="eastAsia"/>
                <w:sz w:val="24"/>
                <w:lang w:val="en-US" w:eastAsia="zh-CN"/>
              </w:rPr>
              <w:t>2</w:t>
            </w:r>
            <w:r>
              <w:rPr>
                <w:rFonts w:hint="eastAsia"/>
                <w:sz w:val="24"/>
              </w:rPr>
              <w:t>0%后收取服务费用</w:t>
            </w:r>
            <w:r>
              <w:rPr>
                <w:rFonts w:hint="eastAsia"/>
                <w:sz w:val="24"/>
                <w:lang w:val="en-US" w:eastAsia="zh-CN"/>
              </w:rPr>
              <w:t>45878</w:t>
            </w:r>
            <w:r>
              <w:rPr>
                <w:rFonts w:hint="eastAsia"/>
                <w:sz w:val="24"/>
              </w:rPr>
              <w:t>元。</w:t>
            </w:r>
          </w:p>
          <w:p>
            <w:pPr>
              <w:jc w:val="left"/>
              <w:rPr>
                <w:rFonts w:eastAsiaTheme="minorEastAsia"/>
                <w:sz w:val="24"/>
              </w:rPr>
            </w:pPr>
            <w:r>
              <w:rPr>
                <w:sz w:val="24"/>
              </w:rPr>
              <w:t>缴纳时间：</w:t>
            </w:r>
            <w:r>
              <w:rPr>
                <w:rFonts w:hint="eastAsia"/>
                <w:sz w:val="24"/>
                <w:u w:val="single"/>
              </w:rPr>
              <w:t>领取中标通知书时，向代理机构一次性支付招标代理服务费</w:t>
            </w:r>
            <w:r>
              <w:rPr>
                <w:sz w:val="24"/>
                <w:u w:val="single"/>
              </w:rPr>
              <w:t>。</w:t>
            </w:r>
            <w:r>
              <w:rPr>
                <w:sz w:val="24"/>
                <w:u w:val="single"/>
              </w:rPr>
              <w:br w:type="textWrapping"/>
            </w:r>
            <w:r>
              <w:rPr>
                <w:rFonts w:hint="eastAsia" w:eastAsiaTheme="minorEastAsia"/>
                <w:sz w:val="24"/>
              </w:rPr>
              <w:t>收取招标代理服务费账号:</w:t>
            </w:r>
          </w:p>
          <w:p>
            <w:pPr>
              <w:jc w:val="left"/>
              <w:rPr>
                <w:rFonts w:eastAsiaTheme="minorEastAsia"/>
                <w:sz w:val="24"/>
              </w:rPr>
            </w:pPr>
            <w:r>
              <w:rPr>
                <w:rFonts w:hint="eastAsia" w:eastAsiaTheme="minorEastAsia"/>
                <w:sz w:val="24"/>
              </w:rPr>
              <w:t>户名：北京鑫中招标代理有限公司</w:t>
            </w:r>
          </w:p>
          <w:p>
            <w:pPr>
              <w:jc w:val="left"/>
              <w:rPr>
                <w:rFonts w:eastAsiaTheme="minorEastAsia"/>
                <w:sz w:val="24"/>
              </w:rPr>
            </w:pPr>
            <w:r>
              <w:rPr>
                <w:rFonts w:hint="eastAsia" w:eastAsiaTheme="minorEastAsia"/>
                <w:sz w:val="24"/>
              </w:rPr>
              <w:t xml:space="preserve">开户行：工行中山街支行 </w:t>
            </w:r>
          </w:p>
          <w:p>
            <w:pPr>
              <w:jc w:val="left"/>
              <w:rPr>
                <w:rFonts w:eastAsiaTheme="minorEastAsia"/>
                <w:sz w:val="24"/>
              </w:rPr>
            </w:pPr>
            <w:r>
              <w:rPr>
                <w:rFonts w:hint="eastAsia" w:eastAsiaTheme="minorEastAsia"/>
                <w:sz w:val="24"/>
              </w:rPr>
              <w:t>账号：0200041219200224448</w:t>
            </w:r>
          </w:p>
          <w:p>
            <w:pPr>
              <w:jc w:val="left"/>
              <w:rPr>
                <w:sz w:val="24"/>
              </w:rPr>
            </w:pPr>
            <w:r>
              <w:rPr>
                <w:rFonts w:hint="eastAsia" w:eastAsiaTheme="minorEastAsia"/>
                <w:b/>
                <w:bCs/>
                <w:sz w:val="24"/>
              </w:rPr>
              <w:t>注：北京鑫中招标代理有限公司财务电话61478829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5"/>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评标委员会组成</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z w:val="24"/>
              </w:rPr>
              <w:t>评标委员会由招标人或其委托的招标代理机构熟悉相关业务的代表，在北京市评标专家库随机抽取的有关技术、经济等方面的专家组成，人数为5人，其中招标人代表1名，其中技术专家3人、经济专家1人。</w:t>
            </w:r>
          </w:p>
        </w:tc>
      </w:tr>
    </w:tbl>
    <w:p>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b/>
          <w:sz w:val="28"/>
          <w:szCs w:val="28"/>
        </w:rPr>
      </w:pPr>
      <w:bookmarkStart w:id="115" w:name="_Toc127151517"/>
      <w:bookmarkStart w:id="116" w:name="_Toc305158785"/>
      <w:bookmarkStart w:id="117" w:name="_Toc226965790"/>
      <w:bookmarkStart w:id="118" w:name="_Toc226337213"/>
      <w:bookmarkStart w:id="119" w:name="_Toc265228355"/>
      <w:bookmarkStart w:id="120" w:name="_Toc353825542"/>
      <w:bookmarkStart w:id="121" w:name="_Toc353873932"/>
      <w:bookmarkStart w:id="122" w:name="_Toc305158859"/>
      <w:bookmarkStart w:id="123" w:name="_Toc353873662"/>
      <w:bookmarkStart w:id="124" w:name="_Toc264969207"/>
      <w:bookmarkStart w:id="125" w:name="_Toc150480755"/>
      <w:bookmarkStart w:id="126" w:name="_Toc195842882"/>
      <w:bookmarkStart w:id="127" w:name="_Toc150774722"/>
      <w:bookmarkStart w:id="128" w:name="_Toc142311019"/>
      <w:r>
        <w:rPr>
          <w:b/>
          <w:sz w:val="28"/>
          <w:szCs w:val="28"/>
        </w:rPr>
        <w:t>投标人须知</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pStyle w:val="4"/>
        <w:tabs>
          <w:tab w:val="center" w:pos="4592"/>
          <w:tab w:val="left" w:pos="7860"/>
        </w:tabs>
        <w:spacing w:before="0" w:line="360" w:lineRule="auto"/>
        <w:jc w:val="left"/>
        <w:rPr>
          <w:rFonts w:ascii="Times New Roman" w:hAnsi="Times New Roman" w:eastAsia="宋体"/>
          <w:sz w:val="28"/>
        </w:rPr>
      </w:pPr>
      <w:bookmarkStart w:id="129" w:name="_Toc520356143"/>
      <w:bookmarkStart w:id="130" w:name="_Toc127151518"/>
      <w:r>
        <w:rPr>
          <w:rFonts w:ascii="Times New Roman" w:hAnsi="Times New Roman" w:eastAsia="宋体"/>
          <w:sz w:val="28"/>
        </w:rPr>
        <w:tab/>
      </w:r>
      <w:bookmarkStart w:id="131" w:name="_Toc264969208"/>
      <w:bookmarkStart w:id="132" w:name="_Toc150774723"/>
      <w:bookmarkStart w:id="133" w:name="_Toc150480756"/>
      <w:bookmarkStart w:id="134" w:name="_Toc226965791"/>
      <w:bookmarkStart w:id="135" w:name="_Toc151193906"/>
      <w:bookmarkStart w:id="136" w:name="_Toc151193688"/>
      <w:bookmarkStart w:id="137" w:name="_Toc226337214"/>
      <w:bookmarkStart w:id="138" w:name="_Toc150509269"/>
      <w:bookmarkStart w:id="139" w:name="_Toc150774618"/>
      <w:bookmarkStart w:id="140" w:name="_Toc305158860"/>
      <w:bookmarkStart w:id="141" w:name="_Toc305158786"/>
      <w:bookmarkStart w:id="142" w:name="_Toc151193616"/>
      <w:bookmarkStart w:id="143" w:name="_Toc226309762"/>
      <w:bookmarkStart w:id="144" w:name="_Toc195842883"/>
      <w:bookmarkStart w:id="145" w:name="_Toc226965708"/>
      <w:bookmarkStart w:id="146" w:name="_Toc265228356"/>
      <w:bookmarkStart w:id="147" w:name="_Toc151193832"/>
      <w:bookmarkStart w:id="148" w:name="_Toc142311020"/>
      <w:bookmarkStart w:id="149" w:name="_Toc151193760"/>
      <w:bookmarkStart w:id="150" w:name="_Toc151190145"/>
      <w:r>
        <w:rPr>
          <w:rFonts w:ascii="Times New Roman" w:hAnsi="Times New Roman" w:eastAsia="宋体"/>
          <w:sz w:val="28"/>
        </w:rPr>
        <w:t>一   说  明</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51" w:name="_Toc305158861"/>
      <w:bookmarkStart w:id="152" w:name="_Toc265228357"/>
      <w:bookmarkStart w:id="153" w:name="_Toc264969209"/>
      <w:bookmarkStart w:id="154" w:name="_Toc305158787"/>
      <w:r>
        <w:rPr>
          <w:sz w:val="24"/>
        </w:rPr>
        <w:t>采购人、采购代理机构、投标人</w:t>
      </w:r>
      <w:bookmarkEnd w:id="151"/>
      <w:bookmarkEnd w:id="152"/>
      <w:bookmarkEnd w:id="153"/>
      <w:bookmarkEnd w:id="154"/>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55" w:name="_Toc151190147"/>
      <w:bookmarkStart w:id="156" w:name="_Toc164229361"/>
      <w:bookmarkStart w:id="157" w:name="_Toc127151721"/>
      <w:bookmarkStart w:id="158" w:name="_Toc264969210"/>
      <w:bookmarkStart w:id="159" w:name="_Toc151193834"/>
      <w:bookmarkStart w:id="160" w:name="_Toc265228358"/>
      <w:bookmarkStart w:id="161" w:name="_Toc226965793"/>
      <w:bookmarkStart w:id="162" w:name="_Toc150774725"/>
      <w:bookmarkStart w:id="163" w:name="_Toc127161434"/>
      <w:bookmarkStart w:id="164" w:name="_Toc150509271"/>
      <w:bookmarkStart w:id="165" w:name="_Toc150774620"/>
      <w:bookmarkStart w:id="166" w:name="_Toc151193690"/>
      <w:bookmarkStart w:id="167" w:name="_Toc151193908"/>
      <w:bookmarkStart w:id="168" w:name="_Toc226337216"/>
      <w:bookmarkStart w:id="169" w:name="_Toc151193762"/>
      <w:bookmarkStart w:id="170" w:name="_Toc164229215"/>
      <w:bookmarkStart w:id="171" w:name="_Toc226965710"/>
      <w:bookmarkStart w:id="172" w:name="_Toc150480758"/>
      <w:bookmarkStart w:id="173" w:name="_Toc149720813"/>
      <w:bookmarkStart w:id="174" w:name="_Toc226309764"/>
      <w:bookmarkStart w:id="175" w:name="_Toc142311022"/>
      <w:bookmarkStart w:id="176" w:name="_Toc164608789"/>
      <w:bookmarkStart w:id="177" w:name="_Toc305158788"/>
      <w:bookmarkStart w:id="178" w:name="_Toc164608634"/>
      <w:bookmarkStart w:id="179" w:name="_Toc195842885"/>
      <w:bookmarkStart w:id="180" w:name="_Toc127151520"/>
      <w:bookmarkStart w:id="181" w:name="_Toc164351614"/>
      <w:bookmarkStart w:id="182" w:name="_Toc151193618"/>
      <w:bookmarkStart w:id="183" w:name="_Toc305158862"/>
      <w:r>
        <w:rPr>
          <w:sz w:val="24"/>
        </w:rPr>
        <w:t>资金来源</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84" w:name="_Toc305158790"/>
      <w:bookmarkStart w:id="185" w:name="_Toc264969212"/>
      <w:bookmarkStart w:id="186" w:name="_Toc226337218"/>
      <w:bookmarkStart w:id="187" w:name="_Toc150774727"/>
      <w:bookmarkStart w:id="188" w:name="_Toc151190149"/>
      <w:bookmarkStart w:id="189" w:name="_Toc305158864"/>
      <w:bookmarkStart w:id="190" w:name="_Toc195842887"/>
      <w:bookmarkStart w:id="191" w:name="_Toc226965712"/>
      <w:bookmarkStart w:id="192" w:name="_Toc151193620"/>
      <w:bookmarkStart w:id="193" w:name="_Toc151193910"/>
      <w:bookmarkStart w:id="194" w:name="_Toc150480760"/>
      <w:bookmarkStart w:id="195" w:name="_Toc151193836"/>
      <w:bookmarkStart w:id="196" w:name="_Toc151193764"/>
      <w:bookmarkStart w:id="197" w:name="_Toc127151522"/>
      <w:bookmarkStart w:id="198" w:name="_Toc226965795"/>
      <w:bookmarkStart w:id="199" w:name="_Toc150509273"/>
      <w:bookmarkStart w:id="200" w:name="_Toc150774622"/>
      <w:bookmarkStart w:id="201" w:name="_Toc142311024"/>
      <w:bookmarkStart w:id="202" w:name="_Toc226309766"/>
      <w:bookmarkStart w:id="203" w:name="_Toc520356146"/>
      <w:bookmarkStart w:id="204" w:name="_Toc151193692"/>
      <w:bookmarkStart w:id="205" w:name="_Toc265228360"/>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9"/>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9"/>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9"/>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206" w:name="_Hlk164953935"/>
      <w:r>
        <w:rPr>
          <w:sz w:val="24"/>
        </w:rPr>
        <w:t xml:space="preserve">其他政府采购需求标准 </w:t>
      </w:r>
    </w:p>
    <w:bookmarkEnd w:id="206"/>
    <w:p>
      <w:pPr>
        <w:tabs>
          <w:tab w:val="left" w:pos="900"/>
          <w:tab w:val="left" w:pos="1980"/>
        </w:tabs>
        <w:snapToGrid w:val="0"/>
        <w:spacing w:line="360" w:lineRule="auto"/>
        <w:ind w:left="1980"/>
        <w:rPr>
          <w:sz w:val="24"/>
        </w:rPr>
      </w:pPr>
      <w:bookmarkStart w:id="207" w:name="_Hlk164955325"/>
      <w:r>
        <w:rPr>
          <w:sz w:val="24"/>
        </w:rPr>
        <w:t>为贯彻落实《深化政府采购制度改革方案》有关要求，推动政府采购需求标准建设</w:t>
      </w:r>
      <w:bookmarkEnd w:id="207"/>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208" w:name="_1.8_计量单位"/>
      <w:bookmarkEnd w:id="208"/>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numPr>
          <w:ilvl w:val="0"/>
          <w:numId w:val="8"/>
        </w:numPr>
        <w:tabs>
          <w:tab w:val="left" w:pos="360"/>
        </w:tabs>
        <w:snapToGrid w:val="0"/>
        <w:spacing w:line="360" w:lineRule="auto"/>
        <w:ind w:left="357" w:hanging="357"/>
        <w:outlineLvl w:val="1"/>
        <w:rPr>
          <w:sz w:val="24"/>
        </w:rPr>
      </w:pPr>
      <w:bookmarkStart w:id="209" w:name="_Toc264969213"/>
      <w:bookmarkStart w:id="210" w:name="_Toc226965796"/>
      <w:bookmarkStart w:id="211" w:name="_Toc305158791"/>
      <w:bookmarkStart w:id="212" w:name="_Toc149720816"/>
      <w:bookmarkStart w:id="213" w:name="_Toc127151724"/>
      <w:bookmarkStart w:id="214" w:name="_Toc150774728"/>
      <w:bookmarkStart w:id="215" w:name="_Toc150509274"/>
      <w:bookmarkStart w:id="216" w:name="_Toc151193693"/>
      <w:bookmarkStart w:id="217" w:name="_Toc151193765"/>
      <w:bookmarkStart w:id="218" w:name="_Toc151193621"/>
      <w:bookmarkStart w:id="219" w:name="_Toc127161437"/>
      <w:bookmarkStart w:id="220" w:name="_Toc226965713"/>
      <w:bookmarkStart w:id="221" w:name="_Toc164229364"/>
      <w:bookmarkStart w:id="222" w:name="_Toc265228361"/>
      <w:bookmarkStart w:id="223" w:name="_Toc226337219"/>
      <w:bookmarkStart w:id="224" w:name="_Toc150480761"/>
      <w:bookmarkStart w:id="225" w:name="_Toc520356147"/>
      <w:bookmarkStart w:id="226" w:name="_Toc164608792"/>
      <w:bookmarkStart w:id="227" w:name="_Toc151193911"/>
      <w:bookmarkStart w:id="228" w:name="_Toc226309767"/>
      <w:bookmarkStart w:id="229" w:name="_Toc164608637"/>
      <w:bookmarkStart w:id="230" w:name="_Toc164229218"/>
      <w:bookmarkStart w:id="231" w:name="_Toc151193837"/>
      <w:bookmarkStart w:id="232" w:name="_Toc164351617"/>
      <w:bookmarkStart w:id="233" w:name="_Toc150774623"/>
      <w:bookmarkStart w:id="234" w:name="_Toc142311025"/>
      <w:bookmarkStart w:id="235" w:name="_Toc127151523"/>
      <w:bookmarkStart w:id="236" w:name="_Toc305158865"/>
      <w:bookmarkStart w:id="237" w:name="_Toc151190150"/>
      <w:bookmarkStart w:id="238" w:name="_Toc195842888"/>
      <w:r>
        <w:rPr>
          <w:sz w:val="24"/>
        </w:rPr>
        <w:t>招标文件构</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39" w:name="_Toc516367020"/>
      <w:bookmarkStart w:id="240" w:name="_Toc151193768"/>
      <w:bookmarkStart w:id="241" w:name="_Toc195842891"/>
      <w:bookmarkStart w:id="242" w:name="_Toc264969216"/>
      <w:bookmarkStart w:id="243" w:name="_Toc151193624"/>
      <w:bookmarkStart w:id="244" w:name="_Toc226965716"/>
      <w:bookmarkStart w:id="245" w:name="_Toc150480764"/>
      <w:bookmarkStart w:id="246" w:name="_Toc151190153"/>
      <w:bookmarkStart w:id="247" w:name="_Toc151193696"/>
      <w:bookmarkStart w:id="248" w:name="_Toc151193914"/>
      <w:bookmarkStart w:id="249" w:name="_Toc226309770"/>
      <w:bookmarkStart w:id="250" w:name="_Toc151193840"/>
      <w:bookmarkStart w:id="251" w:name="_Toc520356150"/>
      <w:bookmarkStart w:id="252" w:name="_Toc226965799"/>
      <w:bookmarkStart w:id="253" w:name="_Toc127151526"/>
      <w:bookmarkStart w:id="254" w:name="_Toc150774626"/>
      <w:bookmarkStart w:id="255" w:name="_Toc265228364"/>
      <w:bookmarkStart w:id="256" w:name="_Toc150774731"/>
      <w:bookmarkStart w:id="257" w:name="_Toc305158794"/>
      <w:bookmarkStart w:id="258" w:name="_Toc142311028"/>
      <w:bookmarkStart w:id="259" w:name="_Toc150509277"/>
      <w:bookmarkStart w:id="260" w:name="_Toc226337222"/>
      <w:bookmarkStart w:id="261" w:name="_Toc305158868"/>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39"/>
      <w:r>
        <w:rPr>
          <w:rFonts w:ascii="Times New Roman" w:hAnsi="Times New Roman" w:eastAsia="宋体"/>
          <w:sz w:val="28"/>
        </w:rPr>
        <w:t>的编制</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numPr>
          <w:ilvl w:val="0"/>
          <w:numId w:val="8"/>
        </w:numPr>
        <w:tabs>
          <w:tab w:val="left" w:pos="360"/>
        </w:tabs>
        <w:snapToGrid w:val="0"/>
        <w:spacing w:line="360" w:lineRule="auto"/>
        <w:ind w:left="357" w:hanging="357"/>
        <w:outlineLvl w:val="1"/>
        <w:rPr>
          <w:sz w:val="24"/>
        </w:rPr>
      </w:pPr>
      <w:bookmarkStart w:id="262" w:name="_Toc151193769"/>
      <w:bookmarkStart w:id="263" w:name="_Toc226309771"/>
      <w:bookmarkStart w:id="264" w:name="_Toc150509278"/>
      <w:bookmarkStart w:id="265" w:name="_Toc226965800"/>
      <w:bookmarkStart w:id="266" w:name="_Toc226337223"/>
      <w:bookmarkStart w:id="267" w:name="_Toc305158795"/>
      <w:bookmarkStart w:id="268" w:name="_Toc151190154"/>
      <w:bookmarkStart w:id="269" w:name="_Toc164351621"/>
      <w:bookmarkStart w:id="270" w:name="_Toc151193697"/>
      <w:bookmarkStart w:id="271" w:name="_Toc150774732"/>
      <w:bookmarkStart w:id="272" w:name="_Toc164229222"/>
      <w:bookmarkStart w:id="273" w:name="_Toc127151728"/>
      <w:bookmarkStart w:id="274" w:name="_Toc265228365"/>
      <w:bookmarkStart w:id="275" w:name="_Toc516367021"/>
      <w:bookmarkStart w:id="276" w:name="_Toc164608641"/>
      <w:bookmarkStart w:id="277" w:name="_Toc164608796"/>
      <w:bookmarkStart w:id="278" w:name="_Toc151193625"/>
      <w:bookmarkStart w:id="279" w:name="_Toc142311029"/>
      <w:bookmarkStart w:id="280" w:name="_Toc127151527"/>
      <w:bookmarkStart w:id="281" w:name="_Toc226965717"/>
      <w:bookmarkStart w:id="282" w:name="_Toc149720820"/>
      <w:bookmarkStart w:id="283" w:name="_Toc305158869"/>
      <w:bookmarkStart w:id="284" w:name="_Toc264969217"/>
      <w:bookmarkStart w:id="285" w:name="_Toc520356151"/>
      <w:bookmarkStart w:id="286" w:name="_Toc151193915"/>
      <w:bookmarkStart w:id="287" w:name="_Toc127161441"/>
      <w:bookmarkStart w:id="288" w:name="_Toc164229368"/>
      <w:bookmarkStart w:id="289" w:name="_Toc150480765"/>
      <w:bookmarkStart w:id="290" w:name="_Toc195842892"/>
      <w:bookmarkStart w:id="291" w:name="_Toc150774627"/>
      <w:bookmarkStart w:id="292" w:name="_Toc151193841"/>
      <w:r>
        <w:rPr>
          <w:sz w:val="24"/>
        </w:rPr>
        <w:t>投标范围、投标文件中计量单位的使用</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93" w:name="_Toc516367022"/>
      <w:bookmarkStart w:id="294" w:name="_Ref467306195"/>
      <w:bookmarkStart w:id="295" w:name="_Ref467306676"/>
      <w:bookmarkStart w:id="296" w:name="_Toc265228366"/>
      <w:bookmarkStart w:id="297" w:name="_Toc305158796"/>
      <w:bookmarkStart w:id="298" w:name="_Toc226965718"/>
      <w:bookmarkStart w:id="299" w:name="_Toc150509279"/>
      <w:bookmarkStart w:id="300" w:name="_Toc164608642"/>
      <w:bookmarkStart w:id="301" w:name="_Toc226309772"/>
      <w:bookmarkStart w:id="302" w:name="_Toc164229223"/>
      <w:bookmarkStart w:id="303" w:name="_Toc164351622"/>
      <w:bookmarkStart w:id="304" w:name="_Toc127151528"/>
      <w:bookmarkStart w:id="305" w:name="_Toc151193842"/>
      <w:bookmarkStart w:id="306" w:name="_Toc164608797"/>
      <w:bookmarkStart w:id="307" w:name="_Toc226337224"/>
      <w:bookmarkStart w:id="308" w:name="_Toc150480766"/>
      <w:bookmarkStart w:id="309" w:name="_Toc520356152"/>
      <w:bookmarkStart w:id="310" w:name="_Toc305158870"/>
      <w:bookmarkStart w:id="311" w:name="_Toc151193770"/>
      <w:bookmarkStart w:id="312" w:name="_Toc142311030"/>
      <w:bookmarkStart w:id="313" w:name="_Toc127151729"/>
      <w:bookmarkStart w:id="314" w:name="_Toc151190155"/>
      <w:bookmarkStart w:id="315" w:name="_Toc150774628"/>
      <w:bookmarkStart w:id="316" w:name="_Toc150774733"/>
      <w:bookmarkStart w:id="317" w:name="_Toc195842893"/>
      <w:bookmarkStart w:id="318" w:name="_Toc151193626"/>
      <w:bookmarkStart w:id="319" w:name="_Toc151193698"/>
      <w:bookmarkStart w:id="320" w:name="_Toc151193916"/>
      <w:bookmarkStart w:id="321" w:name="_Toc226965801"/>
      <w:bookmarkStart w:id="322" w:name="_Toc127161442"/>
      <w:bookmarkStart w:id="323" w:name="_Toc149720821"/>
      <w:bookmarkStart w:id="324" w:name="_Toc164229369"/>
      <w:bookmarkStart w:id="325" w:name="_Toc264969218"/>
      <w:r>
        <w:rPr>
          <w:sz w:val="24"/>
        </w:rPr>
        <w:t>投标文件</w:t>
      </w:r>
      <w:bookmarkEnd w:id="293"/>
      <w:bookmarkEnd w:id="294"/>
      <w:bookmarkEnd w:id="295"/>
      <w:r>
        <w:rPr>
          <w:sz w:val="24"/>
        </w:rPr>
        <w:t>构成</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numPr>
          <w:ilvl w:val="1"/>
          <w:numId w:val="8"/>
        </w:numPr>
        <w:tabs>
          <w:tab w:val="left" w:pos="1080"/>
          <w:tab w:val="left" w:pos="2014"/>
        </w:tabs>
        <w:snapToGrid w:val="0"/>
        <w:spacing w:line="360" w:lineRule="auto"/>
        <w:ind w:left="1077" w:hanging="720"/>
        <w:rPr>
          <w:sz w:val="24"/>
        </w:rPr>
      </w:pPr>
      <w:bookmarkStart w:id="326"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26"/>
    </w:p>
    <w:p>
      <w:pPr>
        <w:numPr>
          <w:ilvl w:val="0"/>
          <w:numId w:val="8"/>
        </w:numPr>
        <w:tabs>
          <w:tab w:val="left" w:pos="360"/>
        </w:tabs>
        <w:snapToGrid w:val="0"/>
        <w:spacing w:line="360" w:lineRule="auto"/>
        <w:ind w:left="357" w:hanging="357"/>
        <w:outlineLvl w:val="1"/>
        <w:rPr>
          <w:sz w:val="24"/>
        </w:rPr>
      </w:pPr>
      <w:bookmarkStart w:id="327" w:name="_Toc164351624"/>
      <w:bookmarkStart w:id="328" w:name="_Toc164229225"/>
      <w:bookmarkStart w:id="329" w:name="_Toc149720823"/>
      <w:bookmarkStart w:id="330" w:name="_Toc164608799"/>
      <w:bookmarkStart w:id="331" w:name="_Toc164229371"/>
      <w:bookmarkStart w:id="332" w:name="_Toc151193700"/>
      <w:bookmarkStart w:id="333" w:name="_Toc150774630"/>
      <w:bookmarkStart w:id="334" w:name="_Toc150480768"/>
      <w:bookmarkStart w:id="335" w:name="_Toc164608644"/>
      <w:bookmarkStart w:id="336" w:name="_Toc150774735"/>
      <w:bookmarkStart w:id="337" w:name="_Toc151193918"/>
      <w:bookmarkStart w:id="338" w:name="_Toc150509281"/>
      <w:bookmarkStart w:id="339" w:name="_Toc151193628"/>
      <w:bookmarkStart w:id="340" w:name="_Toc151193844"/>
      <w:bookmarkStart w:id="341" w:name="_Toc151193772"/>
      <w:bookmarkStart w:id="342" w:name="_Toc127161444"/>
      <w:bookmarkStart w:id="343" w:name="_Toc142311032"/>
      <w:bookmarkStart w:id="344" w:name="_Toc127151731"/>
      <w:bookmarkStart w:id="345" w:name="_Toc520356155"/>
      <w:bookmarkStart w:id="346" w:name="_Toc127151530"/>
      <w:bookmarkStart w:id="347" w:name="_Toc151190157"/>
      <w:bookmarkStart w:id="348" w:name="_Toc195842895"/>
      <w:r>
        <w:rPr>
          <w:sz w:val="24"/>
        </w:rPr>
        <w:t>投标报价</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49" w:name="_Toc151193629"/>
      <w:bookmarkStart w:id="350" w:name="_Toc226965804"/>
      <w:bookmarkStart w:id="351" w:name="_Toc142311033"/>
      <w:bookmarkStart w:id="352" w:name="_Toc151190158"/>
      <w:bookmarkStart w:id="353" w:name="_Toc226965721"/>
      <w:bookmarkStart w:id="354" w:name="_Toc127161445"/>
      <w:bookmarkStart w:id="355" w:name="_Toc151193773"/>
      <w:bookmarkStart w:id="356" w:name="_Toc150774736"/>
      <w:bookmarkStart w:id="357" w:name="_Toc164351625"/>
      <w:bookmarkStart w:id="358" w:name="_Toc164608645"/>
      <w:bookmarkStart w:id="359" w:name="_Toc226309775"/>
      <w:bookmarkStart w:id="360" w:name="_Toc164608800"/>
      <w:bookmarkStart w:id="361" w:name="_Toc127151531"/>
      <w:bookmarkStart w:id="362" w:name="_Toc164229226"/>
      <w:bookmarkStart w:id="363" w:name="_Ref467306513"/>
      <w:bookmarkStart w:id="364" w:name="_Toc149720824"/>
      <w:bookmarkStart w:id="365" w:name="_Toc151193919"/>
      <w:bookmarkStart w:id="366" w:name="_Toc520356156"/>
      <w:bookmarkStart w:id="367" w:name="_Toc195842896"/>
      <w:bookmarkStart w:id="368" w:name="_Toc127151732"/>
      <w:bookmarkStart w:id="369" w:name="_Toc151193701"/>
      <w:bookmarkStart w:id="370" w:name="_Toc305158799"/>
      <w:bookmarkStart w:id="371" w:name="_Toc226337227"/>
      <w:bookmarkStart w:id="372" w:name="_Toc265228369"/>
      <w:bookmarkStart w:id="373" w:name="_Toc150774631"/>
      <w:bookmarkStart w:id="374" w:name="_Toc150509282"/>
      <w:bookmarkStart w:id="375" w:name="_Toc164229372"/>
      <w:bookmarkStart w:id="376" w:name="_Toc305158873"/>
      <w:bookmarkStart w:id="377" w:name="_Toc151193845"/>
      <w:bookmarkStart w:id="378" w:name="_Toc150480769"/>
      <w:bookmarkStart w:id="379" w:name="_Toc264969221"/>
      <w:r>
        <w:rPr>
          <w:sz w:val="24"/>
        </w:rPr>
        <w:t>投标保证金</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numPr>
          <w:ilvl w:val="1"/>
          <w:numId w:val="8"/>
        </w:numPr>
        <w:tabs>
          <w:tab w:val="left" w:pos="1080"/>
          <w:tab w:val="left" w:pos="2014"/>
        </w:tabs>
        <w:snapToGrid w:val="0"/>
        <w:spacing w:line="360" w:lineRule="auto"/>
        <w:ind w:left="1077" w:hanging="720"/>
        <w:rPr>
          <w:sz w:val="24"/>
        </w:rPr>
      </w:pPr>
      <w:bookmarkStart w:id="380" w:name="_Ref467306302"/>
      <w:r>
        <w:rPr>
          <w:sz w:val="24"/>
        </w:rPr>
        <w:t>投标人应按《投标人须知资料表》中规定的金额及要求交纳投标保证金</w:t>
      </w:r>
      <w:bookmarkEnd w:id="380"/>
      <w:r>
        <w:rPr>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81" w:name="_Hlk164959831"/>
      <w:r>
        <w:rPr>
          <w:sz w:val="24"/>
        </w:rPr>
        <w:t>以电子保函形式提交投标保证金的，应在投标截止时间前通过</w:t>
      </w:r>
      <w:r>
        <w:rPr>
          <w:sz w:val="24"/>
          <w:lang w:bidi="ar"/>
        </w:rPr>
        <w:t>北京市政府采购电子交易平台完成电子保函在线办理。</w:t>
      </w:r>
      <w:bookmarkEnd w:id="381"/>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82" w:name="_Toc150509283"/>
      <w:bookmarkStart w:id="383" w:name="_Toc150774632"/>
      <w:bookmarkStart w:id="384" w:name="_Toc151193920"/>
      <w:bookmarkStart w:id="385" w:name="_Toc195842897"/>
      <w:bookmarkStart w:id="386" w:name="_Toc127151733"/>
      <w:bookmarkStart w:id="387" w:name="_Toc520356157"/>
      <w:bookmarkStart w:id="388" w:name="_Toc226309776"/>
      <w:bookmarkStart w:id="389" w:name="_Toc264969222"/>
      <w:bookmarkStart w:id="390" w:name="_Toc164608801"/>
      <w:bookmarkStart w:id="391" w:name="_Toc151193774"/>
      <w:bookmarkStart w:id="392" w:name="_Toc164229227"/>
      <w:bookmarkStart w:id="393" w:name="_Toc142311034"/>
      <w:bookmarkStart w:id="394" w:name="_Toc226965722"/>
      <w:bookmarkStart w:id="395" w:name="_Toc127151532"/>
      <w:bookmarkStart w:id="396" w:name="_Toc226337228"/>
      <w:bookmarkStart w:id="397" w:name="_Toc150774737"/>
      <w:bookmarkStart w:id="398" w:name="_Toc151193702"/>
      <w:bookmarkStart w:id="399" w:name="_Toc305158800"/>
      <w:bookmarkStart w:id="400" w:name="_Toc164608646"/>
      <w:bookmarkStart w:id="401" w:name="_Toc151190159"/>
      <w:bookmarkStart w:id="402" w:name="_Toc127161446"/>
      <w:bookmarkStart w:id="403" w:name="_Toc164351626"/>
      <w:bookmarkStart w:id="404" w:name="_Toc150480770"/>
      <w:bookmarkStart w:id="405" w:name="_Toc305158874"/>
      <w:bookmarkStart w:id="406" w:name="_Toc149720825"/>
      <w:bookmarkStart w:id="407" w:name="_Toc151193630"/>
      <w:bookmarkStart w:id="408" w:name="_Toc164229373"/>
      <w:bookmarkStart w:id="409" w:name="_Toc151193846"/>
      <w:bookmarkStart w:id="410" w:name="_Toc226965805"/>
      <w:bookmarkStart w:id="411" w:name="_Toc265228370"/>
      <w:r>
        <w:rPr>
          <w:sz w:val="24"/>
        </w:rPr>
        <w:t>投标有效期</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412" w:name="_Toc151193631"/>
      <w:bookmarkStart w:id="413" w:name="_Toc149720826"/>
      <w:bookmarkStart w:id="414" w:name="_Toc127161447"/>
      <w:bookmarkStart w:id="415" w:name="_Toc164351627"/>
      <w:bookmarkStart w:id="416" w:name="_Toc151193775"/>
      <w:bookmarkStart w:id="417" w:name="_Toc127151734"/>
      <w:bookmarkStart w:id="418" w:name="_Toc164608647"/>
      <w:bookmarkStart w:id="419" w:name="_Toc226309777"/>
      <w:bookmarkStart w:id="420" w:name="_Toc226965723"/>
      <w:bookmarkStart w:id="421" w:name="_Toc151193703"/>
      <w:bookmarkStart w:id="422" w:name="_Toc226337229"/>
      <w:bookmarkStart w:id="423" w:name="_Toc264969223"/>
      <w:bookmarkStart w:id="424" w:name="_Toc151193921"/>
      <w:bookmarkStart w:id="425" w:name="_Toc164608802"/>
      <w:bookmarkStart w:id="426" w:name="_Toc150509284"/>
      <w:bookmarkStart w:id="427" w:name="_Toc150774633"/>
      <w:bookmarkStart w:id="428" w:name="_Toc164229228"/>
      <w:bookmarkStart w:id="429" w:name="_Toc150774738"/>
      <w:bookmarkStart w:id="430" w:name="_Toc305158875"/>
      <w:bookmarkStart w:id="431" w:name="_Toc151190160"/>
      <w:bookmarkStart w:id="432" w:name="_Toc164229374"/>
      <w:bookmarkStart w:id="433" w:name="_Toc520356158"/>
      <w:bookmarkStart w:id="434" w:name="_Toc150480771"/>
      <w:bookmarkStart w:id="435" w:name="_Toc151193847"/>
      <w:bookmarkStart w:id="436" w:name="_Toc226965806"/>
      <w:bookmarkStart w:id="437" w:name="_Toc127151533"/>
      <w:bookmarkStart w:id="438" w:name="_Toc265228371"/>
      <w:bookmarkStart w:id="439" w:name="_Toc142311035"/>
      <w:bookmarkStart w:id="440" w:name="_Toc195842898"/>
      <w:bookmarkStart w:id="441" w:name="_Toc305158801"/>
      <w:r>
        <w:rPr>
          <w:sz w:val="24"/>
        </w:rPr>
        <w:t>投标文件的签署</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sz w:val="24"/>
        </w:rPr>
        <w:t>、盖章</w:t>
      </w:r>
    </w:p>
    <w:p>
      <w:pPr>
        <w:numPr>
          <w:ilvl w:val="1"/>
          <w:numId w:val="8"/>
        </w:numPr>
        <w:tabs>
          <w:tab w:val="left" w:pos="1080"/>
          <w:tab w:val="left" w:pos="2014"/>
        </w:tabs>
        <w:snapToGrid w:val="0"/>
        <w:spacing w:line="360" w:lineRule="auto"/>
        <w:ind w:left="1077" w:hanging="720"/>
        <w:rPr>
          <w:sz w:val="24"/>
        </w:rPr>
      </w:pPr>
      <w:bookmarkStart w:id="442" w:name="_Toc264969224"/>
      <w:bookmarkStart w:id="443" w:name="_Toc142311036"/>
      <w:bookmarkStart w:id="444" w:name="_Toc305158876"/>
      <w:bookmarkStart w:id="445" w:name="_Toc151190161"/>
      <w:bookmarkStart w:id="446" w:name="_Toc151193632"/>
      <w:bookmarkStart w:id="447" w:name="_Toc150774634"/>
      <w:bookmarkStart w:id="448" w:name="_Toc226337230"/>
      <w:bookmarkStart w:id="449" w:name="_Toc226309778"/>
      <w:bookmarkStart w:id="450" w:name="_Toc150774739"/>
      <w:bookmarkStart w:id="451" w:name="_Toc151193848"/>
      <w:bookmarkStart w:id="452" w:name="_Toc226965724"/>
      <w:bookmarkStart w:id="453" w:name="_Toc226965807"/>
      <w:bookmarkStart w:id="454" w:name="_Toc150480772"/>
      <w:bookmarkStart w:id="455" w:name="_Toc520356159"/>
      <w:bookmarkStart w:id="456" w:name="_Toc150509285"/>
      <w:bookmarkStart w:id="457" w:name="_Toc151193776"/>
      <w:bookmarkStart w:id="458" w:name="_Toc195842899"/>
      <w:bookmarkStart w:id="459" w:name="_Toc305158802"/>
      <w:bookmarkStart w:id="460" w:name="_Toc265228372"/>
      <w:bookmarkStart w:id="461" w:name="_Toc127151534"/>
      <w:bookmarkStart w:id="462" w:name="_Toc151193704"/>
      <w:bookmarkStart w:id="463"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numPr>
          <w:ilvl w:val="0"/>
          <w:numId w:val="8"/>
        </w:numPr>
        <w:tabs>
          <w:tab w:val="left" w:pos="360"/>
        </w:tabs>
        <w:snapToGrid w:val="0"/>
        <w:spacing w:line="360" w:lineRule="auto"/>
        <w:ind w:left="357" w:hanging="357"/>
        <w:outlineLvl w:val="1"/>
        <w:rPr>
          <w:sz w:val="24"/>
        </w:rPr>
      </w:pPr>
      <w:bookmarkStart w:id="464" w:name="_Toc164229376"/>
      <w:bookmarkStart w:id="465" w:name="_Toc265228373"/>
      <w:bookmarkStart w:id="466" w:name="_Toc520356160"/>
      <w:bookmarkStart w:id="467" w:name="_Toc226309779"/>
      <w:bookmarkStart w:id="468" w:name="_Toc151193849"/>
      <w:bookmarkStart w:id="469" w:name="_Toc226965725"/>
      <w:bookmarkStart w:id="470" w:name="_Toc151193923"/>
      <w:bookmarkStart w:id="471" w:name="_Toc150774635"/>
      <w:bookmarkStart w:id="472" w:name="_Toc150509286"/>
      <w:bookmarkStart w:id="473" w:name="_Toc151190162"/>
      <w:bookmarkStart w:id="474" w:name="_Toc150480773"/>
      <w:bookmarkStart w:id="475" w:name="_Toc226965808"/>
      <w:bookmarkStart w:id="476" w:name="_Toc151193633"/>
      <w:bookmarkStart w:id="477" w:name="_Toc226337231"/>
      <w:bookmarkStart w:id="478" w:name="_Toc151193705"/>
      <w:bookmarkStart w:id="479" w:name="_Toc264969225"/>
      <w:bookmarkStart w:id="480" w:name="_Toc164351629"/>
      <w:bookmarkStart w:id="481" w:name="_Toc127151535"/>
      <w:bookmarkStart w:id="482" w:name="_Toc305158877"/>
      <w:bookmarkStart w:id="483" w:name="_Toc142311037"/>
      <w:bookmarkStart w:id="484" w:name="_Toc305158803"/>
      <w:bookmarkStart w:id="485" w:name="_Toc164608649"/>
      <w:bookmarkStart w:id="486" w:name="_Toc149720828"/>
      <w:bookmarkStart w:id="487" w:name="_Toc164608804"/>
      <w:bookmarkStart w:id="488" w:name="_Toc150774740"/>
      <w:bookmarkStart w:id="489" w:name="_Toc195842900"/>
      <w:bookmarkStart w:id="490" w:name="_Toc127151736"/>
      <w:bookmarkStart w:id="491" w:name="_Toc164229230"/>
      <w:bookmarkStart w:id="492" w:name="_Toc151193777"/>
      <w:bookmarkStart w:id="493" w:name="_Toc127161449"/>
      <w:r>
        <w:rPr>
          <w:sz w:val="24"/>
        </w:rPr>
        <w:t>投标文件的</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94" w:name="_Toc151193634"/>
      <w:bookmarkStart w:id="495" w:name="_Toc142311038"/>
      <w:bookmarkStart w:id="496" w:name="_Toc151190163"/>
      <w:bookmarkStart w:id="497" w:name="_Toc226309780"/>
      <w:bookmarkStart w:id="498" w:name="_Toc305158804"/>
      <w:bookmarkStart w:id="499" w:name="_Toc265228374"/>
      <w:bookmarkStart w:id="500" w:name="_Toc264969226"/>
      <w:bookmarkStart w:id="501" w:name="_Toc305158878"/>
      <w:bookmarkStart w:id="502" w:name="_Toc151193778"/>
      <w:bookmarkStart w:id="503" w:name="_Toc149720829"/>
      <w:bookmarkStart w:id="504" w:name="_Toc226965726"/>
      <w:bookmarkStart w:id="505" w:name="_Toc164229377"/>
      <w:bookmarkStart w:id="506" w:name="_Toc164608650"/>
      <w:bookmarkStart w:id="507" w:name="_Toc151193924"/>
      <w:bookmarkStart w:id="508" w:name="_Toc164229231"/>
      <w:bookmarkStart w:id="509" w:name="_Toc150774741"/>
      <w:bookmarkStart w:id="510" w:name="_Toc520356161"/>
      <w:bookmarkStart w:id="511" w:name="_Toc226337232"/>
      <w:bookmarkStart w:id="512" w:name="_Toc164351630"/>
      <w:bookmarkStart w:id="513" w:name="_Toc151193706"/>
      <w:bookmarkStart w:id="514" w:name="_Toc150774636"/>
      <w:bookmarkStart w:id="515" w:name="_Toc164608805"/>
      <w:bookmarkStart w:id="516" w:name="_Toc226965809"/>
      <w:bookmarkStart w:id="517" w:name="_Toc127151737"/>
      <w:bookmarkStart w:id="518" w:name="_Toc150509287"/>
      <w:bookmarkStart w:id="519" w:name="_Toc127151536"/>
      <w:bookmarkStart w:id="520" w:name="_Toc150480774"/>
      <w:bookmarkStart w:id="521" w:name="_Toc151193850"/>
      <w:bookmarkStart w:id="522" w:name="_Toc127161450"/>
      <w:bookmarkStart w:id="523" w:name="_Toc195842901"/>
      <w:r>
        <w:rPr>
          <w:sz w:val="24"/>
        </w:rPr>
        <w:t>投标截止</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524" w:name="_Toc127151738"/>
      <w:bookmarkStart w:id="525" w:name="_Toc164608806"/>
      <w:bookmarkStart w:id="526" w:name="_Toc151193635"/>
      <w:bookmarkStart w:id="527" w:name="_Toc226337233"/>
      <w:bookmarkStart w:id="528" w:name="_Toc164229232"/>
      <w:bookmarkStart w:id="529" w:name="_Toc150774742"/>
      <w:bookmarkStart w:id="530" w:name="_Toc226965810"/>
      <w:bookmarkStart w:id="531" w:name="_Toc305158879"/>
      <w:bookmarkStart w:id="532" w:name="_Toc150480775"/>
      <w:bookmarkStart w:id="533" w:name="_Toc151193779"/>
      <w:bookmarkStart w:id="534" w:name="_Toc127151537"/>
      <w:bookmarkStart w:id="535" w:name="_Toc305158805"/>
      <w:bookmarkStart w:id="536" w:name="_Toc151193925"/>
      <w:bookmarkStart w:id="537" w:name="_Toc195842902"/>
      <w:bookmarkStart w:id="538" w:name="_Toc151190164"/>
      <w:bookmarkStart w:id="539" w:name="_Toc150774637"/>
      <w:bookmarkStart w:id="540" w:name="_Toc226965727"/>
      <w:bookmarkStart w:id="541" w:name="_Toc264969227"/>
      <w:bookmarkStart w:id="542" w:name="_Toc151193851"/>
      <w:bookmarkStart w:id="543" w:name="_Toc127161451"/>
      <w:bookmarkStart w:id="544" w:name="_Toc164608651"/>
      <w:bookmarkStart w:id="545" w:name="_Toc265228375"/>
      <w:bookmarkStart w:id="546" w:name="_Toc164351631"/>
      <w:bookmarkStart w:id="547" w:name="_Toc520356162"/>
      <w:bookmarkStart w:id="548" w:name="_Toc150509288"/>
      <w:bookmarkStart w:id="549" w:name="_Toc149720830"/>
      <w:bookmarkStart w:id="550" w:name="_Toc151193707"/>
      <w:bookmarkStart w:id="551" w:name="_Toc226309781"/>
      <w:bookmarkStart w:id="552" w:name="_Toc142311039"/>
      <w:bookmarkStart w:id="553" w:name="_Toc164229378"/>
      <w:r>
        <w:rPr>
          <w:sz w:val="24"/>
        </w:rPr>
        <w:t>投标文件的修改与撤回</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54" w:name="_Toc151193926"/>
      <w:bookmarkStart w:id="555" w:name="_Toc150509289"/>
      <w:bookmarkStart w:id="556" w:name="_Toc151193780"/>
      <w:bookmarkStart w:id="557" w:name="_Toc265228376"/>
      <w:bookmarkStart w:id="558" w:name="_Toc151193852"/>
      <w:bookmarkStart w:id="559" w:name="_Toc150480776"/>
      <w:bookmarkStart w:id="560" w:name="_Toc226965728"/>
      <w:bookmarkStart w:id="561" w:name="_Toc151193708"/>
      <w:bookmarkStart w:id="562" w:name="_Toc305158806"/>
      <w:bookmarkStart w:id="563" w:name="_Toc226337234"/>
      <w:bookmarkStart w:id="564" w:name="_Toc195842903"/>
      <w:bookmarkStart w:id="565" w:name="_Toc520356163"/>
      <w:bookmarkStart w:id="566" w:name="_Toc150774638"/>
      <w:bookmarkStart w:id="567" w:name="_Toc127151538"/>
      <w:bookmarkStart w:id="568" w:name="_Toc151193636"/>
      <w:bookmarkStart w:id="569" w:name="_Toc150774743"/>
      <w:bookmarkStart w:id="570" w:name="_Toc142311040"/>
      <w:bookmarkStart w:id="571" w:name="_Toc264969228"/>
      <w:bookmarkStart w:id="572" w:name="_Toc151190165"/>
      <w:bookmarkStart w:id="573" w:name="_Toc226965811"/>
      <w:bookmarkStart w:id="574" w:name="_Toc226309782"/>
      <w:bookmarkStart w:id="575" w:name="_Toc305158880"/>
      <w:r>
        <w:rPr>
          <w:rFonts w:ascii="Times New Roman" w:hAnsi="Times New Roman" w:eastAsia="宋体"/>
          <w:sz w:val="28"/>
        </w:rPr>
        <w:t>五   开标、资格审查及评标</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numPr>
          <w:ilvl w:val="0"/>
          <w:numId w:val="8"/>
        </w:numPr>
        <w:tabs>
          <w:tab w:val="left" w:pos="360"/>
        </w:tabs>
        <w:snapToGrid w:val="0"/>
        <w:spacing w:line="360" w:lineRule="auto"/>
        <w:ind w:left="357" w:hanging="357"/>
        <w:outlineLvl w:val="1"/>
        <w:rPr>
          <w:sz w:val="24"/>
        </w:rPr>
      </w:pPr>
      <w:bookmarkStart w:id="576" w:name="_Toc226337235"/>
      <w:bookmarkStart w:id="577" w:name="_Toc164351633"/>
      <w:bookmarkStart w:id="578" w:name="_Toc151193637"/>
      <w:bookmarkStart w:id="579" w:name="_Toc164229234"/>
      <w:bookmarkStart w:id="580" w:name="_Toc127151740"/>
      <w:bookmarkStart w:id="581" w:name="_Toc151193853"/>
      <w:bookmarkStart w:id="582" w:name="_Toc164608653"/>
      <w:bookmarkStart w:id="583" w:name="_Toc151190166"/>
      <w:bookmarkStart w:id="584" w:name="_Toc195842904"/>
      <w:bookmarkStart w:id="585" w:name="_Toc151193781"/>
      <w:bookmarkStart w:id="586" w:name="_Toc151193927"/>
      <w:bookmarkStart w:id="587" w:name="_Toc265228377"/>
      <w:bookmarkStart w:id="588" w:name="_Toc164608808"/>
      <w:bookmarkStart w:id="589" w:name="_Toc151193709"/>
      <w:bookmarkStart w:id="590" w:name="_Toc150774639"/>
      <w:bookmarkStart w:id="591" w:name="_Toc150480777"/>
      <w:bookmarkStart w:id="592" w:name="_Toc150509290"/>
      <w:bookmarkStart w:id="593" w:name="_Toc520356164"/>
      <w:bookmarkStart w:id="594" w:name="_Toc264969229"/>
      <w:bookmarkStart w:id="595" w:name="_Toc127151539"/>
      <w:bookmarkStart w:id="596" w:name="_Toc127161453"/>
      <w:bookmarkStart w:id="597" w:name="_Toc226965812"/>
      <w:bookmarkStart w:id="598" w:name="_Toc305158807"/>
      <w:bookmarkStart w:id="599" w:name="_Toc226965729"/>
      <w:bookmarkStart w:id="600" w:name="_Toc149720832"/>
      <w:bookmarkStart w:id="601" w:name="_Toc150774744"/>
      <w:bookmarkStart w:id="602" w:name="_Toc305158881"/>
      <w:bookmarkStart w:id="603" w:name="_Toc164229380"/>
      <w:bookmarkStart w:id="604" w:name="_Toc142311041"/>
      <w:bookmarkStart w:id="605" w:name="_Toc226309783"/>
      <w:r>
        <w:rPr>
          <w:sz w:val="24"/>
        </w:rPr>
        <w:t>开标</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606" w:name="_Hlk167284562"/>
      <w:r>
        <w:rPr>
          <w:sz w:val="24"/>
        </w:rPr>
        <w:t>《投标人须知资料表》</w:t>
      </w:r>
      <w:bookmarkEnd w:id="606"/>
      <w:r>
        <w:rPr>
          <w:sz w:val="24"/>
        </w:rPr>
        <w:t>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607" w:name="_Toc520356165"/>
      <w:r>
        <w:rPr>
          <w:sz w:val="24"/>
        </w:rPr>
        <w:t>。</w:t>
      </w:r>
      <w:bookmarkStart w:id="608" w:name="_Hlk143533942"/>
      <w:r>
        <w:rPr>
          <w:sz w:val="24"/>
        </w:rPr>
        <w:t>投标人未在规定时间内提出疑义或确认一览表的，视同认可开标结果。</w:t>
      </w:r>
      <w:bookmarkEnd w:id="608"/>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607"/>
    <w:p>
      <w:pPr>
        <w:numPr>
          <w:ilvl w:val="0"/>
          <w:numId w:val="8"/>
        </w:numPr>
        <w:tabs>
          <w:tab w:val="left" w:pos="360"/>
        </w:tabs>
        <w:snapToGrid w:val="0"/>
        <w:spacing w:line="360" w:lineRule="auto"/>
        <w:ind w:left="357" w:hanging="357"/>
        <w:outlineLvl w:val="1"/>
        <w:rPr>
          <w:sz w:val="24"/>
        </w:rPr>
      </w:pPr>
      <w:bookmarkStart w:id="609" w:name="_Toc142311042"/>
      <w:bookmarkStart w:id="610" w:name="_Toc151193928"/>
      <w:bookmarkStart w:id="611" w:name="_Toc127151540"/>
      <w:bookmarkStart w:id="612" w:name="_Toc150774640"/>
      <w:bookmarkStart w:id="613" w:name="_Toc127151741"/>
      <w:bookmarkStart w:id="614" w:name="_Toc226309784"/>
      <w:bookmarkStart w:id="615" w:name="_Toc151193854"/>
      <w:bookmarkStart w:id="616" w:name="_Toc150480778"/>
      <w:bookmarkStart w:id="617" w:name="_Toc164608654"/>
      <w:bookmarkStart w:id="618" w:name="_Toc305158882"/>
      <w:bookmarkStart w:id="619" w:name="_Toc164351634"/>
      <w:bookmarkStart w:id="620" w:name="_Toc151190167"/>
      <w:bookmarkStart w:id="621" w:name="_Toc226337236"/>
      <w:bookmarkStart w:id="622" w:name="_Toc149720833"/>
      <w:bookmarkStart w:id="623" w:name="_Toc264969230"/>
      <w:bookmarkStart w:id="624" w:name="_Toc151193710"/>
      <w:bookmarkStart w:id="625" w:name="_Toc265228378"/>
      <w:bookmarkStart w:id="626" w:name="_Toc164229381"/>
      <w:bookmarkStart w:id="627" w:name="_Toc150509291"/>
      <w:bookmarkStart w:id="628" w:name="_Toc151193638"/>
      <w:bookmarkStart w:id="629" w:name="_Toc226965813"/>
      <w:bookmarkStart w:id="630" w:name="_Toc305158808"/>
      <w:bookmarkStart w:id="631" w:name="_Toc150774745"/>
      <w:bookmarkStart w:id="632" w:name="_Toc195842905"/>
      <w:bookmarkStart w:id="633" w:name="_Toc226965730"/>
      <w:bookmarkStart w:id="634" w:name="_Toc127161454"/>
      <w:bookmarkStart w:id="635" w:name="_Toc164229235"/>
      <w:bookmarkStart w:id="636" w:name="_Toc164608809"/>
      <w:bookmarkStart w:id="637" w:name="_Toc151193782"/>
      <w:r>
        <w:rPr>
          <w:sz w:val="24"/>
        </w:rPr>
        <w:t>评标委员会</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38"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38"/>
      <w:bookmarkStart w:id="639"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40" w:name="_Toc150774750"/>
      <w:bookmarkStart w:id="641" w:name="_Toc127151545"/>
      <w:bookmarkStart w:id="642" w:name="_Toc151193933"/>
      <w:bookmarkStart w:id="643" w:name="_Toc151193859"/>
      <w:bookmarkStart w:id="644" w:name="_Toc264969235"/>
      <w:bookmarkStart w:id="645" w:name="_Toc151193643"/>
      <w:bookmarkStart w:id="646" w:name="_Toc265228383"/>
      <w:bookmarkStart w:id="647" w:name="_Toc142311047"/>
      <w:bookmarkStart w:id="648" w:name="_Toc150480783"/>
      <w:bookmarkStart w:id="649" w:name="_Toc305158887"/>
      <w:bookmarkStart w:id="650" w:name="_Toc195842910"/>
      <w:bookmarkStart w:id="651" w:name="_Toc150509296"/>
      <w:bookmarkStart w:id="652" w:name="_Toc226309789"/>
      <w:bookmarkStart w:id="653" w:name="_Toc226965818"/>
      <w:bookmarkStart w:id="654" w:name="_Toc226337241"/>
      <w:bookmarkStart w:id="655" w:name="_Toc305158813"/>
      <w:bookmarkStart w:id="656" w:name="_Toc151190172"/>
      <w:bookmarkStart w:id="657" w:name="_Toc151193715"/>
      <w:bookmarkStart w:id="658" w:name="_Toc151193787"/>
      <w:bookmarkStart w:id="659" w:name="_Toc150774645"/>
      <w:bookmarkStart w:id="660" w:name="_Toc226965735"/>
      <w:r>
        <w:rPr>
          <w:rFonts w:ascii="Times New Roman" w:hAnsi="Times New Roman" w:eastAsia="宋体"/>
          <w:sz w:val="28"/>
        </w:rPr>
        <w:t xml:space="preserve">六   </w:t>
      </w:r>
      <w:bookmarkEnd w:id="639"/>
      <w:r>
        <w:rPr>
          <w:rFonts w:ascii="Times New Roman" w:hAnsi="Times New Roman" w:eastAsia="宋体"/>
          <w:sz w:val="28"/>
        </w:rPr>
        <w:t>确定中标</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Toc151193935"/>
      <w:bookmarkStart w:id="662" w:name="_Toc164229388"/>
      <w:bookmarkStart w:id="663" w:name="_Toc265228385"/>
      <w:bookmarkStart w:id="664" w:name="_Toc164351641"/>
      <w:bookmarkStart w:id="665" w:name="_Toc127161461"/>
      <w:bookmarkStart w:id="666" w:name="_Toc151193717"/>
      <w:bookmarkStart w:id="667" w:name="_Toc150509298"/>
      <w:bookmarkStart w:id="668" w:name="_Toc142311049"/>
      <w:bookmarkStart w:id="669" w:name="_Toc305158815"/>
      <w:bookmarkStart w:id="670" w:name="_Toc226965737"/>
      <w:bookmarkStart w:id="671" w:name="_Toc226337243"/>
      <w:bookmarkStart w:id="672" w:name="_Toc150480785"/>
      <w:bookmarkStart w:id="673" w:name="_Toc305158889"/>
      <w:bookmarkStart w:id="674" w:name="_Toc164608661"/>
      <w:bookmarkStart w:id="675" w:name="_Toc151190174"/>
      <w:bookmarkStart w:id="676" w:name="_Toc226309791"/>
      <w:bookmarkStart w:id="677" w:name="_Toc164608816"/>
      <w:bookmarkStart w:id="678" w:name="_Toc149720840"/>
      <w:bookmarkStart w:id="679" w:name="_Toc127151547"/>
      <w:bookmarkStart w:id="680" w:name="_Toc195842912"/>
      <w:bookmarkStart w:id="681" w:name="_Toc151193789"/>
      <w:bookmarkStart w:id="682" w:name="_Toc150774647"/>
      <w:bookmarkStart w:id="683" w:name="_Toc226965820"/>
      <w:bookmarkStart w:id="684" w:name="_Toc164229242"/>
      <w:bookmarkStart w:id="685" w:name="_Toc127151748"/>
      <w:bookmarkStart w:id="686" w:name="_Toc151193645"/>
      <w:bookmarkStart w:id="687" w:name="_Toc151193861"/>
      <w:bookmarkStart w:id="688" w:name="_Toc264969237"/>
      <w:bookmarkStart w:id="689" w:name="_Toc150774752"/>
    </w:p>
    <w:p>
      <w:pPr>
        <w:numPr>
          <w:ilvl w:val="0"/>
          <w:numId w:val="8"/>
        </w:numPr>
        <w:tabs>
          <w:tab w:val="left" w:pos="360"/>
        </w:tabs>
        <w:snapToGrid w:val="0"/>
        <w:spacing w:line="360" w:lineRule="auto"/>
        <w:ind w:left="357" w:hanging="357"/>
        <w:outlineLvl w:val="1"/>
        <w:rPr>
          <w:sz w:val="24"/>
        </w:rPr>
      </w:pPr>
      <w:r>
        <w:rPr>
          <w:sz w:val="24"/>
        </w:rPr>
        <w:t>确定中标人</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90" w:name="_Toc305158891"/>
      <w:bookmarkStart w:id="691" w:name="_Toc305158817"/>
      <w:bookmarkStart w:id="692" w:name="_Toc164229244"/>
      <w:bookmarkStart w:id="693" w:name="_Toc127151549"/>
      <w:bookmarkStart w:id="694" w:name="_Toc226965822"/>
      <w:bookmarkStart w:id="695" w:name="_Toc127151750"/>
      <w:bookmarkStart w:id="696" w:name="_Toc265228387"/>
      <w:bookmarkStart w:id="697" w:name="_Toc127161463"/>
      <w:bookmarkStart w:id="698" w:name="_Toc151193791"/>
      <w:bookmarkStart w:id="699" w:name="_Toc226965739"/>
      <w:bookmarkStart w:id="700" w:name="_Toc164608663"/>
      <w:bookmarkStart w:id="701" w:name="_Toc150774754"/>
      <w:bookmarkStart w:id="702" w:name="_Toc151193937"/>
      <w:bookmarkStart w:id="703" w:name="_Toc264969239"/>
      <w:bookmarkStart w:id="704" w:name="_Toc151190176"/>
      <w:bookmarkStart w:id="705" w:name="_Toc226309793"/>
      <w:bookmarkStart w:id="706" w:name="_Toc150774649"/>
      <w:bookmarkStart w:id="707" w:name="_Toc164229390"/>
      <w:bookmarkStart w:id="708" w:name="_Toc164608818"/>
      <w:bookmarkStart w:id="709" w:name="_Toc151193647"/>
      <w:bookmarkStart w:id="710" w:name="_Toc150509300"/>
      <w:bookmarkStart w:id="711" w:name="_Toc150480787"/>
      <w:bookmarkStart w:id="712" w:name="_Toc226337245"/>
      <w:bookmarkStart w:id="713" w:name="_Toc149720842"/>
      <w:bookmarkStart w:id="714" w:name="_Toc195842914"/>
      <w:bookmarkStart w:id="715" w:name="_Toc151193719"/>
      <w:bookmarkStart w:id="716" w:name="_Toc164351643"/>
      <w:bookmarkStart w:id="717" w:name="_Toc151193863"/>
      <w:bookmarkStart w:id="718" w:name="_Toc142311051"/>
      <w:bookmarkStart w:id="719" w:name="_Toc520356176"/>
      <w:bookmarkStart w:id="720" w:name="_Ref467307090"/>
      <w:bookmarkStart w:id="721" w:name="_Ref467306425"/>
      <w:r>
        <w:rPr>
          <w:sz w:val="24"/>
        </w:rPr>
        <w:t>中标公告与中标通知书</w:t>
      </w:r>
      <w:bookmarkEnd w:id="690"/>
      <w:bookmarkEnd w:id="691"/>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Pr>
        <w:numPr>
          <w:ilvl w:val="0"/>
          <w:numId w:val="8"/>
        </w:numPr>
        <w:tabs>
          <w:tab w:val="left" w:pos="360"/>
        </w:tabs>
        <w:snapToGrid w:val="0"/>
        <w:spacing w:line="360" w:lineRule="auto"/>
        <w:ind w:left="357" w:hanging="357"/>
        <w:outlineLvl w:val="1"/>
        <w:rPr>
          <w:sz w:val="24"/>
        </w:rPr>
      </w:pPr>
      <w:bookmarkStart w:id="722" w:name="_Toc164229391"/>
      <w:bookmarkStart w:id="723" w:name="_Toc164351644"/>
      <w:bookmarkStart w:id="724" w:name="_Toc195842915"/>
      <w:bookmarkStart w:id="725" w:name="_Toc127161464"/>
      <w:bookmarkStart w:id="726" w:name="_Ref467306978"/>
      <w:bookmarkStart w:id="727" w:name="_Toc264969240"/>
      <w:bookmarkStart w:id="728" w:name="_Toc151193864"/>
      <w:bookmarkStart w:id="729" w:name="_Toc151193720"/>
      <w:bookmarkStart w:id="730" w:name="_Toc305158818"/>
      <w:bookmarkStart w:id="731" w:name="_Toc226965823"/>
      <w:bookmarkStart w:id="732" w:name="_Toc164608664"/>
      <w:bookmarkStart w:id="733" w:name="_Ref467307204"/>
      <w:bookmarkStart w:id="734" w:name="_Toc305158892"/>
      <w:bookmarkStart w:id="735" w:name="_Toc164229245"/>
      <w:bookmarkStart w:id="736" w:name="_Toc226337246"/>
      <w:bookmarkStart w:id="737" w:name="_Toc142311052"/>
      <w:bookmarkStart w:id="738" w:name="_Toc151193648"/>
      <w:bookmarkStart w:id="739" w:name="_Toc150774650"/>
      <w:bookmarkStart w:id="740" w:name="_Toc265228388"/>
      <w:bookmarkStart w:id="741" w:name="_Toc226309794"/>
      <w:bookmarkStart w:id="742" w:name="_Toc150774755"/>
      <w:bookmarkStart w:id="743" w:name="_Toc150509301"/>
      <w:bookmarkStart w:id="744" w:name="_Toc151193792"/>
      <w:bookmarkStart w:id="745" w:name="_Toc226965740"/>
      <w:bookmarkStart w:id="746" w:name="_Ref467307062"/>
      <w:bookmarkStart w:id="747" w:name="_Toc150480788"/>
      <w:bookmarkStart w:id="748" w:name="_Toc127151550"/>
      <w:bookmarkStart w:id="749" w:name="_Toc520356175"/>
      <w:bookmarkStart w:id="750" w:name="_Toc151190177"/>
      <w:bookmarkStart w:id="751" w:name="_Ref467306377"/>
      <w:bookmarkStart w:id="752" w:name="_Toc149720843"/>
      <w:bookmarkStart w:id="753" w:name="_Toc151193938"/>
      <w:bookmarkStart w:id="754" w:name="_Toc164608819"/>
      <w:bookmarkStart w:id="755" w:name="_Toc127151751"/>
      <w:r>
        <w:rPr>
          <w:sz w:val="24"/>
        </w:rPr>
        <w:t>签订合同</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719"/>
    <w:bookmarkEnd w:id="720"/>
    <w:bookmarkEnd w:id="721"/>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bookmarkStart w:id="75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56"/>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57" w:name="_Toc265228392"/>
      <w:bookmarkStart w:id="758" w:name="_Toc150774759"/>
      <w:bookmarkStart w:id="759" w:name="_Toc264969244"/>
      <w:bookmarkStart w:id="760" w:name="_Toc127151554"/>
      <w:bookmarkStart w:id="761" w:name="_Toc226965827"/>
      <w:bookmarkStart w:id="762" w:name="_Toc353873664"/>
      <w:bookmarkStart w:id="763" w:name="_Toc142311056"/>
      <w:bookmarkStart w:id="764" w:name="_Toc305158896"/>
      <w:bookmarkStart w:id="765" w:name="_Toc353873934"/>
      <w:bookmarkStart w:id="766" w:name="_Toc305158822"/>
      <w:bookmarkStart w:id="767" w:name="_Toc226337250"/>
      <w:bookmarkStart w:id="768" w:name="_Toc150480792"/>
      <w:bookmarkStart w:id="769" w:name="_Toc353825544"/>
      <w:r>
        <w:rPr>
          <w:sz w:val="24"/>
        </w:rPr>
        <w:br w:type="page"/>
      </w:r>
      <w:bookmarkStart w:id="770" w:name="_Toc24516"/>
      <w:r>
        <w:rPr>
          <w:b/>
          <w:sz w:val="36"/>
          <w:szCs w:val="36"/>
        </w:rPr>
        <w:t xml:space="preserve">第三章   </w:t>
      </w:r>
      <w:bookmarkEnd w:id="757"/>
      <w:bookmarkEnd w:id="758"/>
      <w:bookmarkEnd w:id="759"/>
      <w:bookmarkEnd w:id="760"/>
      <w:bookmarkEnd w:id="761"/>
      <w:bookmarkEnd w:id="762"/>
      <w:bookmarkEnd w:id="763"/>
      <w:bookmarkEnd w:id="764"/>
      <w:bookmarkEnd w:id="765"/>
      <w:bookmarkEnd w:id="766"/>
      <w:bookmarkEnd w:id="767"/>
      <w:bookmarkEnd w:id="768"/>
      <w:bookmarkEnd w:id="769"/>
      <w:r>
        <w:rPr>
          <w:b/>
          <w:sz w:val="36"/>
          <w:szCs w:val="36"/>
        </w:rPr>
        <w:t>资格审查</w:t>
      </w:r>
      <w:bookmarkEnd w:id="770"/>
      <w:bookmarkStart w:id="771" w:name="_Toc487900382"/>
    </w:p>
    <w:p>
      <w:pPr>
        <w:tabs>
          <w:tab w:val="left" w:pos="360"/>
          <w:tab w:val="left" w:pos="900"/>
        </w:tabs>
        <w:snapToGrid w:val="0"/>
        <w:spacing w:line="360" w:lineRule="auto"/>
        <w:jc w:val="center"/>
        <w:outlineLvl w:val="1"/>
        <w:rPr>
          <w:b/>
          <w:sz w:val="24"/>
        </w:rPr>
      </w:pPr>
      <w:bookmarkStart w:id="772" w:name="_Toc99301422"/>
      <w:r>
        <w:rPr>
          <w:b/>
          <w:sz w:val="24"/>
        </w:rPr>
        <w:t>一、资格审查程序</w:t>
      </w:r>
      <w:bookmarkEnd w:id="772"/>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73" w:name="_Hlk143693557"/>
      <w:r>
        <w:rPr>
          <w:b/>
          <w:sz w:val="24"/>
        </w:rPr>
        <w:t>二、资格审查要求</w:t>
      </w:r>
      <w:bookmarkEnd w:id="773"/>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2"/>
        <w:gridCol w:w="4824"/>
        <w:gridCol w:w="1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pPr>
              <w:tabs>
                <w:tab w:val="left" w:pos="1080"/>
              </w:tabs>
              <w:snapToGrid w:val="0"/>
              <w:jc w:val="center"/>
              <w:rPr>
                <w:b/>
                <w:sz w:val="24"/>
              </w:rPr>
            </w:pPr>
            <w:bookmarkStart w:id="774" w:name="_Hlt487972895"/>
            <w:bookmarkEnd w:id="774"/>
            <w:bookmarkStart w:id="775" w:name="_Hlk143693460"/>
            <w:r>
              <w:rPr>
                <w:b/>
                <w:sz w:val="24"/>
              </w:rPr>
              <w:t>序号</w:t>
            </w:r>
          </w:p>
        </w:tc>
        <w:tc>
          <w:tcPr>
            <w:tcW w:w="1066"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sz w:val="24"/>
              </w:rPr>
            </w:pPr>
            <w:r>
              <w:rPr>
                <w:rFonts w:hint="eastAsia"/>
                <w:sz w:val="24"/>
              </w:rPr>
              <w:t>1</w:t>
            </w:r>
          </w:p>
        </w:tc>
        <w:tc>
          <w:tcPr>
            <w:tcW w:w="1066" w:type="pct"/>
            <w:vAlign w:val="center"/>
          </w:tcPr>
          <w:p>
            <w:pPr>
              <w:tabs>
                <w:tab w:val="left" w:pos="1080"/>
              </w:tabs>
              <w:snapToGrid w:val="0"/>
              <w:rPr>
                <w:sz w:val="24"/>
              </w:rPr>
            </w:pPr>
            <w:bookmarkStart w:id="776" w:name="OLE_LINK34"/>
            <w:bookmarkStart w:id="777" w:name="OLE_LINK21"/>
            <w:r>
              <w:rPr>
                <w:sz w:val="24"/>
              </w:rPr>
              <w:t>营业执照等证明文件</w:t>
            </w:r>
            <w:bookmarkEnd w:id="776"/>
            <w:bookmarkEnd w:id="777"/>
          </w:p>
        </w:tc>
        <w:tc>
          <w:tcPr>
            <w:tcW w:w="2596" w:type="pct"/>
            <w:vAlign w:val="center"/>
          </w:tcPr>
          <w:p>
            <w:pPr>
              <w:tabs>
                <w:tab w:val="left" w:pos="1080"/>
              </w:tabs>
              <w:snapToGrid w:val="0"/>
              <w:rPr>
                <w:sz w:val="24"/>
              </w:rPr>
            </w:pPr>
            <w:bookmarkStart w:id="778" w:name="OLE_LINK1"/>
            <w:bookmarkStart w:id="779" w:name="OLE_LINK35"/>
            <w:bookmarkStart w:id="780" w:name="OLE_LINK22"/>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bookmarkEnd w:id="778"/>
            <w:r>
              <w:rPr>
                <w:color w:val="000000"/>
                <w:sz w:val="24"/>
              </w:rPr>
              <w:t>。</w:t>
            </w:r>
            <w:bookmarkEnd w:id="779"/>
            <w:bookmarkEnd w:id="780"/>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sz w:val="24"/>
              </w:rPr>
            </w:pPr>
            <w:r>
              <w:rPr>
                <w:rFonts w:hint="eastAsia"/>
                <w:sz w:val="24"/>
              </w:rPr>
              <w:t>2</w:t>
            </w:r>
          </w:p>
        </w:tc>
        <w:tc>
          <w:tcPr>
            <w:tcW w:w="1066" w:type="pct"/>
            <w:vAlign w:val="center"/>
          </w:tcPr>
          <w:p>
            <w:pPr>
              <w:tabs>
                <w:tab w:val="left" w:pos="1080"/>
              </w:tabs>
              <w:snapToGrid w:val="0"/>
              <w:rPr>
                <w:sz w:val="24"/>
              </w:rPr>
            </w:pPr>
            <w:bookmarkStart w:id="781" w:name="OLE_LINK36"/>
            <w:r>
              <w:rPr>
                <w:sz w:val="24"/>
              </w:rPr>
              <w:t>投标人资格声明书</w:t>
            </w:r>
            <w:bookmarkEnd w:id="781"/>
          </w:p>
        </w:tc>
        <w:tc>
          <w:tcPr>
            <w:tcW w:w="2596" w:type="pct"/>
            <w:vAlign w:val="center"/>
          </w:tcPr>
          <w:p>
            <w:pPr>
              <w:tabs>
                <w:tab w:val="left" w:pos="1080"/>
              </w:tabs>
              <w:snapToGrid w:val="0"/>
              <w:rPr>
                <w:sz w:val="24"/>
              </w:rPr>
            </w:pPr>
            <w:bookmarkStart w:id="782" w:name="OLE_LINK37"/>
            <w:r>
              <w:rPr>
                <w:sz w:val="24"/>
              </w:rPr>
              <w:t>提供了符合招标文件要求的《投标人资格声明书》。</w:t>
            </w:r>
            <w:bookmarkEnd w:id="782"/>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sz w:val="24"/>
              </w:rPr>
            </w:pPr>
            <w:bookmarkStart w:id="783" w:name="_Hlk208236267"/>
            <w:r>
              <w:rPr>
                <w:rFonts w:hint="eastAsia"/>
                <w:sz w:val="24"/>
              </w:rPr>
              <w:t>3</w:t>
            </w:r>
          </w:p>
        </w:tc>
        <w:tc>
          <w:tcPr>
            <w:tcW w:w="1066" w:type="pct"/>
            <w:vAlign w:val="center"/>
          </w:tcPr>
          <w:p>
            <w:pPr>
              <w:tabs>
                <w:tab w:val="left" w:pos="1080"/>
              </w:tabs>
              <w:snapToGrid w:val="0"/>
              <w:rPr>
                <w:sz w:val="24"/>
              </w:rPr>
            </w:pPr>
            <w:bookmarkStart w:id="784" w:name="OLE_LINK23"/>
            <w:bookmarkStart w:id="785" w:name="OLE_LINK38"/>
            <w:r>
              <w:rPr>
                <w:sz w:val="24"/>
              </w:rPr>
              <w:t>投标人信用记录</w:t>
            </w:r>
            <w:bookmarkEnd w:id="784"/>
            <w:bookmarkEnd w:id="785"/>
          </w:p>
        </w:tc>
        <w:tc>
          <w:tcPr>
            <w:tcW w:w="2596" w:type="pct"/>
            <w:vAlign w:val="center"/>
          </w:tcPr>
          <w:p>
            <w:pPr>
              <w:tabs>
                <w:tab w:val="left" w:pos="1080"/>
              </w:tabs>
              <w:snapToGrid w:val="0"/>
              <w:rPr>
                <w:sz w:val="24"/>
              </w:rPr>
            </w:pPr>
            <w:bookmarkStart w:id="786" w:name="OLE_LINK39"/>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86"/>
          </w:p>
        </w:tc>
        <w:tc>
          <w:tcPr>
            <w:tcW w:w="882" w:type="pct"/>
            <w:vAlign w:val="center"/>
          </w:tcPr>
          <w:p>
            <w:pPr>
              <w:tabs>
                <w:tab w:val="left" w:pos="1080"/>
              </w:tabs>
              <w:snapToGrid w:val="0"/>
              <w:rPr>
                <w:sz w:val="24"/>
              </w:rPr>
            </w:pPr>
            <w:r>
              <w:rPr>
                <w:sz w:val="24"/>
              </w:rPr>
              <w:t>无须投标人提供，由采购人或采购代理机构查询。</w:t>
            </w:r>
          </w:p>
        </w:tc>
      </w:tr>
      <w:bookmarkEnd w:id="78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sz w:val="24"/>
              </w:rPr>
            </w:pPr>
            <w:bookmarkStart w:id="787" w:name="_Hlk208236307"/>
            <w:bookmarkStart w:id="788" w:name="_Toc353825550"/>
            <w:bookmarkStart w:id="789" w:name="_Toc127151779"/>
            <w:r>
              <w:rPr>
                <w:rFonts w:hint="eastAsia"/>
                <w:sz w:val="24"/>
              </w:rPr>
              <w:t>4</w:t>
            </w:r>
          </w:p>
        </w:tc>
        <w:tc>
          <w:tcPr>
            <w:tcW w:w="1066" w:type="pct"/>
            <w:vAlign w:val="center"/>
          </w:tcPr>
          <w:p>
            <w:pPr>
              <w:tabs>
                <w:tab w:val="left" w:pos="1080"/>
              </w:tabs>
              <w:snapToGrid w:val="0"/>
              <w:rPr>
                <w:sz w:val="24"/>
              </w:rPr>
            </w:pPr>
            <w:bookmarkStart w:id="790" w:name="OLE_LINK40"/>
            <w:bookmarkStart w:id="791" w:name="OLE_LINK26"/>
            <w:r>
              <w:rPr>
                <w:sz w:val="24"/>
              </w:rPr>
              <w:t>中小企业证明文件</w:t>
            </w:r>
            <w:bookmarkEnd w:id="790"/>
            <w:bookmarkEnd w:id="791"/>
          </w:p>
        </w:tc>
        <w:tc>
          <w:tcPr>
            <w:tcW w:w="2596" w:type="pct"/>
            <w:vAlign w:val="center"/>
          </w:tcPr>
          <w:p>
            <w:pPr>
              <w:tabs>
                <w:tab w:val="left" w:pos="1080"/>
              </w:tabs>
              <w:snapToGrid w:val="0"/>
              <w:rPr>
                <w:sz w:val="24"/>
              </w:rPr>
            </w:pPr>
            <w:bookmarkStart w:id="792" w:name="OLE_LINK41"/>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92"/>
          </w:p>
        </w:tc>
        <w:tc>
          <w:tcPr>
            <w:tcW w:w="882" w:type="pct"/>
            <w:vAlign w:val="center"/>
          </w:tcPr>
          <w:p>
            <w:pPr>
              <w:tabs>
                <w:tab w:val="left" w:pos="1080"/>
              </w:tabs>
              <w:snapToGrid w:val="0"/>
              <w:rPr>
                <w:sz w:val="24"/>
              </w:rPr>
            </w:pPr>
            <w:r>
              <w:rPr>
                <w:sz w:val="24"/>
              </w:rPr>
              <w:t>格式见《投标文件格式》</w:t>
            </w:r>
          </w:p>
        </w:tc>
      </w:t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771"/>
      <w:bookmarkEnd w:id="775"/>
      <w:bookmarkEnd w:id="787"/>
    </w:tbl>
    <w:p>
      <w:pPr>
        <w:widowControl/>
        <w:jc w:val="left"/>
        <w:rPr>
          <w:sz w:val="24"/>
        </w:rPr>
      </w:pPr>
      <w:bookmarkStart w:id="793" w:name="_Hlt487900425"/>
      <w:bookmarkEnd w:id="793"/>
      <w:bookmarkStart w:id="794" w:name="_Hlt522424701"/>
      <w:bookmarkEnd w:id="794"/>
      <w:bookmarkStart w:id="795" w:name="_Toc127161490"/>
      <w:bookmarkStart w:id="796" w:name="_Toc353873940"/>
      <w:bookmarkStart w:id="797" w:name="_Toc226965858"/>
      <w:r>
        <w:rPr>
          <w:sz w:val="24"/>
        </w:rPr>
        <w:br w:type="page"/>
      </w:r>
    </w:p>
    <w:p>
      <w:pPr>
        <w:spacing w:line="360" w:lineRule="auto"/>
        <w:jc w:val="center"/>
        <w:outlineLvl w:val="0"/>
        <w:rPr>
          <w:b/>
          <w:sz w:val="36"/>
          <w:szCs w:val="36"/>
        </w:rPr>
      </w:pPr>
      <w:bookmarkStart w:id="798" w:name="_Toc9436"/>
      <w:r>
        <w:rPr>
          <w:b/>
          <w:sz w:val="36"/>
          <w:szCs w:val="36"/>
        </w:rPr>
        <w:t xml:space="preserve">第四章   </w:t>
      </w:r>
      <w:bookmarkEnd w:id="788"/>
      <w:bookmarkEnd w:id="789"/>
      <w:bookmarkEnd w:id="795"/>
      <w:bookmarkEnd w:id="796"/>
      <w:bookmarkEnd w:id="797"/>
      <w:bookmarkStart w:id="799" w:name="_Hlt164229061"/>
      <w:bookmarkEnd w:id="799"/>
      <w:r>
        <w:rPr>
          <w:b/>
          <w:sz w:val="36"/>
          <w:szCs w:val="36"/>
        </w:rPr>
        <w:t>评标程序、评标方法和评标标准</w:t>
      </w:r>
      <w:bookmarkEnd w:id="798"/>
    </w:p>
    <w:p>
      <w:pPr>
        <w:tabs>
          <w:tab w:val="left" w:pos="360"/>
          <w:tab w:val="left" w:pos="900"/>
        </w:tabs>
        <w:snapToGrid w:val="0"/>
        <w:spacing w:line="360" w:lineRule="auto"/>
        <w:jc w:val="center"/>
        <w:outlineLvl w:val="1"/>
        <w:rPr>
          <w:b/>
        </w:rPr>
      </w:pPr>
      <w:r>
        <w:rPr>
          <w:b/>
          <w:sz w:val="24"/>
        </w:rPr>
        <w:t>一、评标方法</w:t>
      </w:r>
    </w:p>
    <w:p>
      <w:pPr>
        <w:numPr>
          <w:ilvl w:val="0"/>
          <w:numId w:val="12"/>
        </w:numPr>
        <w:tabs>
          <w:tab w:val="left" w:pos="360"/>
        </w:tabs>
        <w:snapToGrid w:val="0"/>
        <w:spacing w:line="360" w:lineRule="auto"/>
        <w:outlineLvl w:val="1"/>
        <w:rPr>
          <w:sz w:val="24"/>
        </w:rPr>
      </w:pPr>
      <w:bookmarkStart w:id="800" w:name="_Toc151190168"/>
      <w:bookmarkStart w:id="801" w:name="_Toc150774641"/>
      <w:bookmarkStart w:id="802" w:name="_Toc226965814"/>
      <w:bookmarkStart w:id="803" w:name="_Toc164351635"/>
      <w:bookmarkStart w:id="804" w:name="_Toc264969231"/>
      <w:bookmarkStart w:id="805" w:name="_Toc164229236"/>
      <w:bookmarkStart w:id="806" w:name="_Toc305158883"/>
      <w:bookmarkStart w:id="807" w:name="_Toc151193855"/>
      <w:bookmarkStart w:id="808" w:name="_Toc150774746"/>
      <w:bookmarkStart w:id="809" w:name="_Toc226965731"/>
      <w:bookmarkStart w:id="810" w:name="_Toc164608810"/>
      <w:bookmarkStart w:id="811" w:name="_Toc151193783"/>
      <w:bookmarkStart w:id="812" w:name="_Toc265228379"/>
      <w:bookmarkStart w:id="813" w:name="_Toc149720834"/>
      <w:bookmarkStart w:id="814" w:name="_Toc150480779"/>
      <w:bookmarkStart w:id="815" w:name="_Toc151193711"/>
      <w:bookmarkStart w:id="816" w:name="_Toc151193639"/>
      <w:bookmarkStart w:id="817" w:name="_Toc150509292"/>
      <w:bookmarkStart w:id="818" w:name="_Toc305158809"/>
      <w:bookmarkStart w:id="819" w:name="_Toc164608655"/>
      <w:bookmarkStart w:id="820" w:name="_Toc127151541"/>
      <w:bookmarkStart w:id="821" w:name="_Toc195842906"/>
      <w:bookmarkStart w:id="822" w:name="_Toc127151742"/>
      <w:bookmarkStart w:id="823" w:name="_Toc127161455"/>
      <w:bookmarkStart w:id="824" w:name="_Toc151193929"/>
      <w:bookmarkStart w:id="825" w:name="_Toc226309785"/>
      <w:bookmarkStart w:id="826" w:name="_Toc142311043"/>
      <w:bookmarkStart w:id="827" w:name="_Toc226337237"/>
      <w:bookmarkStart w:id="828" w:name="_Toc164229382"/>
      <w:bookmarkStart w:id="829" w:name="_Toc353873941"/>
      <w:bookmarkStart w:id="830" w:name="_Toc353825551"/>
      <w:bookmarkStart w:id="831" w:name="_Toc264969245"/>
      <w:bookmarkStart w:id="832" w:name="_Toc265228393"/>
      <w:bookmarkStart w:id="833" w:name="_Toc353825545"/>
      <w:bookmarkStart w:id="834" w:name="_Toc353873665"/>
      <w:bookmarkStart w:id="835" w:name="_Toc150480793"/>
      <w:bookmarkStart w:id="836" w:name="_Toc195842920"/>
      <w:bookmarkStart w:id="837" w:name="_Toc127151555"/>
      <w:bookmarkStart w:id="838" w:name="_Toc353873935"/>
      <w:bookmarkStart w:id="839" w:name="_Toc142311057"/>
      <w:bookmarkStart w:id="840" w:name="_Toc226337251"/>
      <w:bookmarkStart w:id="841" w:name="_Toc150774760"/>
      <w:bookmarkStart w:id="842" w:name="_Toc305158897"/>
      <w:bookmarkStart w:id="843" w:name="_Toc226965828"/>
      <w:bookmarkStart w:id="844" w:name="_Toc305158823"/>
      <w:r>
        <w:rPr>
          <w:sz w:val="24"/>
        </w:rPr>
        <w:t>投标文件的符合性审查</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45"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45"/>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pPr>
              <w:widowControl/>
              <w:jc w:val="center"/>
              <w:rPr>
                <w:b/>
                <w:color w:val="000000"/>
                <w:kern w:val="0"/>
                <w:sz w:val="24"/>
              </w:rPr>
            </w:pPr>
            <w:r>
              <w:rPr>
                <w:b/>
                <w:color w:val="000000"/>
                <w:kern w:val="0"/>
                <w:sz w:val="24"/>
              </w:rPr>
              <w:t>序号</w:t>
            </w:r>
          </w:p>
        </w:tc>
        <w:tc>
          <w:tcPr>
            <w:tcW w:w="976" w:type="pct"/>
            <w:shd w:val="clear" w:color="auto" w:fill="auto"/>
            <w:vAlign w:val="center"/>
          </w:tcPr>
          <w:p>
            <w:pPr>
              <w:widowControl/>
              <w:jc w:val="center"/>
              <w:rPr>
                <w:b/>
                <w:color w:val="000000"/>
                <w:kern w:val="0"/>
                <w:sz w:val="24"/>
              </w:rPr>
            </w:pPr>
            <w:r>
              <w:rPr>
                <w:b/>
                <w:color w:val="000000"/>
                <w:kern w:val="0"/>
                <w:sz w:val="24"/>
              </w:rPr>
              <w:t>审查因素</w:t>
            </w:r>
          </w:p>
        </w:tc>
        <w:tc>
          <w:tcPr>
            <w:tcW w:w="3620" w:type="pct"/>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1</w:t>
            </w:r>
          </w:p>
        </w:tc>
        <w:tc>
          <w:tcPr>
            <w:tcW w:w="976" w:type="pct"/>
            <w:shd w:val="clear" w:color="auto" w:fill="auto"/>
            <w:vAlign w:val="center"/>
          </w:tcPr>
          <w:p>
            <w:pPr>
              <w:widowControl/>
              <w:jc w:val="left"/>
              <w:rPr>
                <w:color w:val="000000"/>
                <w:kern w:val="0"/>
                <w:sz w:val="24"/>
              </w:rPr>
            </w:pPr>
            <w:bookmarkStart w:id="846" w:name="OLE_LINK31"/>
            <w:bookmarkStart w:id="847" w:name="OLE_LINK44"/>
            <w:r>
              <w:rPr>
                <w:color w:val="000000"/>
                <w:kern w:val="0"/>
                <w:sz w:val="24"/>
              </w:rPr>
              <w:t>授权委托书</w:t>
            </w:r>
            <w:bookmarkEnd w:id="846"/>
            <w:bookmarkEnd w:id="847"/>
          </w:p>
        </w:tc>
        <w:tc>
          <w:tcPr>
            <w:tcW w:w="3620" w:type="pct"/>
            <w:shd w:val="clear" w:color="auto" w:fill="auto"/>
            <w:vAlign w:val="center"/>
          </w:tcPr>
          <w:p>
            <w:pPr>
              <w:widowControl/>
              <w:jc w:val="left"/>
              <w:rPr>
                <w:color w:val="000000"/>
                <w:kern w:val="0"/>
                <w:sz w:val="24"/>
              </w:rPr>
            </w:pPr>
            <w:bookmarkStart w:id="848" w:name="OLE_LINK45"/>
            <w:bookmarkStart w:id="849" w:name="OLE_LINK32"/>
            <w:r>
              <w:rPr>
                <w:color w:val="000000"/>
                <w:kern w:val="0"/>
                <w:sz w:val="24"/>
              </w:rPr>
              <w:t>按招标文件要求提供授权委托书；</w:t>
            </w:r>
            <w:bookmarkEnd w:id="848"/>
            <w:bookmarkEnd w:id="8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2</w:t>
            </w:r>
          </w:p>
        </w:tc>
        <w:tc>
          <w:tcPr>
            <w:tcW w:w="976" w:type="pct"/>
            <w:shd w:val="clear" w:color="auto" w:fill="auto"/>
            <w:vAlign w:val="center"/>
          </w:tcPr>
          <w:p>
            <w:pPr>
              <w:widowControl/>
              <w:jc w:val="left"/>
              <w:rPr>
                <w:color w:val="000000"/>
                <w:kern w:val="0"/>
                <w:sz w:val="24"/>
              </w:rPr>
            </w:pPr>
            <w:bookmarkStart w:id="850" w:name="OLE_LINK78"/>
            <w:bookmarkStart w:id="851" w:name="OLE_LINK46"/>
            <w:r>
              <w:rPr>
                <w:color w:val="000000"/>
                <w:kern w:val="0"/>
                <w:sz w:val="24"/>
              </w:rPr>
              <w:t>投标完整性</w:t>
            </w:r>
            <w:bookmarkEnd w:id="850"/>
            <w:bookmarkEnd w:id="851"/>
          </w:p>
        </w:tc>
        <w:tc>
          <w:tcPr>
            <w:tcW w:w="3620" w:type="pct"/>
            <w:shd w:val="clear" w:color="auto" w:fill="auto"/>
            <w:vAlign w:val="center"/>
          </w:tcPr>
          <w:p>
            <w:pPr>
              <w:widowControl/>
              <w:jc w:val="left"/>
              <w:rPr>
                <w:color w:val="000000"/>
                <w:kern w:val="0"/>
                <w:sz w:val="24"/>
              </w:rPr>
            </w:pPr>
            <w:bookmarkStart w:id="852" w:name="OLE_LINK47"/>
            <w:bookmarkStart w:id="853" w:name="OLE_LINK79"/>
            <w:r>
              <w:rPr>
                <w:sz w:val="24"/>
              </w:rPr>
              <w:t>未将一个采购包中的内容拆分投标；</w:t>
            </w:r>
            <w:bookmarkEnd w:id="852"/>
            <w:bookmarkEnd w:id="8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3</w:t>
            </w:r>
          </w:p>
        </w:tc>
        <w:tc>
          <w:tcPr>
            <w:tcW w:w="976" w:type="pct"/>
            <w:shd w:val="clear" w:color="auto" w:fill="auto"/>
            <w:vAlign w:val="center"/>
          </w:tcPr>
          <w:p>
            <w:pPr>
              <w:widowControl/>
              <w:jc w:val="left"/>
              <w:rPr>
                <w:color w:val="000000"/>
                <w:kern w:val="0"/>
                <w:sz w:val="24"/>
              </w:rPr>
            </w:pPr>
            <w:bookmarkStart w:id="854" w:name="OLE_LINK48"/>
            <w:r>
              <w:rPr>
                <w:color w:val="000000"/>
                <w:kern w:val="0"/>
                <w:sz w:val="24"/>
              </w:rPr>
              <w:t>投标报价</w:t>
            </w:r>
            <w:bookmarkEnd w:id="854"/>
          </w:p>
        </w:tc>
        <w:tc>
          <w:tcPr>
            <w:tcW w:w="3620" w:type="pct"/>
            <w:shd w:val="clear" w:color="auto" w:fill="auto"/>
            <w:vAlign w:val="center"/>
          </w:tcPr>
          <w:p>
            <w:pPr>
              <w:widowControl/>
              <w:jc w:val="left"/>
              <w:rPr>
                <w:color w:val="000000"/>
                <w:kern w:val="0"/>
                <w:sz w:val="24"/>
              </w:rPr>
            </w:pPr>
            <w:bookmarkStart w:id="855" w:name="OLE_LINK80"/>
            <w:bookmarkStart w:id="856" w:name="OLE_LINK49"/>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bookmarkEnd w:id="855"/>
            <w:bookmarkEnd w:id="8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4</w:t>
            </w:r>
          </w:p>
        </w:tc>
        <w:tc>
          <w:tcPr>
            <w:tcW w:w="976" w:type="pct"/>
            <w:shd w:val="clear" w:color="auto" w:fill="auto"/>
            <w:vAlign w:val="center"/>
          </w:tcPr>
          <w:p>
            <w:pPr>
              <w:widowControl/>
              <w:jc w:val="left"/>
              <w:rPr>
                <w:color w:val="000000"/>
                <w:kern w:val="0"/>
                <w:sz w:val="24"/>
              </w:rPr>
            </w:pPr>
            <w:bookmarkStart w:id="857" w:name="OLE_LINK50"/>
            <w:r>
              <w:rPr>
                <w:color w:val="000000"/>
                <w:kern w:val="0"/>
                <w:sz w:val="24"/>
              </w:rPr>
              <w:t>报价唯一性</w:t>
            </w:r>
            <w:bookmarkEnd w:id="857"/>
          </w:p>
        </w:tc>
        <w:tc>
          <w:tcPr>
            <w:tcW w:w="3620" w:type="pct"/>
            <w:shd w:val="clear" w:color="auto" w:fill="auto"/>
            <w:vAlign w:val="center"/>
          </w:tcPr>
          <w:p>
            <w:pPr>
              <w:widowControl/>
              <w:jc w:val="left"/>
              <w:rPr>
                <w:color w:val="000000"/>
                <w:kern w:val="0"/>
                <w:sz w:val="24"/>
              </w:rPr>
            </w:pPr>
            <w:bookmarkStart w:id="858" w:name="OLE_LINK51"/>
            <w:r>
              <w:rPr>
                <w:color w:val="000000"/>
                <w:kern w:val="0"/>
                <w:sz w:val="24"/>
              </w:rPr>
              <w:t>投标文件未</w:t>
            </w:r>
            <w:r>
              <w:rPr>
                <w:sz w:val="24"/>
              </w:rPr>
              <w:t>出现可选择性或可调整的报价（招标文件另有规定的除外）</w:t>
            </w:r>
            <w:r>
              <w:rPr>
                <w:color w:val="000000"/>
                <w:kern w:val="0"/>
                <w:sz w:val="24"/>
              </w:rPr>
              <w:t>；</w:t>
            </w:r>
            <w:bookmarkEnd w:id="8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5</w:t>
            </w:r>
          </w:p>
        </w:tc>
        <w:tc>
          <w:tcPr>
            <w:tcW w:w="976" w:type="pct"/>
            <w:shd w:val="clear" w:color="auto" w:fill="auto"/>
            <w:vAlign w:val="center"/>
          </w:tcPr>
          <w:p>
            <w:pPr>
              <w:widowControl/>
              <w:jc w:val="left"/>
              <w:rPr>
                <w:color w:val="000000"/>
                <w:kern w:val="0"/>
                <w:sz w:val="24"/>
              </w:rPr>
            </w:pPr>
            <w:bookmarkStart w:id="859" w:name="OLE_LINK81"/>
            <w:bookmarkStart w:id="860" w:name="OLE_LINK52"/>
            <w:r>
              <w:rPr>
                <w:color w:val="000000"/>
                <w:kern w:val="0"/>
                <w:sz w:val="24"/>
              </w:rPr>
              <w:t>投标有效期</w:t>
            </w:r>
            <w:bookmarkEnd w:id="859"/>
            <w:bookmarkEnd w:id="860"/>
          </w:p>
        </w:tc>
        <w:tc>
          <w:tcPr>
            <w:tcW w:w="3620" w:type="pct"/>
            <w:shd w:val="clear" w:color="auto" w:fill="auto"/>
            <w:vAlign w:val="center"/>
          </w:tcPr>
          <w:p>
            <w:pPr>
              <w:widowControl/>
              <w:jc w:val="left"/>
              <w:rPr>
                <w:color w:val="000000"/>
                <w:kern w:val="0"/>
                <w:sz w:val="24"/>
              </w:rPr>
            </w:pPr>
            <w:bookmarkStart w:id="861" w:name="OLE_LINK82"/>
            <w:bookmarkStart w:id="862" w:name="OLE_LINK53"/>
            <w:r>
              <w:rPr>
                <w:color w:val="000000"/>
                <w:kern w:val="0"/>
                <w:sz w:val="24"/>
              </w:rPr>
              <w:t>投标文件中承诺的投标有效期满足招标文件中载明的投标有效期的；</w:t>
            </w:r>
            <w:bookmarkEnd w:id="861"/>
            <w:bookmarkEnd w:id="8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6</w:t>
            </w:r>
          </w:p>
        </w:tc>
        <w:tc>
          <w:tcPr>
            <w:tcW w:w="976" w:type="pct"/>
            <w:shd w:val="clear" w:color="auto" w:fill="auto"/>
            <w:vAlign w:val="center"/>
          </w:tcPr>
          <w:p>
            <w:pPr>
              <w:widowControl/>
              <w:jc w:val="left"/>
              <w:rPr>
                <w:color w:val="000000"/>
                <w:kern w:val="0"/>
                <w:sz w:val="24"/>
              </w:rPr>
            </w:pPr>
            <w:bookmarkStart w:id="863" w:name="OLE_LINK54"/>
            <w:r>
              <w:rPr>
                <w:color w:val="000000"/>
                <w:kern w:val="0"/>
                <w:sz w:val="24"/>
              </w:rPr>
              <w:t>实质性格式</w:t>
            </w:r>
            <w:bookmarkEnd w:id="863"/>
          </w:p>
        </w:tc>
        <w:tc>
          <w:tcPr>
            <w:tcW w:w="3620" w:type="pct"/>
            <w:shd w:val="clear" w:color="auto" w:fill="auto"/>
            <w:vAlign w:val="center"/>
          </w:tcPr>
          <w:p>
            <w:pPr>
              <w:widowControl/>
              <w:jc w:val="left"/>
              <w:rPr>
                <w:color w:val="000000"/>
                <w:kern w:val="0"/>
                <w:sz w:val="24"/>
              </w:rPr>
            </w:pPr>
            <w:bookmarkStart w:id="864" w:name="OLE_LINK55"/>
            <w:bookmarkStart w:id="865" w:name="OLE_LINK83"/>
            <w:r>
              <w:rPr>
                <w:kern w:val="0"/>
                <w:sz w:val="24"/>
              </w:rPr>
              <w:t>标记为“实质性格式”的文件均按招标文件要求提供且签署、盖章的；</w:t>
            </w:r>
            <w:bookmarkEnd w:id="864"/>
            <w:bookmarkEnd w:id="8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7</w:t>
            </w:r>
          </w:p>
        </w:tc>
        <w:tc>
          <w:tcPr>
            <w:tcW w:w="976" w:type="pct"/>
            <w:shd w:val="clear" w:color="auto" w:fill="auto"/>
            <w:vAlign w:val="center"/>
          </w:tcPr>
          <w:p>
            <w:pPr>
              <w:widowControl/>
              <w:jc w:val="left"/>
              <w:rPr>
                <w:color w:val="000000"/>
                <w:kern w:val="0"/>
                <w:sz w:val="24"/>
              </w:rPr>
            </w:pPr>
            <w:bookmarkStart w:id="866" w:name="OLE_LINK85"/>
            <w:bookmarkStart w:id="867" w:name="OLE_LINK56"/>
            <w:r>
              <w:rPr>
                <w:rFonts w:ascii="Segoe UI Symbol" w:hAnsi="Segoe UI Symbol" w:cs="Segoe UI Symbol"/>
                <w:color w:val="000000"/>
                <w:kern w:val="0"/>
                <w:sz w:val="24"/>
              </w:rPr>
              <w:t>★</w:t>
            </w:r>
            <w:r>
              <w:rPr>
                <w:color w:val="000000"/>
                <w:kern w:val="0"/>
                <w:sz w:val="24"/>
              </w:rPr>
              <w:t>号条款响应</w:t>
            </w:r>
            <w:bookmarkEnd w:id="866"/>
            <w:bookmarkEnd w:id="867"/>
          </w:p>
        </w:tc>
        <w:tc>
          <w:tcPr>
            <w:tcW w:w="3620" w:type="pct"/>
            <w:shd w:val="clear" w:color="auto" w:fill="auto"/>
            <w:vAlign w:val="center"/>
          </w:tcPr>
          <w:p>
            <w:pPr>
              <w:widowControl/>
              <w:jc w:val="left"/>
              <w:rPr>
                <w:color w:val="000000"/>
                <w:kern w:val="0"/>
                <w:sz w:val="24"/>
              </w:rPr>
            </w:pPr>
            <w:bookmarkStart w:id="868" w:name="OLE_LINK57"/>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bookmarkEnd w:id="8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8</w:t>
            </w:r>
          </w:p>
        </w:tc>
        <w:tc>
          <w:tcPr>
            <w:tcW w:w="976" w:type="pct"/>
            <w:shd w:val="clear" w:color="auto" w:fill="auto"/>
            <w:vAlign w:val="center"/>
          </w:tcPr>
          <w:p>
            <w:pPr>
              <w:widowControl/>
              <w:jc w:val="left"/>
              <w:rPr>
                <w:color w:val="000000"/>
                <w:kern w:val="0"/>
                <w:sz w:val="24"/>
              </w:rPr>
            </w:pPr>
            <w:bookmarkStart w:id="869" w:name="OLE_LINK58"/>
            <w:bookmarkStart w:id="870" w:name="OLE_LINK87"/>
            <w:r>
              <w:rPr>
                <w:sz w:val="24"/>
              </w:rPr>
              <w:t>拟分包情况说明（如有）</w:t>
            </w:r>
            <w:bookmarkEnd w:id="869"/>
            <w:bookmarkEnd w:id="870"/>
          </w:p>
        </w:tc>
        <w:tc>
          <w:tcPr>
            <w:tcW w:w="3620" w:type="pct"/>
            <w:shd w:val="clear" w:color="auto" w:fill="auto"/>
            <w:vAlign w:val="center"/>
          </w:tcPr>
          <w:p>
            <w:pPr>
              <w:widowControl/>
              <w:jc w:val="left"/>
              <w:rPr>
                <w:color w:val="000000"/>
                <w:kern w:val="0"/>
                <w:sz w:val="24"/>
              </w:rPr>
            </w:pPr>
            <w:bookmarkStart w:id="871" w:name="OLE_LINK59"/>
            <w:r>
              <w:rPr>
                <w:sz w:val="24"/>
              </w:rPr>
              <w:t>如本项目（包）非因“落实政府采购政策”亦允许分包，且供应商拟进行分包时，必须提供；否则无须提供；</w:t>
            </w:r>
            <w:bookmarkEnd w:id="8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9</w:t>
            </w:r>
          </w:p>
        </w:tc>
        <w:tc>
          <w:tcPr>
            <w:tcW w:w="976" w:type="pct"/>
            <w:shd w:val="clear" w:color="auto" w:fill="auto"/>
            <w:vAlign w:val="center"/>
          </w:tcPr>
          <w:p>
            <w:pPr>
              <w:widowControl/>
              <w:jc w:val="left"/>
              <w:rPr>
                <w:color w:val="000000"/>
                <w:kern w:val="0"/>
                <w:sz w:val="24"/>
              </w:rPr>
            </w:pPr>
            <w:bookmarkStart w:id="872" w:name="OLE_LINK60"/>
            <w:bookmarkStart w:id="873" w:name="OLE_LINK88"/>
            <w:r>
              <w:rPr>
                <w:color w:val="000000"/>
                <w:kern w:val="0"/>
                <w:sz w:val="24"/>
              </w:rPr>
              <w:t>分包其他要求（如有）</w:t>
            </w:r>
            <w:bookmarkEnd w:id="872"/>
            <w:bookmarkEnd w:id="873"/>
          </w:p>
        </w:tc>
        <w:tc>
          <w:tcPr>
            <w:tcW w:w="3620" w:type="pct"/>
            <w:shd w:val="clear" w:color="auto" w:fill="auto"/>
            <w:vAlign w:val="center"/>
          </w:tcPr>
          <w:p>
            <w:pPr>
              <w:widowControl/>
              <w:jc w:val="left"/>
              <w:rPr>
                <w:sz w:val="24"/>
              </w:rPr>
            </w:pPr>
            <w:bookmarkStart w:id="874" w:name="OLE_LINK89"/>
            <w:bookmarkStart w:id="875" w:name="OLE_LINK61"/>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bookmarkEnd w:id="874"/>
            <w:bookmarkEnd w:id="8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bookmarkStart w:id="876" w:name="_Hlk208236841"/>
            <w:r>
              <w:rPr>
                <w:color w:val="000000"/>
                <w:kern w:val="0"/>
                <w:sz w:val="24"/>
              </w:rPr>
              <w:t>10</w:t>
            </w:r>
          </w:p>
        </w:tc>
        <w:tc>
          <w:tcPr>
            <w:tcW w:w="976" w:type="pct"/>
            <w:shd w:val="clear" w:color="auto" w:fill="auto"/>
            <w:vAlign w:val="center"/>
          </w:tcPr>
          <w:p>
            <w:pPr>
              <w:widowControl/>
              <w:jc w:val="left"/>
              <w:rPr>
                <w:color w:val="000000"/>
                <w:kern w:val="0"/>
                <w:sz w:val="24"/>
              </w:rPr>
            </w:pPr>
            <w:bookmarkStart w:id="877" w:name="OLE_LINK62"/>
            <w:r>
              <w:rPr>
                <w:color w:val="000000"/>
                <w:kern w:val="0"/>
                <w:sz w:val="24"/>
              </w:rPr>
              <w:t>报价的修正（如有）</w:t>
            </w:r>
            <w:bookmarkEnd w:id="877"/>
          </w:p>
        </w:tc>
        <w:tc>
          <w:tcPr>
            <w:tcW w:w="3620" w:type="pct"/>
            <w:shd w:val="clear" w:color="auto" w:fill="auto"/>
            <w:vAlign w:val="center"/>
          </w:tcPr>
          <w:p>
            <w:pPr>
              <w:widowControl/>
              <w:jc w:val="left"/>
              <w:rPr>
                <w:color w:val="000000"/>
                <w:kern w:val="0"/>
                <w:sz w:val="24"/>
              </w:rPr>
            </w:pPr>
            <w:bookmarkStart w:id="878" w:name="OLE_LINK63"/>
            <w:bookmarkStart w:id="879" w:name="OLE_LINK92"/>
            <w:r>
              <w:rPr>
                <w:color w:val="000000"/>
                <w:kern w:val="0"/>
                <w:sz w:val="24"/>
              </w:rPr>
              <w:t>不涉及报价修正，或投标文件报价出现前后不一致时，投标人对修正后的报价予以确认；（如有）</w:t>
            </w:r>
            <w:bookmarkEnd w:id="878"/>
            <w:bookmarkEnd w:id="879"/>
          </w:p>
        </w:tc>
      </w:tr>
      <w:bookmarkEnd w:id="8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11</w:t>
            </w:r>
          </w:p>
        </w:tc>
        <w:tc>
          <w:tcPr>
            <w:tcW w:w="976" w:type="pct"/>
            <w:shd w:val="clear" w:color="auto" w:fill="auto"/>
            <w:vAlign w:val="center"/>
          </w:tcPr>
          <w:p>
            <w:pPr>
              <w:widowControl/>
              <w:jc w:val="left"/>
              <w:rPr>
                <w:color w:val="000000"/>
                <w:kern w:val="0"/>
                <w:sz w:val="24"/>
              </w:rPr>
            </w:pPr>
            <w:bookmarkStart w:id="880" w:name="OLE_LINK64"/>
            <w:r>
              <w:rPr>
                <w:color w:val="000000"/>
                <w:kern w:val="0"/>
                <w:sz w:val="24"/>
              </w:rPr>
              <w:t>报价合理性</w:t>
            </w:r>
            <w:bookmarkEnd w:id="880"/>
          </w:p>
        </w:tc>
        <w:tc>
          <w:tcPr>
            <w:tcW w:w="3620" w:type="pct"/>
            <w:shd w:val="clear" w:color="auto" w:fill="auto"/>
            <w:vAlign w:val="center"/>
          </w:tcPr>
          <w:p>
            <w:pPr>
              <w:widowControl/>
              <w:jc w:val="left"/>
              <w:rPr>
                <w:color w:val="000000"/>
                <w:kern w:val="0"/>
                <w:sz w:val="24"/>
              </w:rPr>
            </w:pPr>
            <w:bookmarkStart w:id="881" w:name="OLE_LINK65"/>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12</w:t>
            </w:r>
          </w:p>
        </w:tc>
        <w:tc>
          <w:tcPr>
            <w:tcW w:w="976" w:type="pct"/>
            <w:shd w:val="clear" w:color="auto" w:fill="auto"/>
            <w:vAlign w:val="center"/>
          </w:tcPr>
          <w:p>
            <w:pPr>
              <w:widowControl/>
              <w:jc w:val="left"/>
              <w:rPr>
                <w:color w:val="000000"/>
                <w:kern w:val="0"/>
                <w:sz w:val="24"/>
              </w:rPr>
            </w:pPr>
            <w:bookmarkStart w:id="882" w:name="OLE_LINK93"/>
            <w:bookmarkStart w:id="883" w:name="OLE_LINK66"/>
            <w:r>
              <w:rPr>
                <w:color w:val="000000"/>
                <w:kern w:val="0"/>
                <w:sz w:val="24"/>
              </w:rPr>
              <w:t>进口产品</w:t>
            </w:r>
          </w:p>
          <w:p>
            <w:pPr>
              <w:widowControl/>
              <w:jc w:val="left"/>
              <w:rPr>
                <w:color w:val="000000"/>
                <w:kern w:val="0"/>
                <w:sz w:val="24"/>
              </w:rPr>
            </w:pPr>
            <w:r>
              <w:rPr>
                <w:color w:val="000000"/>
                <w:kern w:val="0"/>
                <w:sz w:val="24"/>
              </w:rPr>
              <w:t>（如有）</w:t>
            </w:r>
            <w:bookmarkEnd w:id="882"/>
            <w:bookmarkEnd w:id="883"/>
          </w:p>
        </w:tc>
        <w:tc>
          <w:tcPr>
            <w:tcW w:w="3620" w:type="pct"/>
            <w:shd w:val="clear" w:color="auto" w:fill="auto"/>
            <w:vAlign w:val="center"/>
          </w:tcPr>
          <w:p>
            <w:pPr>
              <w:widowControl/>
              <w:jc w:val="left"/>
              <w:rPr>
                <w:color w:val="000000"/>
                <w:kern w:val="0"/>
                <w:sz w:val="24"/>
              </w:rPr>
            </w:pPr>
            <w:bookmarkStart w:id="884" w:name="OLE_LINK67"/>
            <w:r>
              <w:rPr>
                <w:sz w:val="24"/>
              </w:rPr>
              <w:t>招标文件不接受进口产品投标的内容时，投标人所投产品不含进口产品；</w:t>
            </w:r>
            <w:bookmarkEnd w:id="8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bookmarkStart w:id="885" w:name="_Hlk208236916"/>
            <w:r>
              <w:rPr>
                <w:color w:val="000000"/>
                <w:kern w:val="0"/>
                <w:sz w:val="24"/>
              </w:rPr>
              <w:t>13</w:t>
            </w:r>
          </w:p>
        </w:tc>
        <w:tc>
          <w:tcPr>
            <w:tcW w:w="976" w:type="pct"/>
            <w:shd w:val="clear" w:color="auto" w:fill="auto"/>
            <w:vAlign w:val="center"/>
          </w:tcPr>
          <w:p>
            <w:pPr>
              <w:widowControl/>
              <w:jc w:val="left"/>
              <w:rPr>
                <w:color w:val="000000"/>
                <w:kern w:val="0"/>
                <w:sz w:val="24"/>
              </w:rPr>
            </w:pPr>
            <w:bookmarkStart w:id="886" w:name="OLE_LINK68"/>
            <w:r>
              <w:rPr>
                <w:color w:val="000000"/>
                <w:kern w:val="0"/>
                <w:sz w:val="24"/>
              </w:rPr>
              <w:t>国家有关部门对投标人的投标产品有强制性规定或要求的</w:t>
            </w:r>
            <w:bookmarkEnd w:id="886"/>
          </w:p>
        </w:tc>
        <w:tc>
          <w:tcPr>
            <w:tcW w:w="3620" w:type="pct"/>
            <w:shd w:val="clear" w:color="auto" w:fill="auto"/>
            <w:vAlign w:val="center"/>
          </w:tcPr>
          <w:p>
            <w:pPr>
              <w:widowControl/>
              <w:jc w:val="left"/>
              <w:rPr>
                <w:color w:val="000000"/>
                <w:kern w:val="0"/>
                <w:sz w:val="24"/>
              </w:rPr>
            </w:pPr>
            <w:bookmarkStart w:id="887" w:name="OLE_LINK96"/>
            <w:bookmarkStart w:id="888" w:name="OLE_LINK69"/>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bookmarkEnd w:id="887"/>
            <w:bookmarkEnd w:id="888"/>
          </w:p>
        </w:tc>
      </w:tr>
      <w:bookmarkEnd w:id="8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14</w:t>
            </w:r>
          </w:p>
        </w:tc>
        <w:tc>
          <w:tcPr>
            <w:tcW w:w="976" w:type="pct"/>
            <w:shd w:val="clear" w:color="auto" w:fill="auto"/>
            <w:vAlign w:val="center"/>
          </w:tcPr>
          <w:p>
            <w:pPr>
              <w:widowControl/>
              <w:jc w:val="left"/>
              <w:rPr>
                <w:color w:val="000000"/>
                <w:kern w:val="0"/>
                <w:sz w:val="24"/>
              </w:rPr>
            </w:pPr>
            <w:bookmarkStart w:id="889" w:name="OLE_LINK70"/>
            <w:bookmarkStart w:id="890" w:name="OLE_LINK97"/>
            <w:r>
              <w:rPr>
                <w:color w:val="000000"/>
                <w:kern w:val="0"/>
                <w:sz w:val="24"/>
              </w:rPr>
              <w:t>公平竞争</w:t>
            </w:r>
            <w:bookmarkEnd w:id="889"/>
            <w:bookmarkEnd w:id="890"/>
          </w:p>
        </w:tc>
        <w:tc>
          <w:tcPr>
            <w:tcW w:w="3620" w:type="pct"/>
            <w:shd w:val="clear" w:color="auto" w:fill="auto"/>
            <w:vAlign w:val="center"/>
          </w:tcPr>
          <w:p>
            <w:pPr>
              <w:widowControl/>
              <w:jc w:val="left"/>
              <w:rPr>
                <w:color w:val="000000"/>
                <w:kern w:val="0"/>
                <w:sz w:val="24"/>
              </w:rPr>
            </w:pPr>
            <w:bookmarkStart w:id="891" w:name="OLE_LINK98"/>
            <w:bookmarkStart w:id="892" w:name="OLE_LINK71"/>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bookmarkEnd w:id="891"/>
            <w:bookmarkEnd w:id="8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15</w:t>
            </w:r>
          </w:p>
        </w:tc>
        <w:tc>
          <w:tcPr>
            <w:tcW w:w="976" w:type="pct"/>
            <w:shd w:val="clear" w:color="auto" w:fill="auto"/>
            <w:vAlign w:val="center"/>
          </w:tcPr>
          <w:p>
            <w:pPr>
              <w:widowControl/>
              <w:jc w:val="left"/>
              <w:rPr>
                <w:color w:val="000000"/>
                <w:kern w:val="0"/>
                <w:sz w:val="24"/>
              </w:rPr>
            </w:pPr>
            <w:bookmarkStart w:id="893" w:name="OLE_LINK99"/>
            <w:bookmarkStart w:id="894" w:name="OLE_LINK72"/>
            <w:r>
              <w:rPr>
                <w:color w:val="000000"/>
                <w:kern w:val="0"/>
                <w:sz w:val="24"/>
              </w:rPr>
              <w:t>串通投标</w:t>
            </w:r>
            <w:bookmarkEnd w:id="893"/>
            <w:bookmarkEnd w:id="894"/>
          </w:p>
        </w:tc>
        <w:tc>
          <w:tcPr>
            <w:tcW w:w="3620" w:type="pct"/>
            <w:shd w:val="clear" w:color="auto" w:fill="auto"/>
            <w:vAlign w:val="center"/>
          </w:tcPr>
          <w:p>
            <w:pPr>
              <w:widowControl/>
              <w:jc w:val="left"/>
              <w:rPr>
                <w:color w:val="000000"/>
                <w:kern w:val="0"/>
                <w:sz w:val="24"/>
              </w:rPr>
            </w:pPr>
            <w:bookmarkStart w:id="895" w:name="OLE_LINK73"/>
            <w:bookmarkStart w:id="896" w:name="OLE_LINK100"/>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95"/>
            <w:bookmarkEnd w:id="8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r>
              <w:rPr>
                <w:color w:val="000000"/>
                <w:kern w:val="0"/>
                <w:sz w:val="24"/>
              </w:rPr>
              <w:t>16</w:t>
            </w:r>
          </w:p>
        </w:tc>
        <w:tc>
          <w:tcPr>
            <w:tcW w:w="976" w:type="pct"/>
            <w:shd w:val="clear" w:color="auto" w:fill="auto"/>
            <w:vAlign w:val="center"/>
          </w:tcPr>
          <w:p>
            <w:pPr>
              <w:widowControl/>
              <w:jc w:val="left"/>
              <w:rPr>
                <w:color w:val="000000"/>
                <w:kern w:val="0"/>
                <w:sz w:val="24"/>
              </w:rPr>
            </w:pPr>
            <w:bookmarkStart w:id="897" w:name="OLE_LINK104"/>
            <w:bookmarkStart w:id="898" w:name="OLE_LINK74"/>
            <w:r>
              <w:rPr>
                <w:color w:val="000000"/>
                <w:kern w:val="0"/>
                <w:sz w:val="24"/>
              </w:rPr>
              <w:t>附加条件</w:t>
            </w:r>
            <w:bookmarkEnd w:id="897"/>
            <w:bookmarkEnd w:id="898"/>
          </w:p>
        </w:tc>
        <w:tc>
          <w:tcPr>
            <w:tcW w:w="3620" w:type="pct"/>
            <w:shd w:val="clear" w:color="auto" w:fill="auto"/>
            <w:vAlign w:val="center"/>
          </w:tcPr>
          <w:p>
            <w:pPr>
              <w:widowControl/>
              <w:jc w:val="left"/>
              <w:rPr>
                <w:color w:val="000000"/>
                <w:kern w:val="0"/>
                <w:sz w:val="24"/>
              </w:rPr>
            </w:pPr>
            <w:bookmarkStart w:id="899" w:name="OLE_LINK75"/>
            <w:bookmarkStart w:id="900" w:name="OLE_LINK105"/>
            <w:r>
              <w:rPr>
                <w:color w:val="000000"/>
                <w:kern w:val="0"/>
                <w:sz w:val="24"/>
              </w:rPr>
              <w:t>投标文件未含有采购人不能接受的附加条件的；</w:t>
            </w:r>
            <w:bookmarkEnd w:id="899"/>
            <w:bookmarkEnd w:id="9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pPr>
              <w:widowControl/>
              <w:jc w:val="center"/>
              <w:rPr>
                <w:color w:val="000000"/>
                <w:kern w:val="0"/>
                <w:sz w:val="24"/>
              </w:rPr>
            </w:pPr>
            <w:bookmarkStart w:id="901" w:name="_Hlk208236992"/>
            <w:r>
              <w:rPr>
                <w:color w:val="000000"/>
                <w:kern w:val="0"/>
                <w:sz w:val="24"/>
              </w:rPr>
              <w:t>17</w:t>
            </w:r>
          </w:p>
        </w:tc>
        <w:tc>
          <w:tcPr>
            <w:tcW w:w="976" w:type="pct"/>
            <w:shd w:val="clear" w:color="auto" w:fill="auto"/>
            <w:vAlign w:val="center"/>
          </w:tcPr>
          <w:p>
            <w:pPr>
              <w:widowControl/>
              <w:jc w:val="left"/>
              <w:rPr>
                <w:color w:val="000000"/>
                <w:kern w:val="0"/>
                <w:sz w:val="24"/>
              </w:rPr>
            </w:pPr>
            <w:bookmarkStart w:id="902" w:name="OLE_LINK114"/>
            <w:bookmarkStart w:id="903" w:name="OLE_LINK76"/>
            <w:r>
              <w:rPr>
                <w:color w:val="000000"/>
                <w:kern w:val="0"/>
                <w:sz w:val="24"/>
              </w:rPr>
              <w:t>其他无效情形</w:t>
            </w:r>
            <w:bookmarkEnd w:id="902"/>
            <w:bookmarkEnd w:id="903"/>
          </w:p>
        </w:tc>
        <w:tc>
          <w:tcPr>
            <w:tcW w:w="3620" w:type="pct"/>
            <w:shd w:val="clear" w:color="auto" w:fill="auto"/>
            <w:vAlign w:val="center"/>
          </w:tcPr>
          <w:p>
            <w:pPr>
              <w:widowControl/>
              <w:jc w:val="left"/>
              <w:rPr>
                <w:color w:val="000000"/>
                <w:kern w:val="0"/>
                <w:sz w:val="24"/>
              </w:rPr>
            </w:pPr>
            <w:bookmarkStart w:id="904" w:name="OLE_LINK77"/>
            <w:r>
              <w:rPr>
                <w:color w:val="000000" w:themeColor="text1"/>
                <w:sz w:val="24"/>
                <w14:textFill>
                  <w14:solidFill>
                    <w14:schemeClr w14:val="tx1"/>
                  </w14:solidFill>
                </w14:textFill>
              </w:rPr>
              <w:t>投标人、投标文件不存在不符合法律、法规和招标文件规定的其他无效情形。</w:t>
            </w:r>
            <w:bookmarkEnd w:id="904"/>
          </w:p>
        </w:tc>
      </w:tr>
      <w:bookmarkEnd w:id="901"/>
    </w:tbl>
    <w:p>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905" w:name="_Hlk144225607"/>
      <w:r>
        <w:rPr>
          <w:color w:val="000000"/>
          <w:sz w:val="24"/>
          <w:szCs w:val="20"/>
        </w:rPr>
        <w:t>若投标人为事业单位或其他组织或分支机构，可为单位负责人</w:t>
      </w:r>
      <w:bookmarkEnd w:id="905"/>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无，按下述2.4.2-2.4.8项规定修正。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rPr>
        <w:t>10</w:t>
      </w:r>
      <w:r>
        <w:rPr>
          <w:sz w:val="24"/>
          <w:u w:val="single"/>
        </w:rPr>
        <w:t>_</w:t>
      </w:r>
      <w:r>
        <w:rPr>
          <w:sz w:val="24"/>
        </w:rPr>
        <w:t>_%的扣除，用扣除后的价格参加评审。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_</w:t>
      </w:r>
      <w:r>
        <w:rPr>
          <w:rFonts w:hint="eastAsia"/>
          <w:sz w:val="24"/>
          <w:u w:val="single"/>
          <w:lang w:val="en-US" w:eastAsia="zh-CN"/>
        </w:rPr>
        <w:t>4</w:t>
      </w:r>
      <w:r>
        <w:rPr>
          <w:sz w:val="24"/>
          <w:u w:val="single"/>
        </w:rPr>
        <w:t>__</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outlineLvl w:val="1"/>
        <w:rPr>
          <w:sz w:val="24"/>
        </w:rPr>
      </w:pPr>
      <w:r>
        <w:rPr>
          <w:sz w:val="24"/>
        </w:rPr>
        <w:t>投标文件的比较和评价</w:t>
      </w:r>
      <w:bookmarkEnd w:id="829"/>
      <w:bookmarkEnd w:id="830"/>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pPr>
        <w:numPr>
          <w:ilvl w:val="0"/>
          <w:numId w:val="12"/>
        </w:numPr>
        <w:tabs>
          <w:tab w:val="left" w:pos="360"/>
        </w:tabs>
        <w:snapToGrid w:val="0"/>
        <w:spacing w:line="360" w:lineRule="auto"/>
        <w:outlineLvl w:val="1"/>
        <w:rPr>
          <w:sz w:val="24"/>
        </w:rPr>
      </w:pPr>
      <w:r>
        <w:rPr>
          <w:sz w:val="24"/>
        </w:rPr>
        <w:t>确定</w:t>
      </w:r>
      <w:bookmarkStart w:id="906" w:name="_Toc305158814"/>
      <w:bookmarkStart w:id="907" w:name="_Toc127151747"/>
      <w:bookmarkStart w:id="908" w:name="_Toc226337242"/>
      <w:bookmarkStart w:id="909" w:name="_Toc164351640"/>
      <w:bookmarkStart w:id="910" w:name="_Toc151193934"/>
      <w:bookmarkStart w:id="911" w:name="_Toc520356170"/>
      <w:bookmarkStart w:id="912" w:name="_Toc195842911"/>
      <w:bookmarkStart w:id="913" w:name="_Toc226965819"/>
      <w:bookmarkStart w:id="914" w:name="_Toc226309790"/>
      <w:bookmarkStart w:id="915" w:name="_Toc151193860"/>
      <w:bookmarkStart w:id="916" w:name="_Toc151193788"/>
      <w:bookmarkStart w:id="917" w:name="_Toc150480784"/>
      <w:bookmarkStart w:id="918" w:name="_Toc150509297"/>
      <w:bookmarkStart w:id="919" w:name="_Ref467307010"/>
      <w:bookmarkStart w:id="920" w:name="_Toc150774751"/>
      <w:bookmarkStart w:id="921" w:name="_Toc264969236"/>
      <w:bookmarkStart w:id="922" w:name="_Toc142311048"/>
      <w:bookmarkStart w:id="923" w:name="_Toc127161460"/>
      <w:bookmarkStart w:id="924" w:name="_Toc151190173"/>
      <w:bookmarkStart w:id="925" w:name="_Toc164608815"/>
      <w:bookmarkStart w:id="926" w:name="_Toc127151546"/>
      <w:bookmarkStart w:id="927" w:name="_Toc164229241"/>
      <w:bookmarkStart w:id="928" w:name="_Toc151193644"/>
      <w:bookmarkStart w:id="929" w:name="_Toc164229387"/>
      <w:bookmarkStart w:id="930" w:name="_Toc226965736"/>
      <w:bookmarkStart w:id="931" w:name="_Toc149720839"/>
      <w:bookmarkStart w:id="932" w:name="_Toc265228384"/>
      <w:bookmarkStart w:id="933" w:name="_Toc164608660"/>
      <w:bookmarkStart w:id="934" w:name="_Toc305158888"/>
      <w:bookmarkStart w:id="935" w:name="_Toc150774646"/>
      <w:bookmarkStart w:id="936" w:name="_Toc151193716"/>
      <w:r>
        <w:rPr>
          <w:sz w:val="24"/>
        </w:rPr>
        <w:t>中标候选人名单</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sz w:val="24"/>
        </w:rPr>
        <w:t>■</w:t>
      </w:r>
      <w:r>
        <w:rPr>
          <w:rFonts w:hint="default" w:ascii="Times New Roman" w:hAnsi="Times New Roman"/>
          <w:sz w:val="24"/>
          <w:szCs w:val="24"/>
        </w:rPr>
        <w:t>其他方式，具体要求：</w:t>
      </w:r>
      <w:r>
        <w:rPr>
          <w:rFonts w:hint="default" w:ascii="Times New Roman" w:hAnsi="Times New Roman"/>
          <w:sz w:val="24"/>
          <w:szCs w:val="24"/>
          <w:u w:val="single"/>
        </w:rPr>
        <w:t xml:space="preserve">以 </w:t>
      </w:r>
      <w:r>
        <w:rPr>
          <w:rFonts w:ascii="Times New Roman" w:hAnsi="Times New Roman"/>
          <w:sz w:val="24"/>
          <w:szCs w:val="24"/>
          <w:u w:val="single"/>
        </w:rPr>
        <w:t>报价</w:t>
      </w:r>
      <w:r>
        <w:rPr>
          <w:rFonts w:hint="default" w:ascii="Times New Roman" w:hAnsi="Times New Roman"/>
          <w:sz w:val="24"/>
          <w:szCs w:val="24"/>
          <w:u w:val="single"/>
        </w:rPr>
        <w:t>评审 得分高者获得中标人推荐资格</w:t>
      </w:r>
      <w:r>
        <w:rPr>
          <w:rFonts w:ascii="Times New Roman" w:hAnsi="Times New Roman"/>
          <w:sz w:val="24"/>
          <w:szCs w:val="24"/>
          <w:u w:val="single"/>
        </w:rPr>
        <w:t>。</w:t>
      </w: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bookmarkStart w:id="937" w:name="OLE_LINK12"/>
      <w:bookmarkStart w:id="938" w:name="OLE_LINK11"/>
      <w:r>
        <w:rPr>
          <w:sz w:val="24"/>
        </w:rPr>
        <w:t>评标委员会要对评分汇总情况进行复核，特别是对排名第一的、报价最低的、投标或响应文件被认定为无效的情形进行重点复核。</w:t>
      </w:r>
    </w:p>
    <w:bookmarkEnd w:id="937"/>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__名中标候选人。</w:t>
      </w:r>
      <w:bookmarkEnd w:id="938"/>
      <w:r>
        <w:rPr>
          <w:sz w:val="24"/>
        </w:rPr>
        <w:t>评标委员会要对评分汇总情况进行复核，特别是对排名第一的、报价最低的、投标或响应文件被认定为无效的情形进行重点复核。</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numPr>
          <w:ilvl w:val="0"/>
          <w:numId w:val="14"/>
        </w:numPr>
        <w:tabs>
          <w:tab w:val="left" w:pos="360"/>
          <w:tab w:val="left" w:pos="900"/>
        </w:tabs>
        <w:snapToGrid w:val="0"/>
        <w:spacing w:line="360" w:lineRule="auto"/>
        <w:jc w:val="center"/>
        <w:outlineLvl w:val="1"/>
        <w:rPr>
          <w:b/>
          <w:sz w:val="24"/>
        </w:rPr>
      </w:pPr>
      <w:r>
        <w:rPr>
          <w:b/>
          <w:sz w:val="24"/>
        </w:rPr>
        <w:t>评标标准</w:t>
      </w:r>
    </w:p>
    <w:tbl>
      <w:tblPr>
        <w:tblStyle w:val="49"/>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23"/>
        <w:gridCol w:w="978"/>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41" w:type="dxa"/>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723" w:type="dxa"/>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评分内容</w:t>
            </w:r>
          </w:p>
        </w:tc>
        <w:tc>
          <w:tcPr>
            <w:tcW w:w="978" w:type="dxa"/>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624" w:type="dxa"/>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1"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报价(10)</w:t>
            </w:r>
          </w:p>
        </w:tc>
        <w:tc>
          <w:tcPr>
            <w:tcW w:w="723" w:type="dxa"/>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978" w:type="dxa"/>
            <w:vAlign w:val="center"/>
          </w:tcPr>
          <w:p>
            <w:pPr>
              <w:adjustRightInd w:val="0"/>
              <w:snapToGrid w:val="0"/>
              <w:jc w:val="center"/>
              <w:rPr>
                <w:rFonts w:hint="eastAsia" w:ascii="宋体" w:hAnsi="宋体" w:eastAsia="宋体" w:cs="宋体"/>
                <w:color w:val="auto"/>
                <w:sz w:val="21"/>
                <w:szCs w:val="21"/>
                <w:lang w:val="zh-TW"/>
              </w:rPr>
            </w:pPr>
            <w:r>
              <w:rPr>
                <w:rFonts w:hint="eastAsia" w:ascii="宋体" w:hAnsi="宋体" w:eastAsia="宋体" w:cs="宋体"/>
                <w:color w:val="auto"/>
                <w:sz w:val="21"/>
                <w:szCs w:val="21"/>
              </w:rPr>
              <w:t>1</w:t>
            </w:r>
            <w:r>
              <w:rPr>
                <w:rFonts w:hint="eastAsia" w:ascii="宋体" w:hAnsi="宋体" w:eastAsia="宋体" w:cs="宋体"/>
                <w:color w:val="auto"/>
                <w:sz w:val="21"/>
                <w:szCs w:val="21"/>
                <w:lang w:val="zh-TW"/>
              </w:rPr>
              <w:t>0</w:t>
            </w:r>
          </w:p>
        </w:tc>
        <w:tc>
          <w:tcPr>
            <w:tcW w:w="6624"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满足招标文件要求且投标价格最低的投标报价为评标基准价，其价格分为满分。其他投标人的价格分统一按照下列公式计算：</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投标报价得分＝（评标基准价/投标报价）×10</w:t>
            </w:r>
          </w:p>
          <w:p>
            <w:pPr>
              <w:adjustRightInd w:val="0"/>
              <w:snapToGrid w:val="0"/>
              <w:jc w:val="left"/>
              <w:rPr>
                <w:rFonts w:hint="eastAsia" w:ascii="宋体" w:hAnsi="宋体" w:eastAsia="宋体" w:cs="宋体"/>
                <w:color w:val="auto"/>
                <w:sz w:val="21"/>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1" w:type="dxa"/>
            <w:vMerge w:val="restart"/>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商务(14)</w:t>
            </w:r>
          </w:p>
        </w:tc>
        <w:tc>
          <w:tcPr>
            <w:tcW w:w="723"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管理体系认证</w:t>
            </w:r>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624" w:type="dxa"/>
            <w:vAlign w:val="center"/>
          </w:tcPr>
          <w:p>
            <w:pPr>
              <w:adjustRightInd w:val="0"/>
              <w:snapToGrid w:val="0"/>
              <w:jc w:val="left"/>
              <w:rPr>
                <w:rFonts w:hint="eastAsia" w:ascii="宋体" w:hAnsi="宋体" w:eastAsia="宋体" w:cs="宋体"/>
                <w:color w:val="auto"/>
                <w:sz w:val="21"/>
                <w:szCs w:val="21"/>
              </w:rPr>
            </w:pPr>
            <w:bookmarkStart w:id="939" w:name="OLE_LINK2"/>
            <w:r>
              <w:rPr>
                <w:rFonts w:hint="eastAsia" w:ascii="宋体" w:hAnsi="宋体" w:eastAsia="宋体" w:cs="宋体"/>
                <w:color w:val="auto"/>
                <w:sz w:val="21"/>
                <w:szCs w:val="21"/>
              </w:rPr>
              <w:t>投标人具备有效的质量管理体系认证、环境管理体系认证、职业健康安全管理体系认证、食品安全管理体系认证、供应链安全管理体系认证证书、餐饮服务认证证书、售后服务认证证书、危害分析与关键控制点（HACCP）体系认证证书、企业诚信管理体系认证证书、服务质量达标测评认证证书、企业信用等级证书等相关证书的，每提供一项认证证书得0.5分，满分得5分。</w:t>
            </w:r>
          </w:p>
          <w:p>
            <w:pPr>
              <w:adjustRightInd w:val="0"/>
              <w:snapToGrid w:val="0"/>
              <w:jc w:val="left"/>
              <w:rPr>
                <w:rFonts w:hint="eastAsia" w:ascii="宋体" w:hAnsi="宋体" w:eastAsia="宋体" w:cs="宋体"/>
                <w:color w:val="auto"/>
                <w:sz w:val="21"/>
                <w:szCs w:val="21"/>
                <w:highlight w:val="cyan"/>
              </w:rPr>
            </w:pPr>
            <w:r>
              <w:rPr>
                <w:rFonts w:hint="eastAsia" w:ascii="宋体" w:hAnsi="宋体" w:eastAsia="宋体" w:cs="宋体"/>
                <w:color w:val="auto"/>
                <w:sz w:val="21"/>
                <w:szCs w:val="21"/>
              </w:rPr>
              <w:t>须提供证书复印件及全国认证认可信息公共服务平台（http://cx.cnca.cn/CertECloud/index/index/page）网页查询截图加盖投标人单位公章，否则不得分。</w:t>
            </w:r>
            <w:bookmarkEnd w:id="9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sz w:val="21"/>
                <w:szCs w:val="21"/>
              </w:rPr>
            </w:pPr>
            <w:bookmarkStart w:id="940" w:name="OLE_LINK10"/>
            <w:r>
              <w:rPr>
                <w:rFonts w:hint="eastAsia" w:ascii="宋体" w:hAnsi="宋体" w:eastAsia="宋体" w:cs="宋体"/>
                <w:color w:val="auto"/>
                <w:sz w:val="21"/>
                <w:szCs w:val="21"/>
              </w:rPr>
              <w:t>业绩</w:t>
            </w:r>
            <w:bookmarkEnd w:id="940"/>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6624" w:type="dxa"/>
            <w:vAlign w:val="center"/>
          </w:tcPr>
          <w:p>
            <w:pPr>
              <w:adjustRightInd w:val="0"/>
              <w:snapToGrid w:val="0"/>
              <w:jc w:val="left"/>
              <w:rPr>
                <w:rFonts w:hint="eastAsia" w:ascii="宋体" w:hAnsi="宋体" w:eastAsia="宋体" w:cs="宋体"/>
                <w:color w:val="auto"/>
                <w:kern w:val="0"/>
                <w:sz w:val="21"/>
                <w:szCs w:val="21"/>
              </w:rPr>
            </w:pPr>
            <w:bookmarkStart w:id="941" w:name="OLE_LINK3"/>
            <w:r>
              <w:rPr>
                <w:rFonts w:hint="eastAsia" w:ascii="宋体" w:hAnsi="宋体" w:eastAsia="宋体" w:cs="宋体"/>
                <w:color w:val="auto"/>
                <w:sz w:val="21"/>
                <w:szCs w:val="21"/>
              </w:rPr>
              <w:t>投标人近三年（2022年1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月至递交文件截止日）完成类似项目业绩，有一项加3分，最多可得9分。</w:t>
            </w:r>
            <w:r>
              <w:rPr>
                <w:rFonts w:hint="eastAsia" w:ascii="宋体" w:hAnsi="宋体" w:eastAsia="宋体" w:cs="宋体"/>
                <w:color w:val="auto"/>
                <w:sz w:val="21"/>
                <w:szCs w:val="21"/>
                <w:highlight w:val="none"/>
              </w:rPr>
              <w:t>（需附完整合同复印件加盖本单位公章）</w:t>
            </w:r>
            <w:bookmarkEnd w:id="9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1" w:type="dxa"/>
            <w:vMerge w:val="restart"/>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技术(76)</w:t>
            </w:r>
          </w:p>
        </w:tc>
        <w:tc>
          <w:tcPr>
            <w:tcW w:w="723" w:type="dxa"/>
            <w:vAlign w:val="center"/>
          </w:tcPr>
          <w:p>
            <w:pPr>
              <w:adjustRightInd w:val="0"/>
              <w:snapToGrid w:val="0"/>
              <w:jc w:val="center"/>
              <w:rPr>
                <w:rFonts w:hint="eastAsia" w:ascii="宋体" w:hAnsi="宋体" w:eastAsia="宋体" w:cs="宋体"/>
                <w:color w:val="auto"/>
                <w:sz w:val="21"/>
                <w:szCs w:val="21"/>
              </w:rPr>
            </w:pPr>
            <w:bookmarkStart w:id="942" w:name="OLE_LINK15"/>
            <w:r>
              <w:rPr>
                <w:rFonts w:hint="eastAsia" w:ascii="宋体" w:hAnsi="宋体" w:eastAsia="宋体" w:cs="宋体"/>
                <w:color w:val="auto"/>
                <w:sz w:val="21"/>
                <w:szCs w:val="21"/>
              </w:rPr>
              <w:t>拟</w:t>
            </w:r>
            <w:bookmarkStart w:id="943" w:name="OLE_LINK119"/>
            <w:bookmarkStart w:id="944" w:name="OLE_LINK120"/>
            <w:r>
              <w:rPr>
                <w:rFonts w:hint="eastAsia" w:ascii="宋体" w:hAnsi="宋体" w:eastAsia="宋体" w:cs="宋体"/>
                <w:color w:val="auto"/>
                <w:sz w:val="21"/>
                <w:szCs w:val="21"/>
              </w:rPr>
              <w:t>派人员情况及应急替补机制</w:t>
            </w:r>
            <w:bookmarkEnd w:id="942"/>
            <w:bookmarkEnd w:id="943"/>
            <w:bookmarkEnd w:id="944"/>
          </w:p>
        </w:tc>
        <w:tc>
          <w:tcPr>
            <w:tcW w:w="978" w:type="dxa"/>
            <w:vAlign w:val="center"/>
          </w:tcPr>
          <w:p>
            <w:pPr>
              <w:adjustRightInd w:val="0"/>
              <w:snapToGrid w:val="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6624" w:type="dxa"/>
            <w:vAlign w:val="center"/>
          </w:tcPr>
          <w:p>
            <w:pPr>
              <w:adjustRightInd w:val="0"/>
              <w:snapToGrid w:val="0"/>
              <w:jc w:val="left"/>
              <w:rPr>
                <w:rFonts w:hint="eastAsia" w:ascii="宋体" w:hAnsi="宋体" w:eastAsia="宋体" w:cs="宋体"/>
                <w:color w:val="auto"/>
                <w:sz w:val="21"/>
                <w:szCs w:val="21"/>
              </w:rPr>
            </w:pPr>
            <w:bookmarkStart w:id="945" w:name="OLE_LINK122"/>
            <w:bookmarkStart w:id="946" w:name="OLE_LINK121"/>
            <w:r>
              <w:rPr>
                <w:rFonts w:hint="eastAsia" w:ascii="宋体" w:hAnsi="宋体" w:eastAsia="宋体" w:cs="宋体"/>
                <w:color w:val="auto"/>
                <w:sz w:val="21"/>
                <w:szCs w:val="21"/>
              </w:rPr>
              <w:t>人员配置充足，架构合理，应急替补机制完善，得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人员配置基本充足，架构基本合理，应急替补机制基本完善，得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人员配置不充足，架构混乱，应急替补机制描述不清晰，得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未提供相应内容，得0分。</w:t>
            </w:r>
            <w:bookmarkEnd w:id="945"/>
            <w:bookmarkEnd w:id="9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sz w:val="21"/>
                <w:szCs w:val="21"/>
              </w:rPr>
            </w:pPr>
            <w:bookmarkStart w:id="947" w:name="OLE_LINK20"/>
            <w:r>
              <w:rPr>
                <w:rFonts w:hint="eastAsia" w:ascii="宋体" w:hAnsi="宋体" w:eastAsia="宋体" w:cs="宋体"/>
                <w:color w:val="auto"/>
                <w:sz w:val="21"/>
                <w:szCs w:val="21"/>
              </w:rPr>
              <w:t>人员证书</w:t>
            </w:r>
            <w:bookmarkEnd w:id="947"/>
          </w:p>
        </w:tc>
        <w:tc>
          <w:tcPr>
            <w:tcW w:w="978" w:type="dxa"/>
            <w:vAlign w:val="center"/>
          </w:tcPr>
          <w:p>
            <w:pPr>
              <w:adjustRightInd w:val="0"/>
              <w:snapToGrid w:val="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6624" w:type="dxa"/>
            <w:vAlign w:val="center"/>
          </w:tcPr>
          <w:p>
            <w:pPr>
              <w:adjustRightInd w:val="0"/>
              <w:snapToGrid w:val="0"/>
              <w:jc w:val="left"/>
              <w:rPr>
                <w:rFonts w:hint="eastAsia" w:ascii="宋体" w:hAnsi="宋体" w:eastAsia="宋体" w:cs="宋体"/>
                <w:color w:val="auto"/>
                <w:sz w:val="21"/>
                <w:szCs w:val="21"/>
              </w:rPr>
            </w:pPr>
            <w:bookmarkStart w:id="948" w:name="OLE_LINK24"/>
            <w:r>
              <w:rPr>
                <w:rFonts w:hint="eastAsia" w:ascii="宋体" w:hAnsi="宋体" w:eastAsia="宋体" w:cs="宋体"/>
                <w:color w:val="auto"/>
                <w:sz w:val="21"/>
                <w:szCs w:val="21"/>
              </w:rPr>
              <w:t>团队具有餐饮业职业经理人资格证书的得1 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团队具有营养师证书的得1 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团队具有三级及以上中式烹调师证书的得1 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团队具有三级及以上中式面点烹调师证书的得1分；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（提供相应的证书得分,否则不得分）</w:t>
            </w:r>
            <w:bookmarkEnd w:id="9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sz w:val="21"/>
                <w:szCs w:val="21"/>
              </w:rPr>
            </w:pPr>
            <w:bookmarkStart w:id="949" w:name="OLE_LINK29"/>
            <w:r>
              <w:rPr>
                <w:rFonts w:hint="eastAsia" w:ascii="宋体" w:hAnsi="宋体" w:eastAsia="宋体" w:cs="宋体"/>
                <w:color w:val="auto"/>
                <w:sz w:val="21"/>
                <w:szCs w:val="21"/>
              </w:rPr>
              <w:t>设备机械维修维护方案</w:t>
            </w:r>
            <w:bookmarkEnd w:id="949"/>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624" w:type="dxa"/>
            <w:vAlign w:val="center"/>
          </w:tcPr>
          <w:p>
            <w:pPr>
              <w:adjustRightInd w:val="0"/>
              <w:snapToGrid w:val="0"/>
              <w:jc w:val="left"/>
              <w:rPr>
                <w:rFonts w:hint="eastAsia" w:ascii="宋体" w:hAnsi="宋体" w:eastAsia="宋体" w:cs="宋体"/>
                <w:color w:val="auto"/>
                <w:sz w:val="21"/>
                <w:szCs w:val="21"/>
              </w:rPr>
            </w:pPr>
            <w:bookmarkStart w:id="950" w:name="OLE_LINK30"/>
            <w:r>
              <w:rPr>
                <w:rFonts w:hint="eastAsia" w:ascii="宋体" w:hAnsi="宋体" w:eastAsia="宋体" w:cs="宋体"/>
                <w:color w:val="auto"/>
                <w:sz w:val="21"/>
                <w:szCs w:val="21"/>
                <w:lang w:eastAsia="zh-Hans"/>
              </w:rPr>
              <w:t>系统完善</w:t>
            </w:r>
            <w:r>
              <w:rPr>
                <w:rFonts w:hint="eastAsia" w:ascii="宋体" w:hAnsi="宋体" w:eastAsia="宋体" w:cs="宋体"/>
                <w:color w:val="auto"/>
                <w:sz w:val="21"/>
                <w:szCs w:val="21"/>
              </w:rPr>
              <w:t>，科学严谨，得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较为完备，合理可行，得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表述清晰直白，基本规范，得2分；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不适合本项目或未提供，得0分。</w:t>
            </w:r>
            <w:bookmarkEnd w:id="9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sz w:val="21"/>
                <w:szCs w:val="21"/>
              </w:rPr>
            </w:pPr>
            <w:bookmarkStart w:id="951" w:name="OLE_LINK127"/>
            <w:r>
              <w:rPr>
                <w:rFonts w:hint="eastAsia" w:ascii="宋体" w:hAnsi="宋体" w:eastAsia="宋体" w:cs="宋体"/>
                <w:color w:val="auto"/>
                <w:sz w:val="21"/>
                <w:szCs w:val="21"/>
              </w:rPr>
              <w:t>对本项目的认识和理解</w:t>
            </w:r>
            <w:bookmarkEnd w:id="951"/>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624" w:type="dxa"/>
            <w:vAlign w:val="center"/>
          </w:tcPr>
          <w:p>
            <w:pPr>
              <w:jc w:val="left"/>
              <w:rPr>
                <w:rFonts w:hint="eastAsia" w:ascii="宋体" w:hAnsi="宋体" w:eastAsia="宋体" w:cs="宋体"/>
                <w:color w:val="auto"/>
                <w:sz w:val="21"/>
                <w:szCs w:val="21"/>
              </w:rPr>
            </w:pPr>
            <w:bookmarkStart w:id="952" w:name="OLE_LINK128"/>
            <w:bookmarkStart w:id="953" w:name="OLE_LINK129"/>
            <w:r>
              <w:rPr>
                <w:rFonts w:hint="eastAsia" w:ascii="宋体" w:hAnsi="宋体" w:eastAsia="宋体" w:cs="宋体"/>
                <w:color w:val="auto"/>
                <w:sz w:val="21"/>
                <w:szCs w:val="21"/>
              </w:rPr>
              <w:t>据供应商对采购需求、项目实施重点和难点等认识程度综合评审：</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理解认识度高，重点难点分析透彻，得6分；</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理解认识度较高，重点难点分析较好，得4分；</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理解认识度一般，重点难点分析一般，得2分；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未提供相应内容不得分。</w:t>
            </w:r>
            <w:bookmarkEnd w:id="952"/>
            <w:bookmarkEnd w:id="9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sz w:val="21"/>
                <w:szCs w:val="21"/>
              </w:rPr>
            </w:pPr>
            <w:bookmarkStart w:id="954" w:name="OLE_LINK42"/>
            <w:r>
              <w:rPr>
                <w:rFonts w:hint="eastAsia" w:ascii="宋体" w:hAnsi="宋体" w:eastAsia="宋体" w:cs="宋体"/>
                <w:color w:val="auto"/>
                <w:sz w:val="21"/>
                <w:szCs w:val="21"/>
              </w:rPr>
              <w:t>节能措施</w:t>
            </w:r>
            <w:bookmarkEnd w:id="954"/>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624" w:type="dxa"/>
            <w:vAlign w:val="center"/>
          </w:tcPr>
          <w:p>
            <w:pPr>
              <w:adjustRightInd w:val="0"/>
              <w:snapToGrid w:val="0"/>
              <w:jc w:val="left"/>
              <w:rPr>
                <w:rFonts w:hint="eastAsia" w:ascii="宋体" w:hAnsi="宋体" w:eastAsia="宋体" w:cs="宋体"/>
                <w:color w:val="auto"/>
                <w:sz w:val="21"/>
                <w:szCs w:val="21"/>
              </w:rPr>
            </w:pPr>
            <w:bookmarkStart w:id="955" w:name="OLE_LINK43"/>
            <w:r>
              <w:rPr>
                <w:rFonts w:hint="eastAsia" w:ascii="宋体" w:hAnsi="宋体" w:eastAsia="宋体" w:cs="宋体"/>
                <w:color w:val="auto"/>
                <w:sz w:val="21"/>
                <w:szCs w:val="21"/>
              </w:rPr>
              <w:t>措施完善，内容合理性及可行性强，得6分；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措施基本完善，内容合理性及可行性一般，得4分；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措施不够完善，内容合理性及可行性较差，得2分；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未提供此项得0分。</w:t>
            </w:r>
            <w:bookmarkEnd w:id="9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kern w:val="0"/>
                <w:sz w:val="21"/>
                <w:szCs w:val="21"/>
              </w:rPr>
            </w:pPr>
            <w:bookmarkStart w:id="956" w:name="OLE_LINK84"/>
            <w:r>
              <w:rPr>
                <w:rFonts w:hint="eastAsia" w:ascii="宋体" w:hAnsi="宋体" w:eastAsia="宋体" w:cs="宋体"/>
                <w:color w:val="auto"/>
                <w:kern w:val="0"/>
                <w:sz w:val="21"/>
                <w:szCs w:val="21"/>
              </w:rPr>
              <w:t>原材料采购管理方案</w:t>
            </w:r>
            <w:bookmarkEnd w:id="956"/>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24" w:type="dxa"/>
            <w:vAlign w:val="center"/>
          </w:tcPr>
          <w:p>
            <w:pPr>
              <w:adjustRightInd w:val="0"/>
              <w:snapToGrid w:val="0"/>
              <w:jc w:val="left"/>
              <w:rPr>
                <w:rFonts w:hint="eastAsia" w:ascii="宋体" w:hAnsi="宋体" w:eastAsia="宋体" w:cs="宋体"/>
                <w:color w:val="auto"/>
                <w:sz w:val="21"/>
                <w:szCs w:val="21"/>
              </w:rPr>
            </w:pPr>
            <w:bookmarkStart w:id="957" w:name="OLE_LINK117"/>
            <w:r>
              <w:rPr>
                <w:rFonts w:hint="eastAsia" w:ascii="宋体" w:hAnsi="宋体" w:eastAsia="宋体" w:cs="宋体"/>
                <w:color w:val="auto"/>
                <w:sz w:val="21"/>
                <w:szCs w:val="21"/>
              </w:rPr>
              <w:t>根据投标人提供的原材料采购管理方案，进行综合评审：</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科学、可行、针对性强，得8分；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合理、可行、细节一般，得5分；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欠合理，可行性较差，基本满足项目需求，得2分；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未提供方案不得分。</w:t>
            </w:r>
            <w:bookmarkEnd w:id="9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kern w:val="0"/>
                <w:sz w:val="21"/>
                <w:szCs w:val="21"/>
              </w:rPr>
            </w:pPr>
            <w:bookmarkStart w:id="958" w:name="OLE_LINK118"/>
            <w:r>
              <w:rPr>
                <w:rFonts w:hint="eastAsia" w:ascii="宋体" w:hAnsi="宋体" w:eastAsia="宋体" w:cs="宋体"/>
                <w:color w:val="auto"/>
                <w:kern w:val="0"/>
                <w:sz w:val="21"/>
                <w:szCs w:val="21"/>
              </w:rPr>
              <w:t>特色服务方案</w:t>
            </w:r>
            <w:bookmarkEnd w:id="958"/>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24" w:type="dxa"/>
            <w:vAlign w:val="center"/>
          </w:tcPr>
          <w:p>
            <w:pPr>
              <w:rPr>
                <w:rFonts w:hint="eastAsia" w:ascii="宋体" w:hAnsi="宋体" w:eastAsia="宋体" w:cs="宋体"/>
                <w:color w:val="auto"/>
                <w:sz w:val="21"/>
                <w:szCs w:val="21"/>
              </w:rPr>
            </w:pPr>
            <w:bookmarkStart w:id="959" w:name="OLE_LINK123"/>
            <w:r>
              <w:rPr>
                <w:rFonts w:hint="eastAsia" w:ascii="宋体" w:hAnsi="宋体" w:eastAsia="宋体" w:cs="宋体"/>
                <w:color w:val="auto"/>
                <w:sz w:val="21"/>
                <w:szCs w:val="21"/>
              </w:rPr>
              <w:t>提供菜品种类、样式丰富程度及其他特色服务内容。</w:t>
            </w:r>
          </w:p>
          <w:p>
            <w:pPr>
              <w:rPr>
                <w:rFonts w:hint="eastAsia" w:ascii="宋体" w:hAnsi="宋体" w:eastAsia="宋体" w:cs="宋体"/>
                <w:color w:val="auto"/>
                <w:sz w:val="21"/>
                <w:szCs w:val="21"/>
              </w:rPr>
            </w:pPr>
            <w:r>
              <w:rPr>
                <w:rFonts w:hint="eastAsia" w:ascii="宋体" w:hAnsi="宋体" w:eastAsia="宋体" w:cs="宋体"/>
                <w:color w:val="auto"/>
                <w:sz w:val="21"/>
                <w:szCs w:val="21"/>
              </w:rPr>
              <w:t>特色方案内容新颖，亮点突出，独创性强，得8分；</w:t>
            </w:r>
          </w:p>
          <w:p>
            <w:pPr>
              <w:rPr>
                <w:rFonts w:hint="eastAsia" w:ascii="宋体" w:hAnsi="宋体" w:eastAsia="宋体" w:cs="宋体"/>
                <w:color w:val="auto"/>
                <w:sz w:val="21"/>
                <w:szCs w:val="21"/>
              </w:rPr>
            </w:pPr>
            <w:r>
              <w:rPr>
                <w:rFonts w:hint="eastAsia" w:ascii="宋体" w:hAnsi="宋体" w:eastAsia="宋体" w:cs="宋体"/>
                <w:color w:val="auto"/>
                <w:sz w:val="21"/>
                <w:szCs w:val="21"/>
              </w:rPr>
              <w:t>特色方案独创性一般，内容基本贴合项目实际，得5分；</w:t>
            </w:r>
          </w:p>
          <w:p>
            <w:pPr>
              <w:rPr>
                <w:rFonts w:hint="eastAsia" w:ascii="宋体" w:hAnsi="宋体" w:eastAsia="宋体" w:cs="宋体"/>
                <w:color w:val="auto"/>
                <w:sz w:val="21"/>
                <w:szCs w:val="21"/>
              </w:rPr>
            </w:pPr>
            <w:r>
              <w:rPr>
                <w:rFonts w:hint="eastAsia" w:ascii="宋体" w:hAnsi="宋体" w:eastAsia="宋体" w:cs="宋体"/>
                <w:color w:val="auto"/>
                <w:sz w:val="21"/>
                <w:szCs w:val="21"/>
              </w:rPr>
              <w:t>特色方案无独创性，或针对性差，得2分；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未提供特色方案，得0分。</w:t>
            </w:r>
            <w:bookmarkEnd w:id="9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841" w:type="dxa"/>
            <w:vMerge w:val="continue"/>
            <w:vAlign w:val="center"/>
          </w:tcPr>
          <w:p>
            <w:pPr>
              <w:adjustRightInd w:val="0"/>
              <w:snapToGrid w:val="0"/>
              <w:jc w:val="center"/>
              <w:rPr>
                <w:rFonts w:hint="eastAsia" w:ascii="宋体" w:hAnsi="宋体" w:eastAsia="宋体" w:cs="宋体"/>
                <w:color w:val="auto"/>
                <w:sz w:val="21"/>
                <w:szCs w:val="21"/>
              </w:rPr>
            </w:pPr>
          </w:p>
        </w:tc>
        <w:tc>
          <w:tcPr>
            <w:tcW w:w="723" w:type="dxa"/>
            <w:vMerge w:val="restart"/>
            <w:vAlign w:val="center"/>
          </w:tcPr>
          <w:p>
            <w:pPr>
              <w:adjustRightInd w:val="0"/>
              <w:snapToGrid w:val="0"/>
              <w:jc w:val="center"/>
              <w:rPr>
                <w:rFonts w:hint="eastAsia" w:ascii="宋体" w:hAnsi="宋体" w:eastAsia="宋体" w:cs="宋体"/>
                <w:color w:val="auto"/>
                <w:sz w:val="21"/>
                <w:szCs w:val="21"/>
              </w:rPr>
            </w:pPr>
            <w:bookmarkStart w:id="960" w:name="OLE_LINK124"/>
            <w:r>
              <w:rPr>
                <w:rFonts w:hint="eastAsia" w:ascii="宋体" w:hAnsi="宋体" w:eastAsia="宋体" w:cs="宋体"/>
                <w:color w:val="auto"/>
                <w:kern w:val="0"/>
                <w:sz w:val="21"/>
                <w:szCs w:val="21"/>
              </w:rPr>
              <w:t>餐饮服务方案</w:t>
            </w:r>
            <w:bookmarkEnd w:id="960"/>
          </w:p>
        </w:tc>
        <w:tc>
          <w:tcPr>
            <w:tcW w:w="978" w:type="dxa"/>
            <w:vMerge w:val="restart"/>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24" w:type="dxa"/>
            <w:vAlign w:val="center"/>
          </w:tcPr>
          <w:p>
            <w:pPr>
              <w:adjustRightInd w:val="0"/>
              <w:snapToGrid w:val="0"/>
              <w:jc w:val="left"/>
              <w:rPr>
                <w:rFonts w:hint="eastAsia" w:ascii="宋体" w:hAnsi="宋体" w:eastAsia="宋体" w:cs="宋体"/>
                <w:color w:val="auto"/>
                <w:sz w:val="21"/>
                <w:szCs w:val="21"/>
              </w:rPr>
            </w:pPr>
            <w:bookmarkStart w:id="961" w:name="OLE_LINK135"/>
            <w:r>
              <w:rPr>
                <w:rFonts w:hint="eastAsia" w:ascii="宋体" w:hAnsi="宋体" w:eastAsia="宋体" w:cs="宋体"/>
                <w:color w:val="auto"/>
                <w:sz w:val="21"/>
                <w:szCs w:val="21"/>
              </w:rPr>
              <w:t>方案科学、合理、实际，考虑周全，措施到位，针对性强，完全能够满足服务需要得8分；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方案基本科学、合理、实际，考虑比较周全，措施比较到位，针对性较强，基本满足服务需要得5分；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方案不科学、不合理、不实际，考虑不周全，措施不到位，针对性不强，不能满足服务需要得2分；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未提供相应内容不得分。</w:t>
            </w:r>
            <w:bookmarkEnd w:id="9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841" w:type="dxa"/>
            <w:vMerge w:val="continue"/>
            <w:vAlign w:val="center"/>
          </w:tcPr>
          <w:p>
            <w:pPr>
              <w:adjustRightInd w:val="0"/>
              <w:snapToGrid w:val="0"/>
              <w:rPr>
                <w:rFonts w:hint="eastAsia" w:ascii="宋体" w:hAnsi="宋体" w:eastAsia="宋体" w:cs="宋体"/>
                <w:color w:val="auto"/>
                <w:sz w:val="21"/>
                <w:szCs w:val="21"/>
              </w:rPr>
            </w:pPr>
          </w:p>
        </w:tc>
        <w:tc>
          <w:tcPr>
            <w:tcW w:w="723" w:type="dxa"/>
            <w:vMerge w:val="restart"/>
            <w:vAlign w:val="center"/>
          </w:tcPr>
          <w:p>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管理规章制度</w:t>
            </w:r>
          </w:p>
        </w:tc>
        <w:tc>
          <w:tcPr>
            <w:tcW w:w="978" w:type="dxa"/>
            <w:vMerge w:val="restart"/>
            <w:vAlign w:val="center"/>
          </w:tcPr>
          <w:p>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6624" w:type="dxa"/>
            <w:vAlign w:val="center"/>
          </w:tcPr>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管理规章制度健全、合理，框架严谨，得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管理规章制度简单，基本框架较差，存在大量缺失，得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          </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管理规章制度差，无基本框架得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841" w:type="dxa"/>
            <w:vMerge w:val="continue"/>
            <w:vAlign w:val="center"/>
          </w:tcPr>
          <w:p>
            <w:pPr>
              <w:adjustRightInd w:val="0"/>
              <w:snapToGrid w:val="0"/>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食品卫生安全保障方案</w:t>
            </w:r>
          </w:p>
        </w:tc>
        <w:tc>
          <w:tcPr>
            <w:tcW w:w="978" w:type="dxa"/>
            <w:vAlign w:val="center"/>
          </w:tcPr>
          <w:p>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6624" w:type="dxa"/>
            <w:vAlign w:val="center"/>
          </w:tcPr>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1、食品卫生安全保障（2分）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食品卫生安全保障方案合理、全面、针对性强得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食品卫生安全保障方案较全面、合理、针对性一般得1分；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未提供或食品安全保障方案不够合理存在实施风险，得0分；</w:t>
            </w:r>
          </w:p>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2、原材料安全保障（</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pPr>
              <w:adjustRightInd w:val="0"/>
              <w:snapToGrid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近半年（2025年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至11月，</w:t>
            </w:r>
            <w:r>
              <w:rPr>
                <w:rFonts w:hint="eastAsia" w:ascii="宋体" w:hAnsi="宋体" w:eastAsia="宋体" w:cs="宋体"/>
                <w:color w:val="auto"/>
                <w:sz w:val="21"/>
                <w:szCs w:val="21"/>
                <w:highlight w:val="none"/>
              </w:rPr>
              <w:t>以送检日期为准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，主要原材料（</w:t>
            </w:r>
            <w:r>
              <w:rPr>
                <w:rFonts w:hint="eastAsia" w:ascii="宋体" w:hAnsi="宋体" w:cs="宋体"/>
                <w:color w:val="auto"/>
                <w:sz w:val="21"/>
                <w:szCs w:val="21"/>
                <w:highlight w:val="none"/>
                <w:lang w:val="en-US" w:eastAsia="zh-CN"/>
              </w:rPr>
              <w:t>包括：</w:t>
            </w:r>
            <w:r>
              <w:rPr>
                <w:rFonts w:hint="eastAsia" w:ascii="宋体" w:hAnsi="宋体" w:eastAsia="宋体" w:cs="宋体"/>
                <w:color w:val="auto"/>
                <w:sz w:val="21"/>
                <w:szCs w:val="21"/>
                <w:highlight w:val="none"/>
              </w:rPr>
              <w:t>蔬菜、鲜禽类、鲜肉类、水产、大米、食用油）共计6项，检测结果</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rPr>
              <w:t>符合国家食品安全标准</w:t>
            </w:r>
            <w:r>
              <w:rPr>
                <w:rFonts w:hint="eastAsia" w:ascii="宋体" w:hAnsi="宋体" w:cs="宋体"/>
                <w:color w:val="auto"/>
                <w:sz w:val="21"/>
                <w:szCs w:val="21"/>
                <w:highlight w:val="none"/>
                <w:lang w:val="en-US" w:eastAsia="zh-CN"/>
              </w:rPr>
              <w:t>的检测报告（检测报告须含CMA标识，且加盖投标人公章）</w:t>
            </w:r>
          </w:p>
          <w:p>
            <w:pPr>
              <w:adjustRightInd w:val="0"/>
              <w:snapToGrid w:val="0"/>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每提供1个月的</w:t>
            </w:r>
            <w:r>
              <w:rPr>
                <w:rFonts w:hint="eastAsia" w:ascii="宋体" w:hAnsi="宋体" w:cs="宋体"/>
                <w:color w:val="auto"/>
                <w:sz w:val="21"/>
                <w:szCs w:val="21"/>
                <w:highlight w:val="none"/>
                <w:lang w:val="en-US" w:eastAsia="zh-CN"/>
              </w:rPr>
              <w:t>包括</w:t>
            </w:r>
            <w:r>
              <w:rPr>
                <w:rFonts w:hint="eastAsia" w:ascii="宋体" w:hAnsi="宋体" w:eastAsia="宋体" w:cs="宋体"/>
                <w:color w:val="auto"/>
                <w:sz w:val="21"/>
                <w:szCs w:val="21"/>
                <w:highlight w:val="none"/>
              </w:rPr>
              <w:t>6项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检测报告的得1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pPr>
              <w:adjustRightInd w:val="0"/>
              <w:snapToGrid w:val="0"/>
              <w:jc w:val="left"/>
              <w:rPr>
                <w:rFonts w:hint="default" w:eastAsia="宋体"/>
                <w:color w:val="auto"/>
                <w:lang w:val="en-US" w:eastAsia="zh-CN"/>
              </w:rPr>
            </w:pPr>
            <w:r>
              <w:rPr>
                <w:rFonts w:hint="eastAsia" w:ascii="宋体" w:hAnsi="宋体" w:eastAsia="宋体" w:cs="宋体"/>
                <w:color w:val="auto"/>
                <w:sz w:val="21"/>
                <w:szCs w:val="21"/>
                <w:highlight w:val="none"/>
              </w:rPr>
              <w:t>不满6项不得分，</w:t>
            </w:r>
            <w:r>
              <w:rPr>
                <w:rFonts w:hint="eastAsia" w:ascii="宋体" w:hAnsi="宋体" w:cs="宋体"/>
                <w:color w:val="auto"/>
                <w:sz w:val="21"/>
                <w:szCs w:val="21"/>
                <w:highlight w:val="none"/>
                <w:lang w:val="en-US" w:eastAsia="zh-CN"/>
              </w:rPr>
              <w:t>最高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841" w:type="dxa"/>
            <w:vMerge w:val="continue"/>
            <w:vAlign w:val="center"/>
          </w:tcPr>
          <w:p>
            <w:pPr>
              <w:adjustRightInd w:val="0"/>
              <w:snapToGrid w:val="0"/>
              <w:rPr>
                <w:rFonts w:hint="eastAsia" w:ascii="宋体" w:hAnsi="宋体" w:eastAsia="宋体" w:cs="宋体"/>
                <w:color w:val="auto"/>
                <w:sz w:val="21"/>
                <w:szCs w:val="21"/>
              </w:rPr>
            </w:pPr>
          </w:p>
        </w:tc>
        <w:tc>
          <w:tcPr>
            <w:tcW w:w="723" w:type="dxa"/>
            <w:vAlign w:val="center"/>
          </w:tcPr>
          <w:p>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应急预案</w:t>
            </w:r>
          </w:p>
        </w:tc>
        <w:tc>
          <w:tcPr>
            <w:tcW w:w="978" w:type="dxa"/>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624" w:type="dxa"/>
            <w:vAlign w:val="center"/>
          </w:tcPr>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系统完善</w:t>
            </w:r>
            <w:r>
              <w:rPr>
                <w:rFonts w:hint="eastAsia" w:ascii="宋体" w:hAnsi="宋体" w:eastAsia="宋体" w:cs="宋体"/>
                <w:color w:val="auto"/>
                <w:sz w:val="21"/>
                <w:szCs w:val="21"/>
              </w:rPr>
              <w:t>，科学严谨，得8分；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较为完备，合理可行，得5分；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表述清晰直白，基本规范，得2分；</w:t>
            </w:r>
          </w:p>
          <w:p>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不适合本项目或未提供，得0分。</w:t>
            </w:r>
          </w:p>
        </w:tc>
      </w:tr>
    </w:tbl>
    <w:p>
      <w:pPr>
        <w:rPr>
          <w:b/>
          <w:sz w:val="36"/>
          <w:szCs w:val="36"/>
        </w:rPr>
      </w:pPr>
      <w:r>
        <w:rPr>
          <w:b/>
          <w:sz w:val="36"/>
          <w:szCs w:val="36"/>
        </w:rPr>
        <w:br w:type="page"/>
      </w:r>
    </w:p>
    <w:p>
      <w:pPr>
        <w:spacing w:line="360" w:lineRule="auto"/>
        <w:jc w:val="center"/>
        <w:outlineLvl w:val="0"/>
        <w:rPr>
          <w:b/>
          <w:sz w:val="36"/>
          <w:szCs w:val="36"/>
        </w:rPr>
      </w:pPr>
      <w:r>
        <w:rPr>
          <w:b/>
          <w:sz w:val="36"/>
          <w:szCs w:val="36"/>
        </w:rPr>
        <w:t xml:space="preserve">第五章  </w:t>
      </w:r>
      <w:bookmarkStart w:id="962" w:name="_Toc25661"/>
      <w:r>
        <w:rPr>
          <w:b/>
          <w:sz w:val="36"/>
          <w:szCs w:val="36"/>
        </w:rPr>
        <w:t>采购需求</w:t>
      </w:r>
      <w:bookmarkEnd w:id="962"/>
      <w:bookmarkStart w:id="963" w:name="_Toc375218867"/>
      <w:bookmarkStart w:id="964" w:name="_Toc381358700"/>
      <w:bookmarkStart w:id="965" w:name="_Toc489866401"/>
    </w:p>
    <w:bookmarkEnd w:id="963"/>
    <w:bookmarkEnd w:id="964"/>
    <w:bookmarkEnd w:id="965"/>
    <w:p>
      <w:pPr>
        <w:rPr>
          <w:rFonts w:ascii="黑体" w:hAnsi="黑体" w:eastAsia="黑体"/>
          <w:color w:val="auto"/>
          <w:sz w:val="32"/>
          <w:szCs w:val="32"/>
          <w:highlight w:val="none"/>
        </w:rPr>
      </w:pPr>
      <w:r>
        <w:rPr>
          <w:rFonts w:ascii="黑体" w:hAnsi="黑体" w:eastAsia="黑体"/>
          <w:color w:val="auto"/>
          <w:sz w:val="32"/>
          <w:szCs w:val="32"/>
          <w:highlight w:val="none"/>
        </w:rPr>
        <w:t>一、基本情况</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管委会机关餐饮服务</w:t>
      </w:r>
      <w:r>
        <w:rPr>
          <w:rFonts w:hint="eastAsia" w:ascii="仿宋_GB2312" w:hAnsi="仿宋_GB2312" w:eastAsia="仿宋_GB2312" w:cs="仿宋_GB2312"/>
          <w:color w:val="auto"/>
          <w:sz w:val="32"/>
          <w:szCs w:val="32"/>
          <w:highlight w:val="none"/>
        </w:rPr>
        <w:t>地址位于北京首都国际机场临空经济区管理委员会（北京市顺义区金航中路1号院2号楼），主要为管委会机关工作人员提供早午晚餐堂食及一线监管助理送餐服务。现决定将该项目以公开招标的方式进行采购。</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2.服务周期：202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年1月1日-202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年12月31日（以合同签订时间为准）</w:t>
      </w:r>
    </w:p>
    <w:p>
      <w:pPr>
        <w:spacing w:line="360" w:lineRule="auto"/>
        <w:ind w:firstLine="596" w:firstLineChars="200"/>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11"/>
          <w:sz w:val="32"/>
          <w:szCs w:val="32"/>
          <w:highlight w:val="none"/>
          <w:lang w:val="en-US" w:eastAsia="zh-CN"/>
        </w:rPr>
        <w:t>3</w:t>
      </w:r>
      <w:r>
        <w:rPr>
          <w:rFonts w:hint="eastAsia" w:ascii="仿宋_GB2312" w:hAnsi="仿宋_GB2312" w:eastAsia="仿宋_GB2312" w:cs="仿宋_GB2312"/>
          <w:color w:val="auto"/>
          <w:spacing w:val="-11"/>
          <w:sz w:val="32"/>
          <w:szCs w:val="32"/>
          <w:highlight w:val="none"/>
        </w:rPr>
        <w:t>.采购预算：</w:t>
      </w:r>
      <w:r>
        <w:rPr>
          <w:rFonts w:hint="eastAsia" w:ascii="仿宋_GB2312" w:hAnsi="仿宋_GB2312" w:eastAsia="仿宋_GB2312" w:cs="仿宋_GB2312"/>
          <w:color w:val="auto"/>
          <w:spacing w:val="-11"/>
          <w:sz w:val="32"/>
          <w:szCs w:val="32"/>
          <w:highlight w:val="none"/>
          <w:lang w:val="en-US" w:eastAsia="zh-CN"/>
        </w:rPr>
        <w:t>729.953</w:t>
      </w:r>
      <w:r>
        <w:rPr>
          <w:rFonts w:hint="eastAsia" w:ascii="仿宋_GB2312" w:hAnsi="仿宋_GB2312" w:eastAsia="仿宋_GB2312" w:cs="仿宋_GB2312"/>
          <w:color w:val="auto"/>
          <w:spacing w:val="-11"/>
          <w:sz w:val="32"/>
          <w:szCs w:val="32"/>
          <w:highlight w:val="none"/>
        </w:rPr>
        <w:t>万元。</w:t>
      </w:r>
    </w:p>
    <w:p>
      <w:pPr>
        <w:spacing w:line="360" w:lineRule="auto"/>
        <w:ind w:firstLine="59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4.</w:t>
      </w:r>
      <w:r>
        <w:rPr>
          <w:rFonts w:hint="eastAsia" w:ascii="仿宋_GB2312" w:hAnsi="仿宋_GB2312" w:eastAsia="仿宋_GB2312" w:cs="仿宋_GB2312"/>
          <w:color w:val="auto"/>
          <w:sz w:val="32"/>
          <w:szCs w:val="32"/>
          <w:highlight w:val="none"/>
        </w:rPr>
        <w:t>本项目采用管理加合作服务模式。由甲方提供生产、经营场地、所有厨房设备、厨杂、餐具、能源保障等。乙方负责甲方员工餐厅的用餐服务，供包括厨师、服务人员在内的所有现场工作人员，原材料，低值易耗品采买服务以及对餐饮服务的全面管理。</w:t>
      </w:r>
    </w:p>
    <w:p>
      <w:pPr>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5.保障本单位约</w:t>
      </w:r>
      <w:r>
        <w:rPr>
          <w:rFonts w:hint="default" w:ascii="仿宋_GB2312" w:hAnsi="仿宋_GB2312" w:eastAsia="仿宋_GB2312" w:cs="仿宋_GB2312"/>
          <w:color w:val="auto"/>
          <w:sz w:val="32"/>
          <w:szCs w:val="32"/>
          <w:highlight w:val="none"/>
          <w:lang w:val="en-US" w:eastAsia="zh-CN"/>
        </w:rPr>
        <w:t>644</w:t>
      </w:r>
      <w:r>
        <w:rPr>
          <w:rFonts w:hint="eastAsia" w:ascii="仿宋_GB2312" w:hAnsi="仿宋_GB2312" w:eastAsia="仿宋_GB2312" w:cs="仿宋_GB2312"/>
          <w:color w:val="auto"/>
          <w:sz w:val="32"/>
          <w:szCs w:val="32"/>
          <w:highlight w:val="none"/>
          <w:lang w:val="en-US" w:eastAsia="zh-CN"/>
        </w:rPr>
        <w:t>人，工作日用餐。包括早餐、午餐、晚餐及配送餐。每月不低于10次的应急保障性用餐，包括早餐、午餐、晚餐。</w:t>
      </w:r>
    </w:p>
    <w:p>
      <w:pPr>
        <w:spacing w:line="360" w:lineRule="auto"/>
        <w:rPr>
          <w:rFonts w:ascii="黑体" w:hAnsi="黑体" w:eastAsia="黑体"/>
          <w:color w:val="auto"/>
          <w:sz w:val="32"/>
          <w:szCs w:val="32"/>
          <w:highlight w:val="none"/>
        </w:rPr>
      </w:pPr>
      <w:r>
        <w:rPr>
          <w:rFonts w:ascii="黑体" w:hAnsi="黑体" w:eastAsia="黑体"/>
          <w:color w:val="auto"/>
          <w:sz w:val="32"/>
          <w:szCs w:val="32"/>
          <w:highlight w:val="none"/>
        </w:rPr>
        <w:t>二、</w:t>
      </w:r>
      <w:r>
        <w:rPr>
          <w:rFonts w:hint="eastAsia" w:ascii="黑体" w:hAnsi="黑体" w:eastAsia="黑体"/>
          <w:color w:val="auto"/>
          <w:sz w:val="32"/>
          <w:szCs w:val="32"/>
          <w:highlight w:val="none"/>
        </w:rPr>
        <w:t>职责</w:t>
      </w:r>
    </w:p>
    <w:p>
      <w:pPr>
        <w:spacing w:line="360" w:lineRule="auto"/>
        <w:ind w:firstLine="596" w:firstLineChars="200"/>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11"/>
          <w:sz w:val="32"/>
          <w:szCs w:val="32"/>
          <w:highlight w:val="none"/>
        </w:rPr>
        <w:t>1.中标单位服务的区域为北京首都国际机场临空经济区管理委员会，服务区域内所需</w:t>
      </w:r>
      <w:r>
        <w:rPr>
          <w:rFonts w:hint="eastAsia" w:ascii="仿宋_GB2312" w:hAnsi="仿宋_GB2312" w:eastAsia="仿宋_GB2312" w:cs="仿宋_GB2312"/>
          <w:color w:val="auto"/>
          <w:spacing w:val="-11"/>
          <w:sz w:val="32"/>
          <w:szCs w:val="32"/>
          <w:highlight w:val="none"/>
          <w:lang w:eastAsia="zh-CN"/>
        </w:rPr>
        <w:t>场地</w:t>
      </w:r>
      <w:r>
        <w:rPr>
          <w:rFonts w:hint="eastAsia" w:ascii="仿宋_GB2312" w:hAnsi="仿宋_GB2312" w:eastAsia="仿宋_GB2312" w:cs="仿宋_GB2312"/>
          <w:color w:val="auto"/>
          <w:spacing w:val="-11"/>
          <w:sz w:val="32"/>
          <w:szCs w:val="32"/>
          <w:highlight w:val="none"/>
        </w:rPr>
        <w:t>及设备均由北京首都国际机场临空经济区管理委员会提供。</w:t>
      </w:r>
    </w:p>
    <w:p>
      <w:pPr>
        <w:spacing w:line="360" w:lineRule="auto"/>
        <w:ind w:firstLine="596" w:firstLineChars="200"/>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11"/>
          <w:sz w:val="32"/>
          <w:szCs w:val="32"/>
          <w:highlight w:val="none"/>
        </w:rPr>
        <w:t>2、食堂管理工作由中标单位全权管理</w:t>
      </w:r>
      <w:r>
        <w:rPr>
          <w:rFonts w:hint="eastAsia" w:ascii="仿宋_GB2312" w:hAnsi="仿宋_GB2312" w:eastAsia="仿宋_GB2312" w:cs="仿宋_GB2312"/>
          <w:color w:val="auto"/>
          <w:spacing w:val="-11"/>
          <w:sz w:val="32"/>
          <w:szCs w:val="32"/>
          <w:highlight w:val="none"/>
          <w:lang w:eastAsia="zh-CN"/>
        </w:rPr>
        <w:t>，</w:t>
      </w:r>
      <w:r>
        <w:rPr>
          <w:rFonts w:hint="eastAsia" w:ascii="仿宋_GB2312" w:hAnsi="仿宋_GB2312" w:eastAsia="仿宋_GB2312" w:cs="仿宋_GB2312"/>
          <w:color w:val="auto"/>
          <w:spacing w:val="-11"/>
          <w:sz w:val="32"/>
          <w:szCs w:val="32"/>
          <w:highlight w:val="none"/>
        </w:rPr>
        <w:t>中标单位应配备工作人员不少于33名，其中至少包括项目经理1人，高级厨师1人，高级面点师1人，以及其他厨师、面点师，配菜人员，服务员，勤杂工等各类服务人员30名。</w:t>
      </w:r>
    </w:p>
    <w:p>
      <w:pPr>
        <w:spacing w:line="360" w:lineRule="auto"/>
        <w:ind w:firstLine="596" w:firstLineChars="200"/>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11"/>
          <w:sz w:val="32"/>
          <w:szCs w:val="32"/>
          <w:highlight w:val="none"/>
        </w:rPr>
        <w:t>3、中标单位为本项目经营者，需办理</w:t>
      </w:r>
      <w:r>
        <w:rPr>
          <w:rFonts w:hint="eastAsia" w:ascii="仿宋_GB2312" w:hAnsi="仿宋_GB2312" w:eastAsia="仿宋_GB2312" w:cs="仿宋_GB2312"/>
          <w:color w:val="auto"/>
          <w:spacing w:val="-11"/>
          <w:sz w:val="32"/>
          <w:szCs w:val="32"/>
          <w:highlight w:val="none"/>
          <w:lang w:val="en-US" w:eastAsia="zh-CN"/>
        </w:rPr>
        <w:t>相</w:t>
      </w:r>
      <w:r>
        <w:rPr>
          <w:rFonts w:hint="eastAsia" w:ascii="仿宋_GB2312" w:hAnsi="仿宋_GB2312" w:eastAsia="仿宋_GB2312" w:cs="仿宋_GB2312"/>
          <w:color w:val="auto"/>
          <w:spacing w:val="-11"/>
          <w:sz w:val="32"/>
          <w:szCs w:val="32"/>
          <w:highlight w:val="none"/>
        </w:rPr>
        <w:t>关许可证明，购置食品安全责任保险、食堂公众责任保险、雇主责任保险，做好设备设施得维护保养。</w:t>
      </w:r>
    </w:p>
    <w:p>
      <w:pPr>
        <w:spacing w:line="360" w:lineRule="auto"/>
        <w:rPr>
          <w:rFonts w:ascii="黑体" w:hAnsi="黑体" w:eastAsia="黑体"/>
          <w:color w:val="auto"/>
          <w:sz w:val="32"/>
          <w:szCs w:val="32"/>
          <w:highlight w:val="none"/>
        </w:rPr>
      </w:pPr>
      <w:r>
        <w:rPr>
          <w:rFonts w:hint="eastAsia" w:ascii="黑体" w:hAnsi="黑体" w:eastAsia="黑体"/>
          <w:color w:val="auto"/>
          <w:sz w:val="32"/>
          <w:szCs w:val="32"/>
          <w:highlight w:val="none"/>
        </w:rPr>
        <w:t>三</w:t>
      </w:r>
      <w:r>
        <w:rPr>
          <w:rFonts w:ascii="黑体" w:hAnsi="黑体" w:eastAsia="黑体"/>
          <w:color w:val="auto"/>
          <w:sz w:val="32"/>
          <w:szCs w:val="32"/>
          <w:highlight w:val="none"/>
        </w:rPr>
        <w:t>、服务规格要求</w:t>
      </w:r>
    </w:p>
    <w:p>
      <w:pPr>
        <w:autoSpaceDE w:val="0"/>
        <w:autoSpaceDN w:val="0"/>
        <w:spacing w:line="360" w:lineRule="auto"/>
        <w:ind w:firstLine="640" w:firstLineChars="2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1、总体要求：</w:t>
      </w:r>
    </w:p>
    <w:p>
      <w:pPr>
        <w:spacing w:line="360" w:lineRule="auto"/>
        <w:ind w:firstLine="320" w:firstLineChars="100"/>
        <w:rPr>
          <w:rFonts w:hint="eastAsia" w:ascii="仿宋_GB2312" w:hAnsi="仿宋_GB2312" w:eastAsia="仿宋_GB2312" w:cs="仿宋_GB2312"/>
          <w:color w:val="auto"/>
          <w:spacing w:val="-11"/>
          <w:sz w:val="32"/>
          <w:szCs w:val="28"/>
          <w:highlight w:val="none"/>
        </w:rPr>
      </w:pPr>
      <w:r>
        <w:rPr>
          <w:rFonts w:hint="eastAsia" w:ascii="仿宋_GB2312" w:hAnsi="仿宋_GB2312" w:eastAsia="仿宋_GB2312" w:cs="仿宋_GB2312"/>
          <w:color w:val="auto"/>
          <w:sz w:val="32"/>
          <w:szCs w:val="28"/>
          <w:highlight w:val="none"/>
        </w:rPr>
        <w:t>（1）遵从国家法律、法规、规章及规范性文件，包括但不限于：</w:t>
      </w:r>
      <w:r>
        <w:rPr>
          <w:rFonts w:hint="eastAsia" w:ascii="仿宋_GB2312" w:hAnsi="仿宋_GB2312" w:eastAsia="仿宋_GB2312" w:cs="仿宋_GB2312"/>
          <w:color w:val="auto"/>
          <w:spacing w:val="-13"/>
          <w:sz w:val="32"/>
          <w:szCs w:val="28"/>
          <w:highlight w:val="none"/>
        </w:rPr>
        <w:t>《中华人民共和国食品安全法》、</w:t>
      </w:r>
      <w:r>
        <w:rPr>
          <w:rFonts w:hint="eastAsia" w:ascii="仿宋_GB2312" w:hAnsi="仿宋_GB2312" w:eastAsia="仿宋_GB2312" w:cs="仿宋_GB2312"/>
          <w:color w:val="auto"/>
          <w:spacing w:val="-11"/>
          <w:sz w:val="32"/>
          <w:szCs w:val="28"/>
          <w:highlight w:val="none"/>
        </w:rPr>
        <w:t>《中华人民共和国食品安全法实施条例》、</w:t>
      </w:r>
      <w:r>
        <w:rPr>
          <w:rFonts w:hint="eastAsia" w:ascii="仿宋_GB2312" w:hAnsi="仿宋_GB2312" w:eastAsia="仿宋_GB2312" w:cs="仿宋_GB2312"/>
          <w:color w:val="auto"/>
          <w:spacing w:val="-15"/>
          <w:sz w:val="32"/>
          <w:szCs w:val="28"/>
          <w:highlight w:val="none"/>
        </w:rPr>
        <w:t>《中华人民共和国消防法》、</w:t>
      </w:r>
      <w:r>
        <w:rPr>
          <w:rFonts w:hint="eastAsia" w:ascii="仿宋_GB2312" w:hAnsi="仿宋_GB2312" w:eastAsia="仿宋_GB2312" w:cs="仿宋_GB2312"/>
          <w:color w:val="auto"/>
          <w:spacing w:val="-13"/>
          <w:sz w:val="32"/>
          <w:szCs w:val="28"/>
          <w:highlight w:val="none"/>
        </w:rPr>
        <w:t>《食品添加剂新品种管理办法》、</w:t>
      </w:r>
      <w:r>
        <w:rPr>
          <w:rFonts w:hint="eastAsia" w:ascii="仿宋_GB2312" w:hAnsi="仿宋_GB2312" w:eastAsia="仿宋_GB2312" w:cs="仿宋_GB2312"/>
          <w:color w:val="auto"/>
          <w:sz w:val="32"/>
          <w:szCs w:val="28"/>
          <w:highlight w:val="none"/>
        </w:rPr>
        <w:t>《食品经营许可和备案管理办法》、</w:t>
      </w:r>
      <w:r>
        <w:rPr>
          <w:rFonts w:hint="eastAsia" w:ascii="仿宋_GB2312" w:hAnsi="仿宋_GB2312" w:eastAsia="仿宋_GB2312" w:cs="仿宋_GB2312"/>
          <w:color w:val="auto"/>
          <w:sz w:val="32"/>
          <w:szCs w:val="28"/>
          <w:highlight w:val="none"/>
          <w:lang w:val="en-US" w:eastAsia="zh-CN"/>
        </w:rPr>
        <w:t>GB 31654 - 2021《食品安全国家标准 餐饮服务通用卫生规范》</w:t>
      </w:r>
      <w:r>
        <w:rPr>
          <w:rFonts w:hint="eastAsia" w:ascii="仿宋_GB2312" w:hAnsi="仿宋_GB2312" w:eastAsia="仿宋_GB2312" w:cs="仿宋_GB2312"/>
          <w:color w:val="auto"/>
          <w:spacing w:val="-12"/>
          <w:sz w:val="32"/>
          <w:szCs w:val="28"/>
          <w:highlight w:val="none"/>
        </w:rPr>
        <w:t>、</w:t>
      </w:r>
      <w:r>
        <w:rPr>
          <w:rFonts w:hint="eastAsia" w:ascii="仿宋_GB2312" w:hAnsi="仿宋_GB2312" w:eastAsia="仿宋_GB2312" w:cs="仿宋_GB2312"/>
          <w:color w:val="auto"/>
          <w:spacing w:val="-11"/>
          <w:sz w:val="32"/>
          <w:szCs w:val="28"/>
          <w:highlight w:val="none"/>
        </w:rPr>
        <w:t>《北京市餐饮经营单位安全生产规定》。</w:t>
      </w:r>
    </w:p>
    <w:p>
      <w:pPr>
        <w:spacing w:line="360" w:lineRule="auto"/>
        <w:ind w:firstLine="320" w:firstLineChars="1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w:t>
      </w:r>
      <w:r>
        <w:rPr>
          <w:rFonts w:hint="eastAsia" w:ascii="仿宋_GB2312" w:hAnsi="仿宋_GB2312" w:eastAsia="仿宋_GB2312" w:cs="仿宋_GB2312"/>
          <w:color w:val="auto"/>
          <w:sz w:val="32"/>
          <w:szCs w:val="28"/>
          <w:highlight w:val="none"/>
          <w:lang w:val="en-US" w:eastAsia="zh-CN"/>
        </w:rPr>
        <w:t>2</w:t>
      </w:r>
      <w:r>
        <w:rPr>
          <w:rFonts w:hint="eastAsia" w:ascii="仿宋_GB2312" w:hAnsi="仿宋_GB2312" w:eastAsia="仿宋_GB2312" w:cs="仿宋_GB2312"/>
          <w:color w:val="auto"/>
          <w:sz w:val="32"/>
          <w:szCs w:val="28"/>
          <w:highlight w:val="none"/>
        </w:rPr>
        <w:t>）</w:t>
      </w:r>
      <w:r>
        <w:rPr>
          <w:rFonts w:hint="eastAsia" w:ascii="仿宋_GB2312" w:hAnsi="仿宋_GB2312" w:eastAsia="仿宋_GB2312" w:cs="仿宋_GB2312"/>
          <w:color w:val="auto"/>
          <w:spacing w:val="-11"/>
          <w:sz w:val="32"/>
          <w:szCs w:val="28"/>
          <w:highlight w:val="none"/>
        </w:rPr>
        <w:t>员工熟悉《中华人民共和国消防法》、《中华人民共和国食品安全法》、《北京市餐饮经</w:t>
      </w:r>
      <w:r>
        <w:rPr>
          <w:rFonts w:hint="eastAsia" w:ascii="仿宋_GB2312" w:hAnsi="仿宋_GB2312" w:eastAsia="仿宋_GB2312" w:cs="仿宋_GB2312"/>
          <w:color w:val="auto"/>
          <w:sz w:val="32"/>
          <w:szCs w:val="28"/>
          <w:highlight w:val="none"/>
        </w:rPr>
        <w:t>营单位安全生产规定》和北京市食品卫生监督量化分级管理制度等。</w:t>
      </w:r>
    </w:p>
    <w:p>
      <w:pPr>
        <w:spacing w:line="360" w:lineRule="auto"/>
        <w:ind w:firstLine="640" w:firstLineChars="2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2、服务人员要求：</w:t>
      </w:r>
    </w:p>
    <w:p>
      <w:pPr>
        <w:spacing w:line="360" w:lineRule="auto"/>
        <w:ind w:firstLine="320" w:firstLineChars="100"/>
        <w:rPr>
          <w:rFonts w:hint="default" w:ascii="仿宋_GB2312" w:hAnsi="仿宋_GB2312" w:eastAsia="仿宋_GB2312" w:cs="仿宋_GB2312"/>
          <w:color w:val="auto"/>
          <w:sz w:val="32"/>
          <w:szCs w:val="28"/>
          <w:highlight w:val="none"/>
          <w:lang w:val="en-US" w:eastAsia="zh-CN"/>
        </w:rPr>
      </w:pPr>
      <w:r>
        <w:rPr>
          <w:rFonts w:hint="eastAsia" w:ascii="仿宋_GB2312" w:hAnsi="仿宋_GB2312" w:eastAsia="仿宋_GB2312" w:cs="仿宋_GB2312"/>
          <w:color w:val="auto"/>
          <w:sz w:val="32"/>
          <w:szCs w:val="28"/>
          <w:highlight w:val="none"/>
        </w:rPr>
        <w:t>★（1）</w:t>
      </w:r>
      <w:r>
        <w:rPr>
          <w:rFonts w:hint="eastAsia" w:ascii="仿宋_GB2312" w:hAnsi="仿宋_GB2312" w:eastAsia="仿宋_GB2312" w:cs="仿宋_GB2312"/>
          <w:color w:val="auto"/>
          <w:sz w:val="32"/>
          <w:szCs w:val="28"/>
          <w:highlight w:val="none"/>
          <w:lang w:val="en-US" w:eastAsia="zh-CN"/>
        </w:rPr>
        <w:t>全员</w:t>
      </w:r>
      <w:r>
        <w:rPr>
          <w:rFonts w:hint="eastAsia" w:ascii="仿宋_GB2312" w:hAnsi="仿宋_GB2312" w:eastAsia="仿宋_GB2312" w:cs="仿宋_GB2312"/>
          <w:color w:val="auto"/>
          <w:sz w:val="32"/>
          <w:szCs w:val="28"/>
          <w:highlight w:val="none"/>
        </w:rPr>
        <w:t>必须</w:t>
      </w:r>
      <w:r>
        <w:rPr>
          <w:rFonts w:hint="eastAsia" w:ascii="仿宋_GB2312" w:hAnsi="仿宋_GB2312" w:eastAsia="仿宋_GB2312" w:cs="仿宋_GB2312"/>
          <w:color w:val="auto"/>
          <w:sz w:val="32"/>
          <w:szCs w:val="28"/>
          <w:highlight w:val="none"/>
          <w:lang w:val="en-US" w:eastAsia="zh-CN"/>
        </w:rPr>
        <w:t>具备</w:t>
      </w:r>
      <w:r>
        <w:rPr>
          <w:rFonts w:hint="eastAsia" w:ascii="仿宋_GB2312" w:hAnsi="仿宋_GB2312" w:eastAsia="仿宋_GB2312" w:cs="仿宋_GB2312"/>
          <w:color w:val="auto"/>
          <w:sz w:val="32"/>
          <w:szCs w:val="28"/>
          <w:highlight w:val="none"/>
        </w:rPr>
        <w:t>有效健康证明上岗，不得超期使用健康证明。</w:t>
      </w:r>
      <w:r>
        <w:rPr>
          <w:rFonts w:hint="eastAsia" w:ascii="仿宋_GB2312" w:hAnsi="仿宋_GB2312" w:eastAsia="仿宋_GB2312" w:cs="仿宋_GB2312"/>
          <w:color w:val="auto"/>
          <w:sz w:val="32"/>
          <w:szCs w:val="28"/>
          <w:highlight w:val="none"/>
          <w:lang w:val="en-US" w:eastAsia="zh-CN"/>
        </w:rPr>
        <w:t>签订合同前，中标人须提供团队全体人员社保证明。如不能提供，采购人有权拒签合同，并依据《政府采购法》等法律法规进行索赔及追究法律责任。</w:t>
      </w:r>
    </w:p>
    <w:p>
      <w:pPr>
        <w:autoSpaceDE w:val="0"/>
        <w:autoSpaceDN w:val="0"/>
        <w:spacing w:line="360" w:lineRule="auto"/>
        <w:ind w:firstLine="320" w:firstLineChars="1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（2）</w:t>
      </w:r>
      <w:r>
        <w:rPr>
          <w:rFonts w:hint="eastAsia" w:ascii="仿宋_GB2312" w:hAnsi="仿宋_GB2312" w:eastAsia="仿宋_GB2312" w:cs="仿宋_GB2312"/>
          <w:color w:val="auto"/>
          <w:spacing w:val="-1"/>
          <w:sz w:val="32"/>
          <w:szCs w:val="28"/>
          <w:highlight w:val="none"/>
        </w:rPr>
        <w:t>供应商拟用于本项目服务人员中，须具有与本项目相适应的职工食堂相关</w:t>
      </w:r>
      <w:r>
        <w:rPr>
          <w:rFonts w:hint="eastAsia" w:ascii="仿宋_GB2312" w:hAnsi="仿宋_GB2312" w:eastAsia="仿宋_GB2312" w:cs="仿宋_GB2312"/>
          <w:color w:val="auto"/>
          <w:sz w:val="32"/>
          <w:szCs w:val="28"/>
          <w:highlight w:val="none"/>
        </w:rPr>
        <w:t>工作经验的厨师队伍和富有经验的管理人员，能够满足采购人需求。</w:t>
      </w:r>
    </w:p>
    <w:p>
      <w:pPr>
        <w:autoSpaceDE w:val="0"/>
        <w:autoSpaceDN w:val="0"/>
        <w:spacing w:line="360" w:lineRule="auto"/>
        <w:ind w:firstLine="320" w:firstLineChars="1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（3）从业人员必须身体健康，品德良好，思想端正，责任心强。</w:t>
      </w:r>
    </w:p>
    <w:p>
      <w:pPr>
        <w:autoSpaceDE w:val="0"/>
        <w:autoSpaceDN w:val="0"/>
        <w:spacing w:line="360" w:lineRule="auto"/>
        <w:ind w:firstLine="320" w:firstLineChars="1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（4）</w:t>
      </w:r>
      <w:r>
        <w:rPr>
          <w:rFonts w:hint="eastAsia" w:ascii="仿宋_GB2312" w:hAnsi="仿宋_GB2312" w:eastAsia="仿宋_GB2312" w:cs="仿宋_GB2312"/>
          <w:color w:val="auto"/>
          <w:spacing w:val="-1"/>
          <w:sz w:val="32"/>
          <w:szCs w:val="28"/>
          <w:highlight w:val="none"/>
        </w:rPr>
        <w:t>从业人员要求统一着装，配戴工作卡，服装干净卫生。具备良好的个人卫生习惯，卫</w:t>
      </w:r>
      <w:r>
        <w:rPr>
          <w:rFonts w:hint="eastAsia" w:ascii="仿宋_GB2312" w:hAnsi="仿宋_GB2312" w:eastAsia="仿宋_GB2312" w:cs="仿宋_GB2312"/>
          <w:color w:val="auto"/>
          <w:sz w:val="32"/>
          <w:szCs w:val="28"/>
          <w:highlight w:val="none"/>
        </w:rPr>
        <w:t>生不合格不得上岗。</w:t>
      </w:r>
    </w:p>
    <w:p>
      <w:pPr>
        <w:autoSpaceDE w:val="0"/>
        <w:autoSpaceDN w:val="0"/>
        <w:spacing w:line="360" w:lineRule="auto"/>
        <w:ind w:firstLine="320" w:firstLineChars="100"/>
        <w:rPr>
          <w:rFonts w:hint="eastAsia" w:ascii="仿宋_GB2312" w:hAnsi="仿宋_GB2312" w:eastAsia="仿宋_GB2312" w:cs="仿宋_GB2312"/>
          <w:color w:val="auto"/>
          <w:spacing w:val="-1"/>
          <w:sz w:val="32"/>
          <w:szCs w:val="28"/>
          <w:highlight w:val="none"/>
        </w:rPr>
      </w:pPr>
      <w:r>
        <w:rPr>
          <w:rFonts w:hint="eastAsia" w:ascii="仿宋_GB2312" w:hAnsi="仿宋_GB2312" w:eastAsia="仿宋_GB2312" w:cs="仿宋_GB2312"/>
          <w:color w:val="auto"/>
          <w:sz w:val="32"/>
          <w:szCs w:val="28"/>
          <w:highlight w:val="none"/>
        </w:rPr>
        <w:t>（5）</w:t>
      </w:r>
      <w:r>
        <w:rPr>
          <w:rFonts w:hint="eastAsia" w:ascii="仿宋_GB2312" w:hAnsi="仿宋_GB2312" w:eastAsia="仿宋_GB2312" w:cs="仿宋_GB2312"/>
          <w:color w:val="auto"/>
          <w:spacing w:val="-1"/>
          <w:sz w:val="32"/>
          <w:szCs w:val="28"/>
          <w:highlight w:val="none"/>
        </w:rPr>
        <w:t>各岗位人员应持证上岗，所有工作人员应为与供应商签订劳动合同的在职人员。</w:t>
      </w:r>
    </w:p>
    <w:p>
      <w:pPr>
        <w:autoSpaceDE w:val="0"/>
        <w:autoSpaceDN w:val="0"/>
        <w:spacing w:line="360" w:lineRule="auto"/>
        <w:ind w:firstLine="318" w:firstLineChars="1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pacing w:val="-1"/>
          <w:sz w:val="32"/>
          <w:szCs w:val="28"/>
          <w:highlight w:val="none"/>
        </w:rPr>
        <w:t>（6）</w:t>
      </w:r>
      <w:r>
        <w:rPr>
          <w:rFonts w:hint="eastAsia" w:ascii="仿宋_GB2312" w:hAnsi="仿宋_GB2312" w:eastAsia="仿宋_GB2312" w:cs="仿宋_GB2312"/>
          <w:color w:val="auto"/>
          <w:spacing w:val="1"/>
          <w:sz w:val="32"/>
          <w:szCs w:val="28"/>
          <w:highlight w:val="none"/>
        </w:rPr>
        <w:t>认真制定培训计划，定期组织管理人员、从业人员参加食品安全知识、职业道德和</w:t>
      </w:r>
      <w:r>
        <w:rPr>
          <w:rFonts w:hint="eastAsia" w:ascii="仿宋_GB2312" w:hAnsi="仿宋_GB2312" w:eastAsia="仿宋_GB2312" w:cs="仿宋_GB2312"/>
          <w:color w:val="auto"/>
          <w:sz w:val="32"/>
          <w:szCs w:val="28"/>
          <w:highlight w:val="none"/>
        </w:rPr>
        <w:t>法律、法规的培训以及操作技能培训。</w:t>
      </w:r>
    </w:p>
    <w:p>
      <w:pPr>
        <w:spacing w:line="360" w:lineRule="auto"/>
        <w:rPr>
          <w:rFonts w:ascii="黑体" w:hAnsi="黑体" w:eastAsia="黑体"/>
          <w:color w:val="auto"/>
          <w:sz w:val="32"/>
          <w:szCs w:val="32"/>
          <w:highlight w:val="none"/>
        </w:rPr>
      </w:pPr>
      <w:r>
        <w:rPr>
          <w:rFonts w:hint="eastAsia" w:ascii="黑体" w:hAnsi="黑体" w:eastAsia="黑体"/>
          <w:color w:val="auto"/>
          <w:sz w:val="32"/>
          <w:szCs w:val="32"/>
          <w:highlight w:val="none"/>
        </w:rPr>
        <w:t>四</w:t>
      </w:r>
      <w:r>
        <w:rPr>
          <w:rFonts w:ascii="黑体" w:hAnsi="黑体" w:eastAsia="黑体"/>
          <w:color w:val="auto"/>
          <w:sz w:val="32"/>
          <w:szCs w:val="32"/>
          <w:highlight w:val="none"/>
        </w:rPr>
        <w:t>、</w:t>
      </w:r>
      <w:r>
        <w:rPr>
          <w:rFonts w:hint="eastAsia" w:ascii="黑体" w:hAnsi="黑体" w:eastAsia="黑体"/>
          <w:color w:val="auto"/>
          <w:sz w:val="32"/>
          <w:szCs w:val="32"/>
          <w:highlight w:val="none"/>
        </w:rPr>
        <w:t>服务</w:t>
      </w:r>
      <w:r>
        <w:rPr>
          <w:rFonts w:ascii="黑体" w:hAnsi="黑体" w:eastAsia="黑体"/>
          <w:color w:val="auto"/>
          <w:sz w:val="32"/>
          <w:szCs w:val="32"/>
          <w:highlight w:val="none"/>
        </w:rPr>
        <w:t>内容及相关要求</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1.服务内容：</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（1）中标单位对饭菜质量、成本控制、服务态度、环境卫生、饮食安全和人员分工等食堂内部管理工作负责。同时将承担因管理不善而带来的责任。</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（2）早餐：每餐提供不少于3种主食、2种汤粥类、鸡蛋1种、素菜2种、咸菜1种。</w:t>
      </w:r>
    </w:p>
    <w:p>
      <w:pPr>
        <w:spacing w:line="500" w:lineRule="exact"/>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午餐：每餐提供不少于3种主食、主荤1种、副荤2种、素菜2种、凉菜1种、糕点1种、水果1种、汤粥类2种、现场制作特色食品1种。</w:t>
      </w:r>
    </w:p>
    <w:p>
      <w:pPr>
        <w:tabs>
          <w:tab w:val="left" w:pos="6660"/>
        </w:tabs>
        <w:spacing w:line="5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主荤菜：鸡、鸭、牛、羊、猪、鱼等常用食品及应季产品，肉类占比不低于整体原材料90%。</w:t>
      </w:r>
      <w:r>
        <w:rPr>
          <w:rFonts w:hint="eastAsia" w:ascii="仿宋_GB2312" w:hAnsi="仿宋_GB2312" w:eastAsia="仿宋_GB2312" w:cs="仿宋_GB2312"/>
          <w:color w:val="auto"/>
          <w:sz w:val="32"/>
          <w:szCs w:val="32"/>
          <w:highlight w:val="none"/>
        </w:rPr>
        <w:tab/>
      </w:r>
    </w:p>
    <w:p>
      <w:pPr>
        <w:spacing w:line="5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副荤菜：鸡蛋类菜品属副荤菜，荤素小炒类肉类占比不低于整体原材料20%，鱼香肉丝、宫保鸡丁、回锅肉类副荤菜肉类占比不低于整体原材料50%。具体以菜品为准，甲方有权对菜品荤素比例进行调整。</w:t>
      </w:r>
    </w:p>
    <w:p>
      <w:pPr>
        <w:spacing w:line="500" w:lineRule="exact"/>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晚餐：每餐提供主荤不少于1种、副荤1种、素菜2种、主食2种、汤粥各1种。</w:t>
      </w:r>
    </w:p>
    <w:p>
      <w:pPr>
        <w:tabs>
          <w:tab w:val="left" w:pos="6660"/>
        </w:tabs>
        <w:spacing w:line="5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主荤菜：鸡、鸭、牛、羊、猪、鱼等常用食品及应季产品，肉类占比不低于整体原材料90%。</w:t>
      </w:r>
    </w:p>
    <w:p>
      <w:pPr>
        <w:tabs>
          <w:tab w:val="left" w:pos="6660"/>
        </w:tabs>
        <w:spacing w:line="5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副荤菜：鸡蛋类菜品属副荤菜，荤素小炒类肉类占比不低于整体原材料20%，鱼香肉丝、宫保鸡丁、回锅肉类副荤菜肉类占比不低于整体原材料50%。具体以菜品为准，甲方有权对菜品荤素比例进行调整。</w:t>
      </w:r>
    </w:p>
    <w:p>
      <w:pPr>
        <w:spacing w:line="500" w:lineRule="exact"/>
        <w:ind w:firstLine="320" w:firstLineChars="1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）大型、重要的保障用餐需提前</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小时预订，由乙方安排厨师及服务人员，</w:t>
      </w:r>
      <w:r>
        <w:rPr>
          <w:rFonts w:hint="eastAsia" w:ascii="仿宋_GB2312" w:hAnsi="仿宋_GB2312" w:eastAsia="仿宋_GB2312" w:cs="仿宋_GB2312"/>
          <w:color w:val="auto"/>
          <w:sz w:val="32"/>
          <w:szCs w:val="32"/>
          <w:highlight w:val="none"/>
          <w:lang w:eastAsia="zh-CN"/>
        </w:rPr>
        <w:t>进行服务保障。</w:t>
      </w:r>
    </w:p>
    <w:p>
      <w:pPr>
        <w:spacing w:line="500" w:lineRule="exact"/>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）日常保障用餐需提前1小时预订，由乙方安排厨师及服务人员执行。</w:t>
      </w:r>
    </w:p>
    <w:p>
      <w:pPr>
        <w:spacing w:line="500" w:lineRule="exact"/>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甲方所提供的服务场地只作为餐厅之用途。在本合同有效期内，非经乙方书面申请且经甲方书面同意，乙方不得改变餐厅用途，不得在服务区域内进行与甲方无关的经营活动或做其他用途，否则甲方有权解除合同，并要求乙方支付因此获得的利益。</w:t>
      </w:r>
    </w:p>
    <w:p>
      <w:pPr>
        <w:spacing w:line="500" w:lineRule="exact"/>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）保证准时开饭，不得无故拖延，不卖冷饭、冷菜（凉菜系除外）、生饭、生菜和变质食物。</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）根据市场和季节情况合理配菜，保证主、副食品的种类，使用多种烹饪方法，以满足不同口味的需求。</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）把好病从口入关，若有员工因食堂伙食而发生疾病视情况，应追究当事人责任。</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）要把握好当天的饭菜量，尽量减少剩饭、剩菜，剩饭、剩菜及时进冰箱。</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）米饭要经仔细淘洗，不得有砂粒等异物；副食类要细心清洗，不得有异味。 </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）严格遵守用餐时间的规定，做到不早开，不早关，对用餐者服务细致公平，不因人、因职行特殊方便和照顾。</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）加强业务学习，提高业务素质，并做好食堂安全工作，勤检查，勤处理，树立“安全第一”的思想。</w:t>
      </w:r>
    </w:p>
    <w:p>
      <w:pPr>
        <w:pStyle w:val="2"/>
        <w:ind w:left="718" w:leftChars="171"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）其他特色服务，遇中秋节、元旦、春节、端午节、元宵节（包括但不限于）等节日，开展主题活动。</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2、卫生要求</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）“四不准”即：不准采购、保管、加工和出售腐烂变质食品。</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隔离”即：生熟要隔离，成品与半成品要隔离，食品与杂物、药物隔离。</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）各种蔬菜要洗净，先洗后切，主食要淘洗干净，保证无异物。</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）熟食品要设有防尘、防蝇用具，并经常保持清洁卫生，常洗常换。</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）各种餐具、容器要做到“四过关”，即一洗、二刷、三冲、四消毒（蒸汽或开水）。</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）各种铁、铝、木质用具及刀，要物见本色、无锈、无油污，用后擦洗干净。</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）装熟食品容器不得直接落地存放。</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）采取“四定”办法，即定人、定物、定时间、定质量，科学合理的划片分工，包管负责。</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）厨房间，厨房间要做到窗明，四壁无灰，并设有通水、排气和污水排放设备，保持灶台、炊具等清洁无尘。</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）就餐大厅要坚持每天清扫，周末大清扫。清扫后需将地面水吸净，防止因湿滑致使进餐人员摔倒。</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）食堂周围环境卫生要清洁美观，无垃圾、无杂草、污水沟无积物、窗台、玻璃无污迹。</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）炊事人员在工作时间必须穿戴好防护用品（白衣、白帽和口罩），衣帽整洁，自觉地养成良好的卫生习惯。</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）做到“四勤”即勤洗手、勤剪指甲，勤洗澡理发，勤洗衣服。</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）每年要进行一次体检，食堂工作人员凭证上岗。</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3、采购要求：</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（1）采购工作委托中标单位负责，由项目经理对采购材料进行检验、查收，保证所购产品新鲜程度，不发生短斤少两现象。</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（2）选购食品应符合季节特点，并做到采购有计划，以控制当日饭菜剩余或不足的发生。</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4、食堂管理要求：</w:t>
      </w:r>
    </w:p>
    <w:p>
      <w:pPr>
        <w:autoSpaceDE w:val="0"/>
        <w:autoSpaceDN w:val="0"/>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（1）服务商应保证厨房各项指标均达到环保要求。</w:t>
      </w:r>
    </w:p>
    <w:p>
      <w:pPr>
        <w:autoSpaceDE w:val="0"/>
        <w:autoSpaceDN w:val="0"/>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（2）制定垃圾处理、环境保护方案，符合北京市相关环境卫生标准要求及污水排放要求</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5、工作要求：</w:t>
      </w:r>
    </w:p>
    <w:p>
      <w:pPr>
        <w:autoSpaceDE w:val="0"/>
        <w:autoSpaceDN w:val="0"/>
        <w:spacing w:before="109" w:line="360" w:lineRule="auto"/>
        <w:ind w:firstLine="298" w:firstLineChars="100"/>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color w:val="auto"/>
          <w:spacing w:val="-11"/>
          <w:sz w:val="32"/>
          <w:szCs w:val="32"/>
          <w:highlight w:val="none"/>
        </w:rPr>
        <w:t>（1）采购人对服务商实行监督和管理：①</w:t>
      </w:r>
      <w:r>
        <w:rPr>
          <w:rFonts w:hint="eastAsia" w:ascii="仿宋_GB2312" w:hAnsi="仿宋_GB2312" w:eastAsia="仿宋_GB2312" w:cs="仿宋_GB2312"/>
          <w:color w:val="auto"/>
          <w:spacing w:val="-4"/>
          <w:sz w:val="32"/>
          <w:szCs w:val="32"/>
          <w:highlight w:val="none"/>
        </w:rPr>
        <w:t>有权对供应商的日常服务管理活动、食品安全、</w:t>
      </w:r>
      <w:r>
        <w:rPr>
          <w:rFonts w:hint="eastAsia" w:ascii="仿宋_GB2312" w:hAnsi="仿宋_GB2312" w:eastAsia="仿宋_GB2312" w:cs="仿宋_GB2312"/>
          <w:color w:val="auto"/>
          <w:spacing w:val="-7"/>
          <w:sz w:val="32"/>
          <w:szCs w:val="32"/>
          <w:highlight w:val="none"/>
        </w:rPr>
        <w:t>质量、价格、服务等进行检查和监督。</w:t>
      </w:r>
      <w:r>
        <w:rPr>
          <w:rFonts w:hint="eastAsia" w:ascii="仿宋_GB2312" w:hAnsi="仿宋_GB2312" w:eastAsia="仿宋_GB2312" w:cs="仿宋_GB2312"/>
          <w:color w:val="auto"/>
          <w:spacing w:val="1"/>
          <w:sz w:val="32"/>
          <w:szCs w:val="32"/>
          <w:highlight w:val="none"/>
        </w:rPr>
        <w:t>②</w:t>
      </w:r>
      <w:r>
        <w:rPr>
          <w:rFonts w:hint="eastAsia" w:ascii="仿宋_GB2312" w:hAnsi="仿宋_GB2312" w:eastAsia="仿宋_GB2312" w:cs="仿宋_GB2312"/>
          <w:color w:val="auto"/>
          <w:spacing w:val="-4"/>
          <w:sz w:val="32"/>
          <w:szCs w:val="32"/>
          <w:highlight w:val="none"/>
        </w:rPr>
        <w:t>采购人有权参与、监督、检查供应商制定的用餐清单。③</w:t>
      </w:r>
      <w:r>
        <w:rPr>
          <w:rFonts w:hint="eastAsia" w:ascii="仿宋_GB2312" w:hAnsi="仿宋_GB2312" w:eastAsia="仿宋_GB2312" w:cs="仿宋_GB2312"/>
          <w:color w:val="auto"/>
          <w:spacing w:val="2"/>
          <w:sz w:val="32"/>
          <w:szCs w:val="32"/>
          <w:highlight w:val="none"/>
        </w:rPr>
        <w:t>采购人有权要求供应商服务管理人员和主要厨师相对固定，并有权要求更换不合格的工作人员</w:t>
      </w:r>
      <w:r>
        <w:rPr>
          <w:rFonts w:hint="eastAsia" w:ascii="仿宋_GB2312" w:hAnsi="仿宋_GB2312" w:eastAsia="仿宋_GB2312" w:cs="仿宋_GB2312"/>
          <w:color w:val="auto"/>
          <w:spacing w:val="2"/>
          <w:sz w:val="32"/>
          <w:szCs w:val="32"/>
          <w:highlight w:val="none"/>
          <w:lang w:eastAsia="zh-CN"/>
        </w:rPr>
        <w:t>。④采购人有权要求供应商，配合采购人按照相关考核内容，对供应商服务进行考核，同时考核内容、结果作为支付费用依据。</w:t>
      </w:r>
    </w:p>
    <w:p>
      <w:pPr>
        <w:autoSpaceDE w:val="0"/>
        <w:autoSpaceDN w:val="0"/>
        <w:spacing w:before="109" w:line="360" w:lineRule="auto"/>
        <w:ind w:firstLine="324" w:firstLineChars="100"/>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color w:val="auto"/>
          <w:spacing w:val="2"/>
          <w:sz w:val="32"/>
          <w:szCs w:val="32"/>
          <w:highlight w:val="none"/>
        </w:rPr>
        <w:t>（2）</w:t>
      </w:r>
      <w:r>
        <w:rPr>
          <w:rFonts w:hint="eastAsia" w:ascii="仿宋_GB2312" w:hAnsi="仿宋_GB2312" w:eastAsia="仿宋_GB2312" w:cs="仿宋_GB2312"/>
          <w:color w:val="auto"/>
          <w:spacing w:val="-21"/>
          <w:sz w:val="32"/>
          <w:szCs w:val="32"/>
          <w:highlight w:val="none"/>
        </w:rPr>
        <w:t>供应商：①</w:t>
      </w:r>
      <w:r>
        <w:rPr>
          <w:rFonts w:hint="eastAsia" w:ascii="仿宋_GB2312" w:hAnsi="仿宋_GB2312" w:eastAsia="仿宋_GB2312" w:cs="仿宋_GB2312"/>
          <w:color w:val="auto"/>
          <w:spacing w:val="-6"/>
          <w:sz w:val="32"/>
          <w:szCs w:val="32"/>
          <w:highlight w:val="none"/>
        </w:rPr>
        <w:t>供应商必须严格按照采购人各项规章制度执行。②</w:t>
      </w:r>
      <w:r>
        <w:rPr>
          <w:rFonts w:hint="eastAsia" w:ascii="仿宋_GB2312" w:hAnsi="仿宋_GB2312" w:eastAsia="仿宋_GB2312" w:cs="仿宋_GB2312"/>
          <w:color w:val="auto"/>
          <w:spacing w:val="-2"/>
          <w:sz w:val="32"/>
          <w:szCs w:val="32"/>
          <w:highlight w:val="none"/>
        </w:rPr>
        <w:t>供应商须服从采</w:t>
      </w:r>
      <w:r>
        <w:rPr>
          <w:rFonts w:hint="eastAsia" w:ascii="仿宋_GB2312" w:hAnsi="仿宋_GB2312" w:eastAsia="仿宋_GB2312" w:cs="仿宋_GB2312"/>
          <w:color w:val="auto"/>
          <w:spacing w:val="-4"/>
          <w:sz w:val="32"/>
          <w:szCs w:val="32"/>
          <w:highlight w:val="none"/>
        </w:rPr>
        <w:t>购人领导，并制定配套的内部管理制度。③</w:t>
      </w:r>
      <w:r>
        <w:rPr>
          <w:rFonts w:hint="eastAsia" w:ascii="仿宋_GB2312" w:hAnsi="仿宋_GB2312" w:eastAsia="仿宋_GB2312" w:cs="仿宋_GB2312"/>
          <w:color w:val="auto"/>
          <w:spacing w:val="2"/>
          <w:sz w:val="32"/>
          <w:szCs w:val="32"/>
          <w:highlight w:val="none"/>
        </w:rPr>
        <w:t>供应商人员在工作过程中负安全责任，如供应商</w:t>
      </w:r>
      <w:r>
        <w:rPr>
          <w:rFonts w:hint="eastAsia" w:ascii="仿宋_GB2312" w:hAnsi="仿宋_GB2312" w:eastAsia="仿宋_GB2312" w:cs="仿宋_GB2312"/>
          <w:color w:val="auto"/>
          <w:spacing w:val="5"/>
          <w:sz w:val="32"/>
          <w:szCs w:val="32"/>
          <w:highlight w:val="none"/>
        </w:rPr>
        <w:t>人员发生意外伤亡事故由供应商承担全部责任和相应的经济补偿，采购人概不承担任何责任。</w:t>
      </w:r>
      <w:r>
        <w:rPr>
          <w:rFonts w:hint="eastAsia" w:ascii="仿宋_GB2312" w:hAnsi="仿宋_GB2312" w:eastAsia="仿宋_GB2312" w:cs="仿宋_GB2312"/>
          <w:color w:val="auto"/>
          <w:spacing w:val="-7"/>
          <w:sz w:val="32"/>
          <w:szCs w:val="32"/>
          <w:highlight w:val="none"/>
        </w:rPr>
        <w:t>④</w:t>
      </w:r>
      <w:r>
        <w:rPr>
          <w:rFonts w:hint="eastAsia" w:ascii="仿宋_GB2312" w:hAnsi="仿宋_GB2312" w:eastAsia="仿宋_GB2312" w:cs="仿宋_GB2312"/>
          <w:color w:val="auto"/>
          <w:spacing w:val="2"/>
          <w:sz w:val="32"/>
          <w:szCs w:val="32"/>
          <w:highlight w:val="none"/>
        </w:rPr>
        <w:t>严禁出现任何破坏采购人工作秩序的行为。⑤</w:t>
      </w:r>
      <w:r>
        <w:rPr>
          <w:rFonts w:hint="eastAsia" w:ascii="仿宋_GB2312" w:hAnsi="仿宋_GB2312" w:eastAsia="仿宋_GB2312" w:cs="仿宋_GB2312"/>
          <w:color w:val="auto"/>
          <w:spacing w:val="2"/>
          <w:sz w:val="32"/>
          <w:szCs w:val="32"/>
          <w:highlight w:val="none"/>
          <w:lang w:eastAsia="zh-CN"/>
        </w:rPr>
        <w:t>供应商有义务配合采购人，按照相关考核内容，对服务进行考核，同时考核内容、结果作为支付费用依据。</w:t>
      </w:r>
    </w:p>
    <w:p>
      <w:pPr>
        <w:autoSpaceDE w:val="0"/>
        <w:autoSpaceDN w:val="0"/>
        <w:spacing w:before="109" w:line="360" w:lineRule="auto"/>
        <w:ind w:firstLine="324"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w:t>
      </w:r>
      <w:r>
        <w:rPr>
          <w:rFonts w:hint="eastAsia" w:ascii="仿宋_GB2312" w:hAnsi="仿宋_GB2312" w:eastAsia="仿宋_GB2312" w:cs="仿宋_GB2312"/>
          <w:color w:val="auto"/>
          <w:spacing w:val="-1"/>
          <w:sz w:val="32"/>
          <w:szCs w:val="32"/>
          <w:highlight w:val="none"/>
        </w:rPr>
        <w:t>供应商负责食堂的饮食安全卫生，严格</w:t>
      </w:r>
      <w:r>
        <w:rPr>
          <w:rFonts w:hint="eastAsia" w:ascii="仿宋_GB2312" w:hAnsi="仿宋_GB2312" w:eastAsia="仿宋_GB2312" w:cs="仿宋_GB2312"/>
          <w:color w:val="auto"/>
          <w:spacing w:val="2"/>
          <w:sz w:val="32"/>
          <w:szCs w:val="32"/>
          <w:highlight w:val="none"/>
        </w:rPr>
        <w:t>执行事故责任追究制度，如在承包期内发生食物中毒等重大责任事故损害就餐员工身体健康，影响采购人声誉，供应商必须承担由此造成的一切责任和经济损失，采购人有权终止合</w:t>
      </w:r>
      <w:r>
        <w:rPr>
          <w:rFonts w:hint="eastAsia" w:ascii="仿宋_GB2312" w:hAnsi="仿宋_GB2312" w:eastAsia="仿宋_GB2312" w:cs="仿宋_GB2312"/>
          <w:color w:val="auto"/>
          <w:sz w:val="32"/>
          <w:szCs w:val="32"/>
          <w:highlight w:val="none"/>
        </w:rPr>
        <w:t>同。</w:t>
      </w:r>
    </w:p>
    <w:p>
      <w:pPr>
        <w:autoSpaceDE w:val="0"/>
        <w:autoSpaceDN w:val="0"/>
        <w:spacing w:before="104" w:line="360" w:lineRule="auto"/>
        <w:ind w:firstLine="324"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w:t>
      </w:r>
      <w:r>
        <w:rPr>
          <w:rFonts w:hint="eastAsia" w:ascii="仿宋_GB2312" w:hAnsi="仿宋_GB2312" w:eastAsia="仿宋_GB2312" w:cs="仿宋_GB2312"/>
          <w:color w:val="auto"/>
          <w:spacing w:val="-1"/>
          <w:sz w:val="32"/>
          <w:szCs w:val="32"/>
          <w:highlight w:val="none"/>
        </w:rPr>
        <w:t>食堂工作人员在工作过程中的安全责任由供应商负责。如厨房设备操作、用电、用气等</w:t>
      </w:r>
      <w:r>
        <w:rPr>
          <w:rFonts w:hint="eastAsia" w:ascii="仿宋_GB2312" w:hAnsi="仿宋_GB2312" w:eastAsia="仿宋_GB2312" w:cs="仿宋_GB2312"/>
          <w:color w:val="auto"/>
          <w:spacing w:val="2"/>
          <w:sz w:val="32"/>
          <w:szCs w:val="32"/>
          <w:highlight w:val="none"/>
        </w:rPr>
        <w:t>不注意安全引起生产事故，或发生意外伤亡事故，供应商承担全部责任和相应的经济补偿，采</w:t>
      </w:r>
      <w:r>
        <w:rPr>
          <w:rFonts w:hint="eastAsia" w:ascii="仿宋_GB2312" w:hAnsi="仿宋_GB2312" w:eastAsia="仿宋_GB2312" w:cs="仿宋_GB2312"/>
          <w:color w:val="auto"/>
          <w:sz w:val="32"/>
          <w:szCs w:val="32"/>
          <w:highlight w:val="none"/>
        </w:rPr>
        <w:t>购人概不承担任何责任，情节严重的，采购人有权终止合同。</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6、餐具管理：</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（1）食堂工作人员要爱惜炊具和餐具，若发生人为损坏，需按价进行赔偿。</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（2）对炊具及餐具设置清单并经常清点，发生丢失或损坏详细注明原因。</w:t>
      </w:r>
    </w:p>
    <w:p>
      <w:pPr>
        <w:spacing w:line="360" w:lineRule="auto"/>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（3）餐具应做到时时消毒，每次清洗干净后都应及时放入消毒柜进行除菌，保证工作人员进餐卫生。</w:t>
      </w:r>
    </w:p>
    <w:p>
      <w:pPr>
        <w:pStyle w:val="79"/>
        <w:spacing w:line="360" w:lineRule="auto"/>
        <w:ind w:firstLine="0" w:firstLineChars="0"/>
        <w:contextualSpacing/>
        <w:rPr>
          <w:rFonts w:ascii="Times New Roman" w:hAnsi="Times New Roman"/>
          <w:bCs/>
          <w:sz w:val="24"/>
          <w:szCs w:val="24"/>
        </w:rPr>
      </w:pPr>
      <w:r>
        <w:rPr>
          <w:rFonts w:ascii="Times New Roman" w:hAnsi="Times New Roman"/>
          <w:bCs/>
          <w:sz w:val="24"/>
          <w:szCs w:val="24"/>
        </w:rPr>
        <w:br w:type="page"/>
      </w:r>
    </w:p>
    <w:p>
      <w:pPr>
        <w:spacing w:line="360" w:lineRule="auto"/>
        <w:jc w:val="center"/>
        <w:outlineLvl w:val="0"/>
        <w:rPr>
          <w:b/>
          <w:sz w:val="36"/>
          <w:szCs w:val="36"/>
        </w:rPr>
      </w:pPr>
      <w:bookmarkStart w:id="966" w:name="OLE_LINK25"/>
      <w:bookmarkStart w:id="967" w:name="_Toc25422"/>
      <w:r>
        <w:rPr>
          <w:b/>
          <w:sz w:val="36"/>
          <w:szCs w:val="36"/>
        </w:rPr>
        <w:t>第六章</w:t>
      </w:r>
      <w:bookmarkEnd w:id="966"/>
      <w:r>
        <w:rPr>
          <w:b/>
          <w:sz w:val="36"/>
          <w:szCs w:val="36"/>
        </w:rPr>
        <w:t xml:space="preserve">   拟签订的合同文本</w:t>
      </w:r>
      <w:bookmarkEnd w:id="967"/>
    </w:p>
    <w:p>
      <w:pPr>
        <w:spacing w:line="360" w:lineRule="auto"/>
        <w:jc w:val="center"/>
        <w:outlineLvl w:val="0"/>
        <w:rPr>
          <w:b/>
          <w:sz w:val="28"/>
          <w:szCs w:val="28"/>
        </w:rPr>
      </w:pPr>
      <w:bookmarkStart w:id="968" w:name="_Toc13032"/>
      <w:r>
        <w:rPr>
          <w:rFonts w:hint="eastAsia"/>
          <w:b/>
          <w:sz w:val="28"/>
          <w:szCs w:val="28"/>
        </w:rPr>
        <w:t>管委会</w:t>
      </w:r>
      <w:r>
        <w:rPr>
          <w:b/>
          <w:sz w:val="28"/>
          <w:szCs w:val="28"/>
        </w:rPr>
        <w:t>机关</w:t>
      </w:r>
      <w:r>
        <w:rPr>
          <w:rFonts w:hint="eastAsia"/>
          <w:b/>
          <w:sz w:val="28"/>
          <w:szCs w:val="28"/>
        </w:rPr>
        <w:t>餐饮服务</w:t>
      </w:r>
      <w:r>
        <w:rPr>
          <w:b/>
          <w:sz w:val="28"/>
          <w:szCs w:val="28"/>
        </w:rPr>
        <w:t>合同</w:t>
      </w:r>
    </w:p>
    <w:p>
      <w:pPr>
        <w:pStyle w:val="2"/>
      </w:pPr>
    </w:p>
    <w:p>
      <w:pPr>
        <w:spacing w:line="360" w:lineRule="auto"/>
        <w:jc w:val="left"/>
        <w:rPr>
          <w:rFonts w:ascii="宋体" w:hAnsi="宋体"/>
          <w:sz w:val="24"/>
        </w:rPr>
      </w:pPr>
      <w:bookmarkStart w:id="969" w:name="_Toc223405599"/>
      <w:r>
        <w:rPr>
          <w:rFonts w:ascii="宋体" w:hAnsi="宋体"/>
          <w:b/>
          <w:sz w:val="24"/>
        </w:rPr>
        <w:t>1</w:t>
      </w:r>
      <w:r>
        <w:rPr>
          <w:rFonts w:hint="eastAsia" w:ascii="宋体" w:hAnsi="宋体"/>
          <w:sz w:val="24"/>
        </w:rPr>
        <w:t>、</w:t>
      </w:r>
      <w:r>
        <w:rPr>
          <w:rFonts w:ascii="宋体" w:hAnsi="宋体"/>
          <w:sz w:val="24"/>
        </w:rPr>
        <w:t>按照中标结果，</w:t>
      </w:r>
      <w:r>
        <w:rPr>
          <w:rFonts w:hint="eastAsia" w:ascii="宋体" w:hAnsi="宋体"/>
          <w:sz w:val="24"/>
        </w:rPr>
        <w:t>招标人与中标人，双方应自中标通知书发出之日起三十日内，签订服务合同。</w:t>
      </w:r>
      <w:bookmarkEnd w:id="969"/>
    </w:p>
    <w:p>
      <w:pPr>
        <w:spacing w:line="360" w:lineRule="auto"/>
        <w:jc w:val="left"/>
        <w:rPr>
          <w:rFonts w:ascii="宋体" w:hAnsi="宋体"/>
          <w:sz w:val="24"/>
        </w:rPr>
      </w:pPr>
      <w:bookmarkStart w:id="970" w:name="_Toc13303"/>
      <w:bookmarkStart w:id="971" w:name="_Toc22439"/>
      <w:bookmarkStart w:id="972" w:name="_Toc28519"/>
      <w:bookmarkStart w:id="973" w:name="_Toc22142"/>
      <w:bookmarkStart w:id="974" w:name="_Toc223405603"/>
      <w:r>
        <w:rPr>
          <w:rFonts w:ascii="宋体" w:hAnsi="宋体"/>
          <w:b/>
          <w:sz w:val="24"/>
        </w:rPr>
        <w:t>2</w:t>
      </w:r>
      <w:r>
        <w:rPr>
          <w:rFonts w:hint="eastAsia" w:ascii="宋体" w:hAnsi="宋体"/>
          <w:sz w:val="24"/>
        </w:rPr>
        <w:t>、</w:t>
      </w:r>
      <w:bookmarkEnd w:id="970"/>
      <w:bookmarkEnd w:id="971"/>
      <w:bookmarkEnd w:id="972"/>
      <w:bookmarkEnd w:id="973"/>
      <w:bookmarkEnd w:id="974"/>
      <w:r>
        <w:rPr>
          <w:rFonts w:ascii="宋体" w:hAnsi="宋体"/>
          <w:sz w:val="24"/>
        </w:rPr>
        <w:t>甲、乙双方通过友好协商，本着平等互利的原则，根据《中华人民共和国</w:t>
      </w:r>
      <w:r>
        <w:rPr>
          <w:rFonts w:hint="eastAsia" w:ascii="宋体" w:hAnsi="宋体"/>
          <w:sz w:val="24"/>
        </w:rPr>
        <w:t>民法典</w:t>
      </w:r>
      <w:r>
        <w:rPr>
          <w:rFonts w:ascii="宋体" w:hAnsi="宋体"/>
          <w:sz w:val="24"/>
        </w:rPr>
        <w:t>》、《中华人民共和国食品安全法》及其他有关法律、法规，就乙方有偿为甲方提供餐饮服务，甲方对乙方进行监管事宜达成如下合同（以下简称“本合同”）。</w:t>
      </w:r>
    </w:p>
    <w:p>
      <w:pPr>
        <w:tabs>
          <w:tab w:val="left" w:pos="1260"/>
        </w:tabs>
        <w:spacing w:line="360" w:lineRule="auto"/>
        <w:jc w:val="left"/>
        <w:rPr>
          <w:rFonts w:ascii="宋体" w:hAnsi="宋体"/>
          <w:sz w:val="24"/>
        </w:rPr>
      </w:pPr>
      <w:r>
        <w:rPr>
          <w:rFonts w:ascii="宋体" w:hAnsi="宋体"/>
          <w:sz w:val="24"/>
        </w:rPr>
        <w:t xml:space="preserve">其中，甲方为管理方，乙方为餐饮服务公司。  </w:t>
      </w:r>
    </w:p>
    <w:p>
      <w:pPr>
        <w:tabs>
          <w:tab w:val="left" w:pos="540"/>
          <w:tab w:val="left" w:pos="720"/>
        </w:tabs>
        <w:spacing w:line="360" w:lineRule="auto"/>
        <w:ind w:left="-178" w:leftChars="-85" w:firstLine="256" w:firstLineChars="107"/>
        <w:jc w:val="left"/>
        <w:rPr>
          <w:rFonts w:ascii="宋体" w:hAnsi="宋体"/>
          <w:sz w:val="24"/>
        </w:rPr>
      </w:pPr>
      <w:r>
        <w:rPr>
          <w:rFonts w:hint="eastAsia" w:ascii="宋体" w:hAnsi="宋体"/>
          <w:sz w:val="24"/>
        </w:rPr>
        <w:t>甲方：</w:t>
      </w:r>
      <w:r>
        <w:rPr>
          <w:rFonts w:hint="eastAsia" w:ascii="宋体" w:hAnsi="宋体"/>
          <w:sz w:val="24"/>
          <w:lang w:eastAsia="zh-CN"/>
        </w:rPr>
        <w:t>北京首都国际机场临空经济区管理委员会</w:t>
      </w:r>
      <w:r>
        <w:rPr>
          <w:rFonts w:hint="eastAsia" w:ascii="宋体" w:hAnsi="宋体"/>
          <w:sz w:val="24"/>
        </w:rPr>
        <w:t xml:space="preserve">  </w:t>
      </w:r>
    </w:p>
    <w:p>
      <w:pPr>
        <w:tabs>
          <w:tab w:val="left" w:pos="540"/>
          <w:tab w:val="left" w:pos="720"/>
        </w:tabs>
        <w:spacing w:line="360" w:lineRule="auto"/>
        <w:ind w:left="-178" w:leftChars="-85" w:firstLine="256" w:firstLineChars="107"/>
        <w:jc w:val="left"/>
        <w:rPr>
          <w:rFonts w:hint="default" w:ascii="宋体" w:hAnsi="宋体" w:eastAsia="宋体"/>
          <w:sz w:val="24"/>
          <w:lang w:val="en-US" w:eastAsia="zh-CN"/>
        </w:rPr>
      </w:pPr>
      <w:r>
        <w:rPr>
          <w:rFonts w:hint="eastAsia" w:ascii="宋体" w:hAnsi="宋体"/>
          <w:sz w:val="24"/>
        </w:rPr>
        <w:t>地址：</w:t>
      </w:r>
      <w:r>
        <w:rPr>
          <w:rFonts w:hint="eastAsia" w:ascii="宋体" w:hAnsi="宋体"/>
          <w:sz w:val="24"/>
          <w:lang w:eastAsia="zh-CN"/>
        </w:rPr>
        <w:t>北京市顺义区金航中路</w:t>
      </w:r>
      <w:r>
        <w:rPr>
          <w:rFonts w:hint="eastAsia" w:ascii="宋体" w:hAnsi="宋体"/>
          <w:sz w:val="24"/>
          <w:lang w:val="en-US" w:eastAsia="zh-CN"/>
        </w:rPr>
        <w:t>1号院2号楼</w:t>
      </w:r>
    </w:p>
    <w:p>
      <w:pPr>
        <w:tabs>
          <w:tab w:val="left" w:pos="540"/>
          <w:tab w:val="left" w:pos="720"/>
        </w:tabs>
        <w:spacing w:line="360" w:lineRule="auto"/>
        <w:ind w:left="-178" w:leftChars="-85" w:firstLine="256" w:firstLineChars="107"/>
        <w:jc w:val="left"/>
        <w:rPr>
          <w:rFonts w:ascii="宋体" w:hAnsi="宋体"/>
          <w:sz w:val="24"/>
        </w:rPr>
      </w:pPr>
    </w:p>
    <w:p>
      <w:pPr>
        <w:tabs>
          <w:tab w:val="left" w:pos="540"/>
          <w:tab w:val="left" w:pos="720"/>
        </w:tabs>
        <w:spacing w:line="360" w:lineRule="auto"/>
        <w:ind w:left="-178" w:leftChars="-85" w:firstLine="256" w:firstLineChars="107"/>
        <w:jc w:val="left"/>
        <w:rPr>
          <w:rFonts w:ascii="宋体" w:hAnsi="宋体"/>
          <w:sz w:val="24"/>
        </w:rPr>
      </w:pPr>
      <w:r>
        <w:rPr>
          <w:rFonts w:hint="eastAsia" w:ascii="宋体" w:hAnsi="宋体"/>
          <w:sz w:val="24"/>
        </w:rPr>
        <w:t>乙方：</w:t>
      </w:r>
    </w:p>
    <w:p>
      <w:pPr>
        <w:tabs>
          <w:tab w:val="left" w:pos="1260"/>
        </w:tabs>
        <w:spacing w:line="360" w:lineRule="auto"/>
        <w:jc w:val="left"/>
        <w:rPr>
          <w:rFonts w:ascii="宋体" w:hAnsi="宋体"/>
          <w:sz w:val="24"/>
        </w:rPr>
      </w:pPr>
      <w:r>
        <w:rPr>
          <w:rFonts w:hint="eastAsia" w:ascii="宋体" w:hAnsi="宋体"/>
          <w:sz w:val="24"/>
        </w:rPr>
        <w:t>地址</w:t>
      </w:r>
      <w:r>
        <w:rPr>
          <w:rFonts w:hint="eastAsia" w:ascii="宋体" w:hAnsi="宋体"/>
          <w:sz w:val="24"/>
          <w:lang w:eastAsia="zh-CN"/>
        </w:rPr>
        <w:t>：</w:t>
      </w:r>
      <w:r>
        <w:rPr>
          <w:rFonts w:ascii="宋体" w:hAnsi="宋体"/>
          <w:sz w:val="24"/>
        </w:rPr>
        <w:t xml:space="preserve">             </w:t>
      </w:r>
    </w:p>
    <w:p>
      <w:pPr>
        <w:tabs>
          <w:tab w:val="left" w:pos="1260"/>
        </w:tabs>
        <w:spacing w:line="360" w:lineRule="auto"/>
        <w:jc w:val="left"/>
        <w:rPr>
          <w:rFonts w:ascii="宋体" w:hAnsi="宋体"/>
          <w:b/>
          <w:sz w:val="24"/>
        </w:rPr>
      </w:pPr>
      <w:r>
        <w:rPr>
          <w:rFonts w:ascii="宋体" w:hAnsi="宋体"/>
          <w:b/>
          <w:sz w:val="24"/>
        </w:rPr>
        <w:t>第一条  服务范围</w:t>
      </w:r>
    </w:p>
    <w:p>
      <w:pPr>
        <w:spacing w:line="360" w:lineRule="auto"/>
        <w:jc w:val="left"/>
        <w:rPr>
          <w:rFonts w:ascii="宋体" w:hAnsi="宋体"/>
          <w:sz w:val="24"/>
        </w:rPr>
      </w:pPr>
      <w:r>
        <w:rPr>
          <w:rFonts w:ascii="宋体" w:hAnsi="宋体"/>
          <w:sz w:val="24"/>
        </w:rPr>
        <w:t>1.1乙方在甲方所属的员工餐厅，负责供应甲方员工每天三个餐次的供餐服务（早餐、午餐、晚餐），同时负责</w:t>
      </w:r>
      <w:r>
        <w:rPr>
          <w:rFonts w:hint="eastAsia" w:ascii="宋体" w:hAnsi="宋体"/>
          <w:sz w:val="24"/>
        </w:rPr>
        <w:t>应急及</w:t>
      </w:r>
      <w:r>
        <w:rPr>
          <w:rFonts w:ascii="宋体" w:hAnsi="宋体"/>
          <w:sz w:val="24"/>
        </w:rPr>
        <w:t>保障性</w:t>
      </w:r>
      <w:r>
        <w:rPr>
          <w:rFonts w:hint="eastAsia" w:ascii="宋体" w:hAnsi="宋体"/>
          <w:sz w:val="24"/>
        </w:rPr>
        <w:t>用餐和</w:t>
      </w:r>
      <w:r>
        <w:rPr>
          <w:rFonts w:ascii="宋体" w:hAnsi="宋体"/>
          <w:sz w:val="24"/>
        </w:rPr>
        <w:t>卡口每天三个餐次的送餐服务。</w:t>
      </w:r>
    </w:p>
    <w:p>
      <w:pPr>
        <w:spacing w:line="360" w:lineRule="auto"/>
        <w:jc w:val="left"/>
        <w:rPr>
          <w:rFonts w:ascii="宋体" w:hAnsi="宋体"/>
          <w:sz w:val="24"/>
        </w:rPr>
      </w:pPr>
      <w:r>
        <w:rPr>
          <w:rFonts w:ascii="宋体" w:hAnsi="宋体"/>
          <w:sz w:val="24"/>
        </w:rPr>
        <w:t>1.2乙方为员工餐厅提供的</w:t>
      </w:r>
      <w:r>
        <w:rPr>
          <w:rFonts w:hint="eastAsia" w:ascii="宋体" w:hAnsi="宋体"/>
          <w:sz w:val="24"/>
        </w:rPr>
        <w:t>用</w:t>
      </w:r>
      <w:r>
        <w:rPr>
          <w:rFonts w:ascii="宋体" w:hAnsi="宋体"/>
          <w:sz w:val="24"/>
        </w:rPr>
        <w:t>餐服务</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rPr>
        <w:t>用餐方式：就餐员工现场自费刷卡1元/次，卡口</w:t>
      </w:r>
      <w:r>
        <w:rPr>
          <w:rFonts w:ascii="宋体" w:hAnsi="宋体"/>
          <w:sz w:val="24"/>
        </w:rPr>
        <w:t>送餐现场收取</w:t>
      </w:r>
      <w:r>
        <w:rPr>
          <w:rFonts w:hint="eastAsia" w:ascii="宋体" w:hAnsi="宋体"/>
          <w:sz w:val="24"/>
        </w:rPr>
        <w:t>1元</w:t>
      </w:r>
      <w:r>
        <w:rPr>
          <w:rFonts w:ascii="宋体" w:hAnsi="宋体"/>
          <w:sz w:val="24"/>
        </w:rPr>
        <w:t>/</w:t>
      </w:r>
      <w:r>
        <w:rPr>
          <w:rFonts w:hint="eastAsia" w:ascii="宋体" w:hAnsi="宋体"/>
          <w:sz w:val="24"/>
        </w:rPr>
        <w:t>次</w:t>
      </w:r>
      <w:r>
        <w:rPr>
          <w:rFonts w:ascii="宋体" w:hAnsi="宋体"/>
          <w:sz w:val="24"/>
        </w:rPr>
        <w:t>，</w:t>
      </w:r>
      <w:r>
        <w:rPr>
          <w:rFonts w:hint="eastAsia" w:ascii="宋体" w:hAnsi="宋体"/>
          <w:sz w:val="24"/>
        </w:rPr>
        <w:t>用于补充原材料费用使用。</w:t>
      </w:r>
    </w:p>
    <w:p>
      <w:pPr>
        <w:spacing w:line="360" w:lineRule="auto"/>
        <w:rPr>
          <w:rFonts w:ascii="宋体" w:hAnsi="宋体"/>
          <w:sz w:val="24"/>
        </w:rPr>
      </w:pPr>
      <w:r>
        <w:rPr>
          <w:rFonts w:hint="eastAsia" w:ascii="宋体" w:hAnsi="宋体"/>
          <w:sz w:val="24"/>
        </w:rPr>
        <w:t>1.3.</w:t>
      </w:r>
      <w:r>
        <w:rPr>
          <w:rFonts w:ascii="宋体" w:hAnsi="宋体"/>
          <w:sz w:val="24"/>
        </w:rPr>
        <w:t>早餐</w:t>
      </w:r>
      <w:r>
        <w:rPr>
          <w:rFonts w:hint="eastAsia" w:ascii="宋体" w:hAnsi="宋体"/>
          <w:sz w:val="24"/>
        </w:rPr>
        <w:t>：</w:t>
      </w:r>
      <w:r>
        <w:rPr>
          <w:rFonts w:ascii="宋体" w:hAnsi="宋体"/>
          <w:sz w:val="24"/>
        </w:rPr>
        <w:t>每餐提供</w:t>
      </w:r>
      <w:r>
        <w:rPr>
          <w:rFonts w:hint="eastAsia" w:ascii="宋体" w:hAnsi="宋体"/>
          <w:sz w:val="24"/>
        </w:rPr>
        <w:t>不少于</w:t>
      </w:r>
      <w:r>
        <w:rPr>
          <w:rFonts w:ascii="宋体" w:hAnsi="宋体"/>
          <w:sz w:val="24"/>
        </w:rPr>
        <w:t>3种</w:t>
      </w:r>
      <w:r>
        <w:rPr>
          <w:rFonts w:hint="eastAsia" w:ascii="宋体" w:hAnsi="宋体"/>
          <w:sz w:val="24"/>
        </w:rPr>
        <w:t>主食</w:t>
      </w:r>
      <w:r>
        <w:rPr>
          <w:rFonts w:ascii="宋体" w:hAnsi="宋体"/>
          <w:sz w:val="24"/>
        </w:rPr>
        <w:t>、2</w:t>
      </w:r>
      <w:r>
        <w:rPr>
          <w:rFonts w:hint="eastAsia" w:ascii="宋体" w:hAnsi="宋体"/>
          <w:sz w:val="24"/>
        </w:rPr>
        <w:t>种汤粥类、</w:t>
      </w:r>
      <w:r>
        <w:rPr>
          <w:rFonts w:ascii="宋体" w:hAnsi="宋体"/>
          <w:sz w:val="24"/>
        </w:rPr>
        <w:t>鸡蛋1种、</w:t>
      </w:r>
      <w:r>
        <w:rPr>
          <w:rFonts w:hint="eastAsia" w:ascii="宋体" w:hAnsi="宋体"/>
          <w:sz w:val="24"/>
        </w:rPr>
        <w:t>素菜2种</w:t>
      </w:r>
      <w:r>
        <w:rPr>
          <w:rFonts w:ascii="宋体" w:hAnsi="宋体"/>
          <w:sz w:val="24"/>
        </w:rPr>
        <w:t>、咸菜</w:t>
      </w:r>
      <w:r>
        <w:rPr>
          <w:rFonts w:hint="eastAsia" w:ascii="宋体" w:hAnsi="宋体"/>
          <w:sz w:val="24"/>
        </w:rPr>
        <w:t>1</w:t>
      </w:r>
      <w:r>
        <w:rPr>
          <w:rFonts w:ascii="宋体" w:hAnsi="宋体"/>
          <w:sz w:val="24"/>
        </w:rPr>
        <w:t>种</w:t>
      </w:r>
      <w:r>
        <w:rPr>
          <w:rFonts w:hint="eastAsia" w:ascii="宋体" w:hAnsi="宋体"/>
          <w:sz w:val="24"/>
        </w:rPr>
        <w:t>。</w:t>
      </w:r>
    </w:p>
    <w:p>
      <w:pPr>
        <w:spacing w:line="500" w:lineRule="exact"/>
        <w:jc w:val="left"/>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ascii="宋体" w:hAnsi="宋体"/>
          <w:sz w:val="24"/>
        </w:rPr>
        <w:t>午餐</w:t>
      </w:r>
      <w:r>
        <w:rPr>
          <w:rFonts w:hint="eastAsia" w:ascii="宋体" w:hAnsi="宋体"/>
          <w:sz w:val="24"/>
        </w:rPr>
        <w:t>：</w:t>
      </w:r>
      <w:r>
        <w:rPr>
          <w:rFonts w:ascii="宋体" w:hAnsi="宋体"/>
          <w:sz w:val="24"/>
        </w:rPr>
        <w:t>每餐提供</w:t>
      </w:r>
      <w:r>
        <w:rPr>
          <w:rFonts w:hint="eastAsia" w:ascii="宋体" w:hAnsi="宋体"/>
          <w:sz w:val="24"/>
        </w:rPr>
        <w:t>不少于</w:t>
      </w:r>
      <w:r>
        <w:rPr>
          <w:rFonts w:ascii="宋体" w:hAnsi="宋体"/>
          <w:sz w:val="24"/>
        </w:rPr>
        <w:t>3种主食、主荤</w:t>
      </w:r>
      <w:r>
        <w:rPr>
          <w:rFonts w:hint="eastAsia" w:ascii="宋体" w:hAnsi="宋体"/>
          <w:sz w:val="24"/>
        </w:rPr>
        <w:t>1</w:t>
      </w:r>
      <w:r>
        <w:rPr>
          <w:rFonts w:ascii="宋体" w:hAnsi="宋体"/>
          <w:sz w:val="24"/>
        </w:rPr>
        <w:t>种、副荤2种、素菜2种、凉菜1种、</w:t>
      </w:r>
      <w:r>
        <w:rPr>
          <w:rFonts w:hint="eastAsia" w:ascii="宋体" w:hAnsi="宋体"/>
          <w:sz w:val="24"/>
        </w:rPr>
        <w:t>糕点1种</w:t>
      </w:r>
      <w:r>
        <w:rPr>
          <w:rFonts w:ascii="宋体" w:hAnsi="宋体"/>
          <w:sz w:val="24"/>
        </w:rPr>
        <w:t>、水果1种、汤粥</w:t>
      </w:r>
      <w:r>
        <w:rPr>
          <w:rFonts w:hint="eastAsia" w:ascii="宋体" w:hAnsi="宋体"/>
          <w:sz w:val="24"/>
        </w:rPr>
        <w:t>类</w:t>
      </w:r>
      <w:r>
        <w:rPr>
          <w:rFonts w:ascii="宋体" w:hAnsi="宋体"/>
          <w:sz w:val="24"/>
        </w:rPr>
        <w:t>2种</w:t>
      </w:r>
      <w:r>
        <w:rPr>
          <w:rFonts w:hint="eastAsia" w:ascii="宋体" w:hAnsi="宋体"/>
          <w:sz w:val="24"/>
        </w:rPr>
        <w:t>、现场制作特色食品1种。</w:t>
      </w:r>
    </w:p>
    <w:p>
      <w:pPr>
        <w:spacing w:line="500" w:lineRule="exact"/>
        <w:jc w:val="left"/>
        <w:rPr>
          <w:rFonts w:ascii="宋体" w:hAnsi="宋体"/>
          <w:sz w:val="24"/>
        </w:rPr>
      </w:pPr>
      <w:r>
        <w:rPr>
          <w:rFonts w:hint="eastAsia" w:ascii="宋体" w:hAnsi="宋体"/>
          <w:sz w:val="24"/>
          <w:lang w:val="en-US" w:eastAsia="zh-CN"/>
        </w:rPr>
        <w:t>1.4.1</w:t>
      </w:r>
      <w:r>
        <w:rPr>
          <w:rFonts w:hint="eastAsia" w:ascii="宋体" w:hAnsi="宋体"/>
          <w:sz w:val="24"/>
        </w:rPr>
        <w:t>主荤菜：鸡、鸭、牛、羊、猪、</w:t>
      </w:r>
      <w:r>
        <w:rPr>
          <w:rFonts w:ascii="宋体" w:hAnsi="宋体"/>
          <w:sz w:val="24"/>
        </w:rPr>
        <w:t>鱼</w:t>
      </w:r>
      <w:r>
        <w:rPr>
          <w:rFonts w:hint="eastAsia" w:ascii="宋体" w:hAnsi="宋体"/>
          <w:sz w:val="24"/>
        </w:rPr>
        <w:t>等常用</w:t>
      </w:r>
      <w:r>
        <w:rPr>
          <w:rFonts w:ascii="宋体" w:hAnsi="宋体"/>
          <w:sz w:val="24"/>
        </w:rPr>
        <w:t>食品</w:t>
      </w:r>
      <w:r>
        <w:rPr>
          <w:rFonts w:hint="eastAsia" w:ascii="宋体" w:hAnsi="宋体"/>
          <w:sz w:val="24"/>
        </w:rPr>
        <w:t>及</w:t>
      </w:r>
      <w:r>
        <w:rPr>
          <w:rFonts w:ascii="宋体" w:hAnsi="宋体"/>
          <w:sz w:val="24"/>
        </w:rPr>
        <w:t>应季产品</w:t>
      </w:r>
      <w:r>
        <w:rPr>
          <w:rFonts w:hint="eastAsia" w:ascii="宋体" w:hAnsi="宋体"/>
          <w:sz w:val="24"/>
        </w:rPr>
        <w:t>，</w:t>
      </w:r>
      <w:r>
        <w:rPr>
          <w:rFonts w:ascii="宋体" w:hAnsi="宋体"/>
          <w:sz w:val="24"/>
        </w:rPr>
        <w:t>肉类占比不低于</w:t>
      </w:r>
      <w:r>
        <w:rPr>
          <w:rFonts w:hint="eastAsia" w:ascii="宋体" w:hAnsi="宋体"/>
          <w:sz w:val="24"/>
        </w:rPr>
        <w:t>整体</w:t>
      </w:r>
      <w:r>
        <w:rPr>
          <w:rFonts w:ascii="宋体" w:hAnsi="宋体"/>
          <w:sz w:val="24"/>
        </w:rPr>
        <w:t>原材料</w:t>
      </w:r>
      <w:r>
        <w:rPr>
          <w:rFonts w:hint="eastAsia" w:ascii="宋体" w:hAnsi="宋体"/>
          <w:sz w:val="24"/>
        </w:rPr>
        <w:t>90</w:t>
      </w:r>
      <w:r>
        <w:rPr>
          <w:rFonts w:ascii="宋体" w:hAnsi="宋体"/>
          <w:sz w:val="24"/>
        </w:rPr>
        <w:t>%</w:t>
      </w:r>
      <w:r>
        <w:rPr>
          <w:rFonts w:hint="eastAsia" w:ascii="宋体" w:hAnsi="宋体"/>
          <w:sz w:val="24"/>
        </w:rPr>
        <w:t>。</w:t>
      </w:r>
      <w:r>
        <w:rPr>
          <w:rFonts w:ascii="宋体" w:hAnsi="宋体"/>
          <w:sz w:val="24"/>
        </w:rPr>
        <w:tab/>
      </w:r>
    </w:p>
    <w:p>
      <w:pPr>
        <w:spacing w:line="500" w:lineRule="exact"/>
        <w:jc w:val="left"/>
        <w:rPr>
          <w:rFonts w:ascii="宋体" w:hAnsi="宋体"/>
          <w:sz w:val="24"/>
        </w:rPr>
      </w:pPr>
      <w:r>
        <w:rPr>
          <w:rFonts w:hint="eastAsia" w:ascii="宋体" w:hAnsi="宋体"/>
          <w:sz w:val="24"/>
          <w:lang w:val="en-US" w:eastAsia="zh-CN"/>
        </w:rPr>
        <w:t>1.4.2</w:t>
      </w:r>
      <w:r>
        <w:rPr>
          <w:rFonts w:ascii="宋体" w:hAnsi="宋体"/>
          <w:sz w:val="24"/>
        </w:rPr>
        <w:t>副荤</w:t>
      </w:r>
      <w:r>
        <w:rPr>
          <w:rFonts w:hint="eastAsia" w:ascii="宋体" w:hAnsi="宋体"/>
          <w:sz w:val="24"/>
        </w:rPr>
        <w:t>菜</w:t>
      </w:r>
      <w:r>
        <w:rPr>
          <w:rFonts w:ascii="宋体" w:hAnsi="宋体"/>
          <w:sz w:val="24"/>
        </w:rPr>
        <w:t>：</w:t>
      </w:r>
      <w:r>
        <w:rPr>
          <w:rFonts w:hint="eastAsia" w:ascii="宋体" w:hAnsi="宋体"/>
          <w:sz w:val="24"/>
        </w:rPr>
        <w:t>鸡蛋类</w:t>
      </w:r>
      <w:r>
        <w:rPr>
          <w:rFonts w:ascii="宋体" w:hAnsi="宋体"/>
          <w:sz w:val="24"/>
        </w:rPr>
        <w:t>菜品属</w:t>
      </w:r>
      <w:r>
        <w:rPr>
          <w:rFonts w:hint="eastAsia" w:ascii="宋体" w:hAnsi="宋体"/>
          <w:sz w:val="24"/>
        </w:rPr>
        <w:t>副</w:t>
      </w:r>
      <w:r>
        <w:rPr>
          <w:rFonts w:ascii="宋体" w:hAnsi="宋体"/>
          <w:sz w:val="24"/>
        </w:rPr>
        <w:t>荤菜</w:t>
      </w:r>
      <w:r>
        <w:rPr>
          <w:rFonts w:hint="eastAsia" w:ascii="宋体" w:hAnsi="宋体"/>
          <w:sz w:val="24"/>
        </w:rPr>
        <w:t>，</w:t>
      </w:r>
      <w:r>
        <w:rPr>
          <w:rFonts w:ascii="宋体" w:hAnsi="宋体"/>
          <w:sz w:val="24"/>
        </w:rPr>
        <w:t>荤素小炒类肉类占比不低于</w:t>
      </w:r>
      <w:r>
        <w:rPr>
          <w:rFonts w:hint="eastAsia" w:ascii="宋体" w:hAnsi="宋体"/>
          <w:sz w:val="24"/>
        </w:rPr>
        <w:t>整体</w:t>
      </w:r>
      <w:r>
        <w:rPr>
          <w:rFonts w:ascii="宋体" w:hAnsi="宋体"/>
          <w:sz w:val="24"/>
        </w:rPr>
        <w:t>原材料</w:t>
      </w:r>
      <w:r>
        <w:rPr>
          <w:rFonts w:hint="eastAsia" w:ascii="宋体" w:hAnsi="宋体"/>
          <w:sz w:val="24"/>
        </w:rPr>
        <w:t>20</w:t>
      </w:r>
      <w:r>
        <w:rPr>
          <w:rFonts w:ascii="宋体" w:hAnsi="宋体"/>
          <w:sz w:val="24"/>
        </w:rPr>
        <w:t>%</w:t>
      </w:r>
      <w:r>
        <w:rPr>
          <w:rFonts w:hint="eastAsia" w:ascii="宋体" w:hAnsi="宋体"/>
          <w:sz w:val="24"/>
        </w:rPr>
        <w:t>，</w:t>
      </w:r>
      <w:r>
        <w:rPr>
          <w:rFonts w:ascii="宋体" w:hAnsi="宋体"/>
          <w:sz w:val="24"/>
        </w:rPr>
        <w:t>鱼香肉丝、宫保鸡丁</w:t>
      </w:r>
      <w:r>
        <w:rPr>
          <w:rFonts w:hint="eastAsia" w:ascii="宋体" w:hAnsi="宋体"/>
          <w:sz w:val="24"/>
        </w:rPr>
        <w:t>、</w:t>
      </w:r>
      <w:r>
        <w:rPr>
          <w:rFonts w:ascii="宋体" w:hAnsi="宋体"/>
          <w:sz w:val="24"/>
        </w:rPr>
        <w:t>回锅肉类</w:t>
      </w:r>
      <w:r>
        <w:rPr>
          <w:rFonts w:hint="eastAsia" w:ascii="宋体" w:hAnsi="宋体"/>
          <w:sz w:val="24"/>
        </w:rPr>
        <w:t>副</w:t>
      </w:r>
      <w:r>
        <w:rPr>
          <w:rFonts w:ascii="宋体" w:hAnsi="宋体"/>
          <w:sz w:val="24"/>
        </w:rPr>
        <w:t>荤菜肉类占比不低于</w:t>
      </w:r>
      <w:r>
        <w:rPr>
          <w:rFonts w:hint="eastAsia" w:ascii="宋体" w:hAnsi="宋体"/>
          <w:sz w:val="24"/>
        </w:rPr>
        <w:t>整体</w:t>
      </w:r>
      <w:r>
        <w:rPr>
          <w:rFonts w:ascii="宋体" w:hAnsi="宋体"/>
          <w:sz w:val="24"/>
        </w:rPr>
        <w:t>原材料50%</w:t>
      </w:r>
      <w:r>
        <w:rPr>
          <w:rFonts w:hint="eastAsia" w:ascii="宋体" w:hAnsi="宋体"/>
          <w:sz w:val="24"/>
        </w:rPr>
        <w:t>。具体</w:t>
      </w:r>
      <w:r>
        <w:rPr>
          <w:rFonts w:ascii="宋体" w:hAnsi="宋体"/>
          <w:sz w:val="24"/>
        </w:rPr>
        <w:t>以菜品为准，甲方有权对菜品</w:t>
      </w:r>
      <w:r>
        <w:rPr>
          <w:rFonts w:hint="eastAsia" w:ascii="宋体" w:hAnsi="宋体"/>
          <w:sz w:val="24"/>
        </w:rPr>
        <w:t>荤</w:t>
      </w:r>
      <w:r>
        <w:rPr>
          <w:rFonts w:ascii="宋体" w:hAnsi="宋体"/>
          <w:sz w:val="24"/>
        </w:rPr>
        <w:t>素比例进行调整</w:t>
      </w:r>
      <w:r>
        <w:rPr>
          <w:rFonts w:hint="eastAsia" w:ascii="宋体" w:hAnsi="宋体"/>
          <w:sz w:val="24"/>
        </w:rPr>
        <w:t>。</w:t>
      </w:r>
    </w:p>
    <w:p>
      <w:pPr>
        <w:spacing w:line="500" w:lineRule="exact"/>
        <w:jc w:val="left"/>
        <w:rPr>
          <w:rFonts w:ascii="宋体" w:hAnsi="宋体"/>
          <w:sz w:val="24"/>
        </w:rPr>
      </w:pPr>
      <w:r>
        <w:rPr>
          <w:rFonts w:hint="eastAsia" w:ascii="宋体" w:hAnsi="宋体"/>
          <w:sz w:val="24"/>
        </w:rPr>
        <w:t>1.</w:t>
      </w:r>
      <w:r>
        <w:rPr>
          <w:rFonts w:hint="eastAsia" w:ascii="宋体" w:hAnsi="宋体"/>
          <w:sz w:val="24"/>
          <w:lang w:val="en-US" w:eastAsia="zh-CN"/>
        </w:rPr>
        <w:t>5</w:t>
      </w:r>
      <w:r>
        <w:rPr>
          <w:rFonts w:ascii="宋体" w:hAnsi="宋体"/>
          <w:sz w:val="24"/>
        </w:rPr>
        <w:t>晚餐</w:t>
      </w:r>
      <w:r>
        <w:rPr>
          <w:rFonts w:hint="eastAsia" w:ascii="宋体" w:hAnsi="宋体"/>
          <w:sz w:val="24"/>
        </w:rPr>
        <w:t>：</w:t>
      </w:r>
      <w:r>
        <w:rPr>
          <w:rFonts w:ascii="宋体" w:hAnsi="宋体"/>
          <w:sz w:val="24"/>
        </w:rPr>
        <w:t>每餐提供</w:t>
      </w:r>
      <w:r>
        <w:rPr>
          <w:rFonts w:hint="eastAsia" w:ascii="宋体" w:hAnsi="宋体"/>
          <w:sz w:val="24"/>
        </w:rPr>
        <w:t>主</w:t>
      </w:r>
      <w:r>
        <w:rPr>
          <w:rFonts w:ascii="宋体" w:hAnsi="宋体"/>
          <w:sz w:val="24"/>
        </w:rPr>
        <w:t>荤</w:t>
      </w:r>
      <w:r>
        <w:rPr>
          <w:rFonts w:hint="eastAsia" w:ascii="宋体" w:hAnsi="宋体"/>
          <w:sz w:val="24"/>
        </w:rPr>
        <w:t>不少于</w:t>
      </w:r>
      <w:r>
        <w:rPr>
          <w:rFonts w:ascii="宋体" w:hAnsi="宋体"/>
          <w:sz w:val="24"/>
        </w:rPr>
        <w:t>1种、</w:t>
      </w:r>
      <w:r>
        <w:rPr>
          <w:rFonts w:hint="eastAsia" w:ascii="宋体" w:hAnsi="宋体"/>
          <w:sz w:val="24"/>
        </w:rPr>
        <w:t>副</w:t>
      </w:r>
      <w:r>
        <w:rPr>
          <w:rFonts w:ascii="宋体" w:hAnsi="宋体"/>
          <w:sz w:val="24"/>
        </w:rPr>
        <w:t>荤1种、素菜2种、主食2种、汤粥</w:t>
      </w:r>
      <w:r>
        <w:rPr>
          <w:rFonts w:hint="eastAsia" w:ascii="宋体" w:hAnsi="宋体"/>
          <w:sz w:val="24"/>
        </w:rPr>
        <w:t>各</w:t>
      </w:r>
      <w:r>
        <w:rPr>
          <w:rFonts w:ascii="宋体" w:hAnsi="宋体"/>
          <w:sz w:val="24"/>
        </w:rPr>
        <w:t>1种</w:t>
      </w:r>
      <w:r>
        <w:rPr>
          <w:rFonts w:hint="eastAsia" w:ascii="宋体" w:hAnsi="宋体"/>
          <w:sz w:val="24"/>
        </w:rPr>
        <w:t>。</w:t>
      </w:r>
    </w:p>
    <w:p>
      <w:pPr>
        <w:tabs>
          <w:tab w:val="left" w:pos="6660"/>
        </w:tabs>
        <w:spacing w:line="500" w:lineRule="exact"/>
        <w:jc w:val="left"/>
        <w:rPr>
          <w:rFonts w:ascii="宋体" w:hAnsi="宋体"/>
          <w:sz w:val="24"/>
        </w:rPr>
      </w:pPr>
      <w:r>
        <w:rPr>
          <w:rFonts w:hint="eastAsia" w:ascii="宋体" w:hAnsi="宋体"/>
          <w:sz w:val="24"/>
          <w:lang w:val="en-US" w:eastAsia="zh-CN"/>
        </w:rPr>
        <w:t>1.5.1</w:t>
      </w:r>
      <w:r>
        <w:rPr>
          <w:rFonts w:hint="eastAsia" w:ascii="宋体" w:hAnsi="宋体"/>
          <w:sz w:val="24"/>
        </w:rPr>
        <w:t>主荤菜：鸡、鸭、牛、羊、猪、</w:t>
      </w:r>
      <w:r>
        <w:rPr>
          <w:rFonts w:ascii="宋体" w:hAnsi="宋体"/>
          <w:sz w:val="24"/>
        </w:rPr>
        <w:t>鱼</w:t>
      </w:r>
      <w:r>
        <w:rPr>
          <w:rFonts w:hint="eastAsia" w:ascii="宋体" w:hAnsi="宋体"/>
          <w:sz w:val="24"/>
        </w:rPr>
        <w:t>等常用</w:t>
      </w:r>
      <w:r>
        <w:rPr>
          <w:rFonts w:ascii="宋体" w:hAnsi="宋体"/>
          <w:sz w:val="24"/>
        </w:rPr>
        <w:t>食品</w:t>
      </w:r>
      <w:r>
        <w:rPr>
          <w:rFonts w:hint="eastAsia" w:ascii="宋体" w:hAnsi="宋体"/>
          <w:sz w:val="24"/>
        </w:rPr>
        <w:t>及</w:t>
      </w:r>
      <w:r>
        <w:rPr>
          <w:rFonts w:ascii="宋体" w:hAnsi="宋体"/>
          <w:sz w:val="24"/>
        </w:rPr>
        <w:t>应季产品</w:t>
      </w:r>
      <w:r>
        <w:rPr>
          <w:rFonts w:hint="eastAsia" w:ascii="宋体" w:hAnsi="宋体"/>
          <w:sz w:val="24"/>
        </w:rPr>
        <w:t>，</w:t>
      </w:r>
      <w:r>
        <w:rPr>
          <w:rFonts w:ascii="宋体" w:hAnsi="宋体"/>
          <w:sz w:val="24"/>
        </w:rPr>
        <w:t>肉类占比不低于</w:t>
      </w:r>
      <w:r>
        <w:rPr>
          <w:rFonts w:hint="eastAsia" w:ascii="宋体" w:hAnsi="宋体"/>
          <w:sz w:val="24"/>
        </w:rPr>
        <w:t>整体</w:t>
      </w:r>
      <w:r>
        <w:rPr>
          <w:rFonts w:ascii="宋体" w:hAnsi="宋体"/>
          <w:sz w:val="24"/>
        </w:rPr>
        <w:t>原材料</w:t>
      </w:r>
      <w:r>
        <w:rPr>
          <w:rFonts w:hint="eastAsia" w:ascii="宋体" w:hAnsi="宋体"/>
          <w:sz w:val="24"/>
        </w:rPr>
        <w:t>90</w:t>
      </w:r>
      <w:r>
        <w:rPr>
          <w:rFonts w:ascii="宋体" w:hAnsi="宋体"/>
          <w:sz w:val="24"/>
        </w:rPr>
        <w:t>%</w:t>
      </w:r>
      <w:r>
        <w:rPr>
          <w:rFonts w:hint="eastAsia" w:ascii="宋体" w:hAnsi="宋体"/>
          <w:sz w:val="24"/>
        </w:rPr>
        <w:t>。</w:t>
      </w:r>
    </w:p>
    <w:p>
      <w:pPr>
        <w:tabs>
          <w:tab w:val="left" w:pos="6660"/>
        </w:tabs>
        <w:spacing w:line="500" w:lineRule="exact"/>
        <w:jc w:val="left"/>
        <w:rPr>
          <w:rFonts w:ascii="宋体" w:hAnsi="宋体"/>
          <w:sz w:val="24"/>
        </w:rPr>
      </w:pPr>
      <w:r>
        <w:rPr>
          <w:rFonts w:hint="eastAsia" w:ascii="宋体" w:hAnsi="宋体"/>
          <w:sz w:val="24"/>
          <w:lang w:val="en-US" w:eastAsia="zh-CN"/>
        </w:rPr>
        <w:t>1.5.2</w:t>
      </w:r>
      <w:r>
        <w:rPr>
          <w:rFonts w:ascii="宋体" w:hAnsi="宋体"/>
          <w:sz w:val="24"/>
        </w:rPr>
        <w:t>副荤</w:t>
      </w:r>
      <w:r>
        <w:rPr>
          <w:rFonts w:hint="eastAsia" w:ascii="宋体" w:hAnsi="宋体"/>
          <w:sz w:val="24"/>
        </w:rPr>
        <w:t>菜</w:t>
      </w:r>
      <w:r>
        <w:rPr>
          <w:rFonts w:ascii="宋体" w:hAnsi="宋体"/>
          <w:sz w:val="24"/>
        </w:rPr>
        <w:t>：</w:t>
      </w:r>
      <w:r>
        <w:rPr>
          <w:rFonts w:hint="eastAsia" w:ascii="宋体" w:hAnsi="宋体"/>
          <w:sz w:val="24"/>
        </w:rPr>
        <w:t>鸡蛋类</w:t>
      </w:r>
      <w:r>
        <w:rPr>
          <w:rFonts w:ascii="宋体" w:hAnsi="宋体"/>
          <w:sz w:val="24"/>
        </w:rPr>
        <w:t>菜品属</w:t>
      </w:r>
      <w:r>
        <w:rPr>
          <w:rFonts w:hint="eastAsia" w:ascii="宋体" w:hAnsi="宋体"/>
          <w:sz w:val="24"/>
        </w:rPr>
        <w:t>副</w:t>
      </w:r>
      <w:r>
        <w:rPr>
          <w:rFonts w:ascii="宋体" w:hAnsi="宋体"/>
          <w:sz w:val="24"/>
        </w:rPr>
        <w:t>荤菜</w:t>
      </w:r>
      <w:r>
        <w:rPr>
          <w:rFonts w:hint="eastAsia" w:ascii="宋体" w:hAnsi="宋体"/>
          <w:sz w:val="24"/>
        </w:rPr>
        <w:t>，</w:t>
      </w:r>
      <w:r>
        <w:rPr>
          <w:rFonts w:ascii="宋体" w:hAnsi="宋体"/>
          <w:sz w:val="24"/>
        </w:rPr>
        <w:t>荤素小炒类肉类占比不低于</w:t>
      </w:r>
      <w:r>
        <w:rPr>
          <w:rFonts w:hint="eastAsia" w:ascii="宋体" w:hAnsi="宋体"/>
          <w:sz w:val="24"/>
        </w:rPr>
        <w:t>整体</w:t>
      </w:r>
      <w:r>
        <w:rPr>
          <w:rFonts w:ascii="宋体" w:hAnsi="宋体"/>
          <w:sz w:val="24"/>
        </w:rPr>
        <w:t>原材料</w:t>
      </w:r>
      <w:r>
        <w:rPr>
          <w:rFonts w:hint="eastAsia" w:ascii="宋体" w:hAnsi="宋体"/>
          <w:sz w:val="24"/>
        </w:rPr>
        <w:t>20</w:t>
      </w:r>
      <w:r>
        <w:rPr>
          <w:rFonts w:ascii="宋体" w:hAnsi="宋体"/>
          <w:sz w:val="24"/>
        </w:rPr>
        <w:t>%</w:t>
      </w:r>
      <w:r>
        <w:rPr>
          <w:rFonts w:hint="eastAsia" w:ascii="宋体" w:hAnsi="宋体"/>
          <w:sz w:val="24"/>
        </w:rPr>
        <w:t>，</w:t>
      </w:r>
      <w:r>
        <w:rPr>
          <w:rFonts w:ascii="宋体" w:hAnsi="宋体"/>
          <w:sz w:val="24"/>
        </w:rPr>
        <w:t>鱼香肉丝、宫保鸡丁</w:t>
      </w:r>
      <w:r>
        <w:rPr>
          <w:rFonts w:hint="eastAsia" w:ascii="宋体" w:hAnsi="宋体"/>
          <w:sz w:val="24"/>
        </w:rPr>
        <w:t>、</w:t>
      </w:r>
      <w:r>
        <w:rPr>
          <w:rFonts w:ascii="宋体" w:hAnsi="宋体"/>
          <w:sz w:val="24"/>
        </w:rPr>
        <w:t>回锅肉类</w:t>
      </w:r>
      <w:r>
        <w:rPr>
          <w:rFonts w:hint="eastAsia" w:ascii="宋体" w:hAnsi="宋体"/>
          <w:sz w:val="24"/>
        </w:rPr>
        <w:t>副</w:t>
      </w:r>
      <w:r>
        <w:rPr>
          <w:rFonts w:ascii="宋体" w:hAnsi="宋体"/>
          <w:sz w:val="24"/>
        </w:rPr>
        <w:t>荤菜肉类占比不低于</w:t>
      </w:r>
      <w:r>
        <w:rPr>
          <w:rFonts w:hint="eastAsia" w:ascii="宋体" w:hAnsi="宋体"/>
          <w:sz w:val="24"/>
        </w:rPr>
        <w:t>整体</w:t>
      </w:r>
      <w:r>
        <w:rPr>
          <w:rFonts w:ascii="宋体" w:hAnsi="宋体"/>
          <w:sz w:val="24"/>
        </w:rPr>
        <w:t>原材料50%</w:t>
      </w:r>
      <w:r>
        <w:rPr>
          <w:rFonts w:hint="eastAsia" w:ascii="宋体" w:hAnsi="宋体"/>
          <w:sz w:val="24"/>
        </w:rPr>
        <w:t>。具体</w:t>
      </w:r>
      <w:r>
        <w:rPr>
          <w:rFonts w:ascii="宋体" w:hAnsi="宋体"/>
          <w:sz w:val="24"/>
        </w:rPr>
        <w:t>以菜品为准，甲方有权对菜品</w:t>
      </w:r>
      <w:r>
        <w:rPr>
          <w:rFonts w:hint="eastAsia" w:ascii="宋体" w:hAnsi="宋体"/>
          <w:sz w:val="24"/>
        </w:rPr>
        <w:t>荤</w:t>
      </w:r>
      <w:r>
        <w:rPr>
          <w:rFonts w:ascii="宋体" w:hAnsi="宋体"/>
          <w:sz w:val="24"/>
        </w:rPr>
        <w:t>素比例进行调整</w:t>
      </w:r>
      <w:r>
        <w:rPr>
          <w:rFonts w:hint="eastAsia" w:ascii="宋体" w:hAnsi="宋体"/>
          <w:sz w:val="24"/>
        </w:rPr>
        <w:t>。</w:t>
      </w:r>
    </w:p>
    <w:p>
      <w:pPr>
        <w:pStyle w:val="2"/>
        <w:ind w:left="0" w:leftChars="0" w:firstLine="0" w:firstLineChars="0"/>
        <w:jc w:val="left"/>
        <w:rPr>
          <w:rFonts w:ascii="宋体" w:cs="Times New Roman"/>
          <w:sz w:val="24"/>
          <w:szCs w:val="24"/>
        </w:rPr>
      </w:pPr>
      <w:r>
        <w:rPr>
          <w:rFonts w:hint="eastAsia" w:ascii="宋体" w:cs="Times New Roman"/>
          <w:sz w:val="24"/>
          <w:szCs w:val="24"/>
          <w:lang w:val="en-US" w:eastAsia="zh-CN"/>
        </w:rPr>
        <w:t>1.6</w:t>
      </w:r>
      <w:r>
        <w:rPr>
          <w:rFonts w:hint="eastAsia" w:ascii="宋体" w:cs="Times New Roman"/>
          <w:sz w:val="24"/>
          <w:szCs w:val="24"/>
        </w:rPr>
        <w:t>其他特色</w:t>
      </w:r>
      <w:r>
        <w:rPr>
          <w:rFonts w:ascii="宋体" w:cs="Times New Roman"/>
          <w:sz w:val="24"/>
          <w:szCs w:val="24"/>
        </w:rPr>
        <w:t>：遇中秋节、元旦、春节、端午节、元宵节</w:t>
      </w:r>
      <w:r>
        <w:rPr>
          <w:rFonts w:hint="eastAsia" w:ascii="宋体" w:cs="Times New Roman"/>
          <w:sz w:val="24"/>
          <w:szCs w:val="24"/>
        </w:rPr>
        <w:t>（包括</w:t>
      </w:r>
      <w:r>
        <w:rPr>
          <w:rFonts w:ascii="宋体" w:cs="Times New Roman"/>
          <w:sz w:val="24"/>
          <w:szCs w:val="24"/>
        </w:rPr>
        <w:t>但不限于</w:t>
      </w:r>
      <w:r>
        <w:rPr>
          <w:rFonts w:hint="eastAsia" w:ascii="宋体" w:cs="Times New Roman"/>
          <w:sz w:val="24"/>
          <w:szCs w:val="24"/>
        </w:rPr>
        <w:t>）等</w:t>
      </w:r>
      <w:r>
        <w:rPr>
          <w:rFonts w:ascii="宋体" w:cs="Times New Roman"/>
          <w:sz w:val="24"/>
          <w:szCs w:val="24"/>
        </w:rPr>
        <w:t>节日，</w:t>
      </w:r>
      <w:r>
        <w:rPr>
          <w:rFonts w:hint="eastAsia" w:ascii="宋体" w:cs="Times New Roman"/>
          <w:sz w:val="24"/>
          <w:szCs w:val="24"/>
        </w:rPr>
        <w:t>开展主题</w:t>
      </w:r>
      <w:r>
        <w:rPr>
          <w:rFonts w:ascii="宋体" w:cs="Times New Roman"/>
          <w:sz w:val="24"/>
          <w:szCs w:val="24"/>
        </w:rPr>
        <w:t>活动</w:t>
      </w:r>
      <w:r>
        <w:rPr>
          <w:rFonts w:hint="eastAsia" w:ascii="宋体" w:cs="Times New Roman"/>
          <w:sz w:val="24"/>
          <w:szCs w:val="24"/>
          <w:lang w:eastAsia="zh-CN"/>
        </w:rPr>
        <w:t>、特色食品品鉴</w:t>
      </w:r>
      <w:r>
        <w:rPr>
          <w:rFonts w:ascii="宋体" w:cs="Times New Roman"/>
          <w:sz w:val="24"/>
          <w:szCs w:val="24"/>
        </w:rPr>
        <w:t>。</w:t>
      </w:r>
    </w:p>
    <w:p>
      <w:pPr>
        <w:pStyle w:val="2"/>
        <w:ind w:left="380" w:leftChars="11" w:hanging="357" w:hangingChars="149"/>
        <w:jc w:val="left"/>
      </w:pPr>
      <w:r>
        <w:rPr>
          <w:rFonts w:ascii="宋体"/>
          <w:sz w:val="24"/>
        </w:rPr>
        <w:t>1.</w:t>
      </w:r>
      <w:r>
        <w:rPr>
          <w:rFonts w:hint="eastAsia" w:ascii="宋体"/>
          <w:sz w:val="24"/>
          <w:lang w:val="en-US" w:eastAsia="zh-CN"/>
        </w:rPr>
        <w:t>7</w:t>
      </w:r>
      <w:r>
        <w:rPr>
          <w:rFonts w:hint="eastAsia" w:ascii="宋体"/>
          <w:sz w:val="24"/>
        </w:rPr>
        <w:t>乙方为卡口人员提供的送餐服务，送餐车辆由乙方配备，并负责各卡口的送餐工作。</w:t>
      </w:r>
    </w:p>
    <w:p>
      <w:pPr>
        <w:tabs>
          <w:tab w:val="left" w:pos="126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应急及大型重要</w:t>
      </w:r>
      <w:r>
        <w:rPr>
          <w:rFonts w:ascii="宋体" w:hAnsi="宋体"/>
          <w:color w:val="000000" w:themeColor="text1"/>
          <w:sz w:val="24"/>
          <w14:textFill>
            <w14:solidFill>
              <w14:schemeClr w14:val="tx1"/>
            </w14:solidFill>
          </w14:textFill>
        </w:rPr>
        <w:t>保障性</w:t>
      </w:r>
      <w:r>
        <w:rPr>
          <w:rFonts w:hint="eastAsia" w:ascii="宋体" w:hAnsi="宋体"/>
          <w:color w:val="000000" w:themeColor="text1"/>
          <w:sz w:val="24"/>
          <w14:textFill>
            <w14:solidFill>
              <w14:schemeClr w14:val="tx1"/>
            </w14:solidFill>
          </w14:textFill>
        </w:rPr>
        <w:t>用餐服务，需提前</w:t>
      </w:r>
      <w:r>
        <w:rPr>
          <w:rFonts w:hint="eastAsia" w:ascii="宋体" w:hAnsi="宋体"/>
          <w:color w:val="000000" w:themeColor="text1"/>
          <w:sz w:val="24"/>
          <w:lang w:eastAsia="zh-CN"/>
          <w14:textFill>
            <w14:solidFill>
              <w14:schemeClr w14:val="tx1"/>
            </w14:solidFill>
          </w14:textFill>
        </w:rPr>
        <w:t>至少</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小时向甲方</w:t>
      </w:r>
      <w:r>
        <w:rPr>
          <w:rFonts w:ascii="宋体" w:hAnsi="宋体"/>
          <w:color w:val="000000" w:themeColor="text1"/>
          <w:sz w:val="24"/>
          <w14:textFill>
            <w14:solidFill>
              <w14:schemeClr w14:val="tx1"/>
            </w14:solidFill>
          </w14:textFill>
        </w:rPr>
        <w:t>管理团队</w:t>
      </w:r>
      <w:r>
        <w:rPr>
          <w:rFonts w:hint="eastAsia" w:ascii="宋体" w:hAnsi="宋体"/>
          <w:color w:val="000000" w:themeColor="text1"/>
          <w:sz w:val="24"/>
          <w14:textFill>
            <w14:solidFill>
              <w14:schemeClr w14:val="tx1"/>
            </w14:solidFill>
          </w14:textFill>
        </w:rPr>
        <w:t>预订，由乙方安排厨师及服务人员</w:t>
      </w:r>
      <w:r>
        <w:rPr>
          <w:rFonts w:hint="eastAsia" w:ascii="宋体" w:hAnsi="宋体"/>
          <w:color w:val="000000" w:themeColor="text1"/>
          <w:sz w:val="24"/>
          <w:lang w:eastAsia="zh-CN"/>
          <w14:textFill>
            <w14:solidFill>
              <w14:schemeClr w14:val="tx1"/>
            </w14:solidFill>
          </w14:textFill>
        </w:rPr>
        <w:t>进行服务保障</w:t>
      </w:r>
      <w:r>
        <w:rPr>
          <w:rFonts w:hint="eastAsia" w:ascii="宋体" w:hAnsi="宋体"/>
          <w:color w:val="000000" w:themeColor="text1"/>
          <w:sz w:val="24"/>
          <w14:textFill>
            <w14:solidFill>
              <w14:schemeClr w14:val="tx1"/>
            </w14:solidFill>
          </w14:textFill>
        </w:rPr>
        <w:t>。</w:t>
      </w:r>
    </w:p>
    <w:p>
      <w:pPr>
        <w:tabs>
          <w:tab w:val="left" w:pos="126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9</w:t>
      </w:r>
      <w:r>
        <w:rPr>
          <w:rFonts w:ascii="宋体" w:hAnsi="宋体"/>
          <w:color w:val="000000" w:themeColor="text1"/>
          <w:sz w:val="24"/>
          <w14:textFill>
            <w14:solidFill>
              <w14:schemeClr w14:val="tx1"/>
            </w14:solidFill>
          </w14:textFill>
        </w:rPr>
        <w:t>甲方所提供的服务场地只作为餐厅之用途。在本合同有效期内，非经乙方书面申请且经甲方书面同意，乙方不得改变餐厅用途，不得在服务区域内进行与甲方无关的经营活动或做其他用途</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否则甲方有权解除合同，并要求乙方支付因此获得的利益。</w:t>
      </w:r>
    </w:p>
    <w:p>
      <w:pPr>
        <w:tabs>
          <w:tab w:val="left" w:pos="126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第二条 合作模式</w:t>
      </w:r>
    </w:p>
    <w:p>
      <w:pPr>
        <w:tabs>
          <w:tab w:val="left" w:pos="126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2.1本餐厅采用管理</w:t>
      </w:r>
      <w:r>
        <w:rPr>
          <w:rFonts w:hint="eastAsia" w:ascii="宋体" w:hAnsi="宋体"/>
          <w:color w:val="000000" w:themeColor="text1"/>
          <w:sz w:val="24"/>
          <w14:textFill>
            <w14:solidFill>
              <w14:schemeClr w14:val="tx1"/>
            </w14:solidFill>
          </w14:textFill>
        </w:rPr>
        <w:t>加</w:t>
      </w:r>
      <w:r>
        <w:rPr>
          <w:rFonts w:ascii="宋体" w:hAnsi="宋体"/>
          <w:color w:val="000000" w:themeColor="text1"/>
          <w:sz w:val="24"/>
          <w14:textFill>
            <w14:solidFill>
              <w14:schemeClr w14:val="tx1"/>
            </w14:solidFill>
          </w14:textFill>
        </w:rPr>
        <w:t>合作</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服务模式。由甲方提供生产、经营场地、所有厨房设备、厨杂、餐具、能源</w:t>
      </w:r>
      <w:r>
        <w:rPr>
          <w:rFonts w:hint="eastAsia" w:ascii="宋体" w:hAnsi="宋体"/>
          <w:color w:val="000000" w:themeColor="text1"/>
          <w:sz w:val="24"/>
          <w14:textFill>
            <w14:solidFill>
              <w14:schemeClr w14:val="tx1"/>
            </w14:solidFill>
          </w14:textFill>
        </w:rPr>
        <w:t>保障等</w:t>
      </w:r>
      <w:r>
        <w:rPr>
          <w:rFonts w:ascii="宋体" w:hAnsi="宋体"/>
          <w:color w:val="000000" w:themeColor="text1"/>
          <w:sz w:val="24"/>
          <w14:textFill>
            <w14:solidFill>
              <w14:schemeClr w14:val="tx1"/>
            </w14:solidFill>
          </w14:textFill>
        </w:rPr>
        <w:t>；乙方负责甲方员工餐厅（含卡口送餐、</w:t>
      </w:r>
      <w:r>
        <w:rPr>
          <w:rFonts w:hint="eastAsia" w:ascii="宋体" w:hAnsi="宋体"/>
          <w:color w:val="000000" w:themeColor="text1"/>
          <w:sz w:val="24"/>
          <w14:textFill>
            <w14:solidFill>
              <w14:schemeClr w14:val="tx1"/>
            </w14:solidFill>
          </w14:textFill>
        </w:rPr>
        <w:t>应急及大型重要</w:t>
      </w:r>
      <w:r>
        <w:rPr>
          <w:rFonts w:ascii="宋体" w:hAnsi="宋体"/>
          <w:color w:val="000000" w:themeColor="text1"/>
          <w:sz w:val="24"/>
          <w14:textFill>
            <w14:solidFill>
              <w14:schemeClr w14:val="tx1"/>
            </w14:solidFill>
          </w14:textFill>
        </w:rPr>
        <w:t>保障性</w:t>
      </w:r>
      <w:r>
        <w:rPr>
          <w:rFonts w:hint="eastAsia" w:ascii="宋体" w:hAnsi="宋体"/>
          <w:color w:val="000000" w:themeColor="text1"/>
          <w:sz w:val="24"/>
          <w14:textFill>
            <w14:solidFill>
              <w14:schemeClr w14:val="tx1"/>
            </w14:solidFill>
          </w14:textFill>
        </w:rPr>
        <w:t>用餐服务</w:t>
      </w:r>
      <w:r>
        <w:rPr>
          <w:rFonts w:ascii="宋体" w:hAnsi="宋体"/>
          <w:color w:val="000000" w:themeColor="text1"/>
          <w:sz w:val="24"/>
          <w14:textFill>
            <w14:solidFill>
              <w14:schemeClr w14:val="tx1"/>
            </w14:solidFill>
          </w14:textFill>
        </w:rPr>
        <w:t>）的用餐服务；乙方提供包括厨师、服务人员在内的所有现场工作人员</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原材料</w:t>
      </w:r>
      <w:r>
        <w:rPr>
          <w:rFonts w:hint="eastAsia" w:ascii="宋体" w:hAnsi="宋体"/>
          <w:color w:val="000000" w:themeColor="text1"/>
          <w:sz w:val="24"/>
          <w14:textFill>
            <w14:solidFill>
              <w14:schemeClr w14:val="tx1"/>
            </w14:solidFill>
          </w14:textFill>
        </w:rPr>
        <w:t>采买服务，</w:t>
      </w:r>
      <w:r>
        <w:rPr>
          <w:rFonts w:ascii="宋体" w:hAnsi="宋体"/>
          <w:color w:val="000000" w:themeColor="text1"/>
          <w:sz w:val="24"/>
          <w14:textFill>
            <w14:solidFill>
              <w14:schemeClr w14:val="tx1"/>
            </w14:solidFill>
          </w14:textFill>
        </w:rPr>
        <w:t>以及对餐</w:t>
      </w:r>
      <w:r>
        <w:rPr>
          <w:rFonts w:hint="eastAsia" w:ascii="宋体" w:hAnsi="宋体"/>
          <w:color w:val="000000" w:themeColor="text1"/>
          <w:sz w:val="24"/>
          <w:lang w:eastAsia="zh-CN"/>
          <w14:textFill>
            <w14:solidFill>
              <w14:schemeClr w14:val="tx1"/>
            </w14:solidFill>
          </w14:textFill>
        </w:rPr>
        <w:t>厅</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全面管理。</w:t>
      </w:r>
    </w:p>
    <w:p>
      <w:pPr>
        <w:tabs>
          <w:tab w:val="left" w:pos="1260"/>
        </w:tabs>
        <w:spacing w:line="360" w:lineRule="auto"/>
        <w:jc w:val="left"/>
        <w:rPr>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2.1.1</w:t>
      </w:r>
      <w:r>
        <w:rPr>
          <w:rFonts w:hint="eastAsia" w:ascii="宋体" w:hAnsi="宋体"/>
          <w:color w:val="000000" w:themeColor="text1"/>
          <w:sz w:val="24"/>
          <w14:textFill>
            <w14:solidFill>
              <w14:schemeClr w14:val="tx1"/>
            </w14:solidFill>
          </w14:textFill>
        </w:rPr>
        <w:t>乙方</w:t>
      </w:r>
      <w:r>
        <w:rPr>
          <w:rFonts w:hint="eastAsia" w:ascii="宋体" w:hAnsi="宋体"/>
          <w:color w:val="000000" w:themeColor="text1"/>
          <w:sz w:val="24"/>
          <w:lang w:eastAsia="zh-CN"/>
          <w14:textFill>
            <w14:solidFill>
              <w14:schemeClr w14:val="tx1"/>
            </w14:solidFill>
          </w14:textFill>
        </w:rPr>
        <w:t>的全面管理，</w:t>
      </w:r>
      <w:r>
        <w:rPr>
          <w:rFonts w:hint="eastAsia" w:ascii="宋体" w:hAnsi="宋体"/>
          <w:color w:val="000000" w:themeColor="text1"/>
          <w:sz w:val="24"/>
          <w14:textFill>
            <w14:solidFill>
              <w14:schemeClr w14:val="tx1"/>
            </w14:solidFill>
          </w14:textFill>
        </w:rPr>
        <w:t>主要工作范围</w:t>
      </w:r>
      <w:r>
        <w:rPr>
          <w:rFonts w:hint="eastAsia" w:ascii="宋体" w:hAnsi="宋体"/>
          <w:color w:val="000000" w:themeColor="text1"/>
          <w:sz w:val="24"/>
          <w:lang w:eastAsia="zh-CN"/>
          <w14:textFill>
            <w14:solidFill>
              <w14:schemeClr w14:val="tx1"/>
            </w14:solidFill>
          </w14:textFill>
        </w:rPr>
        <w:t>包括但不限于，</w:t>
      </w:r>
      <w:r>
        <w:rPr>
          <w:rFonts w:hint="eastAsia" w:ascii="宋体" w:hAnsi="宋体"/>
          <w:color w:val="000000" w:themeColor="text1"/>
          <w:sz w:val="24"/>
          <w14:textFill>
            <w14:solidFill>
              <w14:schemeClr w14:val="tx1"/>
            </w14:solidFill>
          </w14:textFill>
        </w:rPr>
        <w:t>餐厅厨房设备设施维护维修保养、厨房厨具厨杂低值易耗品补充购置、日常清洁及防疫消杀、能源保障</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燃气</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tabs>
          <w:tab w:val="left" w:pos="126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2.2乙方为履行本合同，应派出能够充分满足合同要求的现场服务人员，现场服务人员核定为33人</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14:textFill>
            <w14:solidFill>
              <w14:schemeClr w14:val="tx1"/>
            </w14:solidFill>
          </w14:textFill>
        </w:rPr>
        <w:t>项目经理，</w:t>
      </w:r>
      <w:r>
        <w:rPr>
          <w:rFonts w:hint="eastAsia" w:ascii="宋体" w:hAnsi="宋体"/>
          <w:color w:val="000000" w:themeColor="text1"/>
          <w:sz w:val="24"/>
          <w14:textFill>
            <w14:solidFill>
              <w14:schemeClr w14:val="tx1"/>
            </w14:solidFill>
          </w14:textFill>
        </w:rPr>
        <w:t>1名</w:t>
      </w:r>
      <w:r>
        <w:rPr>
          <w:rFonts w:ascii="宋体" w:hAnsi="宋体"/>
          <w:color w:val="000000" w:themeColor="text1"/>
          <w:sz w:val="24"/>
          <w14:textFill>
            <w14:solidFill>
              <w14:schemeClr w14:val="tx1"/>
            </w14:solidFill>
          </w14:textFill>
        </w:rPr>
        <w:t>高级厨师，</w:t>
      </w:r>
      <w:r>
        <w:rPr>
          <w:rFonts w:hint="eastAsia" w:ascii="宋体" w:hAnsi="宋体"/>
          <w:color w:val="000000" w:themeColor="text1"/>
          <w:sz w:val="24"/>
          <w14:textFill>
            <w14:solidFill>
              <w14:schemeClr w14:val="tx1"/>
            </w14:solidFill>
          </w14:textFill>
        </w:rPr>
        <w:t>1名</w:t>
      </w:r>
      <w:r>
        <w:rPr>
          <w:rFonts w:ascii="宋体" w:hAnsi="宋体"/>
          <w:color w:val="000000" w:themeColor="text1"/>
          <w:sz w:val="24"/>
          <w14:textFill>
            <w14:solidFill>
              <w14:schemeClr w14:val="tx1"/>
            </w14:solidFill>
          </w14:textFill>
        </w:rPr>
        <w:t>高级面点厨师</w:t>
      </w:r>
      <w:r>
        <w:rPr>
          <w:rFonts w:hint="eastAsia" w:ascii="宋体" w:hAnsi="宋体"/>
          <w:color w:val="000000" w:themeColor="text1"/>
          <w:sz w:val="24"/>
          <w14:textFill>
            <w14:solidFill>
              <w14:schemeClr w14:val="tx1"/>
            </w14:solidFill>
          </w14:textFill>
        </w:rPr>
        <w:t>，以及</w:t>
      </w:r>
      <w:r>
        <w:rPr>
          <w:rFonts w:ascii="宋体" w:hAnsi="宋体"/>
          <w:color w:val="000000" w:themeColor="text1"/>
          <w:sz w:val="24"/>
          <w14:textFill>
            <w14:solidFill>
              <w14:schemeClr w14:val="tx1"/>
            </w14:solidFill>
          </w14:textFill>
        </w:rPr>
        <w:t>其他</w:t>
      </w:r>
      <w:r>
        <w:rPr>
          <w:rFonts w:hint="eastAsia" w:cs="宋体" w:asciiTheme="minorEastAsia" w:hAnsiTheme="minorEastAsia"/>
          <w:color w:val="000000"/>
          <w:spacing w:val="-11"/>
          <w:sz w:val="24"/>
        </w:rPr>
        <w:t>厨师、面点师，配菜人员，服务员，勤杂工等</w:t>
      </w:r>
      <w:r>
        <w:rPr>
          <w:rFonts w:cs="宋体" w:asciiTheme="minorEastAsia" w:hAnsiTheme="minorEastAsia"/>
          <w:color w:val="000000"/>
          <w:spacing w:val="-11"/>
          <w:sz w:val="24"/>
        </w:rPr>
        <w:t>各类服务人员</w:t>
      </w:r>
      <w:r>
        <w:rPr>
          <w:rFonts w:hint="eastAsia" w:cs="宋体" w:asciiTheme="minorEastAsia" w:hAnsiTheme="minorEastAsia"/>
          <w:color w:val="000000"/>
          <w:spacing w:val="-11"/>
          <w:sz w:val="24"/>
        </w:rPr>
        <w:t>30名。</w:t>
      </w:r>
      <w:r>
        <w:rPr>
          <w:rFonts w:ascii="宋体" w:hAnsi="宋体"/>
          <w:color w:val="000000" w:themeColor="text1"/>
          <w:sz w:val="24"/>
          <w14:textFill>
            <w14:solidFill>
              <w14:schemeClr w14:val="tx1"/>
            </w14:solidFill>
          </w14:textFill>
        </w:rPr>
        <w:t>乙方人员须服从甲方</w:t>
      </w:r>
      <w:r>
        <w:rPr>
          <w:rFonts w:hint="eastAsia" w:ascii="宋体" w:hAnsi="宋体"/>
          <w:color w:val="000000" w:themeColor="text1"/>
          <w:sz w:val="24"/>
          <w14:textFill>
            <w14:solidFill>
              <w14:schemeClr w14:val="tx1"/>
            </w14:solidFill>
          </w14:textFill>
        </w:rPr>
        <w:t>人员</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监督</w:t>
      </w:r>
      <w:r>
        <w:rPr>
          <w:rFonts w:ascii="宋体" w:hAnsi="宋体"/>
          <w:color w:val="000000" w:themeColor="text1"/>
          <w:sz w:val="24"/>
          <w14:textFill>
            <w14:solidFill>
              <w14:schemeClr w14:val="tx1"/>
            </w14:solidFill>
          </w14:textFill>
        </w:rPr>
        <w:t>与管理。乙方人员如不能满足甲方要求，则甲方有权要求乙方予以撤换，乙方应在15个工作日内重新派出合格的工作人员。</w:t>
      </w:r>
    </w:p>
    <w:p>
      <w:pPr>
        <w:tabs>
          <w:tab w:val="left" w:pos="126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2.3 33</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14:textFill>
            <w14:solidFill>
              <w14:schemeClr w14:val="tx1"/>
            </w14:solidFill>
          </w14:textFill>
        </w:rPr>
        <w:t>餐厅服务人员</w:t>
      </w:r>
      <w:r>
        <w:rPr>
          <w:rFonts w:hint="eastAsia" w:ascii="宋体" w:hAnsi="宋体"/>
          <w:color w:val="000000" w:themeColor="text1"/>
          <w:sz w:val="24"/>
          <w14:textFill>
            <w14:solidFill>
              <w14:schemeClr w14:val="tx1"/>
            </w14:solidFill>
          </w14:textFill>
        </w:rPr>
        <w:t>名单、</w:t>
      </w:r>
      <w:r>
        <w:rPr>
          <w:rFonts w:ascii="宋体" w:hAnsi="宋体"/>
          <w:color w:val="000000" w:themeColor="text1"/>
          <w:sz w:val="24"/>
          <w14:textFill>
            <w14:solidFill>
              <w14:schemeClr w14:val="tx1"/>
            </w14:solidFill>
          </w14:textFill>
        </w:rPr>
        <w:t>资质要求、卫生许可等上岗必备条件全部进行</w:t>
      </w:r>
      <w:r>
        <w:rPr>
          <w:rFonts w:hint="eastAsia" w:ascii="宋体" w:hAnsi="宋体"/>
          <w:color w:val="000000" w:themeColor="text1"/>
          <w:sz w:val="24"/>
          <w14:textFill>
            <w14:solidFill>
              <w14:schemeClr w14:val="tx1"/>
            </w14:solidFill>
          </w14:textFill>
        </w:rPr>
        <w:t>公</w:t>
      </w:r>
      <w:r>
        <w:rPr>
          <w:rFonts w:ascii="宋体" w:hAnsi="宋体"/>
          <w:color w:val="000000" w:themeColor="text1"/>
          <w:sz w:val="24"/>
          <w14:textFill>
            <w14:solidFill>
              <w14:schemeClr w14:val="tx1"/>
            </w14:solidFill>
          </w14:textFill>
        </w:rPr>
        <w:t>开公示</w:t>
      </w:r>
      <w:r>
        <w:rPr>
          <w:rFonts w:hint="eastAsia" w:ascii="宋体" w:hAnsi="宋体"/>
          <w:color w:val="000000" w:themeColor="text1"/>
          <w:sz w:val="24"/>
          <w14:textFill>
            <w14:solidFill>
              <w14:schemeClr w14:val="tx1"/>
            </w14:solidFill>
          </w14:textFill>
        </w:rPr>
        <w:t>。</w:t>
      </w:r>
    </w:p>
    <w:p>
      <w:pPr>
        <w:tabs>
          <w:tab w:val="left" w:pos="126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2.4甲方与乙方人员之间不存在劳动、雇佣或其他任何法律关系；乙方人员在甲方工作期间，如发生意外、工伤等一切事故，均由乙方承担，与甲方无关</w:t>
      </w:r>
      <w:r>
        <w:rPr>
          <w:rFonts w:hint="eastAsia" w:ascii="宋体" w:hAnsi="宋体"/>
          <w:color w:val="000000" w:themeColor="text1"/>
          <w:sz w:val="24"/>
          <w14:textFill>
            <w14:solidFill>
              <w14:schemeClr w14:val="tx1"/>
            </w14:solidFill>
          </w14:textFill>
        </w:rPr>
        <w:t>，若</w:t>
      </w:r>
      <w:r>
        <w:rPr>
          <w:rFonts w:ascii="宋体" w:hAnsi="宋体"/>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因此</w:t>
      </w:r>
      <w:r>
        <w:rPr>
          <w:rFonts w:ascii="宋体" w:hAnsi="宋体"/>
          <w:color w:val="000000" w:themeColor="text1"/>
          <w:sz w:val="24"/>
          <w14:textFill>
            <w14:solidFill>
              <w14:schemeClr w14:val="tx1"/>
            </w14:solidFill>
          </w14:textFill>
        </w:rPr>
        <w:t>承担赔偿责任，有权向乙方追偿。</w:t>
      </w:r>
    </w:p>
    <w:p>
      <w:pPr>
        <w:tabs>
          <w:tab w:val="left" w:pos="1260"/>
        </w:tabs>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第三条 保障</w:t>
      </w:r>
      <w:r>
        <w:rPr>
          <w:rFonts w:ascii="宋体" w:hAnsi="宋体"/>
          <w:b/>
          <w:color w:val="000000" w:themeColor="text1"/>
          <w:sz w:val="24"/>
          <w14:textFill>
            <w14:solidFill>
              <w14:schemeClr w14:val="tx1"/>
            </w14:solidFill>
          </w14:textFill>
        </w:rPr>
        <w:t>期限及费用结算</w:t>
      </w:r>
    </w:p>
    <w:p>
      <w:pPr>
        <w:spacing w:line="520" w:lineRule="exact"/>
        <w:jc w:val="left"/>
        <w:rPr>
          <w:rFonts w:ascii="宋体" w:hAnsi="宋体" w:cs="宋体"/>
          <w:sz w:val="24"/>
        </w:rPr>
      </w:pPr>
      <w:r>
        <w:rPr>
          <w:rFonts w:hint="eastAsia" w:ascii="宋体" w:hAnsi="宋体"/>
          <w:sz w:val="24"/>
        </w:rPr>
        <w:t>3</w:t>
      </w:r>
      <w:r>
        <w:rPr>
          <w:rFonts w:ascii="宋体" w:hAnsi="宋体"/>
          <w:sz w:val="24"/>
        </w:rPr>
        <w:t>.1</w:t>
      </w:r>
      <w:r>
        <w:rPr>
          <w:rFonts w:hint="eastAsia" w:ascii="宋体" w:hAnsi="宋体"/>
          <w:sz w:val="24"/>
        </w:rPr>
        <w:t>服务</w:t>
      </w:r>
      <w:r>
        <w:rPr>
          <w:rFonts w:ascii="宋体" w:hAnsi="宋体"/>
          <w:sz w:val="24"/>
        </w:rPr>
        <w:t>期限</w:t>
      </w:r>
      <w:r>
        <w:rPr>
          <w:rFonts w:hint="eastAsia" w:ascii="宋体" w:hAnsi="宋体"/>
          <w:sz w:val="24"/>
          <w:lang w:eastAsia="zh-CN"/>
        </w:rPr>
        <w:t>：</w:t>
      </w:r>
      <w:r>
        <w:rPr>
          <w:rFonts w:hint="eastAsia" w:ascii="宋体" w:hAnsi="宋体"/>
          <w:sz w:val="24"/>
          <w:lang w:val="en-US" w:eastAsia="zh-CN"/>
        </w:rPr>
        <w:t>2026</w:t>
      </w:r>
      <w:r>
        <w:rPr>
          <w:rFonts w:hint="eastAsia" w:ascii="宋体" w:hAnsi="宋体" w:cs="宋体"/>
          <w:sz w:val="24"/>
        </w:rPr>
        <w:t>年  月  日-</w:t>
      </w:r>
      <w:r>
        <w:rPr>
          <w:rFonts w:hint="eastAsia" w:ascii="宋体" w:hAnsi="宋体" w:cs="宋体"/>
          <w:sz w:val="24"/>
          <w:lang w:val="en-US" w:eastAsia="zh-CN"/>
        </w:rPr>
        <w:t>2026</w:t>
      </w:r>
      <w:r>
        <w:rPr>
          <w:rFonts w:hint="eastAsia" w:ascii="宋体" w:hAnsi="宋体" w:cs="宋体"/>
          <w:sz w:val="24"/>
        </w:rPr>
        <w:t>年12月31日</w:t>
      </w:r>
      <w:r>
        <w:rPr>
          <w:rFonts w:ascii="宋体" w:hAnsi="宋体" w:cs="宋体"/>
          <w:sz w:val="24"/>
        </w:rPr>
        <w:t>（</w:t>
      </w:r>
      <w:r>
        <w:rPr>
          <w:rFonts w:hint="eastAsia" w:ascii="等线" w:hAnsi="等线" w:cs="宋体"/>
          <w:spacing w:val="-11"/>
          <w:sz w:val="24"/>
        </w:rPr>
        <w:t>最终服务期限</w:t>
      </w:r>
      <w:r>
        <w:rPr>
          <w:rFonts w:ascii="等线" w:hAnsi="等线" w:cs="宋体"/>
          <w:spacing w:val="-11"/>
          <w:sz w:val="24"/>
        </w:rPr>
        <w:t>，</w:t>
      </w:r>
      <w:r>
        <w:rPr>
          <w:rFonts w:hint="eastAsia" w:ascii="等线" w:hAnsi="等线" w:cs="宋体"/>
          <w:spacing w:val="-11"/>
          <w:sz w:val="24"/>
        </w:rPr>
        <w:t>以合同</w:t>
      </w:r>
      <w:r>
        <w:rPr>
          <w:rFonts w:ascii="等线" w:hAnsi="等线" w:cs="宋体"/>
          <w:spacing w:val="-11"/>
          <w:sz w:val="24"/>
        </w:rPr>
        <w:t>签订时间</w:t>
      </w:r>
      <w:r>
        <w:rPr>
          <w:rFonts w:hint="eastAsia" w:ascii="等线" w:hAnsi="等线" w:cs="宋体"/>
          <w:spacing w:val="-11"/>
          <w:sz w:val="24"/>
        </w:rPr>
        <w:t>为准</w:t>
      </w:r>
      <w:r>
        <w:rPr>
          <w:rFonts w:ascii="宋体" w:hAnsi="宋体" w:cs="宋体"/>
          <w:sz w:val="24"/>
        </w:rPr>
        <w:t>）</w:t>
      </w:r>
    </w:p>
    <w:p>
      <w:pPr>
        <w:pStyle w:val="2"/>
        <w:rPr>
          <w:rFonts w:hint="default" w:eastAsia="宋体"/>
          <w:u w:val="none"/>
          <w:lang w:val="en-US" w:eastAsia="zh-CN"/>
        </w:rPr>
      </w:pPr>
      <w:r>
        <w:rPr>
          <w:rFonts w:hint="eastAsia" w:ascii="宋体" w:cs="宋体"/>
          <w:sz w:val="24"/>
          <w:lang w:val="en-US" w:eastAsia="zh-CN"/>
        </w:rPr>
        <w:t>3.2合同金额：小写：</w:t>
      </w:r>
      <w:r>
        <w:rPr>
          <w:rFonts w:hint="eastAsia" w:ascii="宋体" w:cs="宋体"/>
          <w:sz w:val="24"/>
          <w:u w:val="single"/>
          <w:lang w:val="en-US" w:eastAsia="zh-CN"/>
        </w:rPr>
        <w:t xml:space="preserve">          </w:t>
      </w:r>
      <w:r>
        <w:rPr>
          <w:rFonts w:hint="eastAsia" w:ascii="宋体" w:cs="宋体"/>
          <w:sz w:val="24"/>
          <w:u w:val="none"/>
          <w:lang w:val="en-US" w:eastAsia="zh-CN"/>
        </w:rPr>
        <w:t>；大写：</w:t>
      </w:r>
      <w:r>
        <w:rPr>
          <w:rFonts w:hint="eastAsia" w:ascii="宋体" w:cs="宋体"/>
          <w:sz w:val="24"/>
          <w:u w:val="single"/>
          <w:lang w:val="en-US" w:eastAsia="zh-CN"/>
        </w:rPr>
        <w:t xml:space="preserve">           </w:t>
      </w:r>
      <w:r>
        <w:rPr>
          <w:rFonts w:hint="eastAsia" w:ascii="宋体" w:cs="宋体"/>
          <w:sz w:val="24"/>
          <w:u w:val="none"/>
          <w:lang w:val="en-US" w:eastAsia="zh-CN"/>
        </w:rPr>
        <w:t>。</w:t>
      </w:r>
    </w:p>
    <w:p>
      <w:pPr>
        <w:spacing w:line="520" w:lineRule="exact"/>
        <w:jc w:val="left"/>
        <w:rPr>
          <w:rFonts w:hint="eastAsia" w:ascii="宋体" w:hAnsi="宋体" w:eastAsia="宋体" w:cs="宋体"/>
          <w:color w:val="auto"/>
          <w:sz w:val="24"/>
          <w:lang w:eastAsia="zh-CN"/>
        </w:rPr>
      </w:pPr>
      <w:r>
        <w:rPr>
          <w:rFonts w:hint="eastAsia" w:ascii="宋体" w:hAnsi="宋体"/>
          <w:sz w:val="24"/>
        </w:rPr>
        <w:t>3.</w:t>
      </w:r>
      <w:r>
        <w:rPr>
          <w:rFonts w:hint="eastAsia" w:ascii="宋体" w:hAnsi="宋体"/>
          <w:sz w:val="24"/>
          <w:lang w:val="en-US" w:eastAsia="zh-CN"/>
        </w:rPr>
        <w:t>3</w:t>
      </w:r>
      <w:r>
        <w:rPr>
          <w:rFonts w:hint="eastAsia" w:ascii="宋体" w:hAnsi="宋体" w:cs="宋体"/>
          <w:sz w:val="24"/>
        </w:rPr>
        <w:t>结算方式：甲方自本合同签订后15个</w:t>
      </w:r>
      <w:r>
        <w:rPr>
          <w:rFonts w:ascii="宋体" w:hAnsi="宋体" w:cs="宋体"/>
          <w:sz w:val="24"/>
        </w:rPr>
        <w:t>工作日内</w:t>
      </w:r>
      <w:r>
        <w:rPr>
          <w:rFonts w:hint="eastAsia" w:ascii="宋体" w:hAnsi="宋体" w:cs="宋体"/>
          <w:sz w:val="24"/>
        </w:rPr>
        <w:t>，</w:t>
      </w:r>
      <w:r>
        <w:rPr>
          <w:rFonts w:ascii="宋体" w:hAnsi="宋体" w:cs="宋体"/>
          <w:sz w:val="24"/>
        </w:rPr>
        <w:t>且</w:t>
      </w:r>
      <w:r>
        <w:rPr>
          <w:rFonts w:hint="eastAsia" w:ascii="宋体" w:hAnsi="宋体" w:cs="宋体"/>
          <w:sz w:val="24"/>
        </w:rPr>
        <w:t>乙方向甲方开具符合</w:t>
      </w:r>
      <w:r>
        <w:rPr>
          <w:rFonts w:ascii="宋体" w:hAnsi="宋体" w:cs="宋体"/>
          <w:sz w:val="24"/>
        </w:rPr>
        <w:t>国家要求标准的</w:t>
      </w:r>
      <w:r>
        <w:rPr>
          <w:rFonts w:hint="eastAsia" w:ascii="宋体" w:hAnsi="宋体" w:cs="宋体"/>
          <w:sz w:val="24"/>
        </w:rPr>
        <w:t>正规合格的发票后，向乙方支付合同</w:t>
      </w:r>
      <w:r>
        <w:rPr>
          <w:rFonts w:ascii="宋体" w:hAnsi="宋体" w:cs="宋体"/>
          <w:sz w:val="24"/>
        </w:rPr>
        <w:t>金额</w:t>
      </w:r>
      <w:r>
        <w:rPr>
          <w:rFonts w:hint="eastAsia" w:ascii="宋体" w:hAnsi="宋体" w:cs="宋体"/>
          <w:sz w:val="24"/>
        </w:rPr>
        <w:t>30</w:t>
      </w:r>
      <w:r>
        <w:rPr>
          <w:rFonts w:ascii="宋体" w:hAnsi="宋体" w:cs="宋体"/>
          <w:sz w:val="24"/>
        </w:rPr>
        <w:t>%，</w:t>
      </w:r>
      <w:r>
        <w:rPr>
          <w:rFonts w:hint="eastAsia" w:ascii="宋体" w:hAnsi="宋体" w:cs="宋体"/>
          <w:sz w:val="24"/>
        </w:rPr>
        <w:t>费用共计</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万</w:t>
      </w:r>
      <w:r>
        <w:rPr>
          <w:rFonts w:hint="eastAsia" w:ascii="宋体" w:hAnsi="宋体" w:cs="宋体"/>
          <w:sz w:val="24"/>
        </w:rPr>
        <w:t>元，作为</w:t>
      </w:r>
      <w:r>
        <w:rPr>
          <w:rFonts w:ascii="宋体" w:hAnsi="宋体" w:cs="宋体"/>
          <w:sz w:val="24"/>
        </w:rPr>
        <w:t>首期款</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年6月25日</w:t>
      </w:r>
      <w:r>
        <w:rPr>
          <w:rFonts w:ascii="宋体" w:hAnsi="宋体" w:cs="宋体"/>
          <w:sz w:val="24"/>
        </w:rPr>
        <w:t>前</w:t>
      </w:r>
      <w:r>
        <w:rPr>
          <w:rFonts w:hint="eastAsia" w:ascii="宋体" w:hAnsi="宋体" w:cs="宋体"/>
          <w:sz w:val="24"/>
        </w:rPr>
        <w:t>，</w:t>
      </w:r>
      <w:r>
        <w:rPr>
          <w:rFonts w:ascii="宋体" w:hAnsi="宋体" w:cs="宋体"/>
          <w:sz w:val="24"/>
        </w:rPr>
        <w:t>且</w:t>
      </w:r>
      <w:r>
        <w:rPr>
          <w:rFonts w:hint="eastAsia" w:ascii="宋体" w:hAnsi="宋体" w:cs="宋体"/>
          <w:sz w:val="24"/>
        </w:rPr>
        <w:t>乙方向甲方开具符合</w:t>
      </w:r>
      <w:r>
        <w:rPr>
          <w:rFonts w:ascii="宋体" w:hAnsi="宋体" w:cs="宋体"/>
          <w:sz w:val="24"/>
        </w:rPr>
        <w:t>国家要求标准的</w:t>
      </w:r>
      <w:r>
        <w:rPr>
          <w:rFonts w:hint="eastAsia" w:ascii="宋体" w:hAnsi="宋体" w:cs="宋体"/>
          <w:sz w:val="24"/>
        </w:rPr>
        <w:t>正规合格的发票后，向乙方支付合同</w:t>
      </w:r>
      <w:r>
        <w:rPr>
          <w:rFonts w:ascii="宋体" w:hAnsi="宋体" w:cs="宋体"/>
          <w:sz w:val="24"/>
        </w:rPr>
        <w:t>金额</w:t>
      </w:r>
      <w:r>
        <w:rPr>
          <w:rFonts w:hint="eastAsia" w:ascii="宋体" w:hAnsi="宋体" w:cs="宋体"/>
          <w:sz w:val="24"/>
        </w:rPr>
        <w:t>40</w:t>
      </w:r>
      <w:r>
        <w:rPr>
          <w:rFonts w:ascii="宋体" w:hAnsi="宋体" w:cs="宋体"/>
          <w:sz w:val="24"/>
        </w:rPr>
        <w:t>%</w:t>
      </w:r>
      <w:r>
        <w:rPr>
          <w:rFonts w:hint="eastAsia" w:ascii="宋体" w:hAnsi="宋体" w:cs="宋体"/>
          <w:sz w:val="24"/>
        </w:rPr>
        <w:t>，费用共计</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eastAsia="zh-CN"/>
        </w:rPr>
        <w:t>万</w:t>
      </w:r>
      <w:r>
        <w:rPr>
          <w:rFonts w:hint="eastAsia" w:ascii="宋体" w:hAnsi="宋体" w:cs="宋体"/>
          <w:sz w:val="24"/>
        </w:rPr>
        <w:t>元，作为</w:t>
      </w:r>
      <w:r>
        <w:rPr>
          <w:rFonts w:ascii="宋体" w:hAnsi="宋体" w:cs="宋体"/>
          <w:sz w:val="24"/>
        </w:rPr>
        <w:t>中期款</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月25日前</w:t>
      </w:r>
      <w:r>
        <w:rPr>
          <w:rFonts w:ascii="宋体" w:hAnsi="宋体" w:cs="宋体"/>
          <w:sz w:val="24"/>
        </w:rPr>
        <w:t>，</w:t>
      </w:r>
      <w:r>
        <w:rPr>
          <w:rFonts w:hint="eastAsia" w:ascii="宋体" w:hAnsi="宋体" w:cs="宋体"/>
          <w:color w:val="auto"/>
          <w:sz w:val="24"/>
          <w:lang w:eastAsia="zh-CN"/>
        </w:rPr>
        <w:t>如无需财政评审，</w:t>
      </w:r>
      <w:r>
        <w:rPr>
          <w:rFonts w:ascii="宋体" w:hAnsi="宋体" w:cs="宋体"/>
          <w:color w:val="auto"/>
          <w:sz w:val="24"/>
        </w:rPr>
        <w:t>且</w:t>
      </w:r>
      <w:r>
        <w:rPr>
          <w:rFonts w:hint="eastAsia" w:ascii="宋体" w:hAnsi="宋体" w:cs="宋体"/>
          <w:color w:val="auto"/>
          <w:sz w:val="24"/>
        </w:rPr>
        <w:t>乙方向甲方开具符合</w:t>
      </w:r>
      <w:r>
        <w:rPr>
          <w:rFonts w:ascii="宋体" w:hAnsi="宋体" w:cs="宋体"/>
          <w:color w:val="auto"/>
          <w:sz w:val="24"/>
        </w:rPr>
        <w:t>国家要求标准的</w:t>
      </w:r>
      <w:r>
        <w:rPr>
          <w:rFonts w:hint="eastAsia" w:ascii="宋体" w:hAnsi="宋体" w:cs="宋体"/>
          <w:color w:val="auto"/>
          <w:sz w:val="24"/>
        </w:rPr>
        <w:t>正规合格的发票后，向乙方支付合同</w:t>
      </w:r>
      <w:r>
        <w:rPr>
          <w:rFonts w:ascii="宋体" w:hAnsi="宋体" w:cs="宋体"/>
          <w:color w:val="auto"/>
          <w:sz w:val="24"/>
        </w:rPr>
        <w:t>金额</w:t>
      </w:r>
      <w:r>
        <w:rPr>
          <w:rFonts w:hint="eastAsia" w:ascii="宋体" w:hAnsi="宋体" w:cs="宋体"/>
          <w:color w:val="auto"/>
          <w:sz w:val="24"/>
        </w:rPr>
        <w:t>30</w:t>
      </w:r>
      <w:r>
        <w:rPr>
          <w:rFonts w:ascii="宋体" w:hAnsi="宋体" w:cs="宋体"/>
          <w:color w:val="auto"/>
          <w:sz w:val="24"/>
        </w:rPr>
        <w:t>%</w:t>
      </w:r>
      <w:r>
        <w:rPr>
          <w:rFonts w:hint="eastAsia" w:ascii="宋体" w:hAnsi="宋体" w:cs="宋体"/>
          <w:color w:val="auto"/>
          <w:sz w:val="24"/>
        </w:rPr>
        <w:t>，费用共计</w:t>
      </w:r>
      <w:r>
        <w:rPr>
          <w:rFonts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eastAsia="zh-CN"/>
        </w:rPr>
        <w:t>万</w:t>
      </w:r>
      <w:r>
        <w:rPr>
          <w:rFonts w:hint="eastAsia" w:ascii="宋体" w:hAnsi="宋体" w:cs="宋体"/>
          <w:color w:val="auto"/>
          <w:sz w:val="24"/>
        </w:rPr>
        <w:t>元，作为尾</w:t>
      </w:r>
      <w:r>
        <w:rPr>
          <w:rFonts w:ascii="宋体" w:hAnsi="宋体" w:cs="宋体"/>
          <w:color w:val="auto"/>
          <w:sz w:val="24"/>
        </w:rPr>
        <w:t>款</w:t>
      </w:r>
      <w:r>
        <w:rPr>
          <w:rFonts w:hint="eastAsia" w:ascii="宋体" w:hAnsi="宋体" w:cs="宋体"/>
          <w:color w:val="auto"/>
          <w:sz w:val="24"/>
        </w:rPr>
        <w:t>。</w:t>
      </w:r>
      <w:r>
        <w:rPr>
          <w:rFonts w:hint="eastAsia" w:ascii="宋体" w:hAnsi="宋体" w:cs="宋体"/>
          <w:color w:val="auto"/>
          <w:sz w:val="24"/>
          <w:lang w:eastAsia="zh-CN"/>
        </w:rPr>
        <w:t>如需财政评审，按照财政评审结果支付尾款。</w:t>
      </w:r>
      <w:r>
        <w:rPr>
          <w:rFonts w:hint="eastAsia" w:ascii="宋体" w:hAnsi="宋体" w:cs="宋体"/>
          <w:color w:val="auto"/>
          <w:sz w:val="24"/>
        </w:rPr>
        <w:t>如</w:t>
      </w:r>
      <w:r>
        <w:rPr>
          <w:rFonts w:ascii="宋体" w:hAnsi="宋体" w:cs="宋体"/>
          <w:color w:val="auto"/>
          <w:sz w:val="24"/>
        </w:rPr>
        <w:t>季度考核平均</w:t>
      </w:r>
      <w:r>
        <w:rPr>
          <w:rFonts w:hint="eastAsia" w:ascii="宋体" w:hAnsi="宋体" w:cs="宋体"/>
          <w:color w:val="auto"/>
          <w:sz w:val="24"/>
          <w:lang w:eastAsia="zh-CN"/>
        </w:rPr>
        <w:t>未</w:t>
      </w:r>
      <w:r>
        <w:rPr>
          <w:rFonts w:ascii="宋体" w:hAnsi="宋体" w:cs="宋体"/>
          <w:color w:val="auto"/>
          <w:sz w:val="24"/>
        </w:rPr>
        <w:t>达到</w:t>
      </w:r>
      <w:r>
        <w:rPr>
          <w:rFonts w:hint="eastAsia" w:ascii="宋体" w:hAnsi="宋体" w:cs="宋体"/>
          <w:color w:val="auto"/>
          <w:sz w:val="24"/>
        </w:rPr>
        <w:t>8</w:t>
      </w:r>
      <w:r>
        <w:rPr>
          <w:rFonts w:hint="eastAsia" w:ascii="宋体" w:hAnsi="宋体" w:cs="宋体"/>
          <w:color w:val="auto"/>
          <w:sz w:val="24"/>
          <w:lang w:val="en-US" w:eastAsia="zh-CN"/>
        </w:rPr>
        <w:t>0</w:t>
      </w:r>
      <w:r>
        <w:rPr>
          <w:rFonts w:hint="eastAsia" w:ascii="宋体" w:hAnsi="宋体" w:cs="宋体"/>
          <w:color w:val="auto"/>
          <w:sz w:val="24"/>
        </w:rPr>
        <w:t>分，</w:t>
      </w:r>
      <w:r>
        <w:rPr>
          <w:rFonts w:hint="eastAsia" w:ascii="宋体" w:hAnsi="宋体" w:cs="宋体"/>
          <w:color w:val="auto"/>
          <w:sz w:val="24"/>
          <w:lang w:eastAsia="zh-CN"/>
        </w:rPr>
        <w:t>由尾款中扣除</w:t>
      </w:r>
      <w:r>
        <w:rPr>
          <w:rFonts w:hint="eastAsia" w:ascii="宋体" w:hAnsi="宋体" w:cs="宋体"/>
          <w:color w:val="auto"/>
          <w:sz w:val="24"/>
          <w:lang w:val="en-US" w:eastAsia="zh-CN"/>
        </w:rPr>
        <w:t>10万元</w:t>
      </w:r>
      <w:r>
        <w:rPr>
          <w:rFonts w:hint="eastAsia" w:ascii="宋体" w:hAnsi="宋体" w:cs="宋体"/>
          <w:color w:val="auto"/>
          <w:sz w:val="24"/>
          <w:lang w:eastAsia="zh-CN"/>
        </w:rPr>
        <w:t>，即</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万元</w:t>
      </w:r>
      <w:r>
        <w:rPr>
          <w:rFonts w:hint="eastAsia" w:ascii="宋体" w:hAnsi="宋体" w:cs="宋体"/>
          <w:color w:val="auto"/>
          <w:sz w:val="24"/>
        </w:rPr>
        <w:t>，作为</w:t>
      </w:r>
      <w:r>
        <w:rPr>
          <w:rFonts w:ascii="宋体" w:hAnsi="宋体" w:cs="宋体"/>
          <w:color w:val="auto"/>
          <w:sz w:val="24"/>
        </w:rPr>
        <w:t>尾款</w:t>
      </w:r>
      <w:r>
        <w:rPr>
          <w:rFonts w:hint="eastAsia" w:ascii="宋体" w:hAnsi="宋体" w:cs="宋体"/>
          <w:color w:val="auto"/>
          <w:sz w:val="24"/>
        </w:rPr>
        <w:t>。</w:t>
      </w:r>
    </w:p>
    <w:p>
      <w:pPr>
        <w:pStyle w:val="2"/>
        <w:ind w:left="410" w:hanging="410"/>
        <w:rPr>
          <w:rFonts w:hint="eastAsia" w:ascii="宋体" w:eastAsia="宋体" w:cs="宋体"/>
          <w:sz w:val="24"/>
          <w:szCs w:val="24"/>
          <w:lang w:eastAsia="zh-CN"/>
        </w:rPr>
      </w:pPr>
      <w:r>
        <w:rPr>
          <w:rFonts w:hint="eastAsia" w:ascii="宋体" w:cs="宋体"/>
          <w:sz w:val="24"/>
          <w:szCs w:val="24"/>
        </w:rPr>
        <w:t>3.</w:t>
      </w:r>
      <w:r>
        <w:rPr>
          <w:rFonts w:hint="eastAsia" w:ascii="宋体" w:cs="宋体"/>
          <w:sz w:val="24"/>
          <w:szCs w:val="24"/>
          <w:lang w:val="en-US" w:eastAsia="zh-CN"/>
        </w:rPr>
        <w:t>4如需财政资金拨付的，待财政资金拨付到位且甲方履行完毕资金支付审批程序后，乙方可向甲方开具发票，由甲方项乙方支付资金，如因</w:t>
      </w:r>
      <w:r>
        <w:rPr>
          <w:rFonts w:hint="eastAsia" w:ascii="宋体" w:cs="宋体"/>
          <w:sz w:val="24"/>
          <w:szCs w:val="24"/>
          <w:lang w:eastAsia="zh-CN"/>
        </w:rPr>
        <w:t>财政拨付未到位或付款审批程序致使付款延期，不应视为甲方逾期付款。</w:t>
      </w:r>
    </w:p>
    <w:p>
      <w:pPr>
        <w:tabs>
          <w:tab w:val="left" w:pos="126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四</w:t>
      </w:r>
      <w:r>
        <w:rPr>
          <w:rFonts w:ascii="宋体" w:hAnsi="宋体"/>
          <w:b/>
          <w:color w:val="000000" w:themeColor="text1"/>
          <w:sz w:val="24"/>
          <w14:textFill>
            <w14:solidFill>
              <w14:schemeClr w14:val="tx1"/>
            </w14:solidFill>
          </w14:textFill>
        </w:rPr>
        <w:t>条 服务标准</w:t>
      </w:r>
    </w:p>
    <w:p>
      <w:pPr>
        <w:tabs>
          <w:tab w:val="left" w:pos="126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4.1乙方按照不低于甲方要求的服务标准向甲方提供餐饮服务：</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4.2经协商同意，乙方提供服务的内容、形式、标准达不到甲方需求时，甲方有权按照自身需要进行调整，乙方应按甲方的方案和要求随时调整经营、服务方式。</w:t>
      </w:r>
    </w:p>
    <w:p>
      <w:pPr>
        <w:tabs>
          <w:tab w:val="left" w:pos="540"/>
          <w:tab w:val="left" w:pos="720"/>
        </w:tabs>
        <w:spacing w:line="560" w:lineRule="exact"/>
        <w:ind w:left="-178" w:leftChars="-85" w:firstLine="120" w:firstLineChars="5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4.3甲方根据餐厅实际需求状况提出的餐饮服务要求，乙方应积极配合，予以满足。</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lang w:val="en-US" w:eastAsia="zh-CN"/>
          <w14:textFill>
            <w14:solidFill>
              <w14:schemeClr w14:val="tx1"/>
            </w14:solidFill>
          </w14:textFill>
        </w:rPr>
        <w:t>5</w:t>
      </w:r>
      <w:r>
        <w:rPr>
          <w:rFonts w:ascii="宋体" w:hAnsi="宋体"/>
          <w:color w:val="000000" w:themeColor="text1"/>
          <w:sz w:val="24"/>
          <w14:textFill>
            <w14:solidFill>
              <w14:schemeClr w14:val="tx1"/>
            </w14:solidFill>
          </w14:textFill>
        </w:rPr>
        <w:t>甲方有重大活动时，向乙方提出变更就餐时间，乙方应予以积极配合，并须准时开餐，做到饭热菜香。如因乙方原因造成的延误开餐，乙方负全部责任。</w:t>
      </w:r>
    </w:p>
    <w:p>
      <w:pPr>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五</w:t>
      </w:r>
      <w:r>
        <w:rPr>
          <w:rFonts w:ascii="宋体" w:hAnsi="宋体"/>
          <w:b/>
          <w:color w:val="000000" w:themeColor="text1"/>
          <w:sz w:val="24"/>
          <w14:textFill>
            <w14:solidFill>
              <w14:schemeClr w14:val="tx1"/>
            </w14:solidFill>
          </w14:textFill>
        </w:rPr>
        <w:t>条 甲方权利和义务</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5.1甲方权利</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5.1.1甲方有权依照国家及北京市有关食品、卫生防疫、消防、安全生产等相关法律、法规的规定对乙方进行监督检查，同时要求乙方对违规行为进行限期整改。</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w:t>
      </w: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甲方有权监督、检查乙方的经营服务标准和质量标准。</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甲方有权对乙方以下各项工作进行监督和检查：</w:t>
      </w:r>
    </w:p>
    <w:p>
      <w:pPr>
        <w:spacing w:line="360" w:lineRule="auto"/>
        <w:ind w:firstLine="720" w:firstLineChars="3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 主副食品的加工、制作情况；</w:t>
      </w:r>
    </w:p>
    <w:p>
      <w:pPr>
        <w:spacing w:line="360" w:lineRule="auto"/>
        <w:ind w:firstLine="720" w:firstLineChars="3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 餐厅、厨房、冷库、灶具、厨具、餐具、食品和乙方人员卫生情况；</w:t>
      </w:r>
    </w:p>
    <w:p>
      <w:pPr>
        <w:spacing w:line="360" w:lineRule="auto"/>
        <w:ind w:firstLine="720" w:firstLineChars="3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 各岗位人员有与之相符的上岗证和操作水平情况；</w:t>
      </w:r>
    </w:p>
    <w:p>
      <w:pPr>
        <w:spacing w:line="360" w:lineRule="auto"/>
        <w:ind w:firstLine="720" w:firstLineChars="3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 甲方提供的设施、设备的日常使用情况；</w:t>
      </w:r>
    </w:p>
    <w:p>
      <w:pPr>
        <w:spacing w:line="360" w:lineRule="auto"/>
        <w:ind w:firstLine="720" w:firstLineChars="3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 水、电、气、低耗品的使用情况；</w:t>
      </w:r>
    </w:p>
    <w:p>
      <w:pPr>
        <w:spacing w:line="360" w:lineRule="auto"/>
        <w:ind w:firstLine="720" w:firstLineChars="3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 餐厅、厨房安全消防及安全生产执行情况。</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w:t>
      </w:r>
      <w:r>
        <w:rPr>
          <w:rFonts w:hint="eastAsia" w:ascii="宋体" w:hAnsi="宋体"/>
          <w:color w:val="000000" w:themeColor="text1"/>
          <w:sz w:val="24"/>
          <w:lang w:val="en-US" w:eastAsia="zh-CN"/>
          <w14:textFill>
            <w14:solidFill>
              <w14:schemeClr w14:val="tx1"/>
            </w14:solidFill>
          </w14:textFill>
        </w:rPr>
        <w:t>4</w:t>
      </w:r>
      <w:r>
        <w:rPr>
          <w:rFonts w:ascii="宋体" w:hAnsi="宋体"/>
          <w:color w:val="000000" w:themeColor="text1"/>
          <w:sz w:val="24"/>
          <w14:textFill>
            <w14:solidFill>
              <w14:schemeClr w14:val="tx1"/>
            </w14:solidFill>
          </w14:textFill>
        </w:rPr>
        <w:t>甲方有权要求乙方限期改正发现的问题和更换不合格的工作人员。</w:t>
      </w:r>
    </w:p>
    <w:p>
      <w:pPr>
        <w:spacing w:line="360" w:lineRule="auto"/>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w:t>
      </w:r>
      <w:r>
        <w:rPr>
          <w:rFonts w:hint="eastAsia" w:ascii="宋体" w:hAnsi="宋体"/>
          <w:color w:val="000000" w:themeColor="text1"/>
          <w:sz w:val="24"/>
          <w:lang w:val="en-US" w:eastAsia="zh-CN"/>
          <w14:textFill>
            <w14:solidFill>
              <w14:schemeClr w14:val="tx1"/>
            </w14:solidFill>
          </w14:textFill>
        </w:rPr>
        <w:t>5</w:t>
      </w:r>
      <w:r>
        <w:rPr>
          <w:rFonts w:ascii="宋体" w:hAnsi="宋体"/>
          <w:color w:val="000000" w:themeColor="text1"/>
          <w:sz w:val="24"/>
          <w14:textFill>
            <w14:solidFill>
              <w14:schemeClr w14:val="tx1"/>
            </w14:solidFill>
          </w14:textFill>
        </w:rPr>
        <w:t>甲方应做到在合同结束</w:t>
      </w:r>
      <w:r>
        <w:rPr>
          <w:rFonts w:ascii="宋体"/>
          <w:color w:val="000000" w:themeColor="text1"/>
          <w:sz w:val="24"/>
          <w14:textFill>
            <w14:solidFill>
              <w14:schemeClr w14:val="tx1"/>
            </w14:solidFill>
          </w14:textFill>
        </w:rPr>
        <w:t xml:space="preserve">时不予乙方人员续签合同或留聘乙方员工。 </w:t>
      </w:r>
    </w:p>
    <w:p>
      <w:pPr>
        <w:spacing w:line="360" w:lineRule="auto"/>
        <w:jc w:val="left"/>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5.1.6甲方有权要求乙方按照考核内容配合甲方</w:t>
      </w:r>
      <w:r>
        <w:rPr>
          <w:rFonts w:hint="eastAsia" w:ascii="宋体" w:hAnsi="宋体"/>
          <w:color w:val="auto"/>
          <w:sz w:val="24"/>
          <w:highlight w:val="none"/>
          <w:lang w:eastAsia="zh-CN"/>
        </w:rPr>
        <w:t>完成餐饮服务项目考核工作，考核结果作为支付费用依据</w:t>
      </w:r>
      <w:r>
        <w:rPr>
          <w:rFonts w:ascii="宋体" w:hAnsi="宋体"/>
          <w:color w:val="auto"/>
          <w:sz w:val="24"/>
          <w:highlight w:val="none"/>
        </w:rPr>
        <w:t>。</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5.2 甲方义务  </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5.2.1甲方应当及时向乙方支付本协议规定之应当由甲方支付的各项费用。</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5.2.2甲方须及时配合乙方办理相关的工商、卫生、环保、消防等手续，并负责及时提供相关的场地使用证、消防合格证、卫生防疫证、环保合格证等相关文件。</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5.2.3甲方为乙方因履行本合同所需进行的准备或其它工作，提供合理的进出服务场地的方便。</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5.2.4由于甲方施工、装修、停电、停水等原因将造成餐饮服务不能按平日正常状态进行时，甲方应提前</w:t>
      </w:r>
      <w:r>
        <w:rPr>
          <w:rFonts w:hint="eastAsia" w:ascii="宋体" w:hAnsi="宋体"/>
          <w:color w:val="000000" w:themeColor="text1"/>
          <w:sz w:val="24"/>
          <w14:textFill>
            <w14:solidFill>
              <w14:schemeClr w14:val="tx1"/>
            </w14:solidFill>
          </w14:textFill>
        </w:rPr>
        <w:t>提前</w:t>
      </w:r>
      <w:r>
        <w:rPr>
          <w:rFonts w:ascii="宋体" w:hAnsi="宋体"/>
          <w:color w:val="000000" w:themeColor="text1"/>
          <w:sz w:val="24"/>
          <w14:textFill>
            <w14:solidFill>
              <w14:schemeClr w14:val="tx1"/>
            </w14:solidFill>
          </w14:textFill>
        </w:rPr>
        <w:t>通知乙方</w:t>
      </w:r>
      <w:r>
        <w:rPr>
          <w:rFonts w:hint="eastAsia" w:ascii="宋体" w:hAnsi="宋体"/>
          <w:color w:val="000000" w:themeColor="text1"/>
          <w:sz w:val="24"/>
          <w14:textFill>
            <w14:solidFill>
              <w14:schemeClr w14:val="tx1"/>
            </w14:solidFill>
          </w14:textFill>
        </w:rPr>
        <w:t>（方式</w:t>
      </w:r>
      <w:r>
        <w:rPr>
          <w:rFonts w:ascii="宋体" w:hAnsi="宋体"/>
          <w:color w:val="000000" w:themeColor="text1"/>
          <w:sz w:val="24"/>
          <w14:textFill>
            <w14:solidFill>
              <w14:schemeClr w14:val="tx1"/>
            </w14:solidFill>
          </w14:textFill>
        </w:rPr>
        <w:t>不限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。因甲方上述行为虽经乙方努力仍不能供餐或按时供餐的，乙方不承担责任。</w:t>
      </w:r>
    </w:p>
    <w:p>
      <w:pPr>
        <w:tabs>
          <w:tab w:val="left" w:pos="540"/>
        </w:tabs>
        <w:spacing w:line="360" w:lineRule="auto"/>
        <w:jc w:val="left"/>
        <w:rPr>
          <w:rFonts w:ascii="宋体" w:hAnsi="宋体"/>
          <w:color w:val="FF0000"/>
          <w:sz w:val="24"/>
        </w:rPr>
      </w:pPr>
      <w:r>
        <w:rPr>
          <w:rFonts w:ascii="宋体" w:hAnsi="宋体"/>
          <w:color w:val="000000" w:themeColor="text1"/>
          <w:sz w:val="24"/>
          <w14:textFill>
            <w14:solidFill>
              <w14:schemeClr w14:val="tx1"/>
            </w14:solidFill>
          </w14:textFill>
        </w:rPr>
        <w:t>5.2.5</w:t>
      </w:r>
      <w:r>
        <w:rPr>
          <w:rFonts w:ascii="宋体" w:hAnsi="宋体"/>
          <w:color w:val="auto"/>
          <w:sz w:val="24"/>
        </w:rPr>
        <w:t>当餐厅的就餐人数出现较大变动时，甲方应当提前通知乙方</w:t>
      </w:r>
      <w:r>
        <w:rPr>
          <w:rFonts w:hint="eastAsia" w:ascii="宋体" w:hAnsi="宋体"/>
          <w:color w:val="auto"/>
          <w:sz w:val="24"/>
        </w:rPr>
        <w:t>（方式</w:t>
      </w:r>
      <w:r>
        <w:rPr>
          <w:rFonts w:ascii="宋体" w:hAnsi="宋体"/>
          <w:color w:val="auto"/>
          <w:sz w:val="24"/>
        </w:rPr>
        <w:t>不限</w:t>
      </w:r>
      <w:r>
        <w:rPr>
          <w:rFonts w:hint="eastAsia" w:ascii="宋体" w:hAnsi="宋体"/>
          <w:color w:val="auto"/>
          <w:sz w:val="24"/>
        </w:rPr>
        <w:t>）</w:t>
      </w:r>
      <w:r>
        <w:rPr>
          <w:rFonts w:ascii="宋体" w:hAnsi="宋体"/>
          <w:color w:val="auto"/>
          <w:sz w:val="24"/>
        </w:rPr>
        <w:t>，双方应当协商解决相关事宜。</w:t>
      </w: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5.2.6甲方应协助乙方共同做好避免员工就餐食品浪费的工作。</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5.2.7甲方应进行员工文明就餐、节约用餐，爱护财产的宣传，尊重乙方工作人员的劳动。</w:t>
      </w:r>
    </w:p>
    <w:p>
      <w:pPr>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六</w:t>
      </w:r>
      <w:r>
        <w:rPr>
          <w:rFonts w:ascii="宋体" w:hAnsi="宋体"/>
          <w:b/>
          <w:color w:val="000000" w:themeColor="text1"/>
          <w:sz w:val="24"/>
          <w14:textFill>
            <w14:solidFill>
              <w14:schemeClr w14:val="tx1"/>
            </w14:solidFill>
          </w14:textFill>
        </w:rPr>
        <w:t>条  乙方的权利和义务</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6.1乙方的权利</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6.1.1在本合同期限内，乙方有权根据本合同及相关法律维护自身合法权益。</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6.1.2乙方有权按照本合同的规定，按时收取相关费用。</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6.2乙方的义务</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6.2.1乙方负责餐厅的运营管理。</w:t>
      </w:r>
    </w:p>
    <w:p>
      <w:pPr>
        <w:pStyle w:val="2"/>
        <w:ind w:left="410" w:hanging="410"/>
        <w:rPr>
          <w:rFonts w:hint="eastAsia" w:ascii="宋体" w:eastAsia="宋体" w:cs="Times New Roman"/>
          <w:color w:val="000000" w:themeColor="text1"/>
          <w:sz w:val="24"/>
          <w:szCs w:val="24"/>
          <w:lang w:val="en-US" w:eastAsia="zh-CN"/>
          <w14:textFill>
            <w14:solidFill>
              <w14:schemeClr w14:val="tx1"/>
            </w14:solidFill>
          </w14:textFill>
        </w:rPr>
      </w:pPr>
      <w:r>
        <w:rPr>
          <w:rFonts w:ascii="宋体" w:cs="Times New Roman"/>
          <w:color w:val="000000" w:themeColor="text1"/>
          <w:sz w:val="24"/>
          <w:szCs w:val="24"/>
          <w14:textFill>
            <w14:solidFill>
              <w14:schemeClr w14:val="tx1"/>
            </w14:solidFill>
          </w14:textFill>
        </w:rPr>
        <w:t>6</w:t>
      </w:r>
      <w:r>
        <w:rPr>
          <w:rFonts w:hint="eastAsia" w:ascii="宋体" w:cs="Times New Roman"/>
          <w:color w:val="000000" w:themeColor="text1"/>
          <w:sz w:val="24"/>
          <w:szCs w:val="24"/>
          <w14:textFill>
            <w14:solidFill>
              <w14:schemeClr w14:val="tx1"/>
            </w14:solidFill>
          </w14:textFill>
        </w:rPr>
        <w:t>.2.2如</w:t>
      </w:r>
      <w:r>
        <w:rPr>
          <w:rFonts w:ascii="宋体" w:cs="Times New Roman"/>
          <w:color w:val="000000" w:themeColor="text1"/>
          <w:sz w:val="24"/>
          <w:szCs w:val="24"/>
          <w14:textFill>
            <w14:solidFill>
              <w14:schemeClr w14:val="tx1"/>
            </w14:solidFill>
          </w14:textFill>
        </w:rPr>
        <w:t>甲方未</w:t>
      </w:r>
      <w:r>
        <w:rPr>
          <w:rFonts w:hint="eastAsia" w:ascii="宋体" w:cs="Times New Roman"/>
          <w:color w:val="000000" w:themeColor="text1"/>
          <w:sz w:val="24"/>
          <w:szCs w:val="24"/>
          <w14:textFill>
            <w14:solidFill>
              <w14:schemeClr w14:val="tx1"/>
            </w14:solidFill>
          </w14:textFill>
        </w:rPr>
        <w:t>发出增加</w:t>
      </w:r>
      <w:r>
        <w:rPr>
          <w:rFonts w:ascii="宋体" w:cs="Times New Roman"/>
          <w:color w:val="000000" w:themeColor="text1"/>
          <w:sz w:val="24"/>
          <w:szCs w:val="24"/>
          <w14:textFill>
            <w14:solidFill>
              <w14:schemeClr w14:val="tx1"/>
            </w14:solidFill>
          </w14:textFill>
        </w:rPr>
        <w:t>（</w:t>
      </w:r>
      <w:r>
        <w:rPr>
          <w:rFonts w:hint="eastAsia" w:ascii="宋体" w:cs="Times New Roman"/>
          <w:color w:val="000000" w:themeColor="text1"/>
          <w:sz w:val="24"/>
          <w:szCs w:val="24"/>
          <w14:textFill>
            <w14:solidFill>
              <w14:schemeClr w14:val="tx1"/>
            </w14:solidFill>
          </w14:textFill>
        </w:rPr>
        <w:t>增减</w:t>
      </w:r>
      <w:r>
        <w:rPr>
          <w:rFonts w:ascii="宋体" w:cs="Times New Roman"/>
          <w:color w:val="000000" w:themeColor="text1"/>
          <w:sz w:val="24"/>
          <w:szCs w:val="24"/>
          <w14:textFill>
            <w14:solidFill>
              <w14:schemeClr w14:val="tx1"/>
            </w14:solidFill>
          </w14:textFill>
        </w:rPr>
        <w:t>）通知，乙方私自</w:t>
      </w:r>
      <w:r>
        <w:rPr>
          <w:rFonts w:hint="eastAsia" w:ascii="宋体" w:cs="Times New Roman"/>
          <w:color w:val="000000" w:themeColor="text1"/>
          <w:sz w:val="24"/>
          <w:szCs w:val="24"/>
          <w14:textFill>
            <w14:solidFill>
              <w14:schemeClr w14:val="tx1"/>
            </w14:solidFill>
          </w14:textFill>
        </w:rPr>
        <w:t>增加</w:t>
      </w:r>
      <w:r>
        <w:rPr>
          <w:rFonts w:ascii="宋体" w:cs="Times New Roman"/>
          <w:color w:val="000000" w:themeColor="text1"/>
          <w:sz w:val="24"/>
          <w:szCs w:val="24"/>
          <w14:textFill>
            <w14:solidFill>
              <w14:schemeClr w14:val="tx1"/>
            </w14:solidFill>
          </w14:textFill>
        </w:rPr>
        <w:t>（</w:t>
      </w:r>
      <w:r>
        <w:rPr>
          <w:rFonts w:hint="eastAsia" w:ascii="宋体" w:cs="Times New Roman"/>
          <w:color w:val="000000" w:themeColor="text1"/>
          <w:sz w:val="24"/>
          <w:szCs w:val="24"/>
          <w14:textFill>
            <w14:solidFill>
              <w14:schemeClr w14:val="tx1"/>
            </w14:solidFill>
          </w14:textFill>
        </w:rPr>
        <w:t>增减</w:t>
      </w:r>
      <w:r>
        <w:rPr>
          <w:rFonts w:ascii="宋体" w:cs="Times New Roman"/>
          <w:color w:val="000000" w:themeColor="text1"/>
          <w:sz w:val="24"/>
          <w:szCs w:val="24"/>
          <w14:textFill>
            <w14:solidFill>
              <w14:schemeClr w14:val="tx1"/>
            </w14:solidFill>
          </w14:textFill>
        </w:rPr>
        <w:t>）</w:t>
      </w:r>
      <w:r>
        <w:rPr>
          <w:rFonts w:hint="eastAsia" w:ascii="宋体" w:cs="Times New Roman"/>
          <w:color w:val="000000" w:themeColor="text1"/>
          <w:sz w:val="24"/>
          <w:szCs w:val="24"/>
          <w14:textFill>
            <w14:solidFill>
              <w14:schemeClr w14:val="tx1"/>
            </w14:solidFill>
          </w14:textFill>
        </w:rPr>
        <w:t>就餐</w:t>
      </w:r>
      <w:r>
        <w:rPr>
          <w:rFonts w:ascii="宋体" w:cs="Times New Roman"/>
          <w:color w:val="000000" w:themeColor="text1"/>
          <w:sz w:val="24"/>
          <w:szCs w:val="24"/>
          <w14:textFill>
            <w14:solidFill>
              <w14:schemeClr w14:val="tx1"/>
            </w14:solidFill>
          </w14:textFill>
        </w:rPr>
        <w:t>人员数量导致的就餐问题或相关损失</w:t>
      </w:r>
      <w:r>
        <w:rPr>
          <w:rFonts w:hint="eastAsia" w:ascii="宋体" w:cs="Times New Roman"/>
          <w:color w:val="000000" w:themeColor="text1"/>
          <w:sz w:val="24"/>
          <w:szCs w:val="24"/>
          <w14:textFill>
            <w14:solidFill>
              <w14:schemeClr w14:val="tx1"/>
            </w14:solidFill>
          </w14:textFill>
        </w:rPr>
        <w:t>乙</w:t>
      </w:r>
      <w:r>
        <w:rPr>
          <w:rFonts w:ascii="宋体" w:cs="Times New Roman"/>
          <w:color w:val="000000" w:themeColor="text1"/>
          <w:sz w:val="24"/>
          <w:szCs w:val="24"/>
          <w14:textFill>
            <w14:solidFill>
              <w14:schemeClr w14:val="tx1"/>
            </w14:solidFill>
          </w14:textFill>
        </w:rPr>
        <w:t>方承担责任</w:t>
      </w:r>
      <w:r>
        <w:rPr>
          <w:rFonts w:hint="eastAsia" w:ascii="宋体" w:cs="Times New Roman"/>
          <w:color w:val="000000" w:themeColor="text1"/>
          <w:sz w:val="24"/>
          <w:szCs w:val="24"/>
          <w:lang w:eastAsia="zh-CN"/>
          <w14:textFill>
            <w14:solidFill>
              <w14:schemeClr w14:val="tx1"/>
            </w14:solidFill>
          </w14:textFill>
        </w:rPr>
        <w:t>。</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6.2.3乙方保证本合同涉及范围的环境卫生符合国家有关规定及标准，并承担因乙方过错引起的事故责任。</w:t>
      </w:r>
    </w:p>
    <w:p>
      <w:pPr>
        <w:tabs>
          <w:tab w:val="left" w:pos="90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6.2.4对于甲方的合理化建议，乙方应当做出响应，积极配合甲方监管人员的工作。</w:t>
      </w:r>
    </w:p>
    <w:p>
      <w:pPr>
        <w:tabs>
          <w:tab w:val="left" w:pos="90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6.2.5乙方保证按质、按量、按时向甲方提供供餐服务。</w:t>
      </w:r>
    </w:p>
    <w:p>
      <w:pPr>
        <w:tabs>
          <w:tab w:val="left" w:pos="90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6.2.6乙方负责用餐所需餐具、用具的洗涤、消毒，保证所有餐具、用具符合相关的卫生标准。</w:t>
      </w:r>
    </w:p>
    <w:p>
      <w:pPr>
        <w:tabs>
          <w:tab w:val="left" w:pos="90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6.2.7乙方对甲方提出的合理建议和用户投诉，一般性问题2小时内进行处理；对于较复杂问题在</w:t>
      </w:r>
      <w:r>
        <w:rPr>
          <w:rFonts w:hint="eastAsia" w:ascii="宋体" w:hAnsi="宋体"/>
          <w:color w:val="000000" w:themeColor="text1"/>
          <w:sz w:val="24"/>
          <w:lang w:val="en-US" w:eastAsia="zh-CN"/>
          <w14:textFill>
            <w14:solidFill>
              <w14:schemeClr w14:val="tx1"/>
            </w14:solidFill>
          </w14:textFill>
        </w:rPr>
        <w:t>48</w:t>
      </w:r>
      <w:r>
        <w:rPr>
          <w:rFonts w:ascii="宋体" w:hAnsi="宋体"/>
          <w:color w:val="000000" w:themeColor="text1"/>
          <w:sz w:val="24"/>
          <w14:textFill>
            <w14:solidFill>
              <w14:schemeClr w14:val="tx1"/>
            </w14:solidFill>
          </w14:textFill>
        </w:rPr>
        <w:t>小时内予以处理。</w:t>
      </w:r>
    </w:p>
    <w:p>
      <w:pPr>
        <w:tabs>
          <w:tab w:val="left" w:pos="90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6.2.8在遇到疫情、火灾、停电、停水等影响乙方不能正常生产的情况时，首先知情方应当及时通知对方并启动应急预案，并充分合作，及时采取补救措施，以保证能正常供餐。</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6.2.9未经甲方同意，乙方不得擅自停止营业。未经甲方事先同意，乙方不得转租、转包或采取与第三方合作等方式变相转租、转包本合同的任何部分。</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6.2.10乙方应协助甲方办理</w:t>
      </w:r>
      <w:r>
        <w:rPr>
          <w:rFonts w:hint="eastAsia" w:ascii="宋体" w:hAnsi="宋体"/>
          <w:color w:val="000000" w:themeColor="text1"/>
          <w:sz w:val="24"/>
          <w14:textFill>
            <w14:solidFill>
              <w14:schemeClr w14:val="tx1"/>
            </w14:solidFill>
          </w14:textFill>
        </w:rPr>
        <w:t>餐厅</w:t>
      </w:r>
      <w:r>
        <w:rPr>
          <w:rFonts w:ascii="宋体" w:hAnsi="宋体"/>
          <w:color w:val="000000" w:themeColor="text1"/>
          <w:sz w:val="24"/>
          <w14:textFill>
            <w14:solidFill>
              <w14:schemeClr w14:val="tx1"/>
            </w14:solidFill>
          </w14:textFill>
        </w:rPr>
        <w:t>卫生许</w:t>
      </w:r>
      <w:r>
        <w:rPr>
          <w:rFonts w:hint="eastAsia" w:ascii="宋体" w:hAnsi="宋体"/>
          <w:color w:val="000000" w:themeColor="text1"/>
          <w:sz w:val="24"/>
          <w14:textFill>
            <w14:solidFill>
              <w14:schemeClr w14:val="tx1"/>
            </w14:solidFill>
          </w14:textFill>
        </w:rPr>
        <w:t>可等</w:t>
      </w:r>
      <w:r>
        <w:rPr>
          <w:rFonts w:ascii="宋体" w:hAnsi="宋体"/>
          <w:color w:val="000000" w:themeColor="text1"/>
          <w:sz w:val="24"/>
          <w14:textFill>
            <w14:solidFill>
              <w14:schemeClr w14:val="tx1"/>
            </w14:solidFill>
          </w14:textFill>
        </w:rPr>
        <w:t>相关证照、证件的手续等工作。</w:t>
      </w:r>
    </w:p>
    <w:p>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6.2.11乙方应建立健全各项规章制度及有关岗位责任制和操作规程，并严格按制度和操作规程工作。相关制度包括但不限于：防火、防毒、防盗、卫生管理、应急预案、物流采购和供应等方面。甲方有权进行监督和检查。如甲方认为乙方的相关制</w:t>
      </w:r>
      <w:r>
        <w:rPr>
          <w:rFonts w:hint="eastAsia" w:ascii="宋体" w:hAnsi="宋体"/>
          <w:color w:val="000000" w:themeColor="text1"/>
          <w:sz w:val="24"/>
          <w:lang w:eastAsia="zh-CN"/>
          <w14:textFill>
            <w14:solidFill>
              <w14:schemeClr w14:val="tx1"/>
            </w14:solidFill>
          </w14:textFill>
        </w:rPr>
        <w:t>度</w:t>
      </w:r>
      <w:r>
        <w:rPr>
          <w:rFonts w:ascii="宋体" w:hAnsi="宋体"/>
          <w:color w:val="000000" w:themeColor="text1"/>
          <w:sz w:val="24"/>
          <w14:textFill>
            <w14:solidFill>
              <w14:schemeClr w14:val="tx1"/>
            </w14:solidFill>
          </w14:textFill>
        </w:rPr>
        <w:t>不能满足合同约定标准，有权要求乙方进行整改。</w:t>
      </w:r>
    </w:p>
    <w:p>
      <w:pPr>
        <w:spacing w:line="360" w:lineRule="auto"/>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6.2.12乙方有义务配合甲方按照考核内容完成餐饮服务项目考核工作，</w:t>
      </w:r>
      <w:r>
        <w:rPr>
          <w:rFonts w:hint="eastAsia" w:ascii="宋体" w:hAnsi="宋体"/>
          <w:color w:val="auto"/>
          <w:sz w:val="24"/>
          <w:highlight w:val="none"/>
          <w:lang w:eastAsia="zh-CN"/>
        </w:rPr>
        <w:t>考核结果作为支付费用依据</w:t>
      </w:r>
      <w:r>
        <w:rPr>
          <w:rFonts w:ascii="宋体" w:hAnsi="宋体"/>
          <w:color w:val="auto"/>
          <w:sz w:val="24"/>
          <w:highlight w:val="none"/>
        </w:rPr>
        <w:t>。</w:t>
      </w:r>
    </w:p>
    <w:p>
      <w:pPr>
        <w:tabs>
          <w:tab w:val="left" w:pos="54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七</w:t>
      </w:r>
      <w:r>
        <w:rPr>
          <w:rFonts w:ascii="宋体" w:hAnsi="宋体"/>
          <w:b/>
          <w:color w:val="000000" w:themeColor="text1"/>
          <w:sz w:val="24"/>
          <w14:textFill>
            <w14:solidFill>
              <w14:schemeClr w14:val="tx1"/>
            </w14:solidFill>
          </w14:textFill>
        </w:rPr>
        <w:t>条 乙方人员</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lang w:val="en-US" w:eastAsia="zh-CN"/>
          <w14:textFill>
            <w14:solidFill>
              <w14:schemeClr w14:val="tx1"/>
            </w14:solidFill>
          </w14:textFill>
        </w:rPr>
        <w:t>1</w:t>
      </w:r>
      <w:r>
        <w:rPr>
          <w:rFonts w:ascii="宋体" w:hAnsi="宋体"/>
          <w:color w:val="000000" w:themeColor="text1"/>
          <w:sz w:val="24"/>
          <w14:textFill>
            <w14:solidFill>
              <w14:schemeClr w14:val="tx1"/>
            </w14:solidFill>
          </w14:textFill>
        </w:rPr>
        <w:t>乙方所有服务人员应具有良好的职业道德，良好的法制观念，遵纪守法。</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乙方所有服务人员应当身体健康，符合卫生防疫部门要求，上岗必须持有健康证。</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乙方厨师必须持有厨师资质证书，具有熟练掌握主要菜系制作、主要面点、食品、冷荤制作、主要配制方法的能力。</w:t>
      </w:r>
    </w:p>
    <w:p>
      <w:pPr>
        <w:tabs>
          <w:tab w:val="left" w:pos="540"/>
        </w:tabs>
        <w:spacing w:line="360" w:lineRule="auto"/>
        <w:jc w:val="left"/>
        <w:rPr>
          <w:rFonts w:ascii="宋体" w:hAnsi="宋体"/>
          <w:color w:val="FF0000"/>
          <w:sz w:val="24"/>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lang w:val="en-US" w:eastAsia="zh-CN"/>
          <w14:textFill>
            <w14:solidFill>
              <w14:schemeClr w14:val="tx1"/>
            </w14:solidFill>
          </w14:textFill>
        </w:rPr>
        <w:t>4</w:t>
      </w:r>
      <w:r>
        <w:rPr>
          <w:rFonts w:ascii="宋体" w:hAnsi="宋体"/>
          <w:color w:val="000000" w:themeColor="text1"/>
          <w:sz w:val="24"/>
          <w14:textFill>
            <w14:solidFill>
              <w14:schemeClr w14:val="tx1"/>
            </w14:solidFill>
          </w14:textFill>
        </w:rPr>
        <w:t>乙方餐厅服务人员应当</w:t>
      </w:r>
      <w:r>
        <w:rPr>
          <w:rFonts w:hint="eastAsia" w:ascii="宋体" w:hAnsi="宋体"/>
          <w:color w:val="000000" w:themeColor="text1"/>
          <w:sz w:val="24"/>
          <w14:textFill>
            <w14:solidFill>
              <w14:schemeClr w14:val="tx1"/>
            </w14:solidFill>
          </w14:textFill>
        </w:rPr>
        <w:t>具备</w:t>
      </w:r>
      <w:r>
        <w:rPr>
          <w:rFonts w:ascii="宋体" w:hAnsi="宋体"/>
          <w:color w:val="000000" w:themeColor="text1"/>
          <w:sz w:val="24"/>
          <w14:textFill>
            <w14:solidFill>
              <w14:schemeClr w14:val="tx1"/>
            </w14:solidFill>
          </w14:textFill>
        </w:rPr>
        <w:t>体貌端正、口齿清楚和懂得礼仪的基本要求，男女不限</w:t>
      </w:r>
      <w:r>
        <w:rPr>
          <w:rFonts w:hint="eastAsia" w:ascii="宋体" w:hAnsi="宋体"/>
          <w:color w:val="000000" w:themeColor="text1"/>
          <w:sz w:val="24"/>
          <w14:textFill>
            <w14:solidFill>
              <w14:schemeClr w14:val="tx1"/>
            </w14:solidFill>
          </w14:textFill>
        </w:rPr>
        <w:t>。</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lang w:val="en-US" w:eastAsia="zh-CN"/>
          <w14:textFill>
            <w14:solidFill>
              <w14:schemeClr w14:val="tx1"/>
            </w14:solidFill>
          </w14:textFill>
        </w:rPr>
        <w:t>5</w:t>
      </w:r>
      <w:r>
        <w:rPr>
          <w:rFonts w:ascii="宋体" w:hAnsi="宋体"/>
          <w:color w:val="000000" w:themeColor="text1"/>
          <w:sz w:val="24"/>
          <w14:textFill>
            <w14:solidFill>
              <w14:schemeClr w14:val="tx1"/>
            </w14:solidFill>
          </w14:textFill>
        </w:rPr>
        <w:t>乙方应按规定向甲方提供委派到甲方从事餐饮服务人员的健康合格证和各类上岗证，甲方可保存其复印件。</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lang w:val="en-US" w:eastAsia="zh-CN"/>
          <w14:textFill>
            <w14:solidFill>
              <w14:schemeClr w14:val="tx1"/>
            </w14:solidFill>
          </w14:textFill>
        </w:rPr>
        <w:t>6</w:t>
      </w:r>
      <w:r>
        <w:rPr>
          <w:rFonts w:ascii="宋体" w:hAnsi="宋体"/>
          <w:color w:val="000000" w:themeColor="text1"/>
          <w:sz w:val="24"/>
          <w14:textFill>
            <w14:solidFill>
              <w14:schemeClr w14:val="tx1"/>
            </w14:solidFill>
          </w14:textFill>
        </w:rPr>
        <w:t>乙方派往甲方人员始终为乙方雇员，乙方为其承担一切雇主责任。</w:t>
      </w:r>
    </w:p>
    <w:p>
      <w:pPr>
        <w:tabs>
          <w:tab w:val="left" w:pos="54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八</w:t>
      </w:r>
      <w:r>
        <w:rPr>
          <w:rFonts w:ascii="宋体" w:hAnsi="宋体"/>
          <w:b/>
          <w:color w:val="000000" w:themeColor="text1"/>
          <w:sz w:val="24"/>
          <w14:textFill>
            <w14:solidFill>
              <w14:schemeClr w14:val="tx1"/>
            </w14:solidFill>
          </w14:textFill>
        </w:rPr>
        <w:t>条设备和设施</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8.1甲方负责免费提供厨房、餐厅、专用设备、设施、厨杂、用餐餐具、收银系统、基本的办公设施（文件柜等）配置给乙方使用</w:t>
      </w:r>
      <w:r>
        <w:rPr>
          <w:rFonts w:hint="eastAsia" w:ascii="宋体" w:hAnsi="宋体"/>
          <w:color w:val="000000" w:themeColor="text1"/>
          <w:sz w:val="24"/>
          <w14:textFill>
            <w14:solidFill>
              <w14:schemeClr w14:val="tx1"/>
            </w14:solidFill>
          </w14:textFill>
        </w:rPr>
        <w:t>（办公耗材</w:t>
      </w:r>
      <w:r>
        <w:rPr>
          <w:rFonts w:ascii="宋体" w:hAnsi="宋体"/>
          <w:color w:val="000000" w:themeColor="text1"/>
          <w:sz w:val="24"/>
          <w14:textFill>
            <w14:solidFill>
              <w14:schemeClr w14:val="tx1"/>
            </w14:solidFill>
          </w14:textFill>
        </w:rPr>
        <w:t>由乙方自行准备</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负责厨房、餐厅专用设备、设施及收银系统的保养、维修及补充。</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.2乙方负责提供园区各卡口（一线人员）送餐服务，配备送餐车辆，该车辆作为送餐使用，燃油费、违章违规所产生的费用，以及使用过程中造成车辆和人员损伤所产生的费用及责任由乙方承担。</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乙方全面负责对所辖区域内的设备、设施的安全使用，发现问题及时与甲方协商解决。如乙方存在过错的，需向甲方承担赔偿责任。</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lang w:val="en-US" w:eastAsia="zh-CN"/>
          <w14:textFill>
            <w14:solidFill>
              <w14:schemeClr w14:val="tx1"/>
            </w14:solidFill>
          </w14:textFill>
        </w:rPr>
        <w:t>4</w:t>
      </w:r>
      <w:r>
        <w:rPr>
          <w:rFonts w:ascii="宋体" w:hAnsi="宋体"/>
          <w:color w:val="000000" w:themeColor="text1"/>
          <w:sz w:val="24"/>
          <w14:textFill>
            <w14:solidFill>
              <w14:schemeClr w14:val="tx1"/>
            </w14:solidFill>
          </w14:textFill>
        </w:rPr>
        <w:t>合同期内，甲方负责保证水、电的正常供给</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乙方有义务为甲方节约使用能源。</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乙方负责日常运营保障服务。主要工作范围</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餐厅厨房设备设施维护维修保养、厨房厨具厨杂低值易耗品补充购置、日常清洁及防疫消杀、能源保障</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燃气</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.常用厨房设备设施养护要求：</w:t>
      </w:r>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全年不少于一次对后厨燃气设备是否存在燃气泄漏进行排查，如有发现泄漏点，立即整改。</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全年不少于一次对后厨机械设备进行调试、包含工作效率检测、设备死角异物清理、添加润滑油等。</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全年不少于一次对清洗设备进行调试、调试内容包含清洗设备的洁净率、烘干率、对消毒设备进行杀菌率检测。</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全年不少于一次对油烟排放净化设备进行第检测，检测数值出具检测报告。如有超标、立即整改。</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全年不少于6次，对厨房排烟管道、净化设备等进行清洁杀菌。</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全年不少于4次，开展专业除蟑除虫工作。</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向顺义区燃气公司定期购买燃气，并保障落实消防安全及燃气使用安全，严格按照区燃气公司、消防部门、安监部门、市场管理部门要求落实全年工作任务。</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包括但不限于以上工作，具体项目运营出现的相关类别工作，均由中标服务方负责落实。最终解释权归甲方所有。</w:t>
      </w:r>
    </w:p>
    <w:p>
      <w:pPr>
        <w:tabs>
          <w:tab w:val="left" w:pos="54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九</w:t>
      </w:r>
      <w:r>
        <w:rPr>
          <w:rFonts w:ascii="宋体" w:hAnsi="宋体"/>
          <w:b/>
          <w:color w:val="000000" w:themeColor="text1"/>
          <w:sz w:val="24"/>
          <w14:textFill>
            <w14:solidFill>
              <w14:schemeClr w14:val="tx1"/>
            </w14:solidFill>
          </w14:textFill>
        </w:rPr>
        <w:t>条 食品卫生</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9.1乙方应当保证做到安全无隐患，零事故。</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乙方每餐应执行食品留样制度（保存48小时），当甲方接到有人员用餐后出现腹泻、呕吐、头晕等信息时，应迅速通知乙方负责人，乙方应在第一时间将患者送往医院，做呕吐物、粪便留样化验，以确诊病情和病因。同时，对餐厅的留样食品送卫生部门检验，确实属于乙方责任的，乙方应按照国家规定承担由此引发的一切法律责任及经济责任</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对此造成甲方损失的，应承担赔偿责任。</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乙方应制定固定期限的卫生清理工作方案，确保经营范围内卫生达标，符合国家及地方性法律法规。如出现疫情或污染卫生环境等情况，乙方应及时进行处置，造成人员伤害及经济损失的，由乙方承担引发的一切法律责任及经济赔偿责任。</w:t>
      </w:r>
    </w:p>
    <w:p>
      <w:pPr>
        <w:tabs>
          <w:tab w:val="left" w:pos="54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第十条合同的变更、终止与解除</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10.1本合同任何内容的变更需要双方协商一致并签订补充协议方可有效。</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10.2乙方出现下列任何一种情况时，甲方有权单方面终止或解除本合同且不承担相应责任：</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14:textFill>
            <w14:solidFill>
              <w14:schemeClr w14:val="tx1"/>
            </w14:solidFill>
          </w14:textFill>
        </w:rPr>
        <w:t>未经甲方同意，乙方转包、转租或采取与第三人合作方式变相转包转租餐厅或承租场地的</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14:textFill>
            <w14:solidFill>
              <w14:schemeClr w14:val="tx1"/>
            </w14:solidFill>
          </w14:textFill>
        </w:rPr>
        <w:t>未经甲方同意，乙方擅自改变本合同经营场地的用途的</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14:textFill>
            <w14:solidFill>
              <w14:schemeClr w14:val="tx1"/>
            </w14:solidFill>
          </w14:textFill>
        </w:rPr>
        <w:t>乙方违反中华人民共和国法律法规进行不法经营活动的</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14:textFill>
            <w14:solidFill>
              <w14:schemeClr w14:val="tx1"/>
            </w14:solidFill>
          </w14:textFill>
        </w:rPr>
        <w:t>如乙方服务期间，发生重大安全责任事故</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经确认为乙方责任</w:t>
      </w:r>
      <w:r>
        <w:rPr>
          <w:rFonts w:hint="eastAsia" w:ascii="宋体" w:hAnsi="宋体"/>
          <w:color w:val="000000" w:themeColor="text1"/>
          <w:sz w:val="24"/>
          <w:lang w:eastAsia="zh-CN"/>
          <w14:textFill>
            <w14:solidFill>
              <w14:schemeClr w14:val="tx1"/>
            </w14:solidFill>
          </w14:textFill>
        </w:rPr>
        <w:t>的。</w:t>
      </w:r>
      <w:r>
        <w:rPr>
          <w:rFonts w:ascii="宋体" w:hAnsi="宋体"/>
          <w:color w:val="000000" w:themeColor="text1"/>
          <w:sz w:val="24"/>
          <w14:textFill>
            <w14:solidFill>
              <w14:schemeClr w14:val="tx1"/>
            </w14:solidFill>
          </w14:textFill>
        </w:rPr>
        <w:t>甲方有权终止合同并不承担违约责任</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且</w:t>
      </w:r>
      <w:r>
        <w:rPr>
          <w:rFonts w:ascii="宋体" w:hAnsi="宋体"/>
          <w:color w:val="000000" w:themeColor="text1"/>
          <w:sz w:val="24"/>
          <w14:textFill>
            <w14:solidFill>
              <w14:schemeClr w14:val="tx1"/>
            </w14:solidFill>
          </w14:textFill>
        </w:rPr>
        <w:t>所产生的一切法律责任及经济责任由乙方按照国家规定承担。</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甲方未按照合同约定期限支付乙方费用，乙方有权在提前30天通知后，解除本合同。</w:t>
      </w:r>
    </w:p>
    <w:p>
      <w:pPr>
        <w:tabs>
          <w:tab w:val="left" w:pos="5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lang w:val="en-US" w:eastAsia="zh-CN"/>
          <w14:textFill>
            <w14:solidFill>
              <w14:schemeClr w14:val="tx1"/>
            </w14:solidFill>
          </w14:textFill>
        </w:rPr>
        <w:t>4</w:t>
      </w:r>
      <w:r>
        <w:rPr>
          <w:rFonts w:ascii="宋体" w:hAnsi="宋体"/>
          <w:color w:val="000000" w:themeColor="text1"/>
          <w:sz w:val="24"/>
          <w14:textFill>
            <w14:solidFill>
              <w14:schemeClr w14:val="tx1"/>
            </w14:solidFill>
          </w14:textFill>
        </w:rPr>
        <w:t>在本合同执行过程中，经甲乙双方协商一致，可以提前解除本合同；或者是甲乙双方中一方因经营问题确实不能继续履行本合同，经过提前一个月向对方正式书面致函且经双方确认的，可以提前解除本合同。</w:t>
      </w:r>
    </w:p>
    <w:p>
      <w:pPr>
        <w:tabs>
          <w:tab w:val="left" w:pos="540"/>
          <w:tab w:val="left" w:pos="84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第十</w:t>
      </w:r>
      <w:r>
        <w:rPr>
          <w:rFonts w:hint="eastAsia" w:ascii="宋体" w:hAnsi="宋体"/>
          <w:b/>
          <w:color w:val="000000" w:themeColor="text1"/>
          <w:sz w:val="24"/>
          <w14:textFill>
            <w14:solidFill>
              <w14:schemeClr w14:val="tx1"/>
            </w14:solidFill>
          </w14:textFill>
        </w:rPr>
        <w:t>一</w:t>
      </w:r>
      <w:r>
        <w:rPr>
          <w:rFonts w:ascii="宋体" w:hAnsi="宋体"/>
          <w:b/>
          <w:color w:val="000000" w:themeColor="text1"/>
          <w:sz w:val="24"/>
          <w14:textFill>
            <w14:solidFill>
              <w14:schemeClr w14:val="tx1"/>
            </w14:solidFill>
          </w14:textFill>
        </w:rPr>
        <w:t>条违约责任</w:t>
      </w:r>
    </w:p>
    <w:p>
      <w:pPr>
        <w:tabs>
          <w:tab w:val="left" w:pos="540"/>
          <w:tab w:val="left" w:pos="1260"/>
        </w:tabs>
        <w:spacing w:line="360" w:lineRule="auto"/>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11.1甲乙双方应谨慎行使和履行在本合同中约定的权利、义务，任何一方因未履行或未完全履行其在本合同中的权利、义务，而给对方造成损失的，违约方应当负责赔偿。</w:t>
      </w:r>
    </w:p>
    <w:p>
      <w:pPr>
        <w:tabs>
          <w:tab w:val="left" w:pos="540"/>
          <w:tab w:val="left" w:pos="8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甲乙双方同意，在本合同有效期内，不可抗力的范围是：由于地震、台风、水灾、火灾、雷击、瘟疫、战争以及其他不能预见，并且对其发生和后果不能防止、或避免和克服的人力不可抗拒事件</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造成任何一方的损失，对方不承担任何责任，由各自的保险公司负责。</w:t>
      </w:r>
    </w:p>
    <w:p>
      <w:pPr>
        <w:tabs>
          <w:tab w:val="left" w:pos="540"/>
          <w:tab w:val="left" w:pos="84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第十</w:t>
      </w:r>
      <w:r>
        <w:rPr>
          <w:rFonts w:hint="eastAsia" w:ascii="宋体" w:hAnsi="宋体"/>
          <w:b/>
          <w:color w:val="000000" w:themeColor="text1"/>
          <w:sz w:val="24"/>
          <w14:textFill>
            <w14:solidFill>
              <w14:schemeClr w14:val="tx1"/>
            </w14:solidFill>
          </w14:textFill>
        </w:rPr>
        <w:t>二</w:t>
      </w:r>
      <w:r>
        <w:rPr>
          <w:rFonts w:ascii="宋体" w:hAnsi="宋体"/>
          <w:b/>
          <w:color w:val="000000" w:themeColor="text1"/>
          <w:sz w:val="24"/>
          <w14:textFill>
            <w14:solidFill>
              <w14:schemeClr w14:val="tx1"/>
            </w14:solidFill>
          </w14:textFill>
        </w:rPr>
        <w:t>条法律适用及争议解决</w:t>
      </w:r>
    </w:p>
    <w:p>
      <w:pPr>
        <w:tabs>
          <w:tab w:val="left" w:pos="540"/>
          <w:tab w:val="left" w:pos="8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  本合同的订立、效力、解释、履行和争议的解决均接受中华人民共和国法律的管辖。</w:t>
      </w:r>
    </w:p>
    <w:p>
      <w:pPr>
        <w:tabs>
          <w:tab w:val="left" w:pos="540"/>
          <w:tab w:val="left" w:pos="8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12.2甲乙双方因履行本合同而发生的或与本合同有关的一切争议，应通过友好协商解决；如果协商不能解决的，任何一方均有权向本合同履行地的人民法院</w:t>
      </w:r>
      <w:r>
        <w:rPr>
          <w:rFonts w:hint="eastAsia" w:ascii="宋体" w:hAnsi="宋体"/>
          <w:color w:val="000000" w:themeColor="text1"/>
          <w:sz w:val="24"/>
          <w14:textFill>
            <w14:solidFill>
              <w14:schemeClr w14:val="tx1"/>
            </w14:solidFill>
          </w14:textFill>
        </w:rPr>
        <w:t>（北京市顺义区人民法院）</w:t>
      </w:r>
      <w:r>
        <w:rPr>
          <w:rFonts w:ascii="宋体" w:hAnsi="宋体"/>
          <w:color w:val="000000" w:themeColor="text1"/>
          <w:sz w:val="24"/>
          <w14:textFill>
            <w14:solidFill>
              <w14:schemeClr w14:val="tx1"/>
            </w14:solidFill>
          </w14:textFill>
        </w:rPr>
        <w:t>提起诉讼。</w:t>
      </w:r>
    </w:p>
    <w:p>
      <w:pPr>
        <w:tabs>
          <w:tab w:val="left" w:pos="540"/>
          <w:tab w:val="left" w:pos="840"/>
        </w:tabs>
        <w:spacing w:line="360" w:lineRule="auto"/>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第十</w:t>
      </w:r>
      <w:r>
        <w:rPr>
          <w:rFonts w:hint="eastAsia" w:ascii="宋体" w:hAnsi="宋体"/>
          <w:b/>
          <w:color w:val="000000" w:themeColor="text1"/>
          <w:sz w:val="24"/>
          <w14:textFill>
            <w14:solidFill>
              <w14:schemeClr w14:val="tx1"/>
            </w14:solidFill>
          </w14:textFill>
        </w:rPr>
        <w:t>三</w:t>
      </w:r>
      <w:r>
        <w:rPr>
          <w:rFonts w:ascii="宋体" w:hAnsi="宋体"/>
          <w:b/>
          <w:color w:val="000000" w:themeColor="text1"/>
          <w:sz w:val="24"/>
          <w14:textFill>
            <w14:solidFill>
              <w14:schemeClr w14:val="tx1"/>
            </w14:solidFill>
          </w14:textFill>
        </w:rPr>
        <w:t>条附    则</w:t>
      </w:r>
    </w:p>
    <w:p>
      <w:pPr>
        <w:tabs>
          <w:tab w:val="left" w:pos="540"/>
          <w:tab w:val="left" w:pos="8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13.1本合同未尽事宜，经甲、乙双方协商解决，并由甲乙双方另行签订补充协议，作为本合同的附件，与本合同具有同等法律效力。</w:t>
      </w:r>
    </w:p>
    <w:p>
      <w:pPr>
        <w:tabs>
          <w:tab w:val="left" w:pos="540"/>
          <w:tab w:val="left" w:pos="840"/>
        </w:tabs>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13.2本合同一式</w:t>
      </w:r>
      <w:r>
        <w:rPr>
          <w:rFonts w:hint="eastAsia" w:ascii="宋体" w:hAnsi="宋体"/>
          <w:color w:val="000000" w:themeColor="text1"/>
          <w:sz w:val="24"/>
          <w14:textFill>
            <w14:solidFill>
              <w14:schemeClr w14:val="tx1"/>
            </w14:solidFill>
          </w14:textFill>
        </w:rPr>
        <w:t>两</w:t>
      </w:r>
      <w:r>
        <w:rPr>
          <w:rFonts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lang w:eastAsia="zh-CN"/>
          <w14:textFill>
            <w14:solidFill>
              <w14:schemeClr w14:val="tx1"/>
            </w14:solidFill>
          </w14:textFill>
        </w:rPr>
        <w:t>一</w:t>
      </w:r>
      <w:r>
        <w:rPr>
          <w:rFonts w:ascii="宋体" w:hAnsi="宋体"/>
          <w:color w:val="000000" w:themeColor="text1"/>
          <w:sz w:val="24"/>
          <w14:textFill>
            <w14:solidFill>
              <w14:schemeClr w14:val="tx1"/>
            </w14:solidFill>
          </w14:textFill>
        </w:rPr>
        <w:t>份，具有同等法律效力。</w:t>
      </w:r>
    </w:p>
    <w:p>
      <w:pPr>
        <w:pStyle w:val="2"/>
      </w:pPr>
    </w:p>
    <w:p>
      <w:pPr>
        <w:tabs>
          <w:tab w:val="left" w:pos="360"/>
          <w:tab w:val="left" w:pos="540"/>
          <w:tab w:val="left" w:pos="720"/>
        </w:tabs>
        <w:spacing w:line="360" w:lineRule="auto"/>
      </w:pPr>
    </w:p>
    <w:p>
      <w:pPr>
        <w:pStyle w:val="2"/>
      </w:pPr>
    </w:p>
    <w:p/>
    <w:p>
      <w:pPr>
        <w:pStyle w:val="2"/>
      </w:pPr>
    </w:p>
    <w:p/>
    <w:p/>
    <w:p>
      <w:pPr>
        <w:tabs>
          <w:tab w:val="left" w:pos="360"/>
          <w:tab w:val="left" w:pos="540"/>
          <w:tab w:val="left" w:pos="720"/>
        </w:tabs>
        <w:spacing w:line="360" w:lineRule="auto"/>
      </w:pPr>
      <w:r>
        <w:rPr>
          <w:rFonts w:hint="eastAsia" w:ascii="宋体" w:hAnsi="宋体"/>
          <w:sz w:val="32"/>
          <w:szCs w:val="32"/>
        </w:rPr>
        <w:t>以下无正文</w:t>
      </w:r>
    </w:p>
    <w:p/>
    <w:p>
      <w:pPr>
        <w:pStyle w:val="2"/>
      </w:pPr>
    </w:p>
    <w:p>
      <w:pPr>
        <w:pStyle w:val="2"/>
        <w:ind w:left="0" w:leftChars="0" w:firstLine="0" w:firstLineChars="0"/>
      </w:pPr>
    </w:p>
    <w:p>
      <w:pPr>
        <w:rPr>
          <w:rFonts w:hint="eastAsia" w:ascii="方正小标宋简体" w:eastAsia="方正小标宋简体"/>
          <w:sz w:val="44"/>
          <w:szCs w:val="44"/>
        </w:rPr>
      </w:pPr>
      <w:r>
        <w:rPr>
          <w:rFonts w:hint="eastAsia" w:ascii="方正小标宋简体" w:eastAsia="方正小标宋简体"/>
          <w:sz w:val="44"/>
          <w:szCs w:val="44"/>
        </w:rPr>
        <w:br w:type="page"/>
      </w:r>
    </w:p>
    <w:p>
      <w:pPr>
        <w:pStyle w:val="2"/>
        <w:ind w:left="752" w:hanging="752"/>
        <w:jc w:val="center"/>
        <w:rPr>
          <w:rFonts w:ascii="方正小标宋简体" w:eastAsia="方正小标宋简体"/>
          <w:sz w:val="44"/>
          <w:szCs w:val="44"/>
        </w:rPr>
      </w:pPr>
      <w:r>
        <w:rPr>
          <w:rFonts w:hint="eastAsia" w:ascii="方正小标宋简体" w:eastAsia="方正小标宋简体"/>
          <w:sz w:val="44"/>
          <w:szCs w:val="44"/>
        </w:rPr>
        <w:t>合同签署页：</w:t>
      </w:r>
    </w:p>
    <w:p>
      <w:pPr>
        <w:pStyle w:val="2"/>
      </w:pPr>
    </w:p>
    <w:p>
      <w:pPr>
        <w:pStyle w:val="2"/>
        <w:ind w:left="410" w:hanging="410"/>
      </w:pPr>
      <w:r>
        <w:rPr>
          <w:rFonts w:hint="eastAsia" w:ascii="宋体"/>
          <w:sz w:val="24"/>
        </w:rPr>
        <w:t>甲方（盖章）：</w:t>
      </w:r>
    </w:p>
    <w:p>
      <w:pPr>
        <w:pStyle w:val="2"/>
      </w:pPr>
    </w:p>
    <w:p>
      <w:pPr>
        <w:tabs>
          <w:tab w:val="left" w:pos="540"/>
          <w:tab w:val="left" w:pos="720"/>
        </w:tabs>
        <w:spacing w:line="360" w:lineRule="auto"/>
        <w:rPr>
          <w:rFonts w:ascii="宋体" w:hAnsi="宋体"/>
          <w:sz w:val="24"/>
        </w:rPr>
      </w:pPr>
      <w:r>
        <w:rPr>
          <w:rFonts w:hint="eastAsia" w:ascii="宋体" w:hAnsi="宋体"/>
          <w:sz w:val="24"/>
        </w:rPr>
        <w:t>法定代表人或授权代表人：</w:t>
      </w:r>
    </w:p>
    <w:p>
      <w:pPr>
        <w:tabs>
          <w:tab w:val="left" w:pos="540"/>
          <w:tab w:val="left" w:pos="720"/>
        </w:tabs>
        <w:spacing w:line="360" w:lineRule="auto"/>
        <w:ind w:left="-178" w:leftChars="-85" w:firstLine="256" w:firstLineChars="107"/>
        <w:rPr>
          <w:rFonts w:ascii="宋体" w:hAnsi="宋体"/>
          <w:sz w:val="24"/>
        </w:rPr>
      </w:pPr>
    </w:p>
    <w:p>
      <w:pPr>
        <w:spacing w:line="36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 </w:t>
      </w:r>
    </w:p>
    <w:p>
      <w:pPr>
        <w:rPr>
          <w:rFonts w:ascii="宋体" w:hAnsi="宋体"/>
          <w:sz w:val="24"/>
        </w:rPr>
      </w:pPr>
    </w:p>
    <w:p>
      <w:pPr>
        <w:rPr>
          <w:rFonts w:ascii="宋体" w:hAnsi="宋体"/>
          <w:sz w:val="24"/>
        </w:rPr>
      </w:pPr>
    </w:p>
    <w:p>
      <w:pPr>
        <w:pStyle w:val="2"/>
      </w:pPr>
    </w:p>
    <w:p>
      <w:pPr>
        <w:pStyle w:val="2"/>
        <w:ind w:left="410" w:hanging="410"/>
      </w:pPr>
      <w:r>
        <w:rPr>
          <w:rFonts w:hint="eastAsia" w:ascii="宋体"/>
          <w:sz w:val="24"/>
        </w:rPr>
        <w:t>乙方（盖章）：</w:t>
      </w:r>
    </w:p>
    <w:p>
      <w:pPr>
        <w:pStyle w:val="2"/>
        <w:ind w:left="0" w:firstLine="0" w:firstLineChars="0"/>
      </w:pPr>
    </w:p>
    <w:p>
      <w:pPr>
        <w:tabs>
          <w:tab w:val="left" w:pos="540"/>
          <w:tab w:val="left" w:pos="720"/>
        </w:tabs>
        <w:spacing w:line="360" w:lineRule="auto"/>
        <w:rPr>
          <w:rFonts w:ascii="宋体" w:hAnsi="宋体"/>
          <w:sz w:val="24"/>
        </w:rPr>
      </w:pPr>
      <w:r>
        <w:rPr>
          <w:rFonts w:hint="eastAsia" w:ascii="宋体" w:hAnsi="宋体"/>
          <w:sz w:val="24"/>
        </w:rPr>
        <w:t>法定代表人或授权代表人：</w:t>
      </w:r>
    </w:p>
    <w:p>
      <w:pPr>
        <w:tabs>
          <w:tab w:val="left" w:pos="540"/>
          <w:tab w:val="left" w:pos="720"/>
        </w:tabs>
        <w:spacing w:line="360" w:lineRule="auto"/>
        <w:ind w:left="-178" w:leftChars="-85" w:firstLine="256" w:firstLineChars="107"/>
        <w:rPr>
          <w:rFonts w:ascii="宋体" w:hAnsi="宋体"/>
          <w:sz w:val="24"/>
        </w:rPr>
      </w:pPr>
    </w:p>
    <w:p>
      <w:pPr>
        <w:spacing w:line="36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 </w:t>
      </w:r>
    </w:p>
    <w:p>
      <w:pPr>
        <w:rPr>
          <w:b/>
          <w:sz w:val="36"/>
          <w:szCs w:val="36"/>
        </w:rPr>
      </w:pPr>
      <w:r>
        <w:rPr>
          <w:b/>
          <w:sz w:val="36"/>
          <w:szCs w:val="36"/>
        </w:rPr>
        <w:br w:type="page"/>
      </w:r>
    </w:p>
    <w:p>
      <w:pPr>
        <w:spacing w:line="360" w:lineRule="auto"/>
        <w:jc w:val="center"/>
        <w:outlineLvl w:val="0"/>
        <w:rPr>
          <w:b/>
          <w:sz w:val="36"/>
          <w:szCs w:val="36"/>
        </w:rPr>
      </w:pPr>
      <w:r>
        <w:rPr>
          <w:b/>
          <w:sz w:val="36"/>
          <w:szCs w:val="36"/>
        </w:rPr>
        <w:t>第七章   投标文件格式</w:t>
      </w:r>
      <w:bookmarkEnd w:id="968"/>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5"/>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16" w:type="default"/>
          <w:footerReference r:id="rId17" w:type="default"/>
          <w:pgSz w:w="11907" w:h="16840"/>
          <w:pgMar w:top="1418" w:right="1134" w:bottom="1418" w:left="1701" w:header="851" w:footer="851" w:gutter="0"/>
          <w:cols w:space="720" w:num="1"/>
          <w:docGrid w:linePitch="462" w:charSpace="0"/>
        </w:sectPr>
      </w:pPr>
    </w:p>
    <w:p>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975" w:name="_Hlk145526067"/>
      <w:r>
        <w:rPr>
          <w:sz w:val="24"/>
        </w:rPr>
        <w:t>如供应商为联合体的，</w:t>
      </w:r>
      <w:bookmarkEnd w:id="97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7"/>
      </w:pPr>
      <w:r>
        <w:t>2-1-1 中小企业证明文件</w:t>
      </w:r>
      <w:r>
        <w:rPr>
          <w:color w:val="000000"/>
        </w:rPr>
        <w:t>（实质性格式）</w:t>
      </w:r>
    </w:p>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rPr>
          <w:b/>
          <w:bCs/>
          <w:color w:val="000000"/>
          <w:sz w:val="36"/>
          <w:szCs w:val="36"/>
        </w:rPr>
      </w:pPr>
      <w:r>
        <w:rPr>
          <w:b/>
          <w:bCs/>
          <w:color w:val="000000"/>
          <w:sz w:val="36"/>
          <w:szCs w:val="36"/>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pPr>
        <w:spacing w:line="360" w:lineRule="auto"/>
        <w:outlineLvl w:val="2"/>
        <w:rPr>
          <w:sz w:val="24"/>
          <w:szCs w:val="20"/>
        </w:rPr>
      </w:pPr>
      <w:r>
        <w:rPr>
          <w:color w:val="000000"/>
          <w:sz w:val="24"/>
          <w:szCs w:val="20"/>
        </w:rPr>
        <w:t>3-</w:t>
      </w:r>
      <w:r>
        <w:rPr>
          <w:rFonts w:hint="eastAsia"/>
          <w:color w:val="000000"/>
          <w:sz w:val="24"/>
          <w:szCs w:val="20"/>
        </w:rPr>
        <w:t>2</w:t>
      </w:r>
      <w:r>
        <w:rPr>
          <w:color w:val="000000"/>
          <w:sz w:val="24"/>
          <w:szCs w:val="20"/>
        </w:rPr>
        <w:t xml:space="preserve"> 其他</w:t>
      </w:r>
      <w:r>
        <w:rPr>
          <w:sz w:val="24"/>
          <w:szCs w:val="20"/>
        </w:rPr>
        <w:t>特定资格要求</w:t>
      </w:r>
      <w:r>
        <w:rPr>
          <w:color w:val="000000"/>
          <w:sz w:val="24"/>
          <w:szCs w:val="20"/>
        </w:rPr>
        <w:t>（如有）</w:t>
      </w:r>
    </w:p>
    <w:p>
      <w:pPr>
        <w:widowControl/>
        <w:jc w:val="left"/>
        <w:rPr>
          <w:sz w:val="24"/>
          <w:szCs w:val="20"/>
        </w:rPr>
      </w:pPr>
      <w:r>
        <w:rPr>
          <w:rFonts w:hint="eastAsia"/>
        </w:rPr>
        <w:t>提供相关证明文件并盖投标人公章。</w:t>
      </w:r>
      <w:r>
        <w:rPr>
          <w:sz w:val="24"/>
          <w:szCs w:val="20"/>
        </w:rPr>
        <w:br w:type="page"/>
      </w:r>
    </w:p>
    <w:p>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投标保证金凭证/交款单据电子件（如有）</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17"/>
        </w:numPr>
        <w:tabs>
          <w:tab w:val="left" w:pos="360"/>
        </w:tabs>
        <w:snapToGrid w:val="0"/>
        <w:spacing w:line="360" w:lineRule="auto"/>
        <w:outlineLvl w:val="1"/>
        <w:rPr>
          <w:color w:val="000000"/>
          <w:sz w:val="24"/>
          <w:szCs w:val="20"/>
        </w:rPr>
      </w:pPr>
      <w:bookmarkStart w:id="976" w:name="_Hlt520273711"/>
      <w:bookmarkEnd w:id="976"/>
      <w:bookmarkStart w:id="977" w:name="_Hlt520274407"/>
      <w:bookmarkEnd w:id="977"/>
      <w:bookmarkStart w:id="978" w:name="_Hlt520343392"/>
      <w:bookmarkEnd w:id="978"/>
      <w:bookmarkStart w:id="979" w:name="_Hlt520355504"/>
      <w:bookmarkEnd w:id="979"/>
      <w:bookmarkStart w:id="980" w:name="_Hlt520274393"/>
      <w:bookmarkEnd w:id="980"/>
      <w:bookmarkStart w:id="981" w:name="_Hlt520271212"/>
      <w:bookmarkEnd w:id="981"/>
      <w:bookmarkStart w:id="982" w:name="_Hlt520343000"/>
      <w:bookmarkEnd w:id="982"/>
      <w:bookmarkStart w:id="983" w:name="_Hlt520274065"/>
      <w:bookmarkEnd w:id="983"/>
      <w:bookmarkStart w:id="984" w:name="_Hlt520274121"/>
      <w:bookmarkEnd w:id="984"/>
      <w:bookmarkStart w:id="985" w:name="_Hlt520350918"/>
      <w:bookmarkEnd w:id="985"/>
      <w:bookmarkStart w:id="986" w:name="_Toc480942349"/>
      <w:bookmarkStart w:id="987" w:name="_Ref467988698"/>
      <w:bookmarkStart w:id="988" w:name="_Toc226337252"/>
      <w:bookmarkStart w:id="989" w:name="_Toc226965746"/>
      <w:bookmarkStart w:id="990" w:name="_Toc226965829"/>
      <w:bookmarkStart w:id="991" w:name="_Toc142311058"/>
      <w:bookmarkStart w:id="992" w:name="_Toc520356217"/>
      <w:bookmarkStart w:id="993" w:name="_Toc195842921"/>
      <w:bookmarkStart w:id="994" w:name="_Toc226309800"/>
      <w:bookmarkStart w:id="995" w:name="_Toc127151556"/>
      <w:bookmarkStart w:id="996" w:name="_Toc150774761"/>
      <w:bookmarkStart w:id="997" w:name="_Toc150480794"/>
      <w:r>
        <w:rPr>
          <w:color w:val="000000"/>
          <w:sz w:val="24"/>
        </w:rPr>
        <w:t>投标</w:t>
      </w:r>
      <w:bookmarkEnd w:id="986"/>
      <w:bookmarkEnd w:id="987"/>
      <w:r>
        <w:rPr>
          <w:color w:val="000000"/>
          <w:sz w:val="24"/>
        </w:rPr>
        <w:t>书</w:t>
      </w:r>
      <w:bookmarkEnd w:id="988"/>
      <w:bookmarkEnd w:id="989"/>
      <w:bookmarkEnd w:id="990"/>
      <w:bookmarkEnd w:id="991"/>
      <w:bookmarkEnd w:id="992"/>
      <w:bookmarkEnd w:id="993"/>
      <w:bookmarkEnd w:id="994"/>
      <w:bookmarkEnd w:id="995"/>
      <w:bookmarkEnd w:id="996"/>
      <w:bookmarkEnd w:id="997"/>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998" w:name="_Hlt520356243"/>
      <w:bookmarkEnd w:id="998"/>
      <w:bookmarkStart w:id="999" w:name="_Hlt520355938"/>
      <w:bookmarkEnd w:id="999"/>
      <w:bookmarkStart w:id="1000" w:name="_Toc226337253"/>
      <w:bookmarkStart w:id="1001" w:name="_Toc480942350"/>
      <w:bookmarkStart w:id="1002" w:name="_Toc195842922"/>
      <w:bookmarkStart w:id="1003" w:name="_Toc520356218"/>
      <w:bookmarkStart w:id="1004" w:name="_Toc127151557"/>
      <w:bookmarkStart w:id="1005" w:name="_Toc226965830"/>
      <w:bookmarkStart w:id="1006" w:name="_Toc226965747"/>
      <w:bookmarkStart w:id="1007" w:name="_Toc150774762"/>
      <w:bookmarkStart w:id="1008" w:name="_Toc305158825"/>
      <w:bookmarkStart w:id="1009" w:name="_Toc226309801"/>
      <w:bookmarkStart w:id="1010" w:name="_Toc265228395"/>
      <w:bookmarkStart w:id="1011" w:name="_Toc305158899"/>
      <w:bookmarkStart w:id="1012" w:name="_Toc264969247"/>
      <w:bookmarkStart w:id="1013" w:name="_Toc150480795"/>
      <w:bookmarkStart w:id="1014" w:name="_Toc142311059"/>
      <w:bookmarkStart w:id="1015" w:name="_Ref467988705"/>
      <w:r>
        <w:rPr>
          <w:color w:val="000000"/>
          <w:sz w:val="24"/>
        </w:rPr>
        <w:br w:type="page"/>
      </w:r>
    </w:p>
    <w:p>
      <w:pPr>
        <w:numPr>
          <w:ilvl w:val="0"/>
          <w:numId w:val="17"/>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8"/>
        <w:tabs>
          <w:tab w:val="left" w:pos="2412"/>
          <w:tab w:val="left" w:pos="3883"/>
          <w:tab w:val="left" w:pos="5352"/>
          <w:tab w:val="left" w:pos="6821"/>
        </w:tabs>
        <w:kinsoku w:val="0"/>
        <w:overflowPunct w:val="0"/>
        <w:spacing w:line="335" w:lineRule="exact"/>
        <w:rPr>
          <w:rFonts w:ascii="Times New Roman" w:hAnsi="Times New Roman"/>
        </w:rPr>
      </w:pPr>
    </w:p>
    <w:p>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18"/>
        <w:tabs>
          <w:tab w:val="left" w:pos="2412"/>
          <w:tab w:val="left" w:pos="3883"/>
          <w:tab w:val="left" w:pos="5352"/>
          <w:tab w:val="left" w:pos="6821"/>
        </w:tabs>
        <w:kinsoku w:val="0"/>
        <w:overflowPunct w:val="0"/>
        <w:spacing w:line="335" w:lineRule="exact"/>
        <w:rPr>
          <w:rFonts w:ascii="Times New Roman" w:hAnsi="Times New Roman"/>
        </w:rPr>
      </w:pPr>
    </w:p>
    <w:p>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18"/>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Pr>
          <w:color w:val="000000"/>
          <w:sz w:val="24"/>
          <w:szCs w:val="20"/>
        </w:rPr>
        <w:t>（实质性格式）</w:t>
      </w:r>
    </w:p>
    <w:p>
      <w:pPr>
        <w:spacing w:line="360" w:lineRule="exact"/>
        <w:jc w:val="center"/>
        <w:rPr>
          <w:b/>
          <w:color w:val="000000"/>
          <w:sz w:val="36"/>
          <w:szCs w:val="36"/>
        </w:rPr>
      </w:pPr>
      <w:bookmarkStart w:id="1016" w:name="_Toc195842923"/>
      <w:bookmarkStart w:id="1017" w:name="_Toc164608827"/>
      <w:bookmarkStart w:id="1018" w:name="_Toc265228396"/>
      <w:bookmarkStart w:id="1019" w:name="_Toc264969248"/>
      <w:bookmarkStart w:id="1020" w:name="_Toc305158826"/>
      <w:bookmarkStart w:id="1021" w:name="_Toc226337254"/>
      <w:bookmarkStart w:id="1022" w:name="_Toc305158900"/>
      <w:bookmarkStart w:id="1023" w:name="_Toc226965831"/>
      <w:bookmarkStart w:id="1024" w:name="_Toc226965748"/>
      <w:bookmarkStart w:id="1025" w:name="_Toc226309802"/>
      <w:bookmarkStart w:id="1026" w:name="_Toc164608672"/>
      <w:r>
        <w:rPr>
          <w:b/>
          <w:color w:val="000000"/>
          <w:sz w:val="36"/>
          <w:szCs w:val="36"/>
        </w:rPr>
        <w:t>开标一览表</w:t>
      </w:r>
      <w:bookmarkEnd w:id="1016"/>
      <w:bookmarkEnd w:id="1017"/>
      <w:bookmarkEnd w:id="1018"/>
      <w:bookmarkEnd w:id="1019"/>
      <w:bookmarkEnd w:id="1020"/>
      <w:bookmarkEnd w:id="1021"/>
      <w:bookmarkEnd w:id="1022"/>
      <w:bookmarkEnd w:id="1023"/>
      <w:bookmarkEnd w:id="1024"/>
      <w:bookmarkEnd w:id="1025"/>
      <w:bookmarkEnd w:id="1026"/>
    </w:p>
    <w:p>
      <w:pPr>
        <w:tabs>
          <w:tab w:val="left" w:pos="1800"/>
          <w:tab w:val="left" w:pos="5580"/>
        </w:tabs>
        <w:spacing w:line="360" w:lineRule="auto"/>
        <w:jc w:val="left"/>
        <w:rPr>
          <w:i/>
          <w:color w:val="FF0000"/>
          <w:sz w:val="24"/>
        </w:rPr>
      </w:pPr>
    </w:p>
    <w:p>
      <w:pPr>
        <w:tabs>
          <w:tab w:val="left" w:pos="1800"/>
          <w:tab w:val="left" w:pos="5580"/>
        </w:tabs>
        <w:spacing w:line="360" w:lineRule="auto"/>
        <w:jc w:val="left"/>
        <w:rPr>
          <w:i/>
          <w:color w:val="FF0000"/>
          <w:sz w:val="24"/>
        </w:rPr>
      </w:pPr>
      <w:r>
        <w:rPr>
          <w:rFonts w:hint="eastAsia"/>
          <w:i/>
          <w:color w:val="FF0000"/>
          <w:sz w:val="24"/>
        </w:rPr>
        <w:t xml:space="preserve"> </w:t>
      </w: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9"/>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6"/>
        <w:gridCol w:w="2521"/>
        <w:gridCol w:w="2768"/>
        <w:gridCol w:w="2268"/>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421" w:type="pct"/>
            <w:vAlign w:val="center"/>
          </w:tcPr>
          <w:p>
            <w:pPr>
              <w:tabs>
                <w:tab w:val="left" w:pos="5580"/>
              </w:tabs>
              <w:jc w:val="center"/>
              <w:rPr>
                <w:b/>
                <w:sz w:val="24"/>
              </w:rPr>
            </w:pPr>
            <w:r>
              <w:rPr>
                <w:b/>
                <w:sz w:val="24"/>
              </w:rPr>
              <w:t>包号</w:t>
            </w:r>
          </w:p>
        </w:tc>
        <w:tc>
          <w:tcPr>
            <w:tcW w:w="1386" w:type="pct"/>
            <w:vAlign w:val="center"/>
          </w:tcPr>
          <w:p>
            <w:pPr>
              <w:tabs>
                <w:tab w:val="left" w:pos="5580"/>
              </w:tabs>
              <w:jc w:val="center"/>
              <w:rPr>
                <w:b/>
                <w:sz w:val="24"/>
              </w:rPr>
            </w:pPr>
            <w:r>
              <w:rPr>
                <w:b/>
                <w:sz w:val="24"/>
              </w:rPr>
              <w:t>投标人名称</w:t>
            </w:r>
          </w:p>
        </w:tc>
        <w:tc>
          <w:tcPr>
            <w:tcW w:w="1522" w:type="pct"/>
            <w:vAlign w:val="center"/>
          </w:tcPr>
          <w:p>
            <w:pPr>
              <w:tabs>
                <w:tab w:val="left" w:pos="5580"/>
              </w:tabs>
              <w:jc w:val="center"/>
              <w:rPr>
                <w:b/>
                <w:sz w:val="24"/>
              </w:rPr>
            </w:pPr>
            <w:r>
              <w:rPr>
                <w:b/>
                <w:sz w:val="24"/>
              </w:rPr>
              <w:t>投标报价小写</w:t>
            </w:r>
            <w:r>
              <w:rPr>
                <w:rFonts w:hint="eastAsia"/>
                <w:b/>
                <w:sz w:val="24"/>
              </w:rPr>
              <w:t>（元）</w:t>
            </w:r>
          </w:p>
        </w:tc>
        <w:tc>
          <w:tcPr>
            <w:tcW w:w="1247" w:type="pct"/>
            <w:vAlign w:val="center"/>
          </w:tcPr>
          <w:p>
            <w:pPr>
              <w:tabs>
                <w:tab w:val="left" w:pos="5580"/>
              </w:tabs>
              <w:jc w:val="center"/>
              <w:rPr>
                <w:b/>
                <w:sz w:val="24"/>
              </w:rPr>
            </w:pPr>
            <w:r>
              <w:rPr>
                <w:rFonts w:hint="eastAsia"/>
                <w:b/>
                <w:sz w:val="24"/>
              </w:rPr>
              <w:t>合同履行期</w:t>
            </w:r>
          </w:p>
          <w:p>
            <w:pPr>
              <w:tabs>
                <w:tab w:val="left" w:pos="5580"/>
              </w:tabs>
              <w:jc w:val="center"/>
              <w:rPr>
                <w:b/>
                <w:sz w:val="24"/>
              </w:rPr>
            </w:pPr>
            <w:r>
              <w:rPr>
                <w:rFonts w:hint="eastAsia"/>
                <w:b/>
                <w:sz w:val="24"/>
              </w:rPr>
              <w:t>（服务期限）</w:t>
            </w:r>
          </w:p>
        </w:tc>
        <w:tc>
          <w:tcPr>
            <w:tcW w:w="421" w:type="pct"/>
            <w:vAlign w:val="center"/>
          </w:tcPr>
          <w:p>
            <w:pPr>
              <w:tabs>
                <w:tab w:val="left" w:pos="5580"/>
              </w:tabs>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1" w:type="pct"/>
            <w:vAlign w:val="center"/>
          </w:tcPr>
          <w:p>
            <w:pPr>
              <w:tabs>
                <w:tab w:val="left" w:pos="5580"/>
              </w:tabs>
              <w:jc w:val="center"/>
              <w:rPr>
                <w:sz w:val="24"/>
              </w:rPr>
            </w:pPr>
          </w:p>
        </w:tc>
        <w:tc>
          <w:tcPr>
            <w:tcW w:w="1386" w:type="pct"/>
            <w:vAlign w:val="center"/>
          </w:tcPr>
          <w:p>
            <w:pPr>
              <w:tabs>
                <w:tab w:val="left" w:pos="5580"/>
              </w:tabs>
              <w:jc w:val="center"/>
              <w:rPr>
                <w:sz w:val="24"/>
              </w:rPr>
            </w:pPr>
          </w:p>
        </w:tc>
        <w:tc>
          <w:tcPr>
            <w:tcW w:w="1522" w:type="pct"/>
            <w:vAlign w:val="center"/>
          </w:tcPr>
          <w:p>
            <w:pPr>
              <w:tabs>
                <w:tab w:val="left" w:pos="5580"/>
              </w:tabs>
              <w:jc w:val="center"/>
              <w:rPr>
                <w:sz w:val="24"/>
              </w:rPr>
            </w:pPr>
          </w:p>
        </w:tc>
        <w:tc>
          <w:tcPr>
            <w:tcW w:w="1247" w:type="pct"/>
            <w:vAlign w:val="center"/>
          </w:tcPr>
          <w:p>
            <w:pPr>
              <w:tabs>
                <w:tab w:val="left" w:pos="5580"/>
              </w:tabs>
              <w:jc w:val="center"/>
              <w:rPr>
                <w:sz w:val="24"/>
              </w:rPr>
            </w:pPr>
          </w:p>
        </w:tc>
        <w:tc>
          <w:tcPr>
            <w:tcW w:w="421"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1027" w:name="_Toc305158827"/>
      <w:bookmarkStart w:id="1028" w:name="_Toc305158901"/>
      <w:bookmarkStart w:id="1029" w:name="_Toc226965749"/>
      <w:bookmarkStart w:id="1030" w:name="_Toc264969249"/>
      <w:bookmarkStart w:id="1031" w:name="_Toc142311060"/>
      <w:bookmarkStart w:id="1032" w:name="_Toc226965832"/>
      <w:bookmarkStart w:id="1033" w:name="_Toc150774763"/>
      <w:bookmarkStart w:id="1034" w:name="_Toc226337255"/>
      <w:bookmarkStart w:id="1035" w:name="_Toc195842924"/>
      <w:bookmarkStart w:id="1036" w:name="_Toc265228397"/>
      <w:bookmarkStart w:id="1037" w:name="_Toc226309803"/>
      <w:bookmarkStart w:id="1038" w:name="_Toc127151558"/>
      <w:bookmarkStart w:id="1039" w:name="_Toc150480796"/>
    </w:p>
    <w:p>
      <w:pPr>
        <w:widowControl/>
        <w:jc w:val="left"/>
        <w:rPr>
          <w:color w:val="000000"/>
          <w:sz w:val="24"/>
          <w:szCs w:val="20"/>
        </w:rPr>
      </w:pPr>
    </w:p>
    <w:p>
      <w:pPr>
        <w:numPr>
          <w:ilvl w:val="0"/>
          <w:numId w:val="17"/>
        </w:numPr>
        <w:tabs>
          <w:tab w:val="left" w:pos="360"/>
        </w:tabs>
        <w:snapToGrid w:val="0"/>
        <w:spacing w:line="360" w:lineRule="auto"/>
        <w:outlineLvl w:val="1"/>
        <w:rPr>
          <w:color w:val="000000"/>
          <w:sz w:val="24"/>
          <w:szCs w:val="20"/>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Start w:id="1040" w:name="OLE_LINK9"/>
      <w:r>
        <w:rPr>
          <w:color w:val="000000"/>
          <w:sz w:val="24"/>
          <w:szCs w:val="20"/>
        </w:rPr>
        <w:t>（实质性格式）</w:t>
      </w:r>
      <w:bookmarkEnd w:id="1040"/>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投标分项报价表</w:t>
      </w:r>
    </w:p>
    <w:p>
      <w:pPr>
        <w:tabs>
          <w:tab w:val="left" w:pos="1800"/>
          <w:tab w:val="left" w:pos="5580"/>
        </w:tabs>
      </w:pPr>
      <w:r>
        <w:rPr>
          <w:color w:val="000000"/>
          <w:sz w:val="24"/>
        </w:rPr>
        <w:t>项目编号/包号：___________ 项目名称：__________报价单位：人民币元</w:t>
      </w: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pStyle w:val="2"/>
        <w:rPr>
          <w:rFonts w:hint="default" w:eastAsia="宋体"/>
          <w:lang w:val="en-US" w:eastAsia="zh-CN"/>
        </w:rPr>
      </w:pPr>
      <w:r>
        <w:rPr>
          <w:rFonts w:hint="eastAsia"/>
          <w:color w:val="000000"/>
          <w:sz w:val="24"/>
          <w:lang w:val="en-US" w:eastAsia="zh-CN"/>
        </w:rPr>
        <w:t xml:space="preserve">    </w:t>
      </w:r>
      <w:r>
        <w:rPr>
          <w:rFonts w:hint="eastAsia"/>
          <w:b/>
          <w:bCs/>
          <w:color w:val="000000"/>
          <w:sz w:val="24"/>
          <w:lang w:val="en-US" w:eastAsia="zh-CN"/>
        </w:rPr>
        <w:t>4.分项报价参考采购需求格式自拟。</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7"/>
        </w:numPr>
        <w:tabs>
          <w:tab w:val="left" w:pos="360"/>
        </w:tabs>
        <w:snapToGrid w:val="0"/>
        <w:spacing w:line="360" w:lineRule="auto"/>
        <w:outlineLvl w:val="1"/>
        <w:rPr>
          <w:color w:val="000000"/>
          <w:sz w:val="24"/>
          <w:szCs w:val="20"/>
        </w:rPr>
      </w:pPr>
      <w:bookmarkStart w:id="1041" w:name="_Toc226965752"/>
      <w:bookmarkStart w:id="1042" w:name="_Toc150774765"/>
      <w:bookmarkStart w:id="1043" w:name="_Toc195842927"/>
      <w:bookmarkStart w:id="1044" w:name="_Toc150480798"/>
      <w:bookmarkStart w:id="1045" w:name="_Toc226965835"/>
      <w:bookmarkStart w:id="1046" w:name="_Toc142311062"/>
      <w:bookmarkStart w:id="1047" w:name="_Toc265228400"/>
      <w:bookmarkStart w:id="1048" w:name="_Toc127151562"/>
      <w:bookmarkStart w:id="1049" w:name="_Toc226337258"/>
      <w:bookmarkStart w:id="1050" w:name="_Toc226309806"/>
      <w:bookmarkStart w:id="1051" w:name="_Toc264969252"/>
      <w:bookmarkStart w:id="1052" w:name="_Toc305158904"/>
      <w:bookmarkStart w:id="1053" w:name="_Toc305158830"/>
      <w:bookmarkStart w:id="1054" w:name="_Toc150480797"/>
      <w:bookmarkStart w:id="1055" w:name="_Toc305158829"/>
      <w:bookmarkStart w:id="1056" w:name="_Toc127151561"/>
      <w:bookmarkStart w:id="1057" w:name="_Toc226309805"/>
      <w:bookmarkStart w:id="1058" w:name="_Toc195842926"/>
      <w:bookmarkStart w:id="1059" w:name="_Toc150774764"/>
      <w:bookmarkStart w:id="1060" w:name="_Toc226965751"/>
      <w:bookmarkStart w:id="1061" w:name="_Toc226965834"/>
      <w:bookmarkStart w:id="1062" w:name="_Toc226337257"/>
      <w:bookmarkStart w:id="1063" w:name="_Toc305158903"/>
      <w:bookmarkStart w:id="1064" w:name="_Toc265228399"/>
      <w:bookmarkStart w:id="1065" w:name="_Toc264969251"/>
      <w:bookmarkStart w:id="1066" w:name="_Toc142311061"/>
      <w:r>
        <w:rPr>
          <w:color w:val="000000"/>
          <w:sz w:val="24"/>
          <w:szCs w:val="20"/>
        </w:rPr>
        <w:br w:type="page"/>
      </w:r>
      <w:r>
        <w:rPr>
          <w:color w:val="000000"/>
          <w:sz w:val="24"/>
          <w:szCs w:val="20"/>
        </w:rPr>
        <w:t>合同条款偏离表</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bookmarkStart w:id="1067" w:name="_Hlk144279231"/>
            <w:r>
              <w:rPr>
                <w:color w:val="000000"/>
                <w:sz w:val="24"/>
              </w:rPr>
              <w:t>序号</w:t>
            </w:r>
          </w:p>
        </w:tc>
        <w:tc>
          <w:tcPr>
            <w:tcW w:w="1646"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pPr>
              <w:adjustRightInd w:val="0"/>
              <w:snapToGrid w:val="0"/>
              <w:jc w:val="center"/>
              <w:rPr>
                <w:color w:val="000000"/>
                <w:sz w:val="24"/>
              </w:rPr>
            </w:pPr>
            <w:r>
              <w:rPr>
                <w:color w:val="000000"/>
                <w:sz w:val="24"/>
              </w:rPr>
              <w:t>投标文件内容</w:t>
            </w:r>
          </w:p>
        </w:tc>
        <w:tc>
          <w:tcPr>
            <w:tcW w:w="1925" w:type="dxa"/>
            <w:vAlign w:val="center"/>
          </w:tcPr>
          <w:p>
            <w:pPr>
              <w:adjustRightInd w:val="0"/>
              <w:snapToGrid w:val="0"/>
              <w:jc w:val="center"/>
              <w:rPr>
                <w:color w:val="000000"/>
                <w:sz w:val="24"/>
              </w:rPr>
            </w:pPr>
            <w:r>
              <w:rPr>
                <w:color w:val="000000"/>
                <w:sz w:val="24"/>
              </w:rPr>
              <w:t>偏离情况</w:t>
            </w:r>
          </w:p>
        </w:tc>
        <w:tc>
          <w:tcPr>
            <w:tcW w:w="1045"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bookmarkEnd w:id="1067"/>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1054"/>
      <w:bookmarkEnd w:id="1055"/>
      <w:bookmarkEnd w:id="1056"/>
      <w:bookmarkEnd w:id="1057"/>
      <w:bookmarkEnd w:id="1058"/>
      <w:bookmarkEnd w:id="1059"/>
      <w:bookmarkEnd w:id="1060"/>
      <w:bookmarkEnd w:id="1061"/>
      <w:bookmarkEnd w:id="1062"/>
      <w:bookmarkEnd w:id="1063"/>
      <w:bookmarkEnd w:id="1064"/>
      <w:bookmarkEnd w:id="1065"/>
      <w:bookmarkEnd w:id="1066"/>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autoSpaceDE w:val="0"/>
        <w:autoSpaceDN w:val="0"/>
        <w:spacing w:line="360" w:lineRule="auto"/>
        <w:ind w:left="220" w:right="415" w:firstLine="640"/>
        <w:jc w:val="center"/>
        <w:rPr>
          <w:kern w:val="0"/>
          <w:sz w:val="24"/>
        </w:rPr>
      </w:pPr>
      <w:r>
        <w:rPr>
          <w:color w:val="000000"/>
          <w:sz w:val="24"/>
          <w:szCs w:val="20"/>
        </w:rPr>
        <w:t>（实质性格式）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rPr>
          <w:b/>
          <w:bCs/>
          <w:color w:val="000000"/>
          <w:sz w:val="36"/>
          <w:szCs w:val="36"/>
        </w:rPr>
      </w:pPr>
      <w:r>
        <w:rPr>
          <w:b/>
          <w:bCs/>
          <w:color w:val="000000"/>
          <w:sz w:val="36"/>
          <w:szCs w:val="36"/>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sectPr>
          <w:pgSz w:w="11907" w:h="16840"/>
          <w:pgMar w:top="1418" w:right="1134" w:bottom="1418" w:left="1701" w:header="851" w:footer="851" w:gutter="0"/>
          <w:cols w:space="720" w:num="1"/>
          <w:docGrid w:linePitch="462" w:charSpace="0"/>
        </w:sectPr>
      </w:pPr>
      <w:r>
        <w:rPr>
          <w:spacing w:val="6"/>
          <w:sz w:val="24"/>
        </w:rPr>
        <w:t xml:space="preserve">       日  期</w:t>
      </w:r>
    </w:p>
    <w:p>
      <w:pPr>
        <w:rPr>
          <w:color w:val="000000"/>
          <w:sz w:val="24"/>
          <w:szCs w:val="20"/>
        </w:rPr>
      </w:pPr>
    </w:p>
    <w:p>
      <w:pPr>
        <w:numPr>
          <w:ilvl w:val="0"/>
          <w:numId w:val="17"/>
        </w:numPr>
        <w:tabs>
          <w:tab w:val="left" w:pos="360"/>
        </w:tabs>
        <w:snapToGrid w:val="0"/>
        <w:spacing w:line="360" w:lineRule="auto"/>
        <w:outlineLvl w:val="1"/>
        <w:rPr>
          <w:rFonts w:ascii="Arial" w:hAnsi="Arial" w:cs="Arial"/>
          <w:szCs w:val="21"/>
        </w:rPr>
      </w:pPr>
      <w:r>
        <w:rPr>
          <w:rFonts w:hint="eastAsia" w:ascii="Arial" w:hAnsi="Arial"/>
          <w:szCs w:val="21"/>
        </w:rPr>
        <w:t>拟派本项目成员汇总表</w:t>
      </w:r>
    </w:p>
    <w:p>
      <w:pPr>
        <w:jc w:val="center"/>
        <w:rPr>
          <w:sz w:val="44"/>
          <w:szCs w:val="44"/>
        </w:rPr>
      </w:pPr>
    </w:p>
    <w:p>
      <w:pPr>
        <w:jc w:val="center"/>
        <w:rPr>
          <w:sz w:val="44"/>
          <w:szCs w:val="44"/>
        </w:rPr>
      </w:pPr>
      <w:r>
        <w:rPr>
          <w:rFonts w:hint="eastAsia"/>
          <w:sz w:val="44"/>
          <w:szCs w:val="44"/>
        </w:rPr>
        <w:t>拟派本项目成员汇总表</w:t>
      </w:r>
    </w:p>
    <w:p>
      <w:pPr>
        <w:pStyle w:val="19"/>
        <w:widowControl/>
        <w:spacing w:line="0" w:lineRule="atLeast"/>
        <w:rPr>
          <w:rFonts w:ascii="宋体" w:hAnsi="宋体"/>
          <w:bCs/>
          <w:szCs w:val="28"/>
        </w:rPr>
      </w:pPr>
    </w:p>
    <w:p>
      <w:pPr>
        <w:pStyle w:val="19"/>
        <w:widowControl/>
        <w:spacing w:line="0" w:lineRule="atLeast"/>
        <w:rPr>
          <w:rFonts w:ascii="宋体" w:hAnsi="宋体"/>
          <w:bCs/>
          <w:szCs w:val="21"/>
        </w:rPr>
      </w:pPr>
      <w:r>
        <w:rPr>
          <w:rFonts w:hint="eastAsia" w:ascii="宋体" w:hAnsi="宋体"/>
          <w:bCs/>
          <w:szCs w:val="21"/>
        </w:rPr>
        <w:t>项目名称：</w:t>
      </w:r>
      <w:r>
        <w:rPr>
          <w:rFonts w:hint="eastAsia" w:ascii="宋体" w:hAnsi="宋体"/>
          <w:bCs/>
          <w:szCs w:val="21"/>
          <w:u w:val="single"/>
        </w:rPr>
        <w:t xml:space="preserve">               </w:t>
      </w:r>
      <w:r>
        <w:rPr>
          <w:rFonts w:hint="eastAsia" w:ascii="宋体" w:hAnsi="宋体"/>
          <w:bCs/>
          <w:szCs w:val="21"/>
        </w:rPr>
        <w:t xml:space="preserve">                                   </w:t>
      </w:r>
    </w:p>
    <w:tbl>
      <w:tblPr>
        <w:tblStyle w:val="49"/>
        <w:tblW w:w="959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835"/>
        <w:gridCol w:w="724"/>
        <w:gridCol w:w="724"/>
        <w:gridCol w:w="1669"/>
        <w:gridCol w:w="1575"/>
        <w:gridCol w:w="116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20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名    称</w:t>
            </w:r>
          </w:p>
        </w:tc>
        <w:tc>
          <w:tcPr>
            <w:tcW w:w="83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szCs w:val="21"/>
              </w:rPr>
            </w:pPr>
          </w:p>
          <w:p>
            <w:pPr>
              <w:spacing w:line="0" w:lineRule="atLeast"/>
              <w:jc w:val="center"/>
              <w:rPr>
                <w:rFonts w:ascii="宋体" w:hAnsi="宋体"/>
                <w:szCs w:val="21"/>
              </w:rPr>
            </w:pPr>
            <w:r>
              <w:rPr>
                <w:rFonts w:hint="eastAsia" w:ascii="宋体" w:hAnsi="宋体"/>
                <w:szCs w:val="21"/>
              </w:rPr>
              <w:t>姓 名</w:t>
            </w:r>
          </w:p>
        </w:tc>
        <w:tc>
          <w:tcPr>
            <w:tcW w:w="724"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szCs w:val="21"/>
              </w:rPr>
            </w:pPr>
          </w:p>
          <w:p>
            <w:pPr>
              <w:spacing w:line="0" w:lineRule="atLeast"/>
              <w:rPr>
                <w:rFonts w:ascii="宋体" w:hAnsi="宋体"/>
                <w:szCs w:val="21"/>
              </w:rPr>
            </w:pPr>
            <w:r>
              <w:rPr>
                <w:rFonts w:hint="eastAsia" w:ascii="宋体" w:hAnsi="宋体"/>
                <w:szCs w:val="21"/>
              </w:rPr>
              <w:t>年龄</w:t>
            </w:r>
          </w:p>
        </w:tc>
        <w:tc>
          <w:tcPr>
            <w:tcW w:w="72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学历</w:t>
            </w:r>
          </w:p>
        </w:tc>
        <w:tc>
          <w:tcPr>
            <w:tcW w:w="16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职称证书（如有）或从业资格证书</w:t>
            </w:r>
          </w:p>
        </w:tc>
        <w:tc>
          <w:tcPr>
            <w:tcW w:w="15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岗位名称</w:t>
            </w:r>
          </w:p>
        </w:tc>
        <w:tc>
          <w:tcPr>
            <w:tcW w:w="11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从业年限</w:t>
            </w:r>
          </w:p>
        </w:tc>
        <w:tc>
          <w:tcPr>
            <w:tcW w:w="85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0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项目负责人</w:t>
            </w:r>
          </w:p>
        </w:tc>
        <w:tc>
          <w:tcPr>
            <w:tcW w:w="83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0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其他团队人员</w:t>
            </w:r>
          </w:p>
        </w:tc>
        <w:tc>
          <w:tcPr>
            <w:tcW w:w="83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83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3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3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3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3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3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724"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669"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7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85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360" w:lineRule="auto"/>
        <w:rPr>
          <w:rFonts w:ascii="宋体" w:hAnsi="宋体"/>
          <w:bCs/>
          <w:szCs w:val="21"/>
        </w:rPr>
      </w:pPr>
      <w:r>
        <w:rPr>
          <w:rFonts w:hint="eastAsia" w:ascii="宋体" w:hAnsi="宋体"/>
          <w:bCs/>
          <w:szCs w:val="21"/>
        </w:rPr>
        <w:t>说明：1.本表可扩展；</w:t>
      </w:r>
    </w:p>
    <w:p>
      <w:pPr>
        <w:pStyle w:val="47"/>
        <w:spacing w:line="360" w:lineRule="auto"/>
        <w:ind w:firstLine="210"/>
        <w:rPr>
          <w:rFonts w:ascii="宋体" w:hAnsi="宋体"/>
          <w:bCs/>
          <w:szCs w:val="21"/>
        </w:rPr>
      </w:pPr>
      <w:r>
        <w:rPr>
          <w:rFonts w:hint="eastAsia" w:ascii="宋体" w:hAnsi="宋体"/>
          <w:bCs/>
          <w:szCs w:val="21"/>
        </w:rPr>
        <w:t xml:space="preserve">    2.团队人员须提供身份证、保安员证书等。</w:t>
      </w:r>
    </w:p>
    <w:p>
      <w:pPr>
        <w:pStyle w:val="18"/>
      </w:pPr>
    </w:p>
    <w:p>
      <w:pPr>
        <w:pStyle w:val="19"/>
        <w:adjustRightInd w:val="0"/>
        <w:snapToGrid w:val="0"/>
        <w:spacing w:after="145" w:afterLines="50"/>
        <w:ind w:firstLine="0"/>
        <w:rPr>
          <w:rFonts w:ascii="宋体" w:hAnsi="宋体"/>
        </w:rPr>
      </w:pPr>
    </w:p>
    <w:p>
      <w:pPr>
        <w:pStyle w:val="19"/>
        <w:adjustRightInd w:val="0"/>
        <w:snapToGrid w:val="0"/>
        <w:spacing w:after="145" w:afterLines="50"/>
        <w:ind w:firstLine="0"/>
        <w:rPr>
          <w:rFonts w:ascii="宋体" w:hAnsi="宋体"/>
        </w:rPr>
      </w:pPr>
    </w:p>
    <w:p>
      <w:pPr>
        <w:pStyle w:val="19"/>
        <w:adjustRightInd w:val="0"/>
        <w:snapToGrid w:val="0"/>
        <w:spacing w:after="145" w:afterLines="50"/>
        <w:rPr>
          <w:rFonts w:ascii="宋体" w:hAnsi="宋体"/>
        </w:rPr>
      </w:pPr>
      <w:r>
        <w:rPr>
          <w:rFonts w:hint="eastAsia" w:ascii="宋体" w:hAnsi="宋体"/>
        </w:rPr>
        <w:t>投标人名称：</w:t>
      </w:r>
      <w:r>
        <w:rPr>
          <w:rFonts w:hint="eastAsia" w:ascii="宋体" w:hAnsi="宋体"/>
          <w:u w:val="single"/>
        </w:rPr>
        <w:t xml:space="preserve">                            </w:t>
      </w:r>
      <w:r>
        <w:rPr>
          <w:rFonts w:hint="eastAsia" w:ascii="宋体" w:hAnsi="宋体"/>
        </w:rPr>
        <w:t>（公章）</w:t>
      </w:r>
    </w:p>
    <w:p>
      <w:pPr>
        <w:pStyle w:val="19"/>
        <w:adjustRightInd w:val="0"/>
        <w:snapToGrid w:val="0"/>
        <w:spacing w:after="145" w:afterLines="50"/>
        <w:rPr>
          <w:rFonts w:ascii="宋体" w:hAnsi="宋体"/>
        </w:rPr>
        <w:sectPr>
          <w:pgSz w:w="11907" w:h="16840"/>
          <w:pgMar w:top="1417" w:right="1418" w:bottom="993" w:left="1418" w:header="851" w:footer="851" w:gutter="0"/>
          <w:cols w:space="720" w:num="1"/>
          <w:docGrid w:type="lines" w:linePitch="290" w:charSpace="0"/>
        </w:sectPr>
      </w:pPr>
      <w:r>
        <w:rPr>
          <w:rFonts w:hint="eastAsia" w:ascii="宋体" w:hAnsi="宋体"/>
        </w:rPr>
        <w:t>日期：</w:t>
      </w:r>
      <w:r>
        <w:rPr>
          <w:rFonts w:hint="eastAsia" w:ascii="Arial" w:hAnsi="Arial" w:cs="Arial"/>
          <w:szCs w:val="21"/>
          <w:u w:val="single"/>
        </w:rPr>
        <w:t xml:space="preserve">         </w:t>
      </w:r>
      <w:r>
        <w:rPr>
          <w:rFonts w:ascii="Arial" w:hAnsi="Arial" w:cs="Arial"/>
          <w:szCs w:val="21"/>
        </w:rPr>
        <w:t>年</w:t>
      </w:r>
      <w:r>
        <w:rPr>
          <w:rFonts w:hint="eastAsia" w:ascii="Arial" w:hAnsi="Arial" w:cs="Arial"/>
          <w:szCs w:val="21"/>
          <w:u w:val="single"/>
        </w:rPr>
        <w:t xml:space="preserve">         </w:t>
      </w:r>
      <w:r>
        <w:rPr>
          <w:rFonts w:ascii="Arial" w:hAnsi="Arial" w:cs="Arial"/>
          <w:szCs w:val="21"/>
        </w:rPr>
        <w:t>月</w:t>
      </w:r>
      <w:r>
        <w:rPr>
          <w:rFonts w:hint="eastAsia" w:ascii="Arial" w:hAnsi="Arial" w:cs="Arial"/>
          <w:szCs w:val="21"/>
          <w:u w:val="single"/>
        </w:rPr>
        <w:t xml:space="preserve">         </w:t>
      </w:r>
    </w:p>
    <w:p/>
    <w:p>
      <w:pPr>
        <w:numPr>
          <w:ilvl w:val="0"/>
          <w:numId w:val="17"/>
        </w:numPr>
        <w:tabs>
          <w:tab w:val="left" w:pos="360"/>
        </w:tabs>
        <w:snapToGrid w:val="0"/>
        <w:spacing w:line="360" w:lineRule="auto"/>
        <w:outlineLvl w:val="1"/>
        <w:rPr>
          <w:color w:val="000000"/>
          <w:sz w:val="24"/>
          <w:szCs w:val="20"/>
        </w:rPr>
      </w:pPr>
      <w:r>
        <w:rPr>
          <w:color w:val="000000"/>
          <w:sz w:val="24"/>
          <w:szCs w:val="20"/>
        </w:rPr>
        <w:t>招标文件要求提供或投标人认为应附的其他材料</w:t>
      </w:r>
    </w:p>
    <w:p>
      <w:pPr>
        <w:widowControl/>
        <w:jc w:val="left"/>
        <w:rPr>
          <w:color w:val="000000"/>
          <w:sz w:val="24"/>
          <w:szCs w:val="20"/>
        </w:rPr>
      </w:pPr>
      <w:r>
        <w:rPr>
          <w:rFonts w:hint="eastAsia"/>
          <w:color w:val="000000"/>
          <w:sz w:val="24"/>
          <w:szCs w:val="20"/>
        </w:rPr>
        <w:t>9</w:t>
      </w:r>
      <w:r>
        <w:rPr>
          <w:color w:val="000000"/>
          <w:sz w:val="24"/>
          <w:szCs w:val="20"/>
        </w:rPr>
        <w:t>-1</w:t>
      </w:r>
      <w:r>
        <w:rPr>
          <w:rFonts w:hint="eastAsia"/>
          <w:color w:val="000000"/>
          <w:sz w:val="24"/>
          <w:szCs w:val="20"/>
        </w:rPr>
        <w:t>供应商信息采集表</w:t>
      </w: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pPr>
              <w:rPr>
                <w:sz w:val="24"/>
              </w:rPr>
            </w:pPr>
          </w:p>
        </w:tc>
        <w:tc>
          <w:tcPr>
            <w:tcW w:w="1667" w:type="pct"/>
          </w:tcPr>
          <w:p>
            <w:pPr>
              <w:rPr>
                <w:sz w:val="24"/>
              </w:rPr>
            </w:pPr>
          </w:p>
        </w:tc>
        <w:tc>
          <w:tcPr>
            <w:tcW w:w="1667" w:type="pct"/>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tabs>
          <w:tab w:val="left" w:pos="360"/>
        </w:tabs>
        <w:snapToGrid w:val="0"/>
        <w:spacing w:line="360" w:lineRule="auto"/>
        <w:rPr>
          <w:color w:val="000000"/>
          <w:sz w:val="24"/>
        </w:rPr>
      </w:pPr>
    </w:p>
    <w:p>
      <w:pPr>
        <w:tabs>
          <w:tab w:val="left" w:pos="360"/>
        </w:tabs>
        <w:snapToGrid w:val="0"/>
        <w:spacing w:line="360" w:lineRule="auto"/>
        <w:rPr>
          <w:color w:val="000000"/>
          <w:sz w:val="24"/>
          <w:szCs w:val="20"/>
        </w:rPr>
      </w:pPr>
      <w:r>
        <w:rPr>
          <w:rFonts w:hint="eastAsia"/>
          <w:color w:val="000000"/>
          <w:sz w:val="24"/>
        </w:rPr>
        <w:t>9-2</w:t>
      </w:r>
      <w:r>
        <w:rPr>
          <w:rFonts w:hint="eastAsia"/>
          <w:color w:val="000000"/>
          <w:sz w:val="24"/>
          <w:szCs w:val="20"/>
        </w:rPr>
        <w:t>包括但不限于近3年类似业绩、技术方案等内容，格式自拟。</w:t>
      </w:r>
    </w:p>
    <w:p>
      <w:pPr>
        <w:pStyle w:val="18"/>
      </w:pPr>
    </w:p>
    <w:p>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y="1"/>
      <w:ind w:right="360"/>
      <w:rPr>
        <w:rStyle w:val="54"/>
      </w:rPr>
    </w:pPr>
  </w:p>
  <w:p>
    <w:pPr>
      <w:pStyle w:val="30"/>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0"/>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4"/>
      </w:rPr>
    </w:pPr>
    <w:r>
      <w:fldChar w:fldCharType="begin"/>
    </w:r>
    <w:r>
      <w:rPr>
        <w:rStyle w:val="54"/>
      </w:rPr>
      <w:instrText xml:space="preserve">PAGE  </w:instrText>
    </w:r>
    <w:r>
      <w:fldChar w:fldCharType="end"/>
    </w:r>
  </w:p>
  <w:p>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4"/>
      </w:rPr>
    </w:pPr>
  </w:p>
  <w:p>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98578555"/>
                          </w:sdtPr>
                          <w:sdtContent>
                            <w:p>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w:t>
                              </w:r>
                              <w:r>
                                <w:rPr>
                                  <w:rFonts w:ascii="Times New Roman"/>
                                </w:rPr>
                                <w:fldChar w:fldCharType="end"/>
                              </w:r>
                            </w:p>
                          </w:sdtContent>
                        </w:sdt>
                        <w:p>
                          <w:pPr>
                            <w:pStyle w:val="48"/>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98578555"/>
                    </w:sdtPr>
                    <w:sdtContent>
                      <w:p>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w:t>
                        </w:r>
                        <w:r>
                          <w:rPr>
                            <w:rFonts w:ascii="Times New Roman"/>
                          </w:rPr>
                          <w:fldChar w:fldCharType="end"/>
                        </w:r>
                      </w:p>
                    </w:sdtContent>
                  </w:sdt>
                  <w:p>
                    <w:pPr>
                      <w:pStyle w:val="48"/>
                      <w:ind w:firstLine="48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744"/>
      </w:tabs>
      <w:spacing w:line="186" w:lineRule="auto"/>
      <w:ind w:left="402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70</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70</w:t>
                    </w:r>
                    <w:r>
                      <w:rPr>
                        <w:rFonts w:ascii="宋体"/>
                        <w:kern w:val="0"/>
                        <w:sz w:val="18"/>
                        <w:szCs w:val="20"/>
                      </w:rPr>
                      <w:fldChar w:fldCharType="end"/>
                    </w:r>
                  </w:p>
                </w:txbxContent>
              </v:textbox>
            </v:shape>
          </w:pict>
        </mc:Fallback>
      </mc:AlternateContent>
    </w:r>
    <w:r>
      <w:rPr>
        <w:rFonts w:hint="eastAsia"/>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F3704"/>
    <w:multiLevelType w:val="singleLevel"/>
    <w:tmpl w:val="8A8F3704"/>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7"/>
      <w:lvlText w:val="%1"/>
      <w:lvlJc w:val="left"/>
      <w:pPr>
        <w:ind w:left="680" w:hanging="680"/>
      </w:pPr>
      <w:rPr>
        <w:rFonts w:hint="eastAsia" w:ascii="宋体" w:hAnsi="宋体" w:eastAsia="宋体"/>
      </w:rPr>
    </w:lvl>
    <w:lvl w:ilvl="1" w:tentative="0">
      <w:start w:val="1"/>
      <w:numFmt w:val="decimal"/>
      <w:pStyle w:val="198"/>
      <w:lvlText w:val="%1.%2"/>
      <w:lvlJc w:val="left"/>
      <w:pPr>
        <w:ind w:left="851" w:hanging="851"/>
      </w:pPr>
      <w:rPr>
        <w:rFonts w:hint="eastAsia" w:ascii="宋体" w:hAnsi="宋体" w:eastAsia="宋体"/>
        <w:color w:val="auto"/>
      </w:rPr>
    </w:lvl>
    <w:lvl w:ilvl="2" w:tentative="0">
      <w:start w:val="1"/>
      <w:numFmt w:val="decimal"/>
      <w:pStyle w:val="19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7"/>
  </w:num>
  <w:num w:numId="14">
    <w:abstractNumId w:val="0"/>
  </w:num>
  <w:num w:numId="15">
    <w:abstractNumId w:val="16"/>
  </w:num>
  <w:num w:numId="16">
    <w:abstractNumId w:val="13"/>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C67"/>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21"/>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55"/>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1EE"/>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96"/>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589"/>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7A"/>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AC"/>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F7C"/>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CE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D80"/>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45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7AE"/>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95988"/>
    <w:rsid w:val="04A90986"/>
    <w:rsid w:val="0681143C"/>
    <w:rsid w:val="06866051"/>
    <w:rsid w:val="06B01B96"/>
    <w:rsid w:val="08FD4339"/>
    <w:rsid w:val="09D319EE"/>
    <w:rsid w:val="0A3B15D9"/>
    <w:rsid w:val="0B660C1A"/>
    <w:rsid w:val="10572B99"/>
    <w:rsid w:val="10811051"/>
    <w:rsid w:val="10AB5E22"/>
    <w:rsid w:val="10D913BF"/>
    <w:rsid w:val="140A60DE"/>
    <w:rsid w:val="1661574A"/>
    <w:rsid w:val="16A37A09"/>
    <w:rsid w:val="16A83F36"/>
    <w:rsid w:val="16AF6479"/>
    <w:rsid w:val="17662D51"/>
    <w:rsid w:val="17717960"/>
    <w:rsid w:val="17E23913"/>
    <w:rsid w:val="17F93E0B"/>
    <w:rsid w:val="1941544F"/>
    <w:rsid w:val="1C455CA5"/>
    <w:rsid w:val="1D2C69D2"/>
    <w:rsid w:val="1D626939"/>
    <w:rsid w:val="1FCE79B0"/>
    <w:rsid w:val="20463A8F"/>
    <w:rsid w:val="21F612D0"/>
    <w:rsid w:val="22132C15"/>
    <w:rsid w:val="239E00B4"/>
    <w:rsid w:val="251E74A4"/>
    <w:rsid w:val="252B7129"/>
    <w:rsid w:val="27843CE5"/>
    <w:rsid w:val="28770DBE"/>
    <w:rsid w:val="2889543E"/>
    <w:rsid w:val="2A385D16"/>
    <w:rsid w:val="2C957742"/>
    <w:rsid w:val="2DB12D1E"/>
    <w:rsid w:val="32EB653A"/>
    <w:rsid w:val="3746004A"/>
    <w:rsid w:val="38B25D60"/>
    <w:rsid w:val="38D168B9"/>
    <w:rsid w:val="39722448"/>
    <w:rsid w:val="398B5A61"/>
    <w:rsid w:val="39C72746"/>
    <w:rsid w:val="3A8C59B2"/>
    <w:rsid w:val="3B432380"/>
    <w:rsid w:val="3BCB6780"/>
    <w:rsid w:val="3CED44BC"/>
    <w:rsid w:val="3E934EC8"/>
    <w:rsid w:val="42CD0A98"/>
    <w:rsid w:val="431A0C09"/>
    <w:rsid w:val="43C72454"/>
    <w:rsid w:val="44CF0792"/>
    <w:rsid w:val="45570877"/>
    <w:rsid w:val="45D07DBD"/>
    <w:rsid w:val="47060737"/>
    <w:rsid w:val="480E2158"/>
    <w:rsid w:val="493950B4"/>
    <w:rsid w:val="497B5335"/>
    <w:rsid w:val="4B65373A"/>
    <w:rsid w:val="4C0A26BC"/>
    <w:rsid w:val="4C432504"/>
    <w:rsid w:val="4D00163A"/>
    <w:rsid w:val="4D157A1C"/>
    <w:rsid w:val="4E4D4E9D"/>
    <w:rsid w:val="4F0F5BE3"/>
    <w:rsid w:val="52422029"/>
    <w:rsid w:val="52AD4C8E"/>
    <w:rsid w:val="52EC4A02"/>
    <w:rsid w:val="538E18EB"/>
    <w:rsid w:val="55040901"/>
    <w:rsid w:val="55F21C0C"/>
    <w:rsid w:val="564202BA"/>
    <w:rsid w:val="56DF05DE"/>
    <w:rsid w:val="57FC6189"/>
    <w:rsid w:val="585409B9"/>
    <w:rsid w:val="59EA65DD"/>
    <w:rsid w:val="5AE40DB5"/>
    <w:rsid w:val="5B5E7CBB"/>
    <w:rsid w:val="5BFA2038"/>
    <w:rsid w:val="5DCB662A"/>
    <w:rsid w:val="5E033758"/>
    <w:rsid w:val="5F073306"/>
    <w:rsid w:val="5F5F73B9"/>
    <w:rsid w:val="5FE32F5A"/>
    <w:rsid w:val="608E0C21"/>
    <w:rsid w:val="60966112"/>
    <w:rsid w:val="641861CF"/>
    <w:rsid w:val="65C37320"/>
    <w:rsid w:val="66CE3C46"/>
    <w:rsid w:val="6838144E"/>
    <w:rsid w:val="683E5489"/>
    <w:rsid w:val="68AA7398"/>
    <w:rsid w:val="6E2D1D5B"/>
    <w:rsid w:val="701B6175"/>
    <w:rsid w:val="70D06F73"/>
    <w:rsid w:val="70D12108"/>
    <w:rsid w:val="723502B5"/>
    <w:rsid w:val="73C57064"/>
    <w:rsid w:val="73EF01C8"/>
    <w:rsid w:val="74207CFE"/>
    <w:rsid w:val="742C597A"/>
    <w:rsid w:val="747A379B"/>
    <w:rsid w:val="75917852"/>
    <w:rsid w:val="7AA372E7"/>
    <w:rsid w:val="7F04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6"/>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4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4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styleId="6">
    <w:name w:val="Normal Indent"/>
    <w:basedOn w:val="1"/>
    <w:link w:val="68"/>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42"/>
    <w:qFormat/>
    <w:uiPriority w:val="0"/>
    <w:pPr>
      <w:shd w:val="clear" w:color="auto" w:fill="000080"/>
    </w:pPr>
  </w:style>
  <w:style w:type="paragraph" w:styleId="16">
    <w:name w:val="annotation text"/>
    <w:basedOn w:val="1"/>
    <w:link w:val="188"/>
    <w:qFormat/>
    <w:uiPriority w:val="99"/>
    <w:pPr>
      <w:jc w:val="left"/>
    </w:pPr>
  </w:style>
  <w:style w:type="paragraph" w:styleId="17">
    <w:name w:val="Body Text 3"/>
    <w:basedOn w:val="1"/>
    <w:link w:val="243"/>
    <w:qFormat/>
    <w:uiPriority w:val="0"/>
    <w:pPr>
      <w:spacing w:after="120"/>
    </w:pPr>
    <w:rPr>
      <w:sz w:val="16"/>
      <w:szCs w:val="16"/>
    </w:rPr>
  </w:style>
  <w:style w:type="paragraph" w:styleId="18">
    <w:name w:val="Body Text"/>
    <w:basedOn w:val="1"/>
    <w:next w:val="1"/>
    <w:link w:val="244"/>
    <w:qFormat/>
    <w:uiPriority w:val="0"/>
    <w:pPr>
      <w:tabs>
        <w:tab w:val="left" w:pos="567"/>
      </w:tabs>
      <w:spacing w:before="120" w:line="22" w:lineRule="atLeast"/>
    </w:pPr>
    <w:rPr>
      <w:rFonts w:ascii="宋体" w:hAnsi="宋体"/>
      <w:sz w:val="24"/>
    </w:rPr>
  </w:style>
  <w:style w:type="paragraph" w:styleId="19">
    <w:name w:val="Body Text Indent"/>
    <w:basedOn w:val="1"/>
    <w:next w:val="20"/>
    <w:link w:val="73"/>
    <w:qFormat/>
    <w:uiPriority w:val="0"/>
    <w:pPr>
      <w:spacing w:line="360" w:lineRule="auto"/>
      <w:ind w:firstLine="570"/>
    </w:pPr>
    <w:rPr>
      <w:sz w:val="24"/>
    </w:rPr>
  </w:style>
  <w:style w:type="paragraph" w:styleId="20">
    <w:name w:val="envelope return"/>
    <w:basedOn w:val="1"/>
    <w:qFormat/>
    <w:uiPriority w:val="99"/>
    <w:rPr>
      <w:rFonts w:ascii="Arial" w:hAnsi="Arial" w:cs="Arial"/>
      <w:kern w:val="1"/>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8"/>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5"/>
    <w:qFormat/>
    <w:uiPriority w:val="0"/>
    <w:pPr>
      <w:ind w:left="100" w:leftChars="2500"/>
    </w:pPr>
    <w:rPr>
      <w:rFonts w:ascii="仿宋_GB2312" w:hAnsi="宋体" w:eastAsia="仿宋_GB2312"/>
      <w:color w:val="000000"/>
      <w:sz w:val="24"/>
    </w:rPr>
  </w:style>
  <w:style w:type="paragraph" w:styleId="28">
    <w:name w:val="Body Text Indent 2"/>
    <w:basedOn w:val="1"/>
    <w:link w:val="246"/>
    <w:qFormat/>
    <w:uiPriority w:val="0"/>
    <w:pPr>
      <w:ind w:firstLine="480" w:firstLineChars="200"/>
    </w:pPr>
    <w:rPr>
      <w:rFonts w:ascii="仿宋_GB2312" w:eastAsia="仿宋_GB2312"/>
      <w:sz w:val="24"/>
    </w:rPr>
  </w:style>
  <w:style w:type="paragraph" w:styleId="29">
    <w:name w:val="Balloon Text"/>
    <w:basedOn w:val="1"/>
    <w:link w:val="247"/>
    <w:qFormat/>
    <w:uiPriority w:val="0"/>
    <w:rPr>
      <w:sz w:val="18"/>
      <w:szCs w:val="18"/>
    </w:rPr>
  </w:style>
  <w:style w:type="paragraph" w:styleId="30">
    <w:name w:val="footer"/>
    <w:basedOn w:val="1"/>
    <w:next w:val="1"/>
    <w:link w:val="1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next w:val="32"/>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Quote"/>
    <w:basedOn w:val="1"/>
    <w:next w:val="1"/>
    <w:qFormat/>
    <w:uiPriority w:val="99"/>
    <w:pPr>
      <w:ind w:left="864" w:right="864"/>
      <w:jc w:val="center"/>
    </w:pPr>
    <w:rPr>
      <w:i/>
      <w:iCs/>
      <w:color w:val="000000"/>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next w:val="31"/>
    <w:unhideWhenUsed/>
    <w:qFormat/>
    <w:uiPriority w:val="0"/>
    <w:pPr>
      <w:snapToGrid w:val="0"/>
      <w:jc w:val="left"/>
    </w:pPr>
  </w:style>
  <w:style w:type="paragraph" w:styleId="37">
    <w:name w:val="toc 6"/>
    <w:basedOn w:val="1"/>
    <w:next w:val="1"/>
    <w:qFormat/>
    <w:uiPriority w:val="0"/>
    <w:pPr>
      <w:ind w:left="2100" w:leftChars="1000"/>
    </w:pPr>
  </w:style>
  <w:style w:type="paragraph" w:styleId="38">
    <w:name w:val="Body Text Indent 3"/>
    <w:basedOn w:val="1"/>
    <w:link w:val="24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39"/>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qFormat/>
    <w:uiPriority w:val="0"/>
    <w:pPr>
      <w:jc w:val="center"/>
    </w:pPr>
    <w:rPr>
      <w:b/>
      <w:bCs/>
      <w:sz w:val="72"/>
    </w:rPr>
  </w:style>
  <w:style w:type="paragraph" w:styleId="42">
    <w:name w:val="HTML Preformatted"/>
    <w:basedOn w:val="1"/>
    <w:link w:val="2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194"/>
    <w:qFormat/>
    <w:uiPriority w:val="0"/>
    <w:pPr>
      <w:jc w:val="center"/>
      <w:outlineLvl w:val="0"/>
    </w:pPr>
    <w:rPr>
      <w:b/>
      <w:sz w:val="32"/>
      <w:szCs w:val="20"/>
    </w:rPr>
  </w:style>
  <w:style w:type="paragraph" w:styleId="46">
    <w:name w:val="annotation subject"/>
    <w:basedOn w:val="16"/>
    <w:next w:val="16"/>
    <w:link w:val="250"/>
    <w:qFormat/>
    <w:uiPriority w:val="0"/>
    <w:rPr>
      <w:b/>
      <w:bCs/>
    </w:rPr>
  </w:style>
  <w:style w:type="paragraph" w:styleId="47">
    <w:name w:val="Body Text First Indent"/>
    <w:basedOn w:val="18"/>
    <w:qFormat/>
    <w:uiPriority w:val="0"/>
    <w:pPr>
      <w:spacing w:before="0" w:after="120" w:line="240" w:lineRule="auto"/>
      <w:ind w:firstLine="420" w:firstLineChars="100"/>
    </w:pPr>
    <w:rPr>
      <w:rFonts w:ascii="Calibri" w:hAnsi="Calibri"/>
      <w:sz w:val="21"/>
    </w:rPr>
  </w:style>
  <w:style w:type="paragraph" w:styleId="48">
    <w:name w:val="Body Text First Indent 2"/>
    <w:basedOn w:val="19"/>
    <w:link w:val="251"/>
    <w:qFormat/>
    <w:uiPriority w:val="0"/>
    <w:pPr>
      <w:spacing w:after="120" w:line="480" w:lineRule="exact"/>
      <w:ind w:left="420" w:leftChars="200" w:firstLine="420" w:firstLineChars="200"/>
    </w:pPr>
    <w:rPr>
      <w:szCs w:val="20"/>
    </w:rPr>
  </w:style>
  <w:style w:type="table" w:styleId="50">
    <w:name w:val="Table Grid"/>
    <w:basedOn w:val="4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1">
    <w:name w:val="Medium Grid 1 Accent 2"/>
    <w:basedOn w:val="4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HTML Cite"/>
    <w:qFormat/>
    <w:uiPriority w:val="0"/>
    <w:rPr>
      <w:i/>
      <w:iCs/>
    </w:rPr>
  </w:style>
  <w:style w:type="character" w:customStyle="1" w:styleId="60">
    <w:name w:val="标题 2 Char1"/>
    <w:link w:val="4"/>
    <w:qFormat/>
    <w:uiPriority w:val="0"/>
    <w:rPr>
      <w:rFonts w:ascii="Arial" w:hAnsi="Arial" w:eastAsia="黑体"/>
      <w:b/>
      <w:sz w:val="30"/>
      <w:lang w:val="en-US" w:eastAsia="zh-CN" w:bidi="ar-SA"/>
    </w:rPr>
  </w:style>
  <w:style w:type="character" w:customStyle="1" w:styleId="61">
    <w:name w:val="标题 3 Char1"/>
    <w:link w:val="5"/>
    <w:qFormat/>
    <w:uiPriority w:val="0"/>
    <w:rPr>
      <w:rFonts w:ascii="宋体" w:eastAsia="宋体"/>
      <w:b/>
      <w:sz w:val="24"/>
      <w:u w:val="single"/>
      <w:lang w:val="en-US" w:eastAsia="zh-CN" w:bidi="ar-SA"/>
    </w:rPr>
  </w:style>
  <w:style w:type="character" w:customStyle="1" w:styleId="62">
    <w:name w:val="c21"/>
    <w:qFormat/>
    <w:uiPriority w:val="0"/>
    <w:rPr>
      <w:rFonts w:hint="default" w:ascii="ˎ̥" w:hAnsi="ˎ̥"/>
      <w:color w:val="000000"/>
      <w:sz w:val="20"/>
      <w:szCs w:val="20"/>
      <w:u w:val="none"/>
    </w:rPr>
  </w:style>
  <w:style w:type="character" w:customStyle="1" w:styleId="63">
    <w:name w:val="title4"/>
    <w:qFormat/>
    <w:uiPriority w:val="0"/>
    <w:rPr>
      <w:b/>
      <w:bCs/>
      <w:color w:val="1D87B3"/>
      <w:sz w:val="15"/>
      <w:szCs w:val="15"/>
    </w:rPr>
  </w:style>
  <w:style w:type="character" w:customStyle="1" w:styleId="64">
    <w:name w:val="标题 2 Char Char"/>
    <w:qFormat/>
    <w:uiPriority w:val="0"/>
    <w:rPr>
      <w:rFonts w:ascii="Arial" w:hAnsi="Arial" w:eastAsia="黑体"/>
      <w:b/>
      <w:bCs/>
      <w:kern w:val="2"/>
      <w:sz w:val="32"/>
      <w:szCs w:val="32"/>
      <w:lang w:val="en-US" w:eastAsia="zh-CN" w:bidi="ar-SA"/>
    </w:rPr>
  </w:style>
  <w:style w:type="character" w:customStyle="1" w:styleId="65">
    <w:name w:val="black1"/>
    <w:qFormat/>
    <w:uiPriority w:val="0"/>
    <w:rPr>
      <w:color w:val="000000"/>
    </w:rPr>
  </w:style>
  <w:style w:type="character" w:customStyle="1" w:styleId="66">
    <w:name w:val="street-address"/>
    <w:basedOn w:val="52"/>
    <w:qFormat/>
    <w:uiPriority w:val="0"/>
  </w:style>
  <w:style w:type="character" w:customStyle="1" w:styleId="67">
    <w:name w:val="locality"/>
    <w:basedOn w:val="52"/>
    <w:qFormat/>
    <w:uiPriority w:val="0"/>
  </w:style>
  <w:style w:type="character" w:customStyle="1" w:styleId="68">
    <w:name w:val="正文缩进 Char1"/>
    <w:link w:val="6"/>
    <w:qFormat/>
    <w:uiPriority w:val="0"/>
    <w:rPr>
      <w:rFonts w:ascii="宋体" w:eastAsia="宋体"/>
      <w:kern w:val="2"/>
      <w:sz w:val="24"/>
      <w:szCs w:val="24"/>
      <w:lang w:val="en-US" w:eastAsia="zh-CN" w:bidi="ar-SA"/>
    </w:rPr>
  </w:style>
  <w:style w:type="character" w:customStyle="1" w:styleId="69">
    <w:name w:val="正文文本缩进 Char1"/>
    <w:link w:val="70"/>
    <w:qFormat/>
    <w:uiPriority w:val="0"/>
    <w:rPr>
      <w:rFonts w:ascii="宋体" w:hAnsi="宋体" w:eastAsia="宋体"/>
      <w:sz w:val="24"/>
      <w:szCs w:val="24"/>
      <w:lang w:bidi="ar-SA"/>
    </w:rPr>
  </w:style>
  <w:style w:type="paragraph" w:customStyle="1" w:styleId="70">
    <w:name w:val="正文文本缩进1"/>
    <w:basedOn w:val="1"/>
    <w:link w:val="69"/>
    <w:qFormat/>
    <w:uiPriority w:val="0"/>
    <w:pPr>
      <w:spacing w:line="480" w:lineRule="exact"/>
      <w:ind w:firstLine="480" w:firstLineChars="200"/>
    </w:pPr>
    <w:rPr>
      <w:rFonts w:ascii="宋体" w:hAnsi="宋体"/>
      <w:kern w:val="0"/>
      <w:sz w:val="24"/>
    </w:rPr>
  </w:style>
  <w:style w:type="character" w:customStyle="1" w:styleId="71">
    <w:name w:val="Char Char11"/>
    <w:qFormat/>
    <w:uiPriority w:val="0"/>
    <w:rPr>
      <w:rFonts w:ascii="宋体" w:eastAsia="宋体"/>
      <w:b/>
      <w:sz w:val="24"/>
      <w:u w:val="single"/>
      <w:lang w:val="en-US" w:eastAsia="zh-CN" w:bidi="ar-SA"/>
    </w:rPr>
  </w:style>
  <w:style w:type="character" w:customStyle="1" w:styleId="72">
    <w:name w:val="txt"/>
    <w:basedOn w:val="52"/>
    <w:qFormat/>
    <w:uiPriority w:val="0"/>
  </w:style>
  <w:style w:type="character" w:customStyle="1" w:styleId="73">
    <w:name w:val="正文文本缩进 Char2"/>
    <w:link w:val="19"/>
    <w:qFormat/>
    <w:uiPriority w:val="0"/>
    <w:rPr>
      <w:rFonts w:eastAsia="宋体"/>
      <w:kern w:val="2"/>
      <w:sz w:val="24"/>
      <w:szCs w:val="24"/>
      <w:lang w:val="en-US" w:eastAsia="zh-CN" w:bidi="ar-SA"/>
    </w:rPr>
  </w:style>
  <w:style w:type="character" w:customStyle="1" w:styleId="74">
    <w:name w:val="正文缩进 Char Char"/>
    <w:link w:val="75"/>
    <w:qFormat/>
    <w:uiPriority w:val="0"/>
    <w:rPr>
      <w:rFonts w:ascii="宋体" w:eastAsia="宋体"/>
      <w:snapToGrid w:val="0"/>
      <w:color w:val="000000"/>
      <w:kern w:val="28"/>
      <w:sz w:val="28"/>
      <w:lang w:bidi="ar-SA"/>
    </w:rPr>
  </w:style>
  <w:style w:type="paragraph" w:customStyle="1" w:styleId="75">
    <w:name w:val="正文缩进1"/>
    <w:basedOn w:val="1"/>
    <w:link w:val="7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6">
    <w:name w:val="普通文字1 Char1"/>
    <w:qFormat/>
    <w:uiPriority w:val="0"/>
    <w:rPr>
      <w:rFonts w:ascii="宋体" w:hAnsi="Courier New" w:eastAsia="宋体"/>
      <w:kern w:val="2"/>
      <w:sz w:val="21"/>
      <w:lang w:val="en-US" w:eastAsia="zh-CN" w:bidi="ar-SA"/>
    </w:rPr>
  </w:style>
  <w:style w:type="character" w:customStyle="1" w:styleId="77">
    <w:name w:val="chanpin1"/>
    <w:qFormat/>
    <w:uiPriority w:val="0"/>
    <w:rPr>
      <w:rFonts w:hint="default" w:ascii="ˎ̥" w:hAnsi="ˎ̥"/>
      <w:color w:val="000000"/>
      <w:sz w:val="20"/>
      <w:szCs w:val="20"/>
      <w:u w:val="none"/>
    </w:rPr>
  </w:style>
  <w:style w:type="character" w:customStyle="1" w:styleId="78">
    <w:name w:val="列出段落 Char1"/>
    <w:link w:val="79"/>
    <w:qFormat/>
    <w:uiPriority w:val="34"/>
    <w:rPr>
      <w:rFonts w:ascii="Calibri" w:hAnsi="Calibri" w:eastAsia="宋体"/>
      <w:kern w:val="2"/>
      <w:sz w:val="21"/>
      <w:szCs w:val="22"/>
      <w:lang w:val="en-US" w:eastAsia="zh-CN" w:bidi="ar-SA"/>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标题 3 Char Char"/>
    <w:qFormat/>
    <w:uiPriority w:val="0"/>
    <w:rPr>
      <w:rFonts w:eastAsia="宋体"/>
      <w:b/>
      <w:bCs/>
      <w:kern w:val="2"/>
      <w:sz w:val="32"/>
      <w:szCs w:val="32"/>
      <w:lang w:val="en-US" w:eastAsia="zh-CN" w:bidi="ar-SA"/>
    </w:rPr>
  </w:style>
  <w:style w:type="character" w:customStyle="1" w:styleId="81">
    <w:name w:val="段1 Char"/>
    <w:qFormat/>
    <w:uiPriority w:val="0"/>
    <w:rPr>
      <w:rFonts w:ascii="宋体" w:eastAsia="宋体"/>
      <w:sz w:val="24"/>
      <w:lang w:val="en-US" w:eastAsia="zh-CN" w:bidi="ar-SA"/>
    </w:rPr>
  </w:style>
  <w:style w:type="character" w:customStyle="1" w:styleId="82">
    <w:name w:val="页眉 Char1"/>
    <w:link w:val="31"/>
    <w:qFormat/>
    <w:uiPriority w:val="0"/>
    <w:rPr>
      <w:rFonts w:eastAsia="宋体"/>
      <w:kern w:val="2"/>
      <w:sz w:val="18"/>
      <w:szCs w:val="18"/>
      <w:lang w:val="en-US" w:eastAsia="zh-CN" w:bidi="ar-SA"/>
    </w:rPr>
  </w:style>
  <w:style w:type="character" w:customStyle="1" w:styleId="83">
    <w:name w:val="chanpin拷贝"/>
    <w:basedOn w:val="52"/>
    <w:qFormat/>
    <w:uiPriority w:val="0"/>
  </w:style>
  <w:style w:type="character" w:customStyle="1" w:styleId="84">
    <w:name w:val="纯文本 Char1"/>
    <w:qFormat/>
    <w:uiPriority w:val="0"/>
    <w:rPr>
      <w:rFonts w:ascii="宋体" w:hAnsi="Courier New" w:eastAsia="宋体"/>
      <w:kern w:val="2"/>
      <w:sz w:val="21"/>
      <w:lang w:val="en-US" w:eastAsia="zh-CN" w:bidi="ar-SA"/>
    </w:rPr>
  </w:style>
  <w:style w:type="character" w:customStyle="1" w:styleId="85">
    <w:name w:val="apple-style-span"/>
    <w:qFormat/>
    <w:uiPriority w:val="0"/>
    <w:rPr>
      <w:rFonts w:cs="Times New Roman"/>
    </w:rPr>
  </w:style>
  <w:style w:type="paragraph" w:customStyle="1" w:styleId="86">
    <w:name w:val="二级条标题"/>
    <w:basedOn w:val="87"/>
    <w:next w:val="1"/>
    <w:qFormat/>
    <w:uiPriority w:val="0"/>
    <w:pPr>
      <w:numPr>
        <w:numId w:val="0"/>
      </w:numPr>
      <w:tabs>
        <w:tab w:val="left" w:pos="360"/>
        <w:tab w:val="left" w:pos="840"/>
      </w:tabs>
      <w:ind w:hanging="840"/>
      <w:outlineLvl w:val="2"/>
    </w:pPr>
    <w:rPr>
      <w:rFonts w:ascii="宋体" w:eastAsia="宋体"/>
      <w:b w:val="0"/>
    </w:rPr>
  </w:style>
  <w:style w:type="paragraph" w:customStyle="1" w:styleId="87">
    <w:name w:val="一级条标题"/>
    <w:basedOn w:val="88"/>
    <w:next w:val="1"/>
    <w:qFormat/>
    <w:uiPriority w:val="0"/>
    <w:pPr>
      <w:numPr>
        <w:ilvl w:val="1"/>
      </w:numPr>
      <w:tabs>
        <w:tab w:val="left" w:pos="360"/>
        <w:tab w:val="left" w:pos="840"/>
      </w:tabs>
      <w:ind w:left="0" w:hanging="840"/>
      <w:outlineLvl w:val="1"/>
    </w:pPr>
  </w:style>
  <w:style w:type="paragraph" w:customStyle="1" w:styleId="8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0">
    <w:name w:val="字元 字元"/>
    <w:basedOn w:val="1"/>
    <w:qFormat/>
    <w:uiPriority w:val="0"/>
    <w:rPr>
      <w:rFonts w:ascii="Tahoma" w:hAnsi="Tahoma"/>
      <w:sz w:val="24"/>
      <w:szCs w:val="20"/>
    </w:rPr>
  </w:style>
  <w:style w:type="paragraph" w:customStyle="1" w:styleId="91">
    <w:name w:val="Char3 Char Char Char"/>
    <w:basedOn w:val="1"/>
    <w:qFormat/>
    <w:uiPriority w:val="0"/>
    <w:rPr>
      <w:rFonts w:ascii="Tahoma" w:hAnsi="Tahoma"/>
      <w:sz w:val="24"/>
      <w:szCs w:val="20"/>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3">
    <w:name w:val="项目编号2"/>
    <w:basedOn w:val="94"/>
    <w:qFormat/>
    <w:uiPriority w:val="0"/>
    <w:pPr>
      <w:numPr>
        <w:numId w:val="2"/>
      </w:numPr>
    </w:pPr>
  </w:style>
  <w:style w:type="paragraph" w:customStyle="1" w:styleId="9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5">
    <w:name w:val="图中文字"/>
    <w:basedOn w:val="1"/>
    <w:qFormat/>
    <w:uiPriority w:val="0"/>
    <w:pPr>
      <w:adjustRightInd w:val="0"/>
      <w:snapToGrid w:val="0"/>
      <w:spacing w:line="0" w:lineRule="atLeast"/>
      <w:jc w:val="center"/>
    </w:pPr>
    <w:rPr>
      <w:sz w:val="24"/>
      <w:szCs w:val="20"/>
    </w:rPr>
  </w:style>
  <w:style w:type="paragraph" w:customStyle="1" w:styleId="9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8">
    <w:name w:val="Char2"/>
    <w:basedOn w:val="1"/>
    <w:qFormat/>
    <w:uiPriority w:val="0"/>
    <w:rPr>
      <w:rFonts w:ascii="Tahoma" w:hAnsi="Tahoma"/>
      <w:sz w:val="24"/>
      <w:szCs w:val="20"/>
    </w:rPr>
  </w:style>
  <w:style w:type="paragraph" w:customStyle="1" w:styleId="9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36"/>
      <w:szCs w:val="36"/>
    </w:rPr>
  </w:style>
  <w:style w:type="paragraph" w:customStyle="1" w:styleId="113">
    <w:name w:val="Char"/>
    <w:basedOn w:val="1"/>
    <w:qFormat/>
    <w:uiPriority w:val="0"/>
    <w:pPr>
      <w:tabs>
        <w:tab w:val="left" w:pos="360"/>
      </w:tabs>
    </w:pPr>
    <w:rPr>
      <w:sz w:val="24"/>
    </w:rPr>
  </w:style>
  <w:style w:type="paragraph" w:customStyle="1" w:styleId="11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5"/>
    <w:qFormat/>
    <w:uiPriority w:val="0"/>
    <w:rPr>
      <w:rFonts w:ascii="Tahoma" w:hAnsi="Tahoma"/>
      <w:sz w:val="24"/>
    </w:rPr>
  </w:style>
  <w:style w:type="paragraph" w:customStyle="1" w:styleId="1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2">
    <w:name w:val="Char1 Char Char Char1"/>
    <w:basedOn w:val="1"/>
    <w:qFormat/>
    <w:uiPriority w:val="0"/>
    <w:rPr>
      <w:rFonts w:ascii="Tahoma" w:hAnsi="Tahoma" w:cs="仿宋_GB2312"/>
      <w:sz w:val="24"/>
      <w:szCs w:val="28"/>
    </w:rPr>
  </w:style>
  <w:style w:type="paragraph" w:customStyle="1" w:styleId="123">
    <w:name w:val="四级条标题"/>
    <w:basedOn w:val="124"/>
    <w:next w:val="1"/>
    <w:qFormat/>
    <w:uiPriority w:val="0"/>
    <w:pPr>
      <w:numPr>
        <w:ilvl w:val="4"/>
      </w:numPr>
      <w:tabs>
        <w:tab w:val="left" w:pos="360"/>
        <w:tab w:val="left" w:pos="840"/>
      </w:tabs>
      <w:ind w:left="0" w:hanging="840"/>
      <w:outlineLvl w:val="4"/>
    </w:pPr>
  </w:style>
  <w:style w:type="paragraph" w:customStyle="1" w:styleId="124">
    <w:name w:val="三级条标题"/>
    <w:basedOn w:val="86"/>
    <w:next w:val="1"/>
    <w:qFormat/>
    <w:uiPriority w:val="0"/>
    <w:pPr>
      <w:numPr>
        <w:ilvl w:val="3"/>
        <w:numId w:val="1"/>
      </w:numPr>
      <w:ind w:left="0" w:hanging="840"/>
      <w:outlineLvl w:val="3"/>
    </w:pPr>
  </w:style>
  <w:style w:type="paragraph" w:customStyle="1" w:styleId="12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6">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7">
    <w:name w:val="List Paragraph1"/>
    <w:basedOn w:val="1"/>
    <w:qFormat/>
    <w:uiPriority w:val="0"/>
    <w:pPr>
      <w:ind w:firstLine="420" w:firstLineChars="200"/>
    </w:pPr>
    <w:rPr>
      <w:rFonts w:ascii="Calibri" w:hAnsi="Calibri"/>
      <w:szCs w:val="22"/>
    </w:rPr>
  </w:style>
  <w:style w:type="paragraph" w:customStyle="1" w:styleId="128">
    <w:name w:val="项目符号1"/>
    <w:basedOn w:val="129"/>
    <w:qFormat/>
    <w:uiPriority w:val="0"/>
    <w:pPr>
      <w:ind w:left="-25" w:firstLine="0"/>
    </w:pPr>
  </w:style>
  <w:style w:type="paragraph" w:customStyle="1" w:styleId="129">
    <w:name w:val="正文文本样式"/>
    <w:basedOn w:val="1"/>
    <w:qFormat/>
    <w:uiPriority w:val="0"/>
    <w:pPr>
      <w:spacing w:line="360" w:lineRule="auto"/>
      <w:ind w:firstLine="482"/>
    </w:pPr>
    <w:rPr>
      <w:rFonts w:cs="宋体"/>
      <w:sz w:val="24"/>
      <w:szCs w:val="20"/>
    </w:rPr>
  </w:style>
  <w:style w:type="paragraph" w:customStyle="1" w:styleId="1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五级条标题"/>
    <w:basedOn w:val="123"/>
    <w:next w:val="1"/>
    <w:qFormat/>
    <w:uiPriority w:val="0"/>
    <w:pPr>
      <w:numPr>
        <w:ilvl w:val="5"/>
      </w:numPr>
      <w:ind w:left="0" w:hanging="840"/>
      <w:outlineLvl w:val="5"/>
    </w:pPr>
  </w:style>
  <w:style w:type="paragraph" w:customStyle="1" w:styleId="13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4">
    <w:name w:val="文档正文"/>
    <w:basedOn w:val="1"/>
    <w:qFormat/>
    <w:uiPriority w:val="0"/>
    <w:pPr>
      <w:snapToGrid w:val="0"/>
      <w:spacing w:before="120" w:after="120" w:line="180" w:lineRule="auto"/>
    </w:pPr>
    <w:rPr>
      <w:rFonts w:ascii="Arial" w:hAnsi="Arial"/>
      <w:szCs w:val="20"/>
    </w:rPr>
  </w:style>
  <w:style w:type="paragraph" w:customStyle="1" w:styleId="1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7">
    <w:name w:val="Char Char Char1 Char"/>
    <w:basedOn w:val="1"/>
    <w:qFormat/>
    <w:uiPriority w:val="0"/>
    <w:rPr>
      <w:rFonts w:ascii="Tahoma" w:hAnsi="Tahoma"/>
      <w:sz w:val="24"/>
      <w:szCs w:val="20"/>
    </w:rPr>
  </w:style>
  <w:style w:type="paragraph" w:customStyle="1" w:styleId="1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9">
    <w:name w:val="1名"/>
    <w:basedOn w:val="1"/>
    <w:qFormat/>
    <w:uiPriority w:val="0"/>
    <w:pPr>
      <w:numPr>
        <w:ilvl w:val="0"/>
        <w:numId w:val="5"/>
      </w:numPr>
      <w:spacing w:before="120"/>
    </w:pPr>
    <w:rPr>
      <w:rFonts w:ascii="宋体"/>
      <w:sz w:val="28"/>
      <w:szCs w:val="20"/>
    </w:rPr>
  </w:style>
  <w:style w:type="paragraph" w:customStyle="1" w:styleId="14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1">
    <w:name w:val="Char Char Char1 Char1"/>
    <w:basedOn w:val="1"/>
    <w:qFormat/>
    <w:uiPriority w:val="0"/>
    <w:rPr>
      <w:rFonts w:ascii="Tahoma" w:hAnsi="Tahoma"/>
      <w:sz w:val="24"/>
      <w:szCs w:val="20"/>
    </w:rPr>
  </w:style>
  <w:style w:type="paragraph" w:customStyle="1" w:styleId="142">
    <w:name w:val="Char Char Char Char Char Char Char Char Char Char"/>
    <w:basedOn w:val="1"/>
    <w:qFormat/>
    <w:uiPriority w:val="0"/>
  </w:style>
  <w:style w:type="paragraph" w:customStyle="1" w:styleId="14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Char1"/>
    <w:basedOn w:val="1"/>
    <w:qFormat/>
    <w:uiPriority w:val="0"/>
    <w:pPr>
      <w:tabs>
        <w:tab w:val="left" w:pos="360"/>
      </w:tabs>
    </w:pPr>
    <w:rPr>
      <w:sz w:val="24"/>
    </w:rPr>
  </w:style>
  <w:style w:type="paragraph" w:customStyle="1" w:styleId="14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默认段落字体 Para Char Char Char Char"/>
    <w:basedOn w:val="1"/>
    <w:qFormat/>
    <w:uiPriority w:val="0"/>
    <w:rPr>
      <w:rFonts w:ascii="Arial" w:hAnsi="Arial" w:cs="Arial"/>
      <w:szCs w:val="21"/>
    </w:rPr>
  </w:style>
  <w:style w:type="paragraph" w:customStyle="1" w:styleId="14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2">
    <w:name w:val="Char Char Char"/>
    <w:basedOn w:val="1"/>
    <w:qFormat/>
    <w:uiPriority w:val="0"/>
    <w:rPr>
      <w:rFonts w:ascii="Tahoma" w:hAnsi="Tahoma"/>
      <w:sz w:val="24"/>
      <w:szCs w:val="20"/>
    </w:rPr>
  </w:style>
  <w:style w:type="paragraph" w:customStyle="1" w:styleId="15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4">
    <w:name w:val="缺省文本"/>
    <w:basedOn w:val="1"/>
    <w:qFormat/>
    <w:uiPriority w:val="0"/>
    <w:pPr>
      <w:autoSpaceDE w:val="0"/>
      <w:autoSpaceDN w:val="0"/>
      <w:adjustRightInd w:val="0"/>
      <w:jc w:val="left"/>
    </w:pPr>
    <w:rPr>
      <w:kern w:val="0"/>
      <w:sz w:val="24"/>
    </w:rPr>
  </w:style>
  <w:style w:type="paragraph" w:customStyle="1" w:styleId="155">
    <w:name w:val="Char Char Char1"/>
    <w:basedOn w:val="1"/>
    <w:qFormat/>
    <w:uiPriority w:val="0"/>
    <w:rPr>
      <w:rFonts w:ascii="Tahoma" w:hAnsi="Tahoma"/>
      <w:sz w:val="24"/>
      <w:szCs w:val="20"/>
    </w:rPr>
  </w:style>
  <w:style w:type="paragraph" w:customStyle="1" w:styleId="15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8">
    <w:name w:val="样式2"/>
    <w:basedOn w:val="44"/>
    <w:qFormat/>
    <w:uiPriority w:val="0"/>
    <w:pPr>
      <w:spacing w:line="360" w:lineRule="auto"/>
      <w:jc w:val="center"/>
    </w:pPr>
    <w:rPr>
      <w:sz w:val="24"/>
    </w:rPr>
  </w:style>
  <w:style w:type="paragraph" w:customStyle="1" w:styleId="15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1">
    <w:name w:val="正文 + 楷体_GB2312"/>
    <w:basedOn w:val="1"/>
    <w:qFormat/>
    <w:uiPriority w:val="0"/>
    <w:pPr>
      <w:widowControl/>
      <w:jc w:val="left"/>
    </w:pPr>
    <w:rPr>
      <w:rFonts w:ascii="楷体_GB2312" w:eastAsia="楷体_GB2312" w:cs="Arial"/>
      <w:kern w:val="0"/>
      <w:sz w:val="24"/>
    </w:rPr>
  </w:style>
  <w:style w:type="paragraph" w:customStyle="1" w:styleId="1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3">
    <w:name w:val="1 Char Char Char Char"/>
    <w:basedOn w:val="1"/>
    <w:qFormat/>
    <w:uiPriority w:val="0"/>
    <w:rPr>
      <w:rFonts w:ascii="Tahoma" w:hAnsi="Tahoma"/>
      <w:sz w:val="24"/>
      <w:szCs w:val="20"/>
    </w:rPr>
  </w:style>
  <w:style w:type="paragraph" w:customStyle="1" w:styleId="16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5">
    <w:name w:val="列出段落1"/>
    <w:basedOn w:val="1"/>
    <w:qFormat/>
    <w:uiPriority w:val="0"/>
    <w:pPr>
      <w:ind w:firstLine="420" w:firstLineChars="200"/>
    </w:pPr>
    <w:rPr>
      <w:rFonts w:ascii="Calibri" w:hAnsi="Calibri"/>
      <w:szCs w:val="22"/>
    </w:rPr>
  </w:style>
  <w:style w:type="paragraph" w:customStyle="1" w:styleId="16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字元 字元1"/>
    <w:basedOn w:val="1"/>
    <w:qFormat/>
    <w:uiPriority w:val="0"/>
    <w:rPr>
      <w:rFonts w:ascii="Tahoma" w:hAnsi="Tahoma"/>
      <w:sz w:val="24"/>
      <w:szCs w:val="20"/>
    </w:rPr>
  </w:style>
  <w:style w:type="paragraph" w:customStyle="1" w:styleId="168">
    <w:name w:val="_Style 160"/>
    <w:qFormat/>
    <w:uiPriority w:val="0"/>
    <w:rPr>
      <w:rFonts w:ascii="Times New Roman" w:hAnsi="Times New Roman" w:eastAsia="宋体" w:cs="Times New Roman"/>
      <w:kern w:val="2"/>
      <w:sz w:val="21"/>
      <w:szCs w:val="24"/>
      <w:lang w:val="en-US" w:eastAsia="zh-CN" w:bidi="ar-SA"/>
    </w:rPr>
  </w:style>
  <w:style w:type="paragraph" w:customStyle="1" w:styleId="169">
    <w:name w:val="项目编号3"/>
    <w:basedOn w:val="129"/>
    <w:qFormat/>
    <w:uiPriority w:val="0"/>
    <w:pPr>
      <w:numPr>
        <w:ilvl w:val="0"/>
        <w:numId w:val="6"/>
      </w:numPr>
    </w:pPr>
  </w:style>
  <w:style w:type="paragraph" w:customStyle="1" w:styleId="170">
    <w:name w:val="Char21"/>
    <w:basedOn w:val="1"/>
    <w:qFormat/>
    <w:uiPriority w:val="0"/>
    <w:rPr>
      <w:rFonts w:ascii="Tahoma" w:hAnsi="Tahoma"/>
      <w:sz w:val="24"/>
      <w:szCs w:val="20"/>
    </w:rPr>
  </w:style>
  <w:style w:type="paragraph" w:customStyle="1" w:styleId="17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72">
    <w:name w:val="Char Char Char Char Char Char Char Char Char Char1"/>
    <w:basedOn w:val="1"/>
    <w:qFormat/>
    <w:uiPriority w:val="0"/>
    <w:rPr>
      <w:rFonts w:ascii="宋体" w:hAnsi="宋体" w:cs="Courier New"/>
      <w:sz w:val="32"/>
      <w:szCs w:val="32"/>
    </w:rPr>
  </w:style>
  <w:style w:type="paragraph" w:customStyle="1" w:styleId="173">
    <w:name w:val="正文文本样式 加粗"/>
    <w:basedOn w:val="129"/>
    <w:qFormat/>
    <w:uiPriority w:val="0"/>
    <w:rPr>
      <w:b/>
    </w:rPr>
  </w:style>
  <w:style w:type="paragraph" w:customStyle="1" w:styleId="174">
    <w:name w:val="Char2 Char Char Char Char Char Char"/>
    <w:basedOn w:val="1"/>
    <w:qFormat/>
    <w:uiPriority w:val="0"/>
    <w:pPr>
      <w:widowControl/>
      <w:spacing w:line="400" w:lineRule="exact"/>
      <w:jc w:val="center"/>
    </w:pPr>
  </w:style>
  <w:style w:type="character" w:customStyle="1" w:styleId="175">
    <w:name w:val="页脚 Char1"/>
    <w:link w:val="30"/>
    <w:qFormat/>
    <w:uiPriority w:val="99"/>
    <w:rPr>
      <w:rFonts w:ascii="宋体" w:eastAsia="宋体"/>
      <w:sz w:val="18"/>
      <w:lang w:val="en-US" w:eastAsia="zh-CN" w:bidi="ar-SA"/>
    </w:rPr>
  </w:style>
  <w:style w:type="paragraph" w:customStyle="1" w:styleId="176">
    <w:name w:val="Char Char4"/>
    <w:basedOn w:val="1"/>
    <w:qFormat/>
    <w:uiPriority w:val="0"/>
    <w:pPr>
      <w:widowControl/>
      <w:spacing w:line="400" w:lineRule="exact"/>
      <w:jc w:val="center"/>
    </w:pPr>
  </w:style>
  <w:style w:type="paragraph" w:customStyle="1" w:styleId="177">
    <w:name w:val="Char3 Char Char Char1"/>
    <w:basedOn w:val="1"/>
    <w:qFormat/>
    <w:uiPriority w:val="0"/>
    <w:rPr>
      <w:rFonts w:ascii="Tahoma" w:hAnsi="Tahoma"/>
      <w:sz w:val="24"/>
      <w:szCs w:val="20"/>
    </w:rPr>
  </w:style>
  <w:style w:type="paragraph" w:styleId="17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0">
    <w:name w:val="中等深浅网格 1 - 强调文字颜色 2 Char"/>
    <w:link w:val="181"/>
    <w:qFormat/>
    <w:uiPriority w:val="0"/>
    <w:rPr>
      <w:kern w:val="2"/>
      <w:sz w:val="21"/>
      <w:szCs w:val="24"/>
      <w:lang w:val="zh-CN" w:eastAsia="zh-CN"/>
    </w:rPr>
  </w:style>
  <w:style w:type="paragraph" w:customStyle="1" w:styleId="181">
    <w:name w:val="1"/>
    <w:link w:val="180"/>
    <w:qFormat/>
    <w:uiPriority w:val="0"/>
    <w:rPr>
      <w:rFonts w:ascii="Times New Roman" w:hAnsi="Times New Roman" w:eastAsia="宋体" w:cs="Times New Roman"/>
      <w:kern w:val="2"/>
      <w:sz w:val="21"/>
      <w:szCs w:val="24"/>
      <w:lang w:val="zh-CN" w:eastAsia="zh-CN" w:bidi="ar-SA"/>
    </w:rPr>
  </w:style>
  <w:style w:type="paragraph" w:customStyle="1" w:styleId="182">
    <w:name w:val="图文"/>
    <w:basedOn w:val="1"/>
    <w:qFormat/>
    <w:uiPriority w:val="0"/>
    <w:pPr>
      <w:adjustRightInd w:val="0"/>
      <w:snapToGrid w:val="0"/>
      <w:spacing w:after="50" w:line="360" w:lineRule="auto"/>
    </w:pPr>
    <w:rPr>
      <w:sz w:val="24"/>
    </w:rPr>
  </w:style>
  <w:style w:type="paragraph" w:customStyle="1" w:styleId="18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4">
    <w:name w:val="正文表格"/>
    <w:basedOn w:val="1"/>
    <w:link w:val="185"/>
    <w:qFormat/>
    <w:uiPriority w:val="0"/>
    <w:pPr>
      <w:adjustRightInd w:val="0"/>
      <w:snapToGrid w:val="0"/>
      <w:jc w:val="left"/>
    </w:pPr>
    <w:rPr>
      <w:rFonts w:ascii="宋体" w:hAnsi="宋体"/>
      <w:color w:val="000000"/>
      <w:szCs w:val="21"/>
    </w:rPr>
  </w:style>
  <w:style w:type="character" w:customStyle="1" w:styleId="185">
    <w:name w:val="正文表格 Char"/>
    <w:link w:val="184"/>
    <w:qFormat/>
    <w:uiPriority w:val="0"/>
    <w:rPr>
      <w:rFonts w:ascii="宋体" w:hAnsi="宋体"/>
      <w:color w:val="000000"/>
      <w:kern w:val="2"/>
      <w:sz w:val="21"/>
      <w:szCs w:val="21"/>
    </w:rPr>
  </w:style>
  <w:style w:type="paragraph" w:customStyle="1" w:styleId="186">
    <w:name w:val="正文重点"/>
    <w:basedOn w:val="1"/>
    <w:link w:val="187"/>
    <w:qFormat/>
    <w:uiPriority w:val="0"/>
    <w:pPr>
      <w:adjustRightInd w:val="0"/>
      <w:spacing w:line="360" w:lineRule="auto"/>
      <w:ind w:firstLine="482" w:firstLineChars="200"/>
      <w:jc w:val="left"/>
      <w:textAlignment w:val="baseline"/>
    </w:pPr>
    <w:rPr>
      <w:b/>
      <w:kern w:val="0"/>
      <w:sz w:val="24"/>
      <w:szCs w:val="20"/>
    </w:rPr>
  </w:style>
  <w:style w:type="character" w:customStyle="1" w:styleId="187">
    <w:name w:val="正文重点 Char"/>
    <w:link w:val="186"/>
    <w:qFormat/>
    <w:uiPriority w:val="0"/>
    <w:rPr>
      <w:b/>
      <w:sz w:val="24"/>
    </w:rPr>
  </w:style>
  <w:style w:type="character" w:customStyle="1" w:styleId="188">
    <w:name w:val="批注文字 Char1"/>
    <w:link w:val="16"/>
    <w:qFormat/>
    <w:uiPriority w:val="99"/>
    <w:rPr>
      <w:kern w:val="2"/>
      <w:sz w:val="21"/>
      <w:szCs w:val="24"/>
    </w:rPr>
  </w:style>
  <w:style w:type="paragraph" w:customStyle="1" w:styleId="189">
    <w:name w:val="标题1-附件"/>
    <w:basedOn w:val="3"/>
    <w:qFormat/>
    <w:uiPriority w:val="0"/>
    <w:pPr>
      <w:jc w:val="left"/>
    </w:pPr>
    <w:rPr>
      <w:sz w:val="24"/>
      <w:szCs w:val="24"/>
    </w:rPr>
  </w:style>
  <w:style w:type="paragraph" w:customStyle="1" w:styleId="190">
    <w:name w:val="正文小标题"/>
    <w:basedOn w:val="1"/>
    <w:next w:val="6"/>
    <w:link w:val="19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1">
    <w:name w:val="正文小标题 Char"/>
    <w:link w:val="190"/>
    <w:qFormat/>
    <w:uiPriority w:val="0"/>
    <w:rPr>
      <w:rFonts w:ascii="宋体" w:hAnsi="宋体"/>
      <w:b/>
      <w:i/>
      <w:color w:val="FF0000"/>
      <w:kern w:val="2"/>
      <w:sz w:val="24"/>
    </w:rPr>
  </w:style>
  <w:style w:type="paragraph" w:customStyle="1" w:styleId="192">
    <w:name w:val="正文大标题"/>
    <w:basedOn w:val="190"/>
    <w:next w:val="6"/>
    <w:link w:val="193"/>
    <w:qFormat/>
    <w:uiPriority w:val="0"/>
    <w:pPr>
      <w:jc w:val="center"/>
    </w:pPr>
    <w:rPr>
      <w:i w:val="0"/>
      <w:color w:val="000000"/>
      <w:sz w:val="28"/>
      <w:szCs w:val="21"/>
    </w:rPr>
  </w:style>
  <w:style w:type="character" w:customStyle="1" w:styleId="193">
    <w:name w:val="正文大标题 Char"/>
    <w:link w:val="192"/>
    <w:qFormat/>
    <w:uiPriority w:val="0"/>
    <w:rPr>
      <w:rFonts w:ascii="宋体" w:hAnsi="宋体"/>
      <w:b/>
      <w:color w:val="000000"/>
      <w:kern w:val="2"/>
      <w:sz w:val="28"/>
      <w:szCs w:val="21"/>
    </w:rPr>
  </w:style>
  <w:style w:type="character" w:customStyle="1" w:styleId="194">
    <w:name w:val="标题 Char1"/>
    <w:link w:val="45"/>
    <w:qFormat/>
    <w:uiPriority w:val="0"/>
    <w:rPr>
      <w:b/>
      <w:kern w:val="2"/>
      <w:sz w:val="32"/>
    </w:rPr>
  </w:style>
  <w:style w:type="paragraph" w:customStyle="1" w:styleId="195">
    <w:name w:val="注释"/>
    <w:basedOn w:val="1"/>
    <w:link w:val="196"/>
    <w:qFormat/>
    <w:uiPriority w:val="0"/>
    <w:pPr>
      <w:adjustRightInd w:val="0"/>
      <w:snapToGrid w:val="0"/>
      <w:ind w:left="420" w:hanging="420" w:hangingChars="200"/>
      <w:jc w:val="left"/>
    </w:pPr>
    <w:rPr>
      <w:rFonts w:ascii="宋体" w:hAnsi="宋体"/>
      <w:szCs w:val="21"/>
    </w:rPr>
  </w:style>
  <w:style w:type="character" w:customStyle="1" w:styleId="196">
    <w:name w:val="注释 Char"/>
    <w:link w:val="195"/>
    <w:qFormat/>
    <w:uiPriority w:val="0"/>
    <w:rPr>
      <w:rFonts w:ascii="宋体" w:hAnsi="宋体"/>
      <w:kern w:val="2"/>
      <w:sz w:val="21"/>
      <w:szCs w:val="21"/>
    </w:rPr>
  </w:style>
  <w:style w:type="paragraph" w:customStyle="1" w:styleId="19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00">
    <w:name w:val="批注文字 字符"/>
    <w:qFormat/>
    <w:uiPriority w:val="99"/>
    <w:rPr>
      <w:rFonts w:ascii="Times New Roman" w:hAnsi="Times New Roman" w:eastAsia="宋体" w:cs="Times New Roman"/>
      <w:sz w:val="24"/>
      <w:lang w:val="en-US" w:eastAsia="zh-CN" w:bidi="ar-SA"/>
    </w:rPr>
  </w:style>
  <w:style w:type="character" w:customStyle="1" w:styleId="201">
    <w:name w:val="纯文本 字符"/>
    <w:qFormat/>
    <w:uiPriority w:val="99"/>
    <w:rPr>
      <w:rFonts w:ascii="宋体" w:hAnsi="Courier New" w:eastAsia="宋体" w:cs="Times New Roman"/>
      <w:kern w:val="2"/>
      <w:sz w:val="21"/>
      <w:szCs w:val="21"/>
      <w:lang w:val="en-US" w:eastAsia="zh-CN" w:bidi="ar-SA"/>
    </w:rPr>
  </w:style>
  <w:style w:type="paragraph" w:customStyle="1" w:styleId="202">
    <w:name w:val="表格1"/>
    <w:basedOn w:val="1"/>
    <w:qFormat/>
    <w:uiPriority w:val="0"/>
    <w:pPr>
      <w:ind w:firstLine="480" w:firstLineChars="200"/>
      <w:jc w:val="center"/>
    </w:pPr>
    <w:rPr>
      <w:sz w:val="24"/>
      <w:szCs w:val="20"/>
    </w:rPr>
  </w:style>
  <w:style w:type="character" w:customStyle="1" w:styleId="203">
    <w:name w:val="纯文本 字符1"/>
    <w:qFormat/>
    <w:uiPriority w:val="0"/>
    <w:rPr>
      <w:rFonts w:ascii="宋体" w:hAnsi="Courier New"/>
    </w:rPr>
  </w:style>
  <w:style w:type="character" w:customStyle="1" w:styleId="204">
    <w:name w:val="bjh-p"/>
    <w:qFormat/>
    <w:uiPriority w:val="0"/>
  </w:style>
  <w:style w:type="paragraph" w:customStyle="1" w:styleId="20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6">
    <w:name w:val="正文格式 Char"/>
    <w:link w:val="207"/>
    <w:qFormat/>
    <w:locked/>
    <w:uiPriority w:val="0"/>
    <w:rPr>
      <w:rFonts w:ascii="宋体" w:hAnsi="宋体"/>
      <w:sz w:val="24"/>
      <w:szCs w:val="24"/>
      <w:lang w:val="en-GB"/>
    </w:rPr>
  </w:style>
  <w:style w:type="paragraph" w:customStyle="1" w:styleId="207">
    <w:name w:val="正文格式"/>
    <w:basedOn w:val="1"/>
    <w:link w:val="206"/>
    <w:qFormat/>
    <w:uiPriority w:val="0"/>
    <w:pPr>
      <w:spacing w:beforeLines="50" w:line="360" w:lineRule="auto"/>
      <w:ind w:firstLine="480" w:firstLineChars="200"/>
    </w:pPr>
    <w:rPr>
      <w:rFonts w:ascii="宋体" w:hAnsi="宋体"/>
      <w:kern w:val="0"/>
      <w:sz w:val="24"/>
      <w:lang w:val="en-GB"/>
    </w:rPr>
  </w:style>
  <w:style w:type="character" w:customStyle="1" w:styleId="208">
    <w:name w:val="纯文本 Char"/>
    <w:basedOn w:val="52"/>
    <w:link w:val="25"/>
    <w:qFormat/>
    <w:uiPriority w:val="0"/>
    <w:rPr>
      <w:rFonts w:hint="eastAsia" w:ascii="宋体" w:hAnsi="Courier New" w:eastAsia="宋体" w:cs="宋体"/>
      <w:kern w:val="2"/>
      <w:sz w:val="21"/>
    </w:rPr>
  </w:style>
  <w:style w:type="character" w:customStyle="1" w:styleId="209">
    <w:name w:val="标题 3 Char"/>
    <w:qFormat/>
    <w:uiPriority w:val="0"/>
    <w:rPr>
      <w:rFonts w:ascii="宋体" w:eastAsia="宋体"/>
      <w:b/>
      <w:sz w:val="24"/>
      <w:u w:val="single"/>
      <w:lang w:val="en-US" w:eastAsia="zh-CN" w:bidi="ar-SA"/>
    </w:rPr>
  </w:style>
  <w:style w:type="character" w:customStyle="1" w:styleId="210">
    <w:name w:val="正文缩进 Char"/>
    <w:qFormat/>
    <w:uiPriority w:val="0"/>
    <w:rPr>
      <w:rFonts w:ascii="宋体" w:eastAsia="宋体"/>
      <w:kern w:val="2"/>
      <w:sz w:val="24"/>
      <w:szCs w:val="24"/>
      <w:lang w:val="en-US" w:eastAsia="zh-CN" w:bidi="ar-SA"/>
    </w:rPr>
  </w:style>
  <w:style w:type="character" w:customStyle="1" w:styleId="211">
    <w:name w:val="Char Char111"/>
    <w:qFormat/>
    <w:uiPriority w:val="0"/>
    <w:rPr>
      <w:rFonts w:ascii="宋体" w:eastAsia="宋体"/>
      <w:b/>
      <w:sz w:val="24"/>
      <w:u w:val="single"/>
      <w:lang w:val="en-US" w:eastAsia="zh-CN" w:bidi="ar-SA"/>
    </w:rPr>
  </w:style>
  <w:style w:type="character" w:customStyle="1" w:styleId="212">
    <w:name w:val="正文文本缩进 Char"/>
    <w:qFormat/>
    <w:uiPriority w:val="0"/>
    <w:rPr>
      <w:rFonts w:eastAsia="宋体"/>
      <w:kern w:val="2"/>
      <w:sz w:val="24"/>
      <w:szCs w:val="24"/>
      <w:lang w:val="en-US" w:eastAsia="zh-CN" w:bidi="ar-SA"/>
    </w:rPr>
  </w:style>
  <w:style w:type="character" w:customStyle="1" w:styleId="213">
    <w:name w:val="列出段落 Char"/>
    <w:qFormat/>
    <w:uiPriority w:val="0"/>
    <w:rPr>
      <w:rFonts w:ascii="Calibri" w:hAnsi="Calibri" w:eastAsia="宋体"/>
      <w:kern w:val="2"/>
      <w:sz w:val="21"/>
      <w:szCs w:val="22"/>
      <w:lang w:val="en-US" w:eastAsia="zh-CN" w:bidi="ar-SA"/>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标题 2 Char"/>
    <w:qFormat/>
    <w:uiPriority w:val="0"/>
    <w:rPr>
      <w:rFonts w:ascii="Arial" w:hAnsi="Arial" w:eastAsia="黑体"/>
      <w:b/>
      <w:sz w:val="30"/>
      <w:lang w:val="en-US" w:eastAsia="zh-CN" w:bidi="ar-SA"/>
    </w:rPr>
  </w:style>
  <w:style w:type="paragraph" w:customStyle="1" w:styleId="216">
    <w:name w:val="字元 字元2"/>
    <w:basedOn w:val="1"/>
    <w:qFormat/>
    <w:uiPriority w:val="0"/>
    <w:rPr>
      <w:rFonts w:ascii="Tahoma" w:hAnsi="Tahoma"/>
      <w:sz w:val="24"/>
      <w:szCs w:val="20"/>
    </w:rPr>
  </w:style>
  <w:style w:type="paragraph" w:customStyle="1" w:styleId="217">
    <w:name w:val="Char3 Char Char Char2"/>
    <w:basedOn w:val="1"/>
    <w:qFormat/>
    <w:uiPriority w:val="0"/>
    <w:rPr>
      <w:rFonts w:ascii="Tahoma" w:hAnsi="Tahoma"/>
      <w:sz w:val="24"/>
      <w:szCs w:val="20"/>
    </w:rPr>
  </w:style>
  <w:style w:type="paragraph" w:customStyle="1" w:styleId="21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9">
    <w:name w:val="Char3"/>
    <w:basedOn w:val="1"/>
    <w:qFormat/>
    <w:uiPriority w:val="0"/>
    <w:pPr>
      <w:tabs>
        <w:tab w:val="left" w:pos="360"/>
      </w:tabs>
    </w:pPr>
    <w:rPr>
      <w:sz w:val="24"/>
    </w:rPr>
  </w:style>
  <w:style w:type="paragraph" w:customStyle="1" w:styleId="22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2">
    <w:name w:val="列出段落2"/>
    <w:basedOn w:val="1"/>
    <w:qFormat/>
    <w:uiPriority w:val="0"/>
    <w:pPr>
      <w:ind w:firstLine="420" w:firstLineChars="200"/>
    </w:pPr>
    <w:rPr>
      <w:rFonts w:ascii="Calibri" w:hAnsi="Calibri"/>
      <w:szCs w:val="22"/>
    </w:rPr>
  </w:style>
  <w:style w:type="paragraph" w:customStyle="1" w:styleId="223">
    <w:name w:val="Char Char Char1 Char2"/>
    <w:basedOn w:val="1"/>
    <w:qFormat/>
    <w:uiPriority w:val="0"/>
    <w:rPr>
      <w:rFonts w:ascii="Tahoma" w:hAnsi="Tahoma"/>
      <w:sz w:val="24"/>
      <w:szCs w:val="20"/>
    </w:rPr>
  </w:style>
  <w:style w:type="paragraph" w:customStyle="1" w:styleId="224">
    <w:name w:val="Char Char Char2"/>
    <w:basedOn w:val="1"/>
    <w:qFormat/>
    <w:uiPriority w:val="0"/>
    <w:rPr>
      <w:rFonts w:ascii="Tahoma" w:hAnsi="Tahoma"/>
      <w:sz w:val="24"/>
      <w:szCs w:val="20"/>
    </w:rPr>
  </w:style>
  <w:style w:type="paragraph" w:customStyle="1" w:styleId="22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7">
    <w:name w:val="修订1"/>
    <w:qFormat/>
    <w:uiPriority w:val="0"/>
    <w:rPr>
      <w:rFonts w:ascii="Times New Roman" w:hAnsi="Times New Roman" w:eastAsia="宋体" w:cs="Times New Roman"/>
      <w:kern w:val="2"/>
      <w:sz w:val="21"/>
      <w:szCs w:val="24"/>
      <w:lang w:val="en-US" w:eastAsia="zh-CN" w:bidi="ar-SA"/>
    </w:rPr>
  </w:style>
  <w:style w:type="paragraph" w:customStyle="1" w:styleId="228">
    <w:name w:val="Char22"/>
    <w:basedOn w:val="1"/>
    <w:qFormat/>
    <w:uiPriority w:val="0"/>
    <w:rPr>
      <w:rFonts w:ascii="Tahoma" w:hAnsi="Tahoma"/>
      <w:sz w:val="24"/>
      <w:szCs w:val="20"/>
    </w:rPr>
  </w:style>
  <w:style w:type="paragraph" w:customStyle="1" w:styleId="229">
    <w:name w:val="Char Char Char Char Char Char Char Char Char Char2"/>
    <w:basedOn w:val="1"/>
    <w:qFormat/>
    <w:uiPriority w:val="0"/>
    <w:rPr>
      <w:rFonts w:ascii="宋体" w:hAnsi="宋体" w:cs="Courier New"/>
      <w:sz w:val="32"/>
      <w:szCs w:val="32"/>
    </w:rPr>
  </w:style>
  <w:style w:type="paragraph" w:customStyle="1" w:styleId="230">
    <w:name w:val="Char2 Char Char Char Char Char Char1"/>
    <w:basedOn w:val="1"/>
    <w:qFormat/>
    <w:uiPriority w:val="0"/>
    <w:pPr>
      <w:widowControl/>
      <w:spacing w:line="400" w:lineRule="exact"/>
      <w:jc w:val="center"/>
    </w:pPr>
  </w:style>
  <w:style w:type="character" w:customStyle="1" w:styleId="231">
    <w:name w:val="页脚 Char"/>
    <w:qFormat/>
    <w:uiPriority w:val="0"/>
    <w:rPr>
      <w:rFonts w:ascii="宋体" w:eastAsia="宋体"/>
      <w:sz w:val="18"/>
      <w:lang w:val="en-US" w:eastAsia="zh-CN" w:bidi="ar-SA"/>
    </w:rPr>
  </w:style>
  <w:style w:type="paragraph" w:customStyle="1" w:styleId="232">
    <w:name w:val="Char Char41"/>
    <w:basedOn w:val="1"/>
    <w:qFormat/>
    <w:uiPriority w:val="0"/>
    <w:pPr>
      <w:widowControl/>
      <w:spacing w:line="400" w:lineRule="exact"/>
      <w:jc w:val="center"/>
    </w:pPr>
  </w:style>
  <w:style w:type="character" w:customStyle="1" w:styleId="233">
    <w:name w:val="批注文字 Char"/>
    <w:qFormat/>
    <w:uiPriority w:val="99"/>
    <w:rPr>
      <w:kern w:val="2"/>
      <w:sz w:val="21"/>
      <w:szCs w:val="24"/>
    </w:rPr>
  </w:style>
  <w:style w:type="character" w:customStyle="1" w:styleId="234">
    <w:name w:val="标题 Char"/>
    <w:qFormat/>
    <w:uiPriority w:val="0"/>
    <w:rPr>
      <w:b/>
      <w:kern w:val="2"/>
      <w:sz w:val="32"/>
    </w:rPr>
  </w:style>
  <w:style w:type="character" w:customStyle="1" w:styleId="235">
    <w:name w:val="标题 1 Char"/>
    <w:basedOn w:val="52"/>
    <w:link w:val="3"/>
    <w:qFormat/>
    <w:uiPriority w:val="0"/>
    <w:rPr>
      <w:rFonts w:ascii="宋体"/>
      <w:b/>
      <w:kern w:val="44"/>
      <w:sz w:val="32"/>
    </w:rPr>
  </w:style>
  <w:style w:type="character" w:customStyle="1" w:styleId="236">
    <w:name w:val="标题 4 Char"/>
    <w:basedOn w:val="52"/>
    <w:link w:val="7"/>
    <w:qFormat/>
    <w:uiPriority w:val="0"/>
    <w:rPr>
      <w:sz w:val="24"/>
    </w:rPr>
  </w:style>
  <w:style w:type="character" w:customStyle="1" w:styleId="237">
    <w:name w:val="标题 5 Char"/>
    <w:basedOn w:val="52"/>
    <w:link w:val="8"/>
    <w:qFormat/>
    <w:uiPriority w:val="0"/>
    <w:rPr>
      <w:b/>
      <w:sz w:val="28"/>
    </w:rPr>
  </w:style>
  <w:style w:type="character" w:customStyle="1" w:styleId="238">
    <w:name w:val="标题 6 Char"/>
    <w:basedOn w:val="52"/>
    <w:link w:val="9"/>
    <w:qFormat/>
    <w:uiPriority w:val="0"/>
    <w:rPr>
      <w:rFonts w:ascii="Arial" w:hAnsi="Arial" w:eastAsia="黑体"/>
      <w:b/>
      <w:sz w:val="24"/>
    </w:rPr>
  </w:style>
  <w:style w:type="character" w:customStyle="1" w:styleId="239">
    <w:name w:val="标题 7 Char"/>
    <w:basedOn w:val="52"/>
    <w:link w:val="10"/>
    <w:qFormat/>
    <w:uiPriority w:val="0"/>
    <w:rPr>
      <w:b/>
      <w:sz w:val="24"/>
    </w:rPr>
  </w:style>
  <w:style w:type="character" w:customStyle="1" w:styleId="240">
    <w:name w:val="标题 8 Char"/>
    <w:basedOn w:val="52"/>
    <w:link w:val="11"/>
    <w:qFormat/>
    <w:uiPriority w:val="0"/>
    <w:rPr>
      <w:rFonts w:ascii="Arial" w:hAnsi="Arial" w:eastAsia="黑体"/>
      <w:sz w:val="24"/>
    </w:rPr>
  </w:style>
  <w:style w:type="character" w:customStyle="1" w:styleId="241">
    <w:name w:val="标题 9 Char"/>
    <w:basedOn w:val="52"/>
    <w:link w:val="12"/>
    <w:qFormat/>
    <w:uiPriority w:val="0"/>
    <w:rPr>
      <w:rFonts w:ascii="Arial" w:hAnsi="Arial" w:eastAsia="黑体"/>
      <w:sz w:val="21"/>
    </w:rPr>
  </w:style>
  <w:style w:type="character" w:customStyle="1" w:styleId="242">
    <w:name w:val="文档结构图 Char"/>
    <w:basedOn w:val="52"/>
    <w:link w:val="15"/>
    <w:qFormat/>
    <w:uiPriority w:val="0"/>
    <w:rPr>
      <w:kern w:val="2"/>
      <w:sz w:val="21"/>
      <w:szCs w:val="24"/>
      <w:shd w:val="clear" w:color="auto" w:fill="000080"/>
    </w:rPr>
  </w:style>
  <w:style w:type="character" w:customStyle="1" w:styleId="243">
    <w:name w:val="正文文本 3 Char"/>
    <w:basedOn w:val="52"/>
    <w:link w:val="17"/>
    <w:qFormat/>
    <w:uiPriority w:val="0"/>
    <w:rPr>
      <w:kern w:val="2"/>
      <w:sz w:val="16"/>
      <w:szCs w:val="16"/>
    </w:rPr>
  </w:style>
  <w:style w:type="character" w:customStyle="1" w:styleId="244">
    <w:name w:val="正文文本 Char"/>
    <w:basedOn w:val="52"/>
    <w:link w:val="18"/>
    <w:qFormat/>
    <w:uiPriority w:val="0"/>
    <w:rPr>
      <w:rFonts w:ascii="宋体" w:hAnsi="宋体"/>
      <w:kern w:val="2"/>
      <w:sz w:val="24"/>
      <w:szCs w:val="24"/>
    </w:rPr>
  </w:style>
  <w:style w:type="character" w:customStyle="1" w:styleId="245">
    <w:name w:val="日期 Char"/>
    <w:basedOn w:val="52"/>
    <w:link w:val="27"/>
    <w:qFormat/>
    <w:uiPriority w:val="0"/>
    <w:rPr>
      <w:rFonts w:ascii="仿宋_GB2312" w:hAnsi="宋体" w:eastAsia="仿宋_GB2312"/>
      <w:color w:val="000000"/>
      <w:kern w:val="2"/>
      <w:sz w:val="24"/>
      <w:szCs w:val="24"/>
    </w:rPr>
  </w:style>
  <w:style w:type="character" w:customStyle="1" w:styleId="246">
    <w:name w:val="正文文本缩进 2 Char"/>
    <w:basedOn w:val="52"/>
    <w:link w:val="28"/>
    <w:qFormat/>
    <w:uiPriority w:val="0"/>
    <w:rPr>
      <w:rFonts w:ascii="仿宋_GB2312" w:eastAsia="仿宋_GB2312"/>
      <w:kern w:val="2"/>
      <w:sz w:val="24"/>
      <w:szCs w:val="24"/>
    </w:rPr>
  </w:style>
  <w:style w:type="character" w:customStyle="1" w:styleId="247">
    <w:name w:val="批注框文本 Char"/>
    <w:basedOn w:val="52"/>
    <w:link w:val="29"/>
    <w:qFormat/>
    <w:uiPriority w:val="0"/>
    <w:rPr>
      <w:kern w:val="2"/>
      <w:sz w:val="18"/>
      <w:szCs w:val="18"/>
    </w:rPr>
  </w:style>
  <w:style w:type="character" w:customStyle="1" w:styleId="248">
    <w:name w:val="正文文本缩进 3 Char"/>
    <w:basedOn w:val="52"/>
    <w:link w:val="38"/>
    <w:qFormat/>
    <w:uiPriority w:val="0"/>
    <w:rPr>
      <w:rFonts w:ascii="宋体"/>
      <w:sz w:val="24"/>
    </w:rPr>
  </w:style>
  <w:style w:type="character" w:customStyle="1" w:styleId="249">
    <w:name w:val="HTML 预设格式 Char"/>
    <w:basedOn w:val="52"/>
    <w:link w:val="42"/>
    <w:qFormat/>
    <w:uiPriority w:val="0"/>
    <w:rPr>
      <w:rFonts w:ascii="宋体" w:hAnsi="宋体" w:cs="宋体"/>
      <w:sz w:val="24"/>
      <w:szCs w:val="24"/>
    </w:rPr>
  </w:style>
  <w:style w:type="character" w:customStyle="1" w:styleId="250">
    <w:name w:val="批注主题 Char"/>
    <w:basedOn w:val="200"/>
    <w:link w:val="46"/>
    <w:qFormat/>
    <w:uiPriority w:val="0"/>
    <w:rPr>
      <w:rFonts w:ascii="Times New Roman" w:hAnsi="Times New Roman" w:eastAsia="宋体" w:cs="Times New Roman"/>
      <w:b/>
      <w:bCs/>
      <w:kern w:val="2"/>
      <w:sz w:val="21"/>
      <w:szCs w:val="24"/>
      <w:lang w:val="en-US" w:eastAsia="zh-CN" w:bidi="ar-SA"/>
    </w:rPr>
  </w:style>
  <w:style w:type="character" w:customStyle="1" w:styleId="251">
    <w:name w:val="正文首行缩进 2 Char"/>
    <w:basedOn w:val="73"/>
    <w:link w:val="48"/>
    <w:qFormat/>
    <w:uiPriority w:val="0"/>
    <w:rPr>
      <w:rFonts w:eastAsia="宋体"/>
      <w:kern w:val="2"/>
      <w:sz w:val="24"/>
      <w:szCs w:val="24"/>
      <w:lang w:val="en-US" w:eastAsia="zh-CN" w:bidi="ar-SA"/>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6">
    <w:name w:val="cf01"/>
    <w:basedOn w:val="52"/>
    <w:qFormat/>
    <w:uiPriority w:val="0"/>
    <w:rPr>
      <w:rFonts w:hint="eastAsia" w:ascii="Microsoft YaHei UI" w:hAnsi="Microsoft YaHei UI" w:eastAsia="Microsoft YaHei UI"/>
      <w:sz w:val="18"/>
      <w:szCs w:val="18"/>
    </w:rPr>
  </w:style>
  <w:style w:type="character" w:customStyle="1" w:styleId="257">
    <w:name w:val="cf21"/>
    <w:basedOn w:val="52"/>
    <w:qFormat/>
    <w:uiPriority w:val="0"/>
    <w:rPr>
      <w:rFonts w:hint="eastAsia" w:ascii="Microsoft YaHei UI" w:hAnsi="Microsoft YaHei UI" w:eastAsia="Microsoft YaHei UI"/>
      <w:sz w:val="18"/>
      <w:szCs w:val="18"/>
      <w:shd w:val="clear" w:color="auto" w:fill="FFFFFF"/>
    </w:rPr>
  </w:style>
  <w:style w:type="character" w:customStyle="1" w:styleId="258">
    <w:name w:val="cf11"/>
    <w:basedOn w:val="52"/>
    <w:qFormat/>
    <w:uiPriority w:val="0"/>
    <w:rPr>
      <w:rFonts w:hint="eastAsia" w:ascii="Microsoft YaHei UI" w:hAnsi="Microsoft YaHei UI" w:eastAsia="Microsoft YaHei UI"/>
      <w:sz w:val="18"/>
      <w:szCs w:val="18"/>
    </w:rPr>
  </w:style>
  <w:style w:type="paragraph" w:customStyle="1" w:styleId="259">
    <w:name w:val="列出段落11"/>
    <w:basedOn w:val="1"/>
    <w:qFormat/>
    <w:uiPriority w:val="34"/>
    <w:pPr>
      <w:ind w:firstLine="420" w:firstLineChars="200"/>
    </w:pPr>
    <w:rPr>
      <w:rFonts w:ascii="Calibri" w:hAnsi="Calibri" w:cs="黑体"/>
    </w:rPr>
  </w:style>
  <w:style w:type="paragraph" w:customStyle="1" w:styleId="260">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261">
    <w:name w:val="font21"/>
    <w:basedOn w:val="52"/>
    <w:qFormat/>
    <w:uiPriority w:val="0"/>
    <w:rPr>
      <w:rFonts w:hint="eastAsia" w:ascii="仿宋" w:hAnsi="仿宋" w:eastAsia="仿宋" w:cs="仿宋"/>
      <w:b/>
      <w:bCs/>
      <w:color w:val="000000"/>
      <w:sz w:val="24"/>
      <w:szCs w:val="24"/>
      <w:u w:val="none"/>
    </w:rPr>
  </w:style>
  <w:style w:type="character" w:customStyle="1" w:styleId="262">
    <w:name w:val="font41"/>
    <w:basedOn w:val="5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88897-04BF-4D85-B220-8DA3C35DA9C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6114</Words>
  <Characters>34854</Characters>
  <Lines>290</Lines>
  <Paragraphs>81</Paragraphs>
  <TotalTime>43</TotalTime>
  <ScaleCrop>false</ScaleCrop>
  <LinksUpToDate>false</LinksUpToDate>
  <CharactersWithSpaces>40887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36281</cp:lastModifiedBy>
  <cp:lastPrinted>2020-04-01T03:13:00Z</cp:lastPrinted>
  <dcterms:modified xsi:type="dcterms:W3CDTF">2025-12-02T00:47:52Z</dcterms:modified>
  <dc:title>政府采购示范文本（2023）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AC0982119F594DBA9D6C7A9441B7DB24</vt:lpwstr>
  </property>
</Properties>
</file>