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color w:val="auto"/>
          <w:sz w:val="60"/>
          <w:szCs w:val="60"/>
          <w:highlight w:val="none"/>
        </w:rPr>
      </w:pPr>
    </w:p>
    <w:p>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北京市政府采购项目</w:t>
      </w:r>
    </w:p>
    <w:p>
      <w:pPr>
        <w:jc w:val="center"/>
        <w:rPr>
          <w:rFonts w:hint="eastAsia" w:ascii="宋体" w:hAnsi="宋体" w:eastAsia="宋体" w:cs="宋体"/>
          <w:b/>
          <w:bCs/>
          <w:color w:val="auto"/>
          <w:sz w:val="60"/>
          <w:szCs w:val="60"/>
          <w:highlight w:val="none"/>
        </w:rPr>
      </w:pPr>
    </w:p>
    <w:p>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竞争性磋商文件</w:t>
      </w:r>
    </w:p>
    <w:p>
      <w:pPr>
        <w:jc w:val="center"/>
        <w:rPr>
          <w:rFonts w:hint="eastAsia" w:ascii="宋体" w:hAnsi="宋体" w:eastAsia="宋体" w:cs="宋体"/>
          <w:b/>
          <w:bCs/>
          <w:color w:val="auto"/>
          <w:sz w:val="60"/>
          <w:szCs w:val="60"/>
          <w:highlight w:val="none"/>
        </w:rPr>
      </w:pPr>
    </w:p>
    <w:p>
      <w:pPr>
        <w:spacing w:line="360" w:lineRule="auto"/>
        <w:jc w:val="center"/>
        <w:rPr>
          <w:rFonts w:hint="eastAsia" w:ascii="宋体" w:hAnsi="宋体" w:eastAsia="宋体" w:cs="宋体"/>
          <w:b/>
          <w:bCs/>
          <w:color w:val="auto"/>
          <w:sz w:val="60"/>
          <w:szCs w:val="60"/>
          <w:highlight w:val="none"/>
        </w:rPr>
      </w:pPr>
    </w:p>
    <w:p>
      <w:pPr>
        <w:spacing w:line="360" w:lineRule="auto"/>
        <w:jc w:val="center"/>
        <w:rPr>
          <w:rFonts w:hint="eastAsia" w:ascii="宋体" w:hAnsi="宋体" w:eastAsia="宋体" w:cs="宋体"/>
          <w:b/>
          <w:bCs/>
          <w:color w:val="auto"/>
          <w:sz w:val="60"/>
          <w:szCs w:val="60"/>
          <w:highlight w:val="none"/>
        </w:rPr>
      </w:pPr>
    </w:p>
    <w:p>
      <w:pPr>
        <w:tabs>
          <w:tab w:val="left" w:pos="5609"/>
        </w:tabs>
        <w:spacing w:line="360" w:lineRule="auto"/>
        <w:ind w:left="2832" w:leftChars="444" w:hanging="1900" w:hangingChars="528"/>
        <w:jc w:val="left"/>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项目名称：</w:t>
      </w:r>
      <w:r>
        <w:rPr>
          <w:rFonts w:hint="eastAsia" w:ascii="宋体" w:hAnsi="宋体" w:cs="宋体"/>
          <w:bCs/>
          <w:color w:val="auto"/>
          <w:sz w:val="36"/>
          <w:szCs w:val="36"/>
          <w:highlight w:val="none"/>
          <w:lang w:eastAsia="zh-CN"/>
        </w:rPr>
        <w:t>石景山区2026年垃圾分类项目</w:t>
      </w:r>
      <w:r>
        <w:rPr>
          <w:rFonts w:hint="eastAsia" w:ascii="宋体" w:hAnsi="宋体" w:eastAsia="宋体" w:cs="宋体"/>
          <w:bCs/>
          <w:color w:val="auto"/>
          <w:sz w:val="36"/>
          <w:szCs w:val="36"/>
          <w:highlight w:val="none"/>
        </w:rPr>
        <w:tab/>
      </w:r>
      <w:r>
        <w:rPr>
          <w:rFonts w:hint="eastAsia" w:ascii="宋体" w:hAnsi="宋体" w:eastAsia="宋体" w:cs="宋体"/>
          <w:bCs/>
          <w:color w:val="auto"/>
          <w:sz w:val="36"/>
          <w:szCs w:val="36"/>
          <w:highlight w:val="none"/>
        </w:rPr>
        <w:tab/>
      </w:r>
    </w:p>
    <w:p>
      <w:pPr>
        <w:tabs>
          <w:tab w:val="left" w:pos="3240"/>
          <w:tab w:val="left" w:pos="3420"/>
        </w:tabs>
        <w:spacing w:line="360" w:lineRule="auto"/>
        <w:ind w:left="2832" w:leftChars="444" w:hanging="1900" w:hangingChars="528"/>
        <w:jc w:val="left"/>
        <w:rPr>
          <w:rFonts w:hint="eastAsia" w:ascii="宋体" w:hAnsi="宋体" w:cs="宋体"/>
          <w:bCs/>
          <w:color w:val="auto"/>
          <w:sz w:val="36"/>
          <w:szCs w:val="36"/>
          <w:highlight w:val="none"/>
          <w:lang w:eastAsia="zh-CN"/>
        </w:rPr>
      </w:pPr>
      <w:r>
        <w:rPr>
          <w:rFonts w:hint="eastAsia" w:ascii="宋体" w:hAnsi="宋体" w:eastAsia="宋体" w:cs="宋体"/>
          <w:bCs/>
          <w:color w:val="auto"/>
          <w:sz w:val="36"/>
          <w:szCs w:val="36"/>
          <w:highlight w:val="none"/>
        </w:rPr>
        <w:t>项目编号：</w:t>
      </w:r>
      <w:r>
        <w:rPr>
          <w:rFonts w:hint="eastAsia" w:ascii="宋体" w:hAnsi="宋体" w:cs="宋体"/>
          <w:bCs/>
          <w:color w:val="auto"/>
          <w:sz w:val="36"/>
          <w:szCs w:val="36"/>
          <w:highlight w:val="none"/>
          <w:lang w:eastAsia="zh-CN"/>
        </w:rPr>
        <w:t>11010725210200018057-XM001</w:t>
      </w:r>
    </w:p>
    <w:p>
      <w:pPr>
        <w:tabs>
          <w:tab w:val="left" w:pos="3240"/>
          <w:tab w:val="left" w:pos="3420"/>
        </w:tabs>
        <w:spacing w:line="360" w:lineRule="auto"/>
        <w:ind w:left="2832" w:leftChars="444" w:hanging="1900" w:hangingChars="528"/>
        <w:jc w:val="left"/>
        <w:rPr>
          <w:rFonts w:hint="default" w:ascii="宋体" w:hAnsi="宋体" w:eastAsia="宋体" w:cs="宋体"/>
          <w:bCs/>
          <w:color w:val="auto"/>
          <w:sz w:val="36"/>
          <w:szCs w:val="36"/>
          <w:highlight w:val="none"/>
          <w:lang w:val="en-US" w:eastAsia="zh-CN"/>
        </w:rPr>
      </w:pPr>
      <w:r>
        <w:rPr>
          <w:rFonts w:hint="eastAsia" w:ascii="宋体" w:hAnsi="宋体" w:cs="宋体"/>
          <w:bCs/>
          <w:color w:val="auto"/>
          <w:sz w:val="36"/>
          <w:szCs w:val="36"/>
          <w:highlight w:val="none"/>
          <w:lang w:val="en-US" w:eastAsia="zh-CN"/>
        </w:rPr>
        <w:t>包号：04包生活垃圾（粪便）处理设施环境监测</w:t>
      </w:r>
    </w:p>
    <w:p>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rPr>
      </w:pPr>
    </w:p>
    <w:p>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rPr>
      </w:pPr>
    </w:p>
    <w:p>
      <w:pPr>
        <w:tabs>
          <w:tab w:val="left" w:pos="3240"/>
          <w:tab w:val="left" w:pos="3420"/>
        </w:tabs>
        <w:spacing w:line="360" w:lineRule="auto"/>
        <w:ind w:left="2621" w:leftChars="444" w:hanging="1689" w:hangingChars="528"/>
        <w:jc w:val="left"/>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采 购 人：</w:t>
      </w:r>
      <w:r>
        <w:rPr>
          <w:rFonts w:hint="eastAsia" w:ascii="宋体" w:hAnsi="宋体" w:cs="宋体"/>
          <w:bCs/>
          <w:color w:val="auto"/>
          <w:sz w:val="32"/>
          <w:szCs w:val="32"/>
          <w:highlight w:val="none"/>
          <w:lang w:eastAsia="zh-CN"/>
        </w:rPr>
        <w:t>北京市石景山区城市管理委员会</w:t>
      </w:r>
    </w:p>
    <w:p>
      <w:pPr>
        <w:tabs>
          <w:tab w:val="left" w:pos="3240"/>
          <w:tab w:val="left" w:pos="3420"/>
        </w:tabs>
        <w:spacing w:line="360" w:lineRule="auto"/>
        <w:ind w:left="2621" w:leftChars="444" w:hanging="1689" w:hangingChars="528"/>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采购代理机构：国信招标集团股份有限公司</w:t>
      </w:r>
    </w:p>
    <w:p>
      <w:pPr>
        <w:tabs>
          <w:tab w:val="left" w:pos="3240"/>
          <w:tab w:val="left" w:pos="3420"/>
        </w:tabs>
        <w:spacing w:line="360" w:lineRule="auto"/>
        <w:ind w:left="2621" w:leftChars="444" w:hanging="1689" w:hangingChars="528"/>
        <w:jc w:val="left"/>
        <w:rPr>
          <w:rFonts w:hint="eastAsia" w:ascii="宋体" w:hAnsi="宋体" w:eastAsia="宋体" w:cs="宋体"/>
          <w:bCs/>
          <w:color w:val="auto"/>
          <w:sz w:val="32"/>
          <w:szCs w:val="32"/>
          <w:highlight w:val="none"/>
        </w:rPr>
      </w:pPr>
    </w:p>
    <w:p>
      <w:pPr>
        <w:pStyle w:val="2"/>
        <w:rPr>
          <w:rFonts w:hint="eastAsia" w:ascii="宋体" w:hAnsi="宋体" w:eastAsia="宋体" w:cs="宋体"/>
          <w:color w:val="auto"/>
          <w:highlight w:val="none"/>
        </w:rPr>
        <w:sectPr>
          <w:headerReference r:id="rId5" w:type="default"/>
          <w:type w:val="nextColumn"/>
          <w:pgSz w:w="11905" w:h="16838"/>
          <w:pgMar w:top="850" w:right="1134" w:bottom="850" w:left="1134" w:header="0" w:footer="850" w:gutter="0"/>
          <w:pgBorders>
            <w:top w:val="none" w:sz="0" w:space="0"/>
            <w:left w:val="none" w:sz="0" w:space="0"/>
            <w:bottom w:val="none" w:sz="0" w:space="0"/>
            <w:right w:val="none" w:sz="0" w:space="0"/>
          </w:pgBorders>
          <w:cols w:space="0" w:num="1"/>
          <w:rtlGutter w:val="0"/>
          <w:docGrid w:linePitch="312" w:charSpace="0"/>
        </w:sectPr>
      </w:pPr>
    </w:p>
    <w:p>
      <w:pPr>
        <w:pStyle w:val="161"/>
        <w:spacing w:line="360" w:lineRule="auto"/>
        <w:rPr>
          <w:rFonts w:hint="eastAsia" w:ascii="宋体" w:hAnsi="宋体" w:eastAsia="宋体" w:cs="宋体"/>
          <w:color w:val="auto"/>
          <w:highlight w:val="none"/>
        </w:rPr>
      </w:pPr>
    </w:p>
    <w:p>
      <w:pPr>
        <w:spacing w:line="360" w:lineRule="auto"/>
        <w:jc w:val="center"/>
        <w:outlineLvl w:val="0"/>
        <w:rPr>
          <w:rFonts w:hint="eastAsia" w:ascii="宋体" w:hAnsi="宋体" w:eastAsia="宋体" w:cs="宋体"/>
          <w:b/>
          <w:color w:val="auto"/>
          <w:sz w:val="36"/>
          <w:szCs w:val="36"/>
          <w:highlight w:val="none"/>
        </w:rPr>
      </w:pPr>
      <w:bookmarkStart w:id="0" w:name="_Toc26062"/>
      <w:r>
        <w:rPr>
          <w:rFonts w:hint="eastAsia" w:ascii="宋体" w:hAnsi="宋体" w:eastAsia="宋体" w:cs="宋体"/>
          <w:b/>
          <w:color w:val="auto"/>
          <w:sz w:val="36"/>
          <w:szCs w:val="36"/>
          <w:highlight w:val="none"/>
        </w:rPr>
        <w:t>目      录</w:t>
      </w:r>
      <w:bookmarkEnd w:id="0"/>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3"/>
        <w:tabs>
          <w:tab w:val="right" w:leader="dot" w:pos="9637"/>
          <w:tab w:val="clear" w:pos="1050"/>
          <w:tab w:val="clear" w:pos="8937"/>
        </w:tabs>
        <w:rPr>
          <w:color w:val="auto"/>
          <w:highlight w:val="none"/>
        </w:rPr>
      </w:pPr>
      <w:r>
        <w:rPr>
          <w:rFonts w:hint="eastAsia" w:ascii="宋体" w:hAnsi="宋体" w:eastAsia="宋体" w:cs="宋体"/>
          <w:b w:val="0"/>
          <w:color w:val="auto"/>
          <w:sz w:val="28"/>
          <w:szCs w:val="28"/>
          <w:highlight w:val="none"/>
        </w:rPr>
        <w:fldChar w:fldCharType="begin"/>
      </w:r>
      <w:r>
        <w:rPr>
          <w:rFonts w:hint="eastAsia" w:ascii="宋体" w:hAnsi="宋体" w:eastAsia="宋体" w:cs="宋体"/>
          <w:b w:val="0"/>
          <w:color w:val="auto"/>
          <w:sz w:val="28"/>
          <w:szCs w:val="28"/>
          <w:highlight w:val="none"/>
        </w:rPr>
        <w:instrText xml:space="preserve"> TOC \o "1-1" \h \z \u </w:instrText>
      </w:r>
      <w:r>
        <w:rPr>
          <w:rFonts w:hint="eastAsia" w:ascii="宋体" w:hAnsi="宋体" w:eastAsia="宋体" w:cs="宋体"/>
          <w:b w:val="0"/>
          <w:color w:val="auto"/>
          <w:sz w:val="28"/>
          <w:szCs w:val="28"/>
          <w:highlight w:val="none"/>
        </w:rPr>
        <w:fldChar w:fldCharType="separate"/>
      </w: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_Toc11962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第一章   采购邀请</w:t>
      </w:r>
      <w:r>
        <w:rPr>
          <w:color w:val="auto"/>
          <w:highlight w:val="none"/>
        </w:rPr>
        <w:tab/>
      </w:r>
      <w:r>
        <w:rPr>
          <w:color w:val="auto"/>
          <w:highlight w:val="none"/>
        </w:rPr>
        <w:fldChar w:fldCharType="begin"/>
      </w:r>
      <w:r>
        <w:rPr>
          <w:color w:val="auto"/>
          <w:highlight w:val="none"/>
        </w:rPr>
        <w:instrText xml:space="preserve"> PAGEREF _Toc11962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8"/>
          <w:highlight w:val="none"/>
        </w:rPr>
        <w:fldChar w:fldCharType="end"/>
      </w:r>
    </w:p>
    <w:p>
      <w:pPr>
        <w:pStyle w:val="33"/>
        <w:tabs>
          <w:tab w:val="right" w:leader="dot" w:pos="9637"/>
          <w:tab w:val="clear" w:pos="1050"/>
          <w:tab w:val="clear" w:pos="8937"/>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_Toc3171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_Toc3171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8"/>
          <w:highlight w:val="none"/>
        </w:rPr>
        <w:fldChar w:fldCharType="end"/>
      </w:r>
    </w:p>
    <w:p>
      <w:pPr>
        <w:pStyle w:val="33"/>
        <w:tabs>
          <w:tab w:val="right" w:leader="dot" w:pos="9637"/>
          <w:tab w:val="clear" w:pos="1050"/>
          <w:tab w:val="clear" w:pos="8937"/>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_Toc3213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第三章   评审方法和评审标准</w:t>
      </w:r>
      <w:r>
        <w:rPr>
          <w:color w:val="auto"/>
          <w:highlight w:val="none"/>
        </w:rPr>
        <w:tab/>
      </w:r>
      <w:r>
        <w:rPr>
          <w:color w:val="auto"/>
          <w:highlight w:val="none"/>
        </w:rPr>
        <w:fldChar w:fldCharType="begin"/>
      </w:r>
      <w:r>
        <w:rPr>
          <w:color w:val="auto"/>
          <w:highlight w:val="none"/>
        </w:rPr>
        <w:instrText xml:space="preserve"> PAGEREF _Toc3213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8"/>
          <w:highlight w:val="none"/>
        </w:rPr>
        <w:fldChar w:fldCharType="end"/>
      </w:r>
    </w:p>
    <w:p>
      <w:pPr>
        <w:pStyle w:val="33"/>
        <w:tabs>
          <w:tab w:val="right" w:leader="dot" w:pos="9637"/>
          <w:tab w:val="clear" w:pos="1050"/>
          <w:tab w:val="clear" w:pos="8937"/>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_Toc14667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第四章   采购需求</w:t>
      </w:r>
      <w:r>
        <w:rPr>
          <w:color w:val="auto"/>
          <w:highlight w:val="none"/>
        </w:rPr>
        <w:tab/>
      </w:r>
      <w:r>
        <w:rPr>
          <w:color w:val="auto"/>
          <w:highlight w:val="none"/>
        </w:rPr>
        <w:fldChar w:fldCharType="begin"/>
      </w:r>
      <w:r>
        <w:rPr>
          <w:color w:val="auto"/>
          <w:highlight w:val="none"/>
        </w:rPr>
        <w:instrText xml:space="preserve"> PAGEREF _Toc14667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zCs w:val="28"/>
          <w:highlight w:val="none"/>
        </w:rPr>
        <w:fldChar w:fldCharType="end"/>
      </w:r>
    </w:p>
    <w:p>
      <w:pPr>
        <w:pStyle w:val="33"/>
        <w:tabs>
          <w:tab w:val="right" w:leader="dot" w:pos="9637"/>
          <w:tab w:val="clear" w:pos="1050"/>
          <w:tab w:val="clear" w:pos="8937"/>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_Toc332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第五章   合同草案条款</w:t>
      </w:r>
      <w:r>
        <w:rPr>
          <w:color w:val="auto"/>
          <w:highlight w:val="none"/>
        </w:rPr>
        <w:tab/>
      </w:r>
      <w:r>
        <w:rPr>
          <w:color w:val="auto"/>
          <w:highlight w:val="none"/>
        </w:rPr>
        <w:fldChar w:fldCharType="begin"/>
      </w:r>
      <w:r>
        <w:rPr>
          <w:color w:val="auto"/>
          <w:highlight w:val="none"/>
        </w:rPr>
        <w:instrText xml:space="preserve"> PAGEREF _Toc332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szCs w:val="28"/>
          <w:highlight w:val="none"/>
        </w:rPr>
        <w:fldChar w:fldCharType="end"/>
      </w:r>
    </w:p>
    <w:p>
      <w:pPr>
        <w:pStyle w:val="33"/>
        <w:tabs>
          <w:tab w:val="right" w:leader="dot" w:pos="9637"/>
          <w:tab w:val="clear" w:pos="1050"/>
          <w:tab w:val="clear" w:pos="8937"/>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_Toc31949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_Toc31949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szCs w:val="28"/>
          <w:highlight w:val="none"/>
        </w:rPr>
        <w:fldChar w:fldCharType="end"/>
      </w:r>
    </w:p>
    <w:p>
      <w:pPr>
        <w:pStyle w:val="33"/>
        <w:spacing w:line="720" w:lineRule="auto"/>
        <w:rPr>
          <w:rFonts w:hint="eastAsia" w:ascii="宋体" w:hAnsi="宋体" w:eastAsia="宋体" w:cs="宋体"/>
          <w:b w:val="0"/>
          <w:color w:val="auto"/>
          <w:sz w:val="28"/>
          <w:szCs w:val="28"/>
          <w:highlight w:val="none"/>
        </w:rPr>
      </w:pPr>
      <w:r>
        <w:rPr>
          <w:rFonts w:hint="eastAsia" w:ascii="宋体" w:hAnsi="宋体" w:eastAsia="宋体" w:cs="宋体"/>
          <w:color w:val="auto"/>
          <w:szCs w:val="28"/>
          <w:highlight w:val="none"/>
        </w:rPr>
        <w:fldChar w:fldCharType="end"/>
      </w:r>
      <w:bookmarkStart w:id="716" w:name="_GoBack"/>
      <w:bookmarkEnd w:id="716"/>
    </w:p>
    <w:p>
      <w:pPr>
        <w:pStyle w:val="33"/>
        <w:spacing w:line="360" w:lineRule="auto"/>
        <w:rPr>
          <w:rFonts w:hint="eastAsia" w:ascii="宋体" w:hAnsi="宋体" w:eastAsia="宋体" w:cs="宋体"/>
          <w:b w:val="0"/>
          <w:color w:val="auto"/>
          <w:sz w:val="36"/>
          <w:szCs w:val="36"/>
          <w:highlight w:val="none"/>
        </w:rPr>
      </w:pPr>
    </w:p>
    <w:p>
      <w:pPr>
        <w:spacing w:line="360" w:lineRule="auto"/>
        <w:jc w:val="center"/>
        <w:outlineLvl w:val="0"/>
        <w:rPr>
          <w:rFonts w:hint="eastAsia" w:ascii="宋体" w:hAnsi="宋体" w:eastAsia="宋体" w:cs="宋体"/>
          <w:b/>
          <w:color w:val="auto"/>
          <w:sz w:val="36"/>
          <w:szCs w:val="36"/>
          <w:highlight w:val="none"/>
        </w:rPr>
        <w:sectPr>
          <w:headerReference r:id="rId7" w:type="first"/>
          <w:footerReference r:id="rId10" w:type="first"/>
          <w:headerReference r:id="rId6" w:type="default"/>
          <w:footerReference r:id="rId8" w:type="default"/>
          <w:footerReference r:id="rId9" w:type="even"/>
          <w:type w:val="nextColumn"/>
          <w:pgSz w:w="11905" w:h="16838"/>
          <w:pgMar w:top="850" w:right="1134" w:bottom="850" w:left="1134" w:header="0" w:footer="850" w:gutter="0"/>
          <w:pgBorders>
            <w:top w:val="none" w:sz="0" w:space="0"/>
            <w:left w:val="none" w:sz="0" w:space="0"/>
            <w:bottom w:val="none" w:sz="0" w:space="0"/>
            <w:right w:val="none" w:sz="0" w:space="0"/>
          </w:pgBorders>
          <w:pgNumType w:start="1"/>
          <w:cols w:space="0" w:num="1"/>
          <w:rtlGutter w:val="0"/>
          <w:docGrid w:linePitch="462" w:charSpace="0"/>
        </w:sectPr>
      </w:pPr>
    </w:p>
    <w:p>
      <w:pPr>
        <w:spacing w:line="360" w:lineRule="auto"/>
        <w:jc w:val="center"/>
        <w:outlineLvl w:val="0"/>
        <w:rPr>
          <w:rFonts w:hint="eastAsia" w:ascii="宋体" w:hAnsi="宋体" w:eastAsia="宋体" w:cs="宋体"/>
          <w:b/>
          <w:color w:val="auto"/>
          <w:sz w:val="36"/>
          <w:szCs w:val="36"/>
          <w:highlight w:val="none"/>
        </w:rPr>
      </w:pPr>
      <w:bookmarkStart w:id="1" w:name="_Toc11962"/>
      <w:r>
        <w:rPr>
          <w:rFonts w:hint="eastAsia" w:ascii="宋体" w:hAnsi="宋体" w:eastAsia="宋体" w:cs="宋体"/>
          <w:b/>
          <w:color w:val="auto"/>
          <w:sz w:val="36"/>
          <w:szCs w:val="36"/>
          <w:highlight w:val="none"/>
        </w:rPr>
        <w:t xml:space="preserve">第一章   </w:t>
      </w:r>
      <w:bookmarkStart w:id="2" w:name="OLE_LINK13"/>
      <w:r>
        <w:rPr>
          <w:rFonts w:hint="eastAsia" w:ascii="宋体" w:hAnsi="宋体" w:eastAsia="宋体" w:cs="宋体"/>
          <w:b/>
          <w:color w:val="auto"/>
          <w:sz w:val="36"/>
          <w:szCs w:val="36"/>
          <w:highlight w:val="none"/>
        </w:rPr>
        <w:t>采购邀请</w:t>
      </w:r>
      <w:bookmarkEnd w:id="1"/>
      <w:bookmarkStart w:id="3" w:name="_Toc28359079"/>
      <w:bookmarkStart w:id="4" w:name="_Toc28359002"/>
      <w:bookmarkStart w:id="5" w:name="_Toc35393790"/>
      <w:bookmarkStart w:id="6" w:name="_Toc35393621"/>
      <w:bookmarkStart w:id="7" w:name="_Hlk24379207"/>
    </w:p>
    <w:p>
      <w:pPr>
        <w:spacing w:line="360" w:lineRule="auto"/>
        <w:ind w:firstLine="480" w:firstLineChars="200"/>
        <w:rPr>
          <w:rFonts w:hint="eastAsia" w:ascii="宋体" w:hAnsi="宋体" w:eastAsia="宋体" w:cs="宋体"/>
          <w:color w:val="auto"/>
          <w:sz w:val="24"/>
          <w:highlight w:val="none"/>
        </w:rPr>
      </w:pP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bookmarkEnd w:id="3"/>
      <w:bookmarkEnd w:id="4"/>
      <w:bookmarkEnd w:id="5"/>
      <w:bookmarkEnd w:id="6"/>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1.项目编号：</w:t>
      </w:r>
      <w:r>
        <w:rPr>
          <w:rFonts w:hint="eastAsia" w:ascii="宋体" w:hAnsi="宋体" w:cs="宋体"/>
          <w:color w:val="auto"/>
          <w:sz w:val="24"/>
          <w:highlight w:val="none"/>
          <w:lang w:eastAsia="zh-CN"/>
        </w:rPr>
        <w:t>11010725210200018057-XM001</w:t>
      </w:r>
      <w:r>
        <w:rPr>
          <w:rFonts w:hint="eastAsia" w:ascii="宋体" w:hAnsi="宋体" w:eastAsia="宋体" w:cs="宋体"/>
          <w:color w:val="auto"/>
          <w:sz w:val="24"/>
          <w:highlight w:val="none"/>
          <w:lang w:val="en-US" w:eastAsia="zh-CN"/>
        </w:rPr>
        <w:t xml:space="preserve"> </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2.项目名称：</w:t>
      </w:r>
      <w:r>
        <w:rPr>
          <w:rFonts w:hint="eastAsia" w:ascii="宋体" w:hAnsi="宋体" w:cs="宋体"/>
          <w:color w:val="auto"/>
          <w:sz w:val="24"/>
          <w:highlight w:val="none"/>
          <w:lang w:eastAsia="zh-CN"/>
        </w:rPr>
        <w:t>石景山区2026年垃圾分类项目</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3.采购方式：竞争性磋商</w:t>
      </w:r>
    </w:p>
    <w:bookmarkEnd w:id="7"/>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4.项目预算金额：</w:t>
      </w:r>
      <w:r>
        <w:rPr>
          <w:rFonts w:hint="eastAsia" w:ascii="宋体" w:hAnsi="宋体" w:cs="宋体"/>
          <w:color w:val="auto"/>
          <w:sz w:val="24"/>
          <w:highlight w:val="none"/>
          <w:lang w:val="en-US" w:eastAsia="zh-CN"/>
        </w:rPr>
        <w:t>315万</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项目最高限价：</w:t>
      </w:r>
      <w:r>
        <w:rPr>
          <w:rFonts w:hint="eastAsia" w:ascii="宋体" w:hAnsi="宋体" w:cs="宋体"/>
          <w:color w:val="auto"/>
          <w:sz w:val="24"/>
          <w:highlight w:val="none"/>
          <w:lang w:val="en-US" w:eastAsia="zh-CN"/>
        </w:rPr>
        <w:t>315万</w:t>
      </w:r>
      <w:r>
        <w:rPr>
          <w:rFonts w:hint="eastAsia" w:ascii="宋体" w:hAnsi="宋体" w:eastAsia="宋体" w:cs="宋体"/>
          <w:color w:val="auto"/>
          <w:sz w:val="24"/>
          <w:highlight w:val="none"/>
        </w:rPr>
        <w:t>元</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5.采购需求：</w:t>
      </w:r>
    </w:p>
    <w:tbl>
      <w:tblPr>
        <w:tblStyle w:val="46"/>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24"/>
        <w:gridCol w:w="1929"/>
        <w:gridCol w:w="4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pPr>
              <w:pageBreakBefore w:val="0"/>
              <w:kinsoku/>
              <w:wordWrap/>
              <w:overflowPunct/>
              <w:topLinePunct w:val="0"/>
              <w:bidi w:val="0"/>
              <w:snapToGrid w:val="0"/>
              <w:spacing w:after="0" w:line="420" w:lineRule="exact"/>
              <w:jc w:val="center"/>
              <w:textAlignment w:val="auto"/>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包号</w:t>
            </w:r>
          </w:p>
        </w:tc>
        <w:tc>
          <w:tcPr>
            <w:tcW w:w="1824"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标的名称</w:t>
            </w:r>
          </w:p>
        </w:tc>
        <w:tc>
          <w:tcPr>
            <w:tcW w:w="1929"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采购包预算金额</w:t>
            </w:r>
            <w:r>
              <w:rPr>
                <w:rFonts w:hint="eastAsia" w:ascii="宋体" w:hAnsi="宋体" w:cs="宋体"/>
                <w:color w:val="auto"/>
                <w:sz w:val="24"/>
                <w:highlight w:val="none"/>
                <w:vertAlign w:val="baseline"/>
                <w:lang w:val="en-US" w:eastAsia="zh-CN"/>
              </w:rPr>
              <w:t>（即</w:t>
            </w:r>
            <w:r>
              <w:rPr>
                <w:rFonts w:hint="eastAsia" w:ascii="宋体" w:hAnsi="宋体" w:eastAsia="宋体" w:cs="宋体"/>
                <w:color w:val="auto"/>
                <w:sz w:val="24"/>
                <w:highlight w:val="none"/>
                <w:vertAlign w:val="baseline"/>
                <w:lang w:val="en-US" w:eastAsia="zh-CN"/>
              </w:rPr>
              <w:t>最高限价</w:t>
            </w:r>
            <w:r>
              <w:rPr>
                <w:rFonts w:hint="eastAsia" w:ascii="宋体" w:hAnsi="宋体" w:cs="宋体"/>
                <w:color w:val="auto"/>
                <w:sz w:val="24"/>
                <w:highlight w:val="none"/>
                <w:vertAlign w:val="baseline"/>
                <w:lang w:val="en-US" w:eastAsia="zh-CN"/>
              </w:rPr>
              <w:t>）</w:t>
            </w:r>
          </w:p>
        </w:tc>
        <w:tc>
          <w:tcPr>
            <w:tcW w:w="4804"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pPr>
              <w:pageBreakBefore w:val="0"/>
              <w:kinsoku/>
              <w:wordWrap/>
              <w:overflowPunct/>
              <w:topLinePunct w:val="0"/>
              <w:bidi w:val="0"/>
              <w:snapToGrid w:val="0"/>
              <w:spacing w:after="0" w:line="420" w:lineRule="exact"/>
              <w:jc w:val="center"/>
              <w:textAlignment w:val="auto"/>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04</w:t>
            </w:r>
          </w:p>
        </w:tc>
        <w:tc>
          <w:tcPr>
            <w:tcW w:w="1824"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生活垃圾（粪便）处理设施环境监测</w:t>
            </w:r>
          </w:p>
        </w:tc>
        <w:tc>
          <w:tcPr>
            <w:tcW w:w="1929"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45万</w:t>
            </w:r>
            <w:r>
              <w:rPr>
                <w:rFonts w:hint="eastAsia" w:ascii="宋体" w:hAnsi="宋体" w:eastAsia="宋体" w:cs="宋体"/>
                <w:color w:val="auto"/>
                <w:sz w:val="24"/>
                <w:highlight w:val="none"/>
              </w:rPr>
              <w:t>元</w:t>
            </w:r>
          </w:p>
        </w:tc>
        <w:tc>
          <w:tcPr>
            <w:tcW w:w="4804" w:type="dxa"/>
            <w:vAlign w:val="center"/>
          </w:tcPr>
          <w:p>
            <w:pPr>
              <w:pageBreakBefore w:val="0"/>
              <w:kinsoku/>
              <w:wordWrap/>
              <w:overflowPunct/>
              <w:topLinePunct w:val="0"/>
              <w:bidi w:val="0"/>
              <w:snapToGrid w:val="0"/>
              <w:spacing w:after="0" w:line="420" w:lineRule="exact"/>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对我区生活垃圾转运站运行过程中的4个方面内容（厂界大气污染物、排气筒大气污染物、水污染物排放、厂界环境噪声）、粪便消纳站运行过程中的4个方面内容（同转运站），出具正式月度、季度、年度监测报告并向市城市管理委反馈。</w:t>
            </w:r>
          </w:p>
        </w:tc>
      </w:tr>
    </w:tbl>
    <w:p>
      <w:pPr>
        <w:keepNext w:val="0"/>
        <w:keepLines w:val="0"/>
        <w:pageBreakBefore w:val="0"/>
        <w:widowControl w:val="0"/>
        <w:kinsoku/>
        <w:wordWrap/>
        <w:overflowPunct/>
        <w:topLinePunct w:val="0"/>
        <w:autoSpaceDE/>
        <w:autoSpaceDN/>
        <w:bidi w:val="0"/>
        <w:adjustRightInd/>
        <w:snapToGrid w:val="0"/>
        <w:spacing w:after="0" w:line="42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6.合同履行期限：202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年1月1日至202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年12月31日</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共计365天。</w:t>
      </w:r>
      <w:r>
        <w:rPr>
          <w:rFonts w:hint="eastAsia" w:ascii="宋体" w:hAnsi="宋体" w:eastAsia="宋体" w:cs="宋体"/>
          <w:color w:val="auto"/>
          <w:sz w:val="24"/>
          <w:highlight w:val="none"/>
        </w:rPr>
        <w:t xml:space="preserve"> </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7.本项目是否接受联合体 </w:t>
      </w:r>
      <w:r>
        <w:rPr>
          <w:rFonts w:hint="eastAsia" w:ascii="宋体" w:hAnsi="宋体" w:cs="宋体"/>
          <w:color w:val="auto"/>
          <w:highlight w:val="none"/>
          <w:lang w:eastAsia="zh-CN"/>
        </w:rPr>
        <w:t>□</w:t>
      </w:r>
      <w:r>
        <w:rPr>
          <w:rFonts w:hint="eastAsia" w:ascii="宋体" w:hAnsi="宋体" w:eastAsia="宋体" w:cs="宋体"/>
          <w:color w:val="auto"/>
          <w:sz w:val="24"/>
          <w:highlight w:val="none"/>
        </w:rPr>
        <w:t xml:space="preserve">是  </w:t>
      </w: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否。</w:t>
      </w: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8" w:name="_Toc28359003"/>
      <w:bookmarkStart w:id="9" w:name="_Toc35393622"/>
      <w:bookmarkStart w:id="10" w:name="_Toc28359080"/>
      <w:bookmarkStart w:id="11" w:name="_Toc35393791"/>
      <w:r>
        <w:rPr>
          <w:rFonts w:hint="eastAsia" w:ascii="宋体" w:hAnsi="宋体" w:eastAsia="宋体" w:cs="宋体"/>
          <w:color w:val="auto"/>
          <w:sz w:val="24"/>
          <w:szCs w:val="24"/>
          <w:highlight w:val="none"/>
        </w:rPr>
        <w:t>二、申请人的资格要求</w:t>
      </w:r>
      <w:bookmarkEnd w:id="8"/>
      <w:bookmarkEnd w:id="9"/>
      <w:bookmarkEnd w:id="10"/>
      <w:bookmarkEnd w:id="11"/>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bookmarkStart w:id="12" w:name="_Toc28359004"/>
      <w:bookmarkStart w:id="13" w:name="_Toc28359081"/>
      <w:r>
        <w:rPr>
          <w:rFonts w:hint="eastAsia" w:ascii="宋体" w:hAnsi="宋体" w:eastAsia="宋体" w:cs="宋体"/>
          <w:color w:val="auto"/>
          <w:sz w:val="24"/>
          <w:highlight w:val="none"/>
        </w:rPr>
        <w:t>2.落实政府采购政策需满足的资格要求：</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中小企业政策</w:t>
      </w:r>
    </w:p>
    <w:p>
      <w:pPr>
        <w:pageBreakBefore w:val="0"/>
        <w:kinsoku/>
        <w:wordWrap/>
        <w:overflowPunct/>
        <w:topLinePunct w:val="0"/>
        <w:bidi w:val="0"/>
        <w:snapToGrid w:val="0"/>
        <w:spacing w:after="0"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cs="宋体"/>
          <w:color w:val="auto"/>
          <w:highlight w:val="none"/>
          <w:lang w:eastAsia="zh-CN"/>
        </w:rPr>
        <w:t>□</w:t>
      </w:r>
      <w:r>
        <w:rPr>
          <w:rFonts w:hint="eastAsia" w:ascii="宋体" w:hAnsi="宋体" w:eastAsia="宋体" w:cs="宋体"/>
          <w:color w:val="auto"/>
          <w:sz w:val="24"/>
          <w:highlight w:val="none"/>
        </w:rPr>
        <w:t>本项目不专门面向中小企业预留采购份额。</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 xml:space="preserve">本项目专门面向  </w:t>
      </w: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 xml:space="preserve">中小 </w:t>
      </w:r>
      <w:r>
        <w:rPr>
          <w:rFonts w:hint="eastAsia" w:ascii="宋体" w:hAnsi="宋体" w:eastAsia="宋体" w:cs="宋体"/>
          <w:color w:val="auto"/>
          <w:highlight w:val="none"/>
        </w:rPr>
        <w:t>□</w:t>
      </w:r>
      <w:r>
        <w:rPr>
          <w:rFonts w:hint="eastAsia" w:ascii="宋体" w:hAnsi="宋体" w:eastAsia="宋体" w:cs="宋体"/>
          <w:color w:val="auto"/>
          <w:sz w:val="24"/>
          <w:highlight w:val="none"/>
        </w:rPr>
        <w:t>小微企业  采购。即：提供的货物全部由符合政策要求的中小企业制造、服务全部由符合政策要求的中小企业承接。</w:t>
      </w:r>
    </w:p>
    <w:p>
      <w:pPr>
        <w:pageBreakBefore w:val="0"/>
        <w:kinsoku/>
        <w:wordWrap/>
        <w:overflowPunct/>
        <w:topLinePunct w:val="0"/>
        <w:bidi w:val="0"/>
        <w:snapToGrid w:val="0"/>
        <w:spacing w:after="0"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sz w:val="24"/>
          <w:highlight w:val="none"/>
          <w:u w:val="single"/>
        </w:rPr>
        <w:t>___/___</w:t>
      </w:r>
      <w:r>
        <w:rPr>
          <w:rFonts w:hint="eastAsia" w:ascii="宋体" w:hAnsi="宋体" w:eastAsia="宋体" w:cs="宋体"/>
          <w:color w:val="auto"/>
          <w:sz w:val="24"/>
          <w:highlight w:val="none"/>
        </w:rPr>
        <w:t>。</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其它落实政府采购政策的资格要求（如有）：无。</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3.本项目的特定资格要求：</w:t>
      </w:r>
    </w:p>
    <w:p>
      <w:pPr>
        <w:pageBreakBefore w:val="0"/>
        <w:tabs>
          <w:tab w:val="left" w:pos="900"/>
          <w:tab w:val="left" w:pos="1134"/>
          <w:tab w:val="left" w:pos="1589"/>
          <w:tab w:val="left" w:pos="5521"/>
        </w:tabs>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3.1本项目是否属于政府购买服务：</w:t>
      </w:r>
    </w:p>
    <w:p>
      <w:pPr>
        <w:pageBreakBefore w:val="0"/>
        <w:kinsoku/>
        <w:wordWrap/>
        <w:overflowPunct/>
        <w:topLinePunct w:val="0"/>
        <w:bidi w:val="0"/>
        <w:snapToGrid w:val="0"/>
        <w:spacing w:after="0"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sz w:val="24"/>
          <w:highlight w:val="none"/>
        </w:rPr>
        <w:t>否</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是，公益一类事业单位、使用事业编制且由财政拨款保障的群团组织，不得作为承接主体；</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3.2其他特定资格要求：</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before="0" w:after="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val="en-US" w:eastAsia="zh-CN"/>
        </w:rPr>
        <w:t>（1）</w:t>
      </w:r>
      <w:r>
        <w:rPr>
          <w:rFonts w:hint="eastAsia" w:ascii="宋体" w:hAnsi="宋体" w:eastAsia="宋体" w:cs="宋体"/>
          <w:color w:val="auto"/>
          <w:kern w:val="2"/>
          <w:sz w:val="24"/>
          <w:szCs w:val="24"/>
          <w:highlight w:val="none"/>
          <w:lang w:val="en-US" w:eastAsia="zh-CN" w:bidi="ar-SA"/>
        </w:rPr>
        <w:t>本项目投标截止期前被“信用中国”网站（www.creditchina.gov.cn）中列入失信被执行人和重大税收违法案件当事人名单的供应商、被中国政府采购网（www.ccgp.gov.cn）列入政府采购严重违法失信行为记录名单中被财政部门禁止参加政府采购活动的供应商（处罚决定规定的时间和地域范围内），无资格参加本项目的采购活动。</w:t>
      </w:r>
    </w:p>
    <w:p>
      <w:pPr>
        <w:pStyle w:val="2"/>
        <w:keepNext w:val="0"/>
        <w:keepLines w:val="0"/>
        <w:pageBreakBefore w:val="0"/>
        <w:widowControl w:val="0"/>
        <w:kinsoku/>
        <w:wordWrap/>
        <w:overflowPunct/>
        <w:topLinePunct w:val="0"/>
        <w:autoSpaceDE/>
        <w:autoSpaceDN/>
        <w:bidi w:val="0"/>
        <w:adjustRightInd/>
        <w:snapToGrid w:val="0"/>
        <w:spacing w:before="0" w:after="0" w:line="420" w:lineRule="exact"/>
        <w:ind w:firstLine="480" w:firstLineChars="200"/>
        <w:textAlignment w:val="auto"/>
        <w:rPr>
          <w:rFonts w:hint="eastAsia" w:ascii="宋体" w:hAnsi="宋体" w:eastAsia="宋体" w:cs="宋体"/>
          <w:color w:val="auto"/>
          <w:highlight w:val="none"/>
          <w:lang w:val="en-US" w:eastAsia="zh-CN"/>
        </w:rPr>
      </w:pPr>
      <w:r>
        <w:rPr>
          <w:rFonts w:hint="eastAsia" w:cs="宋体"/>
          <w:color w:val="auto"/>
          <w:highlight w:val="none"/>
          <w:lang w:val="en-US" w:eastAsia="zh-CN"/>
        </w:rPr>
        <w:t>（2）</w:t>
      </w:r>
      <w:r>
        <w:rPr>
          <w:rFonts w:hint="eastAsia" w:ascii="宋体" w:hAnsi="宋体" w:eastAsia="宋体" w:cs="宋体"/>
          <w:color w:val="auto"/>
          <w:highlight w:val="none"/>
          <w:lang w:val="en-US" w:eastAsia="zh-CN"/>
        </w:rPr>
        <w:t xml:space="preserve">单位负责人为同一人或者存在直接控股、管理关系的不同单位，不得同时参加同一合同项下的政府采购活动。为本项目提供整体设计、规范编制或者项目管理、监理、检测等服务的投标人，不得再参加本项目投标。 </w:t>
      </w:r>
    </w:p>
    <w:p>
      <w:pPr>
        <w:pStyle w:val="2"/>
        <w:keepNext w:val="0"/>
        <w:keepLines w:val="0"/>
        <w:pageBreakBefore w:val="0"/>
        <w:widowControl w:val="0"/>
        <w:kinsoku/>
        <w:wordWrap/>
        <w:overflowPunct/>
        <w:topLinePunct w:val="0"/>
        <w:autoSpaceDE/>
        <w:autoSpaceDN/>
        <w:bidi w:val="0"/>
        <w:adjustRightInd/>
        <w:snapToGrid w:val="0"/>
        <w:spacing w:before="0" w:after="0" w:line="4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在递交首次响应文件时查询并保留相关资料，评审时由评审小组予以否决投标处置。</w:t>
      </w:r>
    </w:p>
    <w:bookmarkEnd w:id="12"/>
    <w:bookmarkEnd w:id="13"/>
    <w:p>
      <w:pPr>
        <w:pStyle w:val="5"/>
        <w:pageBreakBefore w:val="0"/>
        <w:widowControl/>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14" w:name="_Toc35393792"/>
      <w:bookmarkStart w:id="15" w:name="_Toc35393623"/>
      <w:r>
        <w:rPr>
          <w:rFonts w:hint="eastAsia" w:ascii="宋体" w:hAnsi="宋体" w:eastAsia="宋体" w:cs="宋体"/>
          <w:color w:val="auto"/>
          <w:sz w:val="24"/>
          <w:szCs w:val="24"/>
          <w:highlight w:val="none"/>
        </w:rPr>
        <w:t>三、获取采购文件</w:t>
      </w:r>
      <w:bookmarkEnd w:id="14"/>
      <w:bookmarkEnd w:id="15"/>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bookmarkStart w:id="16" w:name="OLE_LINK5"/>
      <w:r>
        <w:rPr>
          <w:rFonts w:hint="eastAsia" w:ascii="宋体" w:hAnsi="宋体" w:eastAsia="宋体" w:cs="宋体"/>
          <w:color w:val="auto"/>
          <w:sz w:val="24"/>
          <w:highlight w:val="none"/>
          <w:lang w:bidi="ar"/>
        </w:rPr>
        <w:t>1.时间：</w:t>
      </w:r>
      <w:r>
        <w:rPr>
          <w:rFonts w:hint="eastAsia" w:ascii="宋体" w:hAnsi="宋体" w:eastAsia="宋体" w:cs="宋体"/>
          <w:color w:val="auto"/>
          <w:sz w:val="24"/>
          <w:highlight w:val="none"/>
        </w:rPr>
        <w:t>2025</w:t>
      </w:r>
      <w:r>
        <w:rPr>
          <w:rFonts w:hint="eastAsia" w:ascii="宋体" w:hAnsi="宋体" w:eastAsia="宋体" w:cs="宋体"/>
          <w:color w:val="auto"/>
          <w:sz w:val="24"/>
          <w:highlight w:val="none"/>
          <w:lang w:bidi="ar"/>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rPr>
        <w:t>19</w:t>
      </w:r>
      <w:r>
        <w:rPr>
          <w:rFonts w:hint="eastAsia" w:ascii="宋体" w:hAnsi="宋体" w:eastAsia="宋体" w:cs="宋体"/>
          <w:color w:val="auto"/>
          <w:sz w:val="24"/>
          <w:highlight w:val="none"/>
          <w:lang w:bidi="ar"/>
        </w:rPr>
        <w:t>日至</w:t>
      </w:r>
      <w:r>
        <w:rPr>
          <w:rFonts w:hint="eastAsia" w:ascii="宋体" w:hAnsi="宋体" w:eastAsia="宋体" w:cs="宋体"/>
          <w:color w:val="auto"/>
          <w:sz w:val="24"/>
          <w:highlight w:val="none"/>
        </w:rPr>
        <w:t>2025</w:t>
      </w:r>
      <w:r>
        <w:rPr>
          <w:rFonts w:hint="eastAsia" w:ascii="宋体" w:hAnsi="宋体" w:eastAsia="宋体" w:cs="宋体"/>
          <w:color w:val="auto"/>
          <w:sz w:val="24"/>
          <w:highlight w:val="none"/>
          <w:lang w:bidi="ar"/>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rPr>
        <w:t>26</w:t>
      </w:r>
      <w:r>
        <w:rPr>
          <w:rFonts w:hint="eastAsia" w:ascii="宋体" w:hAnsi="宋体" w:eastAsia="宋体" w:cs="宋体"/>
          <w:color w:val="auto"/>
          <w:sz w:val="24"/>
          <w:highlight w:val="none"/>
          <w:lang w:bidi="ar"/>
        </w:rPr>
        <w:t>日，每天上午</w:t>
      </w:r>
      <w:r>
        <w:rPr>
          <w:rFonts w:hint="eastAsia" w:ascii="宋体" w:hAnsi="宋体" w:eastAsia="宋体" w:cs="宋体"/>
          <w:color w:val="auto"/>
          <w:sz w:val="24"/>
          <w:highlight w:val="none"/>
          <w:lang w:val="en-US" w:eastAsia="zh-CN" w:bidi="ar"/>
        </w:rPr>
        <w:t>00</w:t>
      </w:r>
      <w:r>
        <w:rPr>
          <w:rFonts w:hint="eastAsia" w:ascii="宋体" w:hAnsi="宋体" w:eastAsia="宋体" w:cs="宋体"/>
          <w:color w:val="auto"/>
          <w:sz w:val="24"/>
          <w:highlight w:val="none"/>
          <w:lang w:bidi="ar"/>
        </w:rPr>
        <w:t>：00至12：00，下午12：00至</w:t>
      </w:r>
      <w:r>
        <w:rPr>
          <w:rFonts w:hint="eastAsia" w:ascii="宋体" w:hAnsi="宋体" w:eastAsia="宋体" w:cs="宋体"/>
          <w:color w:val="auto"/>
          <w:sz w:val="24"/>
          <w:highlight w:val="none"/>
          <w:lang w:val="en-US" w:eastAsia="zh-CN" w:bidi="ar"/>
        </w:rPr>
        <w:t>24</w:t>
      </w:r>
      <w:r>
        <w:rPr>
          <w:rFonts w:hint="eastAsia" w:ascii="宋体" w:hAnsi="宋体" w:eastAsia="宋体" w:cs="宋体"/>
          <w:color w:val="auto"/>
          <w:sz w:val="24"/>
          <w:highlight w:val="none"/>
          <w:lang w:bidi="ar"/>
        </w:rPr>
        <w:t>：00（北京时间，法定节假日除外）。</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2.地点：</w:t>
      </w:r>
      <w:bookmarkStart w:id="17" w:name="OLE_LINK11"/>
      <w:r>
        <w:rPr>
          <w:rFonts w:hint="eastAsia" w:ascii="宋体" w:hAnsi="宋体" w:eastAsia="宋体" w:cs="宋体"/>
          <w:color w:val="auto"/>
          <w:sz w:val="24"/>
          <w:highlight w:val="none"/>
          <w:lang w:bidi="ar"/>
        </w:rPr>
        <w:t>北京市政府采购电子交易平台</w:t>
      </w:r>
      <w:bookmarkEnd w:id="17"/>
    </w:p>
    <w:p>
      <w:pPr>
        <w:pageBreakBefore w:val="0"/>
        <w:widowControl/>
        <w:kinsoku/>
        <w:wordWrap/>
        <w:overflowPunct/>
        <w:topLinePunct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3.方式：供应商持CA数字认证证书登录北京市政府采购电子交易平台（http：//zbcg-bjzc.zhongcy.com/bjczj-portal-site/index.html#/home）获取电子版招标文件。</w:t>
      </w:r>
      <w:r>
        <w:rPr>
          <w:rFonts w:hint="eastAsia" w:ascii="宋体" w:hAnsi="宋体" w:eastAsia="宋体" w:cs="宋体"/>
          <w:color w:val="auto"/>
          <w:spacing w:val="8"/>
          <w:sz w:val="24"/>
          <w:highlight w:val="none"/>
        </w:rPr>
        <w:t>未按上述获取方式和期限下载招标文件的投标无效。</w:t>
      </w:r>
    </w:p>
    <w:p>
      <w:pPr>
        <w:pageBreakBefore w:val="0"/>
        <w:widowControl/>
        <w:kinsoku/>
        <w:wordWrap/>
        <w:overflowPunct/>
        <w:topLinePunct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4.售价：0元。</w:t>
      </w:r>
    </w:p>
    <w:p>
      <w:pPr>
        <w:pStyle w:val="5"/>
        <w:pageBreakBefore w:val="0"/>
        <w:widowControl/>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18" w:name="_Toc35393624"/>
      <w:bookmarkStart w:id="19" w:name="_Toc28359005"/>
      <w:bookmarkStart w:id="20" w:name="_Toc35393793"/>
      <w:bookmarkStart w:id="21" w:name="_Toc28359082"/>
      <w:r>
        <w:rPr>
          <w:rFonts w:hint="eastAsia" w:ascii="宋体" w:hAnsi="宋体" w:eastAsia="宋体" w:cs="宋体"/>
          <w:color w:val="auto"/>
          <w:sz w:val="24"/>
          <w:szCs w:val="24"/>
          <w:highlight w:val="none"/>
        </w:rPr>
        <w:t>四、</w:t>
      </w:r>
      <w:bookmarkEnd w:id="18"/>
      <w:bookmarkEnd w:id="19"/>
      <w:bookmarkEnd w:id="20"/>
      <w:bookmarkEnd w:id="21"/>
      <w:r>
        <w:rPr>
          <w:rFonts w:hint="eastAsia" w:ascii="宋体" w:hAnsi="宋体" w:eastAsia="宋体" w:cs="宋体"/>
          <w:color w:val="auto"/>
          <w:sz w:val="24"/>
          <w:szCs w:val="24"/>
          <w:highlight w:val="none"/>
        </w:rPr>
        <w:t>响应文件提交</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截止时间：</w:t>
      </w:r>
      <w:r>
        <w:rPr>
          <w:rFonts w:hint="eastAsia" w:ascii="宋体" w:hAnsi="宋体" w:eastAsia="宋体" w:cs="宋体"/>
          <w:color w:val="auto"/>
          <w:sz w:val="24"/>
          <w:highlight w:val="none"/>
        </w:rPr>
        <w:t>2025</w:t>
      </w:r>
      <w:r>
        <w:rPr>
          <w:rFonts w:hint="eastAsia" w:ascii="宋体" w:hAnsi="宋体" w:eastAsia="宋体" w:cs="宋体"/>
          <w:color w:val="auto"/>
          <w:sz w:val="24"/>
          <w:highlight w:val="none"/>
          <w:lang w:bidi="ar"/>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rPr>
        <w:t>29</w:t>
      </w:r>
      <w:r>
        <w:rPr>
          <w:rFonts w:hint="eastAsia" w:ascii="宋体" w:hAnsi="宋体" w:eastAsia="宋体" w:cs="宋体"/>
          <w:color w:val="auto"/>
          <w:sz w:val="24"/>
          <w:highlight w:val="none"/>
          <w:lang w:bidi="ar"/>
        </w:rPr>
        <w:t>日</w:t>
      </w:r>
      <w:r>
        <w:rPr>
          <w:rFonts w:hint="eastAsia" w:ascii="宋体" w:hAnsi="宋体" w:cs="宋体"/>
          <w:color w:val="auto"/>
          <w:sz w:val="24"/>
          <w:highlight w:val="none"/>
          <w:lang w:val="en-US" w:eastAsia="zh-CN"/>
        </w:rPr>
        <w:t>14:00</w:t>
      </w:r>
      <w:r>
        <w:rPr>
          <w:rFonts w:hint="eastAsia" w:ascii="宋体" w:hAnsi="宋体" w:eastAsia="宋体" w:cs="宋体"/>
          <w:color w:val="auto"/>
          <w:sz w:val="24"/>
          <w:highlight w:val="none"/>
          <w:lang w:bidi="ar"/>
        </w:rPr>
        <w:t>时</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bidi="ar"/>
        </w:rPr>
        <w:t>地点：北京市政府采购电子交易平台</w:t>
      </w:r>
      <w:r>
        <w:rPr>
          <w:rFonts w:hint="eastAsia" w:ascii="宋体" w:hAnsi="宋体" w:eastAsia="宋体" w:cs="宋体"/>
          <w:color w:val="auto"/>
          <w:sz w:val="24"/>
          <w:highlight w:val="none"/>
          <w:lang w:val="zh-TW" w:bidi="ar"/>
        </w:rPr>
        <w:t>。</w:t>
      </w: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五、开启</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时间：</w:t>
      </w:r>
      <w:r>
        <w:rPr>
          <w:rFonts w:hint="eastAsia" w:ascii="宋体" w:hAnsi="宋体" w:eastAsia="宋体" w:cs="宋体"/>
          <w:color w:val="auto"/>
          <w:sz w:val="24"/>
          <w:highlight w:val="none"/>
        </w:rPr>
        <w:t>2025</w:t>
      </w:r>
      <w:r>
        <w:rPr>
          <w:rFonts w:hint="eastAsia" w:ascii="宋体" w:hAnsi="宋体" w:eastAsia="宋体" w:cs="宋体"/>
          <w:color w:val="auto"/>
          <w:sz w:val="24"/>
          <w:highlight w:val="none"/>
          <w:lang w:bidi="ar"/>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rPr>
        <w:t>29</w:t>
      </w:r>
      <w:r>
        <w:rPr>
          <w:rFonts w:hint="eastAsia" w:ascii="宋体" w:hAnsi="宋体" w:eastAsia="宋体" w:cs="宋体"/>
          <w:color w:val="auto"/>
          <w:sz w:val="24"/>
          <w:highlight w:val="none"/>
          <w:lang w:bidi="ar"/>
        </w:rPr>
        <w:t>日</w:t>
      </w:r>
      <w:r>
        <w:rPr>
          <w:rFonts w:hint="eastAsia" w:ascii="宋体" w:hAnsi="宋体" w:cs="宋体"/>
          <w:color w:val="auto"/>
          <w:sz w:val="24"/>
          <w:highlight w:val="none"/>
          <w:lang w:val="en-US" w:eastAsia="zh-CN"/>
        </w:rPr>
        <w:t>14:00</w:t>
      </w:r>
      <w:r>
        <w:rPr>
          <w:rFonts w:hint="eastAsia" w:ascii="宋体" w:hAnsi="宋体" w:eastAsia="宋体" w:cs="宋体"/>
          <w:color w:val="auto"/>
          <w:sz w:val="24"/>
          <w:highlight w:val="none"/>
          <w:lang w:bidi="ar"/>
        </w:rPr>
        <w:t>时</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地点：北京市政府采购电子交易平台</w:t>
      </w:r>
      <w:r>
        <w:rPr>
          <w:rFonts w:hint="eastAsia" w:ascii="宋体" w:hAnsi="宋体" w:eastAsia="宋体" w:cs="宋体"/>
          <w:color w:val="auto"/>
          <w:sz w:val="24"/>
          <w:highlight w:val="none"/>
          <w:lang w:val="zh-TW" w:bidi="ar"/>
        </w:rPr>
        <w:t>。</w:t>
      </w: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22" w:name="_Toc28359007"/>
      <w:bookmarkStart w:id="23" w:name="_Toc28359084"/>
      <w:bookmarkStart w:id="24" w:name="_Toc35393794"/>
      <w:bookmarkStart w:id="25" w:name="_Toc35393625"/>
      <w:r>
        <w:rPr>
          <w:rFonts w:hint="eastAsia" w:ascii="宋体" w:hAnsi="宋体" w:eastAsia="宋体" w:cs="宋体"/>
          <w:color w:val="auto"/>
          <w:sz w:val="24"/>
          <w:szCs w:val="24"/>
          <w:highlight w:val="none"/>
        </w:rPr>
        <w:t>六、公告期限</w:t>
      </w:r>
      <w:bookmarkEnd w:id="22"/>
      <w:bookmarkEnd w:id="23"/>
      <w:bookmarkEnd w:id="24"/>
      <w:bookmarkEnd w:id="25"/>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自本公告发布之日起3个工作日。</w:t>
      </w: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26" w:name="_Toc35393795"/>
      <w:bookmarkStart w:id="27" w:name="_Toc35393626"/>
      <w:r>
        <w:rPr>
          <w:rFonts w:hint="eastAsia" w:ascii="宋体" w:hAnsi="宋体" w:eastAsia="宋体" w:cs="宋体"/>
          <w:color w:val="auto"/>
          <w:sz w:val="24"/>
          <w:szCs w:val="24"/>
          <w:highlight w:val="none"/>
        </w:rPr>
        <w:t>七、其他补充事宜</w:t>
      </w:r>
      <w:bookmarkEnd w:id="26"/>
      <w:bookmarkEnd w:id="27"/>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1.本项目需要落实的政府采购政策：</w:t>
      </w:r>
      <w:r>
        <w:rPr>
          <w:rFonts w:hint="eastAsia" w:ascii="宋体" w:hAnsi="宋体" w:eastAsia="宋体" w:cs="宋体"/>
          <w:color w:val="auto"/>
          <w:sz w:val="24"/>
          <w:highlight w:val="none"/>
          <w:lang w:bidi="ar"/>
        </w:rPr>
        <w:t>《中华人民共和国政府采购法》、《中华人民共和国政府采购法实施条例》、《财政部办公厅关于政府采购进口产品管理有关问题的通知》（财办库﹝2008﹞248号）、《政府采购促进中小企业发展管理办法》（财库[2020]46号）及《关于进一步加大政府采购支持中小企业力度的通知》（财库〔2022〕19号）</w:t>
      </w:r>
      <w:r>
        <w:rPr>
          <w:rFonts w:hint="eastAsia" w:ascii="宋体" w:hAnsi="宋体" w:cs="宋体"/>
          <w:color w:val="auto"/>
          <w:sz w:val="24"/>
          <w:highlight w:val="none"/>
          <w:lang w:eastAsia="zh-CN" w:bidi="ar"/>
        </w:rPr>
        <w:t>、</w:t>
      </w:r>
      <w:r>
        <w:rPr>
          <w:rFonts w:hint="eastAsia" w:ascii="宋体" w:hAnsi="宋体" w:eastAsia="宋体" w:cs="宋体"/>
          <w:color w:val="auto"/>
          <w:sz w:val="24"/>
          <w:highlight w:val="none"/>
          <w:lang w:bidi="ar"/>
        </w:rPr>
        <w:t>《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财政部关于在政府采购活动中查询及使用信用记录有关问题的通知》（财库〔2016〕125号）</w:t>
      </w:r>
      <w:r>
        <w:rPr>
          <w:rFonts w:hint="eastAsia" w:ascii="宋体" w:hAnsi="宋体" w:cs="宋体"/>
          <w:color w:val="auto"/>
          <w:sz w:val="24"/>
          <w:highlight w:val="none"/>
          <w:lang w:eastAsia="zh-CN" w:bidi="ar"/>
        </w:rPr>
        <w:t>、</w:t>
      </w:r>
      <w:r>
        <w:rPr>
          <w:rFonts w:hint="eastAsia" w:ascii="宋体" w:hAnsi="宋体" w:eastAsia="宋体" w:cs="宋体"/>
          <w:color w:val="auto"/>
          <w:sz w:val="24"/>
          <w:highlight w:val="none"/>
          <w:lang w:bidi="ar"/>
        </w:rPr>
        <w:t>《关于印发环境标志产品政府采购品目清单的通知》（财库[2019]18号）、《财政部发展改革委关于印发节能产品政府采购品目清单的通知》（财库[2019]19号）、北京市石景山区财政局《转发北京市财政局中国人民银行营业管理部关于推进政府采购合同线上融资有关工作的通知》及其它相关法律法规。</w:t>
      </w:r>
    </w:p>
    <w:p>
      <w:pPr>
        <w:pageBreakBefore w:val="0"/>
        <w:widowControl/>
        <w:kinsoku/>
        <w:wordWrap/>
        <w:overflowPunct/>
        <w:topLinePunct w:val="0"/>
        <w:bidi w:val="0"/>
        <w:adjustRightInd w:val="0"/>
        <w:snapToGrid w:val="0"/>
        <w:spacing w:after="0" w:line="420" w:lineRule="exact"/>
        <w:ind w:firstLine="480" w:firstLineChars="200"/>
        <w:jc w:val="left"/>
        <w:textAlignment w:val="auto"/>
        <w:rPr>
          <w:rFonts w:hint="eastAsia" w:ascii="宋体" w:hAnsi="宋体" w:eastAsia="宋体" w:cs="宋体"/>
          <w:bCs/>
          <w:color w:val="auto"/>
          <w:sz w:val="24"/>
          <w:highlight w:val="none"/>
          <w:lang w:bidi="ar"/>
        </w:rPr>
      </w:pPr>
      <w:r>
        <w:rPr>
          <w:rFonts w:hint="eastAsia" w:ascii="宋体" w:hAnsi="宋体" w:eastAsia="宋体" w:cs="宋体"/>
          <w:color w:val="auto"/>
          <w:sz w:val="24"/>
          <w:highlight w:val="none"/>
          <w:lang w:bidi="ar"/>
        </w:rPr>
        <w:t>2.本项目</w:t>
      </w:r>
      <w:r>
        <w:rPr>
          <w:rFonts w:ascii="宋体" w:hAnsi="宋体" w:cs="宋体"/>
          <w:sz w:val="24"/>
          <w:highlight w:val="none"/>
          <w:lang w:bidi="ar"/>
        </w:rPr>
        <w:t>采用全流程电子化采购方式</w:t>
      </w:r>
      <w:r>
        <w:rPr>
          <w:rFonts w:hint="eastAsia" w:ascii="宋体" w:hAnsi="宋体" w:eastAsia="宋体" w:cs="宋体"/>
          <w:color w:val="auto"/>
          <w:sz w:val="24"/>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color w:val="auto"/>
          <w:sz w:val="24"/>
          <w:highlight w:val="none"/>
          <w:lang w:bidi="ar"/>
        </w:rPr>
        <w:t>CA数字证书</w:t>
      </w:r>
      <w:r>
        <w:rPr>
          <w:rFonts w:hint="eastAsia" w:ascii="宋体" w:hAnsi="宋体" w:eastAsia="宋体" w:cs="宋体"/>
          <w:color w:val="auto"/>
          <w:sz w:val="24"/>
          <w:highlight w:val="none"/>
          <w:lang w:bidi="ar"/>
        </w:rPr>
        <w:t>或电子营业执照</w:t>
      </w:r>
      <w:r>
        <w:rPr>
          <w:rFonts w:hint="eastAsia" w:ascii="宋体" w:hAnsi="宋体" w:eastAsia="宋体" w:cs="宋体"/>
          <w:bCs/>
          <w:color w:val="auto"/>
          <w:sz w:val="24"/>
          <w:highlight w:val="none"/>
          <w:lang w:bidi="ar"/>
        </w:rPr>
        <w:t>情况确认是否符合本项目电子化采购流程要求。</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CA数字证书服务热线 010-58511086</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电子营业执照服务热线 400-699-7000</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技术支持服务热线    010-86483801    </w:t>
      </w:r>
    </w:p>
    <w:p>
      <w:pPr>
        <w:pageBreakBefore w:val="0"/>
        <w:widowControl/>
        <w:kinsoku/>
        <w:wordWrap/>
        <w:overflowPunct/>
        <w:topLinePunct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2.1办理CA数字证书或电子营业执照</w:t>
      </w:r>
    </w:p>
    <w:p>
      <w:pPr>
        <w:pageBreakBefore w:val="0"/>
        <w:widowControl/>
        <w:kinsoku/>
        <w:wordWrap/>
        <w:overflowPunct/>
        <w:topLinePunct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供应商登录北京市政府采购电子交易平台查阅 “用户指南”—“操作指南”—“市场主体CA办理操作流程指引” /“电子营业执照使用指南”，按照程序要求办理。</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2.2注册</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供应商登录北京市政府采购电子交易平台“用户指南”—“操作指南”—“市场主体注册入库操作流程指引”进行自助注册绑定。</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2.3驱动、客户端下载</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供应商登录北京市政府采购电子交易平台“用户指南”—“工具下载”—“招标采购系统文件驱动安装包”下载相关驱动。</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供应商登录北京市政府采购电子交易平台“用户指南”—“工具下载”—“投标文件编制工具”下载相关客户端。</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w:t>
      </w:r>
      <w:r>
        <w:rPr>
          <w:rFonts w:hint="eastAsia" w:ascii="宋体" w:hAnsi="宋体" w:cs="宋体"/>
          <w:color w:val="auto"/>
          <w:sz w:val="24"/>
          <w:highlight w:val="none"/>
          <w:lang w:val="en-US" w:eastAsia="zh-CN" w:bidi="ar"/>
        </w:rPr>
        <w:t>4</w:t>
      </w:r>
      <w:r>
        <w:rPr>
          <w:rFonts w:hint="eastAsia" w:ascii="宋体" w:hAnsi="宋体" w:eastAsia="宋体" w:cs="宋体"/>
          <w:color w:val="auto"/>
          <w:sz w:val="24"/>
          <w:highlight w:val="none"/>
          <w:lang w:bidi="ar"/>
        </w:rPr>
        <w:t xml:space="preserve"> 获取电子竞争性磋商文件</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供应商使用CA数字证书或电子营业执照登录北京市政府采购电子交易平台获取电子竞争性磋商文件。</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w:t>
      </w:r>
      <w:r>
        <w:rPr>
          <w:rFonts w:hint="eastAsia" w:ascii="宋体" w:hAnsi="宋体" w:cs="宋体"/>
          <w:color w:val="auto"/>
          <w:sz w:val="24"/>
          <w:highlight w:val="none"/>
          <w:lang w:val="en-US" w:eastAsia="zh-CN" w:bidi="ar"/>
        </w:rPr>
        <w:t>5</w:t>
      </w:r>
      <w:r>
        <w:rPr>
          <w:rFonts w:hint="eastAsia" w:ascii="宋体" w:hAnsi="宋体" w:eastAsia="宋体" w:cs="宋体"/>
          <w:color w:val="auto"/>
          <w:sz w:val="24"/>
          <w:highlight w:val="none"/>
          <w:lang w:bidi="ar"/>
        </w:rPr>
        <w:t>编制电子响应文件</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供应商应使用电子投标客户端编制电子响应文件并进行线上响应，供应商电子响应文件需要加密并加盖电子签章</w:t>
      </w:r>
      <w:r>
        <w:rPr>
          <w:rFonts w:hint="eastAsia" w:ascii="宋体" w:hAnsi="宋体" w:eastAsia="宋体" w:cs="宋体"/>
          <w:bCs/>
          <w:color w:val="auto"/>
          <w:sz w:val="24"/>
          <w:highlight w:val="none"/>
          <w:lang w:bidi="ar"/>
        </w:rPr>
        <w:t>，如无法按照要求在电子响应文件中加盖电子签章和加密，请及时通过技术支持服务热线联系技术人员</w:t>
      </w:r>
      <w:r>
        <w:rPr>
          <w:rFonts w:hint="eastAsia" w:ascii="宋体" w:hAnsi="宋体" w:eastAsia="宋体" w:cs="宋体"/>
          <w:color w:val="auto"/>
          <w:sz w:val="24"/>
          <w:highlight w:val="none"/>
          <w:lang w:bidi="ar"/>
        </w:rPr>
        <w:t>。</w:t>
      </w:r>
    </w:p>
    <w:p>
      <w:pPr>
        <w:pageBreakBefore w:val="0"/>
        <w:widowControl/>
        <w:kinsoku/>
        <w:wordWrap/>
        <w:overflowPunct/>
        <w:topLinePunct w:val="0"/>
        <w:bidi w:val="0"/>
        <w:snapToGrid w:val="0"/>
        <w:spacing w:after="0" w:line="420" w:lineRule="exact"/>
        <w:ind w:firstLine="480" w:firstLineChars="200"/>
        <w:jc w:val="left"/>
        <w:textAlignment w:val="auto"/>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val="zh-TW" w:eastAsia="zh-TW" w:bidi="ar"/>
        </w:rPr>
        <w:t>.</w:t>
      </w:r>
      <w:r>
        <w:rPr>
          <w:rFonts w:hint="eastAsia" w:ascii="宋体" w:hAnsi="宋体" w:cs="宋体"/>
          <w:color w:val="auto"/>
          <w:sz w:val="24"/>
          <w:highlight w:val="none"/>
          <w:lang w:val="en-US" w:eastAsia="zh-CN" w:bidi="ar"/>
        </w:rPr>
        <w:t>6</w:t>
      </w:r>
      <w:r>
        <w:rPr>
          <w:rFonts w:hint="eastAsia" w:ascii="宋体" w:hAnsi="宋体" w:eastAsia="宋体" w:cs="宋体"/>
          <w:color w:val="auto"/>
          <w:sz w:val="24"/>
          <w:highlight w:val="none"/>
          <w:lang w:val="zh-TW" w:bidi="ar"/>
        </w:rPr>
        <w:t>提交电子响应文件</w:t>
      </w:r>
    </w:p>
    <w:p>
      <w:pPr>
        <w:pageBreakBefore w:val="0"/>
        <w:widowControl/>
        <w:kinsoku/>
        <w:wordWrap/>
        <w:overflowPunct/>
        <w:topLinePunct w:val="0"/>
        <w:bidi w:val="0"/>
        <w:snapToGrid w:val="0"/>
        <w:spacing w:after="0" w:line="420" w:lineRule="exact"/>
        <w:ind w:firstLine="480" w:firstLineChars="200"/>
        <w:jc w:val="left"/>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供应商应于</w:t>
      </w:r>
      <w:r>
        <w:rPr>
          <w:rFonts w:hint="eastAsia" w:ascii="宋体" w:hAnsi="宋体" w:eastAsia="宋体" w:cs="宋体"/>
          <w:color w:val="auto"/>
          <w:sz w:val="24"/>
          <w:highlight w:val="none"/>
        </w:rPr>
        <w:t>响应文件提交</w:t>
      </w:r>
      <w:r>
        <w:rPr>
          <w:rFonts w:hint="eastAsia" w:ascii="宋体" w:hAnsi="宋体" w:eastAsia="宋体" w:cs="宋体"/>
          <w:color w:val="auto"/>
          <w:sz w:val="24"/>
          <w:highlight w:val="none"/>
          <w:lang w:bidi="ar"/>
        </w:rPr>
        <w:t>截止时间前在</w:t>
      </w:r>
      <w:r>
        <w:rPr>
          <w:rFonts w:ascii="宋体" w:hAnsi="宋体" w:cs="宋体"/>
          <w:sz w:val="24"/>
          <w:highlight w:val="none"/>
          <w:lang w:bidi="ar"/>
        </w:rPr>
        <w:t>北京市政府采购电子交易平台</w:t>
      </w:r>
      <w:r>
        <w:rPr>
          <w:rFonts w:hint="eastAsia" w:ascii="宋体" w:hAnsi="宋体" w:eastAsia="宋体" w:cs="宋体"/>
          <w:color w:val="auto"/>
          <w:sz w:val="24"/>
          <w:highlight w:val="none"/>
          <w:lang w:bidi="ar"/>
        </w:rPr>
        <w:t>提交电子响应文件，上传电子响应文件过程中请保持与互联网的连接畅通。</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eastAsia="zh-TW"/>
        </w:rPr>
      </w:pP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val="zh-TW" w:bidi="ar"/>
        </w:rPr>
        <w:t>.</w:t>
      </w:r>
      <w:r>
        <w:rPr>
          <w:rFonts w:hint="eastAsia" w:ascii="宋体" w:hAnsi="宋体" w:cs="宋体"/>
          <w:color w:val="auto"/>
          <w:sz w:val="24"/>
          <w:highlight w:val="none"/>
          <w:lang w:val="en-US" w:eastAsia="zh-CN" w:bidi="ar"/>
        </w:rPr>
        <w:t>7</w:t>
      </w:r>
      <w:r>
        <w:rPr>
          <w:rFonts w:hint="eastAsia" w:ascii="宋体" w:hAnsi="宋体" w:eastAsia="宋体" w:cs="宋体"/>
          <w:color w:val="auto"/>
          <w:sz w:val="24"/>
          <w:highlight w:val="none"/>
          <w:lang w:val="zh-TW" w:bidi="ar"/>
        </w:rPr>
        <w:t>开启响应文件</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rPr>
        <w:t>供应商于</w:t>
      </w:r>
      <w:r>
        <w:rPr>
          <w:rFonts w:hint="eastAsia" w:ascii="宋体" w:hAnsi="宋体" w:eastAsia="宋体" w:cs="宋体"/>
          <w:color w:val="auto"/>
          <w:sz w:val="24"/>
          <w:highlight w:val="none"/>
          <w:lang w:val="zh-TW" w:bidi="ar"/>
        </w:rPr>
        <w:t>磋商文件规定的开启时间、在开启地点使用</w:t>
      </w:r>
      <w:r>
        <w:rPr>
          <w:rFonts w:hint="eastAsia" w:ascii="宋体" w:hAnsi="宋体" w:eastAsia="宋体" w:cs="宋体"/>
          <w:color w:val="auto"/>
          <w:sz w:val="24"/>
          <w:highlight w:val="none"/>
          <w:lang w:bidi="ar"/>
        </w:rPr>
        <w:t>CA数字证书或电子营业执照</w:t>
      </w:r>
      <w:r>
        <w:rPr>
          <w:rFonts w:hint="eastAsia" w:ascii="宋体" w:hAnsi="宋体" w:eastAsia="宋体" w:cs="宋体"/>
          <w:color w:val="auto"/>
          <w:sz w:val="24"/>
          <w:highlight w:val="none"/>
          <w:lang w:val="zh-TW" w:bidi="ar"/>
        </w:rPr>
        <w:t>登录</w:t>
      </w:r>
      <w:r>
        <w:rPr>
          <w:rFonts w:hint="eastAsia" w:ascii="宋体" w:hAnsi="宋体" w:eastAsia="宋体" w:cs="宋体"/>
          <w:color w:val="auto"/>
          <w:sz w:val="24"/>
          <w:highlight w:val="none"/>
          <w:lang w:bidi="ar"/>
        </w:rPr>
        <w:t>北京市政府采购电子交易平台解密并开启响应文件。如因供应商问题，解密不成功，则</w:t>
      </w:r>
      <w:r>
        <w:rPr>
          <w:rFonts w:hint="eastAsia" w:ascii="宋体" w:hAnsi="宋体" w:eastAsia="宋体" w:cs="宋体"/>
          <w:b/>
          <w:color w:val="auto"/>
          <w:sz w:val="24"/>
          <w:highlight w:val="none"/>
          <w:lang w:bidi="ar"/>
        </w:rPr>
        <w:t>响应无效</w:t>
      </w:r>
      <w:r>
        <w:rPr>
          <w:rFonts w:hint="eastAsia" w:ascii="宋体" w:hAnsi="宋体" w:eastAsia="宋体" w:cs="宋体"/>
          <w:color w:val="auto"/>
          <w:sz w:val="24"/>
          <w:highlight w:val="none"/>
          <w:lang w:bidi="ar"/>
        </w:rPr>
        <w:t>。</w:t>
      </w:r>
      <w:bookmarkEnd w:id="16"/>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在</w:t>
      </w:r>
      <w:r>
        <w:rPr>
          <w:rFonts w:hint="eastAsia" w:ascii="宋体" w:hAnsi="宋体" w:eastAsia="宋体" w:cs="宋体"/>
          <w:color w:val="auto"/>
          <w:sz w:val="24"/>
          <w:highlight w:val="none"/>
          <w:lang w:val="zh-TW" w:bidi="ar"/>
        </w:rPr>
        <w:t>开启</w:t>
      </w:r>
      <w:r>
        <w:rPr>
          <w:rFonts w:hint="eastAsia" w:ascii="宋体" w:hAnsi="宋体" w:eastAsia="宋体" w:cs="宋体"/>
          <w:color w:val="auto"/>
          <w:sz w:val="24"/>
          <w:highlight w:val="none"/>
          <w:lang w:bidi="ar"/>
        </w:rPr>
        <w:t>当天供应商签到完成且</w:t>
      </w:r>
      <w:r>
        <w:rPr>
          <w:rFonts w:hint="eastAsia" w:ascii="宋体" w:hAnsi="宋体" w:eastAsia="宋体" w:cs="宋体"/>
          <w:color w:val="auto"/>
          <w:sz w:val="24"/>
          <w:highlight w:val="none"/>
          <w:lang w:val="zh-TW" w:bidi="ar"/>
        </w:rPr>
        <w:t>开启</w:t>
      </w:r>
      <w:r>
        <w:rPr>
          <w:rFonts w:hint="eastAsia" w:ascii="宋体" w:hAnsi="宋体" w:eastAsia="宋体" w:cs="宋体"/>
          <w:color w:val="auto"/>
          <w:sz w:val="24"/>
          <w:highlight w:val="none"/>
          <w:lang w:bidi="ar"/>
        </w:rPr>
        <w:t>时间到达之后对已在系统中递交且完成签到的供应商的响应文件进行解密。</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因供应商忘记数字证书登陆密码、解密数字证书发生故障或用错、故意不在要求时限内完成解密等自身原因，导致响应文件在规定时间内未能解密、解密失败或解密超时，视为供应商放弃</w:t>
      </w:r>
      <w:r>
        <w:rPr>
          <w:rFonts w:hint="eastAsia" w:ascii="宋体" w:hAnsi="宋体" w:cs="宋体"/>
          <w:color w:val="auto"/>
          <w:sz w:val="24"/>
          <w:highlight w:val="none"/>
          <w:lang w:val="en-US" w:eastAsia="zh-CN" w:bidi="ar"/>
        </w:rPr>
        <w:t>响应</w:t>
      </w:r>
      <w:r>
        <w:rPr>
          <w:rFonts w:hint="eastAsia" w:ascii="宋体" w:hAnsi="宋体" w:eastAsia="宋体" w:cs="宋体"/>
          <w:color w:val="auto"/>
          <w:sz w:val="24"/>
          <w:highlight w:val="none"/>
          <w:lang w:bidi="ar"/>
        </w:rPr>
        <w:t>，由供应商自身承担一切后果。</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若供应商已申请多把数字证书，请注意使用差别，确保制作的响应文件和</w:t>
      </w:r>
      <w:r>
        <w:rPr>
          <w:rFonts w:hint="eastAsia" w:ascii="宋体" w:hAnsi="宋体" w:eastAsia="宋体" w:cs="宋体"/>
          <w:color w:val="auto"/>
          <w:sz w:val="24"/>
          <w:highlight w:val="none"/>
          <w:lang w:val="zh-TW" w:bidi="ar"/>
        </w:rPr>
        <w:t>开启</w:t>
      </w:r>
      <w:r>
        <w:rPr>
          <w:rFonts w:hint="eastAsia" w:ascii="宋体" w:hAnsi="宋体" w:eastAsia="宋体" w:cs="宋体"/>
          <w:color w:val="auto"/>
          <w:sz w:val="24"/>
          <w:highlight w:val="none"/>
          <w:lang w:bidi="ar"/>
        </w:rPr>
        <w:t>解密时使用的数字证书一致，造成解密失败的，由供应商负责。</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供应商应充分考虑到网络及系统平台可能存在的非正常情况，在响应文件递交截止时间之前完成上传。</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bidi="ar"/>
        </w:rPr>
        <w:t>.8解密</w:t>
      </w:r>
    </w:p>
    <w:p>
      <w:pPr>
        <w:pageBreakBefore w:val="0"/>
        <w:kinsoku/>
        <w:wordWrap/>
        <w:overflowPunct/>
        <w:topLinePunct w:val="0"/>
        <w:bidi w:val="0"/>
        <w:snapToGrid w:val="0"/>
        <w:spacing w:after="0" w:line="42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bidi="ar"/>
        </w:rPr>
        <w:t>下达解密指令后30分钟内无法解密视为无效</w:t>
      </w:r>
      <w:r>
        <w:rPr>
          <w:rFonts w:hint="eastAsia" w:ascii="宋体" w:hAnsi="宋体" w:cs="宋体"/>
          <w:color w:val="auto"/>
          <w:sz w:val="24"/>
          <w:highlight w:val="none"/>
          <w:lang w:val="en-US" w:eastAsia="zh-CN" w:bidi="ar"/>
        </w:rPr>
        <w:t>响应</w:t>
      </w:r>
      <w:r>
        <w:rPr>
          <w:rFonts w:hint="eastAsia" w:ascii="宋体" w:hAnsi="宋体" w:eastAsia="宋体" w:cs="宋体"/>
          <w:color w:val="auto"/>
          <w:sz w:val="24"/>
          <w:highlight w:val="none"/>
          <w:lang w:bidi="ar"/>
        </w:rPr>
        <w:t>。</w:t>
      </w:r>
      <w:r>
        <w:rPr>
          <w:rFonts w:hint="eastAsia" w:ascii="宋体" w:hAnsi="宋体" w:cs="宋体"/>
          <w:color w:val="auto"/>
          <w:sz w:val="24"/>
          <w:highlight w:val="none"/>
          <w:lang w:val="en-US" w:eastAsia="zh-CN" w:bidi="ar"/>
        </w:rPr>
        <w:t xml:space="preserve"> </w:t>
      </w: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28" w:name="_Toc35393796"/>
      <w:bookmarkStart w:id="29" w:name="_Toc28359085"/>
      <w:bookmarkStart w:id="30" w:name="_Toc35393627"/>
      <w:bookmarkStart w:id="31" w:name="_Toc28359008"/>
      <w:r>
        <w:rPr>
          <w:rFonts w:hint="eastAsia" w:ascii="宋体" w:hAnsi="宋体" w:eastAsia="宋体" w:cs="宋体"/>
          <w:color w:val="auto"/>
          <w:sz w:val="24"/>
          <w:szCs w:val="24"/>
          <w:highlight w:val="none"/>
        </w:rPr>
        <w:t>八、对本次采购提出询问，请按以下方式联系。</w:t>
      </w:r>
      <w:bookmarkEnd w:id="28"/>
      <w:bookmarkEnd w:id="29"/>
      <w:bookmarkEnd w:id="30"/>
      <w:bookmarkEnd w:id="31"/>
    </w:p>
    <w:p>
      <w:pPr>
        <w:pageBreakBefore w:val="0"/>
        <w:widowControl/>
        <w:kinsoku/>
        <w:wordWrap/>
        <w:overflowPunct/>
        <w:topLinePunct w:val="0"/>
        <w:bidi w:val="0"/>
        <w:snapToGrid w:val="0"/>
        <w:spacing w:after="0" w:line="420" w:lineRule="exact"/>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w:t>
      </w:r>
      <w:r>
        <w:rPr>
          <w:rFonts w:hint="eastAsia" w:ascii="宋体" w:hAnsi="宋体" w:eastAsia="宋体" w:cs="宋体"/>
          <w:b/>
          <w:color w:val="auto"/>
          <w:sz w:val="24"/>
          <w:highlight w:val="none"/>
        </w:rPr>
        <w:t>1.采购人信息</w:t>
      </w:r>
    </w:p>
    <w:p>
      <w:pPr>
        <w:pageBreakBefore w:val="0"/>
        <w:kinsoku/>
        <w:wordWrap/>
        <w:overflowPunct/>
        <w:topLinePunct w:val="0"/>
        <w:bidi w:val="0"/>
        <w:snapToGrid w:val="0"/>
        <w:spacing w:after="0" w:line="420" w:lineRule="exact"/>
        <w:ind w:left="1079" w:leftChars="371" w:hanging="300" w:hangingChars="125"/>
        <w:jc w:val="left"/>
        <w:textAlignment w:val="auto"/>
        <w:rPr>
          <w:rFonts w:hint="eastAsia" w:ascii="宋体" w:hAnsi="宋体" w:eastAsia="宋体" w:cs="宋体"/>
          <w:color w:val="auto"/>
          <w:sz w:val="24"/>
          <w:highlight w:val="none"/>
        </w:rPr>
      </w:pPr>
      <w:bookmarkStart w:id="32" w:name="_Toc28359086"/>
      <w:bookmarkStart w:id="33" w:name="_Toc28359009"/>
      <w:r>
        <w:rPr>
          <w:rFonts w:hint="eastAsia" w:ascii="宋体" w:hAnsi="宋体" w:eastAsia="宋体" w:cs="宋体"/>
          <w:color w:val="auto"/>
          <w:sz w:val="24"/>
          <w:highlight w:val="none"/>
        </w:rPr>
        <w:t>名    称：</w:t>
      </w:r>
      <w:r>
        <w:rPr>
          <w:rFonts w:hint="eastAsia" w:ascii="宋体" w:hAnsi="宋体" w:cs="宋体"/>
          <w:color w:val="auto"/>
          <w:sz w:val="24"/>
          <w:highlight w:val="none"/>
          <w:lang w:eastAsia="zh-CN"/>
        </w:rPr>
        <w:t>北京市石景山区城市管理委员会</w:t>
      </w:r>
      <w:r>
        <w:rPr>
          <w:rFonts w:hint="eastAsia" w:ascii="宋体" w:hAnsi="宋体" w:eastAsia="宋体" w:cs="宋体"/>
          <w:color w:val="auto"/>
          <w:sz w:val="24"/>
          <w:highlight w:val="none"/>
        </w:rPr>
        <w:t xml:space="preserve"> </w:t>
      </w:r>
    </w:p>
    <w:p>
      <w:pPr>
        <w:pageBreakBefore w:val="0"/>
        <w:kinsoku/>
        <w:wordWrap/>
        <w:overflowPunct/>
        <w:topLinePunct w:val="0"/>
        <w:bidi w:val="0"/>
        <w:snapToGrid w:val="0"/>
        <w:spacing w:after="0" w:line="420" w:lineRule="exact"/>
        <w:ind w:left="1079" w:leftChars="371" w:hanging="300" w:hangingChars="125"/>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w:t>
      </w:r>
      <w:r>
        <w:rPr>
          <w:rFonts w:hint="eastAsia" w:ascii="宋体" w:hAnsi="宋体" w:cs="宋体"/>
          <w:color w:val="auto"/>
          <w:sz w:val="24"/>
          <w:highlight w:val="none"/>
          <w:lang w:val="en-US" w:eastAsia="zh-CN"/>
        </w:rPr>
        <w:t>北京市石景山区杨庄东路9号</w:t>
      </w:r>
    </w:p>
    <w:p>
      <w:pPr>
        <w:pageBreakBefore w:val="0"/>
        <w:kinsoku/>
        <w:wordWrap/>
        <w:overflowPunct/>
        <w:topLinePunct w:val="0"/>
        <w:bidi w:val="0"/>
        <w:snapToGrid w:val="0"/>
        <w:spacing w:after="0" w:line="420" w:lineRule="exact"/>
        <w:ind w:left="1079" w:leftChars="371" w:hanging="300" w:hangingChars="125"/>
        <w:jc w:val="left"/>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联系方式：</w:t>
      </w:r>
      <w:r>
        <w:rPr>
          <w:rFonts w:hint="eastAsia" w:ascii="宋体" w:hAnsi="宋体" w:cs="宋体"/>
          <w:color w:val="auto"/>
          <w:sz w:val="24"/>
          <w:highlight w:val="none"/>
          <w:lang w:val="en-US" w:eastAsia="zh-CN"/>
        </w:rPr>
        <w:t>陈老师 010-68885330</w:t>
      </w:r>
    </w:p>
    <w:bookmarkEnd w:id="32"/>
    <w:bookmarkEnd w:id="33"/>
    <w:p>
      <w:pPr>
        <w:snapToGrid w:val="0"/>
        <w:spacing w:after="0" w:line="420" w:lineRule="exact"/>
        <w:ind w:left="1078" w:leftChars="371" w:hanging="299" w:hangingChars="124"/>
        <w:jc w:val="left"/>
        <w:rPr>
          <w:rFonts w:hint="eastAsia" w:ascii="宋体" w:hAnsi="宋体" w:cs="宋体"/>
          <w:b/>
          <w:sz w:val="24"/>
          <w:highlight w:val="none"/>
        </w:rPr>
      </w:pPr>
      <w:r>
        <w:rPr>
          <w:rFonts w:hint="eastAsia" w:ascii="宋体" w:hAnsi="宋体" w:cs="宋体"/>
          <w:b/>
          <w:sz w:val="24"/>
          <w:highlight w:val="none"/>
        </w:rPr>
        <w:t>2.采购代理机构信息</w:t>
      </w:r>
    </w:p>
    <w:p>
      <w:pPr>
        <w:snapToGrid w:val="0"/>
        <w:spacing w:after="0" w:line="420" w:lineRule="exact"/>
        <w:ind w:left="1079" w:leftChars="371" w:hanging="300" w:hangingChars="125"/>
        <w:jc w:val="left"/>
        <w:rPr>
          <w:rFonts w:hint="eastAsia" w:ascii="宋体" w:hAnsi="宋体" w:cs="宋体"/>
          <w:sz w:val="24"/>
          <w:highlight w:val="none"/>
        </w:rPr>
      </w:pPr>
      <w:bookmarkStart w:id="34" w:name="_Toc28359010"/>
      <w:bookmarkStart w:id="35" w:name="_Toc28359087"/>
      <w:r>
        <w:rPr>
          <w:rFonts w:hint="eastAsia" w:ascii="宋体" w:hAnsi="宋体" w:cs="宋体"/>
          <w:sz w:val="24"/>
          <w:highlight w:val="none"/>
        </w:rPr>
        <w:t>名    称：国信招标集团股份有限公司</w:t>
      </w:r>
    </w:p>
    <w:p>
      <w:pPr>
        <w:snapToGrid w:val="0"/>
        <w:spacing w:after="0" w:line="420" w:lineRule="exact"/>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址：北京市海淀区首体南路22号国兴大厦11层</w:t>
      </w:r>
    </w:p>
    <w:bookmarkEnd w:id="34"/>
    <w:bookmarkEnd w:id="35"/>
    <w:p>
      <w:pPr>
        <w:snapToGrid w:val="0"/>
        <w:spacing w:after="0" w:line="420" w:lineRule="exact"/>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联系方式：</w:t>
      </w:r>
      <w:bookmarkStart w:id="36" w:name="OLE_LINK9"/>
      <w:r>
        <w:rPr>
          <w:rFonts w:hint="eastAsia" w:ascii="宋体" w:hAnsi="宋体" w:cs="宋体"/>
          <w:sz w:val="24"/>
          <w:highlight w:val="none"/>
        </w:rPr>
        <w:t>张翊、涂莉、李雪莹、</w:t>
      </w:r>
      <w:bookmarkStart w:id="37" w:name="OLE_LINK3"/>
      <w:r>
        <w:rPr>
          <w:rFonts w:hint="eastAsia" w:ascii="宋体" w:hAnsi="宋体" w:cs="宋体"/>
          <w:sz w:val="24"/>
          <w:highlight w:val="none"/>
          <w:lang w:val="en-US" w:eastAsia="zh-CN"/>
        </w:rPr>
        <w:t>吴剑鸣</w:t>
      </w:r>
      <w:bookmarkEnd w:id="36"/>
      <w:bookmarkEnd w:id="37"/>
      <w:r>
        <w:rPr>
          <w:rFonts w:hint="eastAsia" w:ascii="宋体" w:hAnsi="宋体" w:cs="宋体"/>
          <w:sz w:val="24"/>
          <w:highlight w:val="none"/>
          <w:lang w:val="en-US" w:eastAsia="zh-CN"/>
        </w:rPr>
        <w:t>、</w:t>
      </w:r>
      <w:r>
        <w:rPr>
          <w:rFonts w:hint="eastAsia" w:ascii="宋体" w:hAnsi="宋体" w:cs="宋体"/>
          <w:sz w:val="24"/>
          <w:highlight w:val="none"/>
        </w:rPr>
        <w:t xml:space="preserve">李硕  </w:t>
      </w:r>
      <w:bookmarkStart w:id="38" w:name="OLE_LINK6"/>
      <w:bookmarkStart w:id="39" w:name="OLE_LINK12"/>
      <w:r>
        <w:rPr>
          <w:rFonts w:hint="eastAsia" w:ascii="宋体" w:hAnsi="宋体" w:cs="宋体"/>
          <w:sz w:val="24"/>
          <w:highlight w:val="none"/>
        </w:rPr>
        <w:t>010-88354433-287</w:t>
      </w:r>
      <w:bookmarkEnd w:id="38"/>
      <w:r>
        <w:rPr>
          <w:rFonts w:hint="eastAsia" w:ascii="宋体" w:hAnsi="宋体" w:cs="宋体"/>
          <w:sz w:val="24"/>
          <w:highlight w:val="none"/>
        </w:rPr>
        <w:t>，13720096320</w:t>
      </w:r>
      <w:bookmarkEnd w:id="39"/>
    </w:p>
    <w:p>
      <w:pPr>
        <w:snapToGrid w:val="0"/>
        <w:spacing w:after="0" w:line="420" w:lineRule="exact"/>
        <w:ind w:firstLine="723" w:firstLineChars="300"/>
        <w:rPr>
          <w:rFonts w:hint="eastAsia" w:ascii="宋体" w:hAnsi="宋体" w:cs="宋体"/>
          <w:b/>
          <w:sz w:val="24"/>
          <w:highlight w:val="none"/>
          <w:u w:val="single"/>
        </w:rPr>
      </w:pPr>
      <w:r>
        <w:rPr>
          <w:rFonts w:hint="eastAsia" w:ascii="宋体" w:hAnsi="宋体" w:cs="宋体"/>
          <w:b/>
          <w:sz w:val="24"/>
          <w:highlight w:val="none"/>
        </w:rPr>
        <w:t>3.项目联系方式</w:t>
      </w:r>
    </w:p>
    <w:p>
      <w:pPr>
        <w:pStyle w:val="26"/>
        <w:snapToGrid w:val="0"/>
        <w:spacing w:after="0" w:line="420" w:lineRule="exact"/>
        <w:ind w:firstLine="720" w:firstLineChars="300"/>
        <w:rPr>
          <w:rFonts w:hAnsi="宋体" w:cs="宋体"/>
          <w:sz w:val="24"/>
          <w:szCs w:val="24"/>
          <w:highlight w:val="none"/>
        </w:rPr>
      </w:pPr>
      <w:r>
        <w:rPr>
          <w:rFonts w:hAnsi="宋体" w:cs="宋体"/>
          <w:sz w:val="24"/>
          <w:szCs w:val="24"/>
          <w:highlight w:val="none"/>
        </w:rPr>
        <w:t>项目联系人：</w:t>
      </w:r>
      <w:r>
        <w:rPr>
          <w:rFonts w:hAnsi="宋体" w:cs="宋体"/>
          <w:sz w:val="24"/>
          <w:highlight w:val="none"/>
        </w:rPr>
        <w:t>张翊、涂莉、李雪莹、</w:t>
      </w:r>
      <w:r>
        <w:rPr>
          <w:rFonts w:hint="eastAsia" w:ascii="宋体" w:hAnsi="宋体" w:cs="宋体"/>
          <w:sz w:val="24"/>
          <w:highlight w:val="none"/>
          <w:lang w:val="en-US" w:eastAsia="zh-CN"/>
        </w:rPr>
        <w:t>吴剑鸣、</w:t>
      </w:r>
      <w:r>
        <w:rPr>
          <w:rFonts w:hint="eastAsia" w:ascii="宋体" w:hAnsi="宋体" w:cs="宋体"/>
          <w:sz w:val="24"/>
          <w:highlight w:val="none"/>
        </w:rPr>
        <w:t>李硕</w:t>
      </w:r>
    </w:p>
    <w:p>
      <w:pPr>
        <w:pStyle w:val="26"/>
        <w:snapToGrid w:val="0"/>
        <w:spacing w:after="0" w:line="420" w:lineRule="exact"/>
        <w:ind w:firstLine="720" w:firstLineChars="300"/>
        <w:rPr>
          <w:rFonts w:hint="eastAsia" w:ascii="宋体" w:hAnsi="宋体" w:eastAsia="宋体" w:cs="宋体"/>
          <w:color w:val="auto"/>
          <w:sz w:val="24"/>
          <w:highlight w:val="none"/>
          <w:lang w:val="en-US"/>
        </w:rPr>
      </w:pPr>
      <w:r>
        <w:rPr>
          <w:rFonts w:hAnsi="宋体" w:cs="宋体"/>
          <w:sz w:val="24"/>
          <w:szCs w:val="24"/>
          <w:highlight w:val="none"/>
        </w:rPr>
        <w:t>电      话：</w:t>
      </w:r>
      <w:r>
        <w:rPr>
          <w:rFonts w:hAnsi="宋体" w:cs="宋体"/>
          <w:sz w:val="24"/>
          <w:highlight w:val="none"/>
        </w:rPr>
        <w:t>010-88354433-287，</w:t>
      </w:r>
      <w:r>
        <w:rPr>
          <w:rFonts w:hAnsi="宋体" w:cs="宋体"/>
          <w:sz w:val="24"/>
          <w:szCs w:val="24"/>
          <w:highlight w:val="none"/>
        </w:rPr>
        <w:t>13720096320</w:t>
      </w:r>
    </w:p>
    <w:bookmarkEnd w:id="2"/>
    <w:p>
      <w:pPr>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br w:type="page"/>
      </w:r>
      <w:bookmarkStart w:id="40" w:name="_Toc127151777"/>
      <w:bookmarkStart w:id="41" w:name="_Toc305158854"/>
      <w:bookmarkStart w:id="42" w:name="_Toc512937850"/>
      <w:bookmarkStart w:id="43" w:name="_Toc195842950"/>
      <w:bookmarkStart w:id="44" w:name="_Toc127161488"/>
      <w:bookmarkStart w:id="45" w:name="_Toc353825548"/>
      <w:bookmarkStart w:id="46" w:name="_Toc3171"/>
      <w:bookmarkStart w:id="47" w:name="_Toc265228423"/>
      <w:bookmarkStart w:id="48" w:name="_Toc305158928"/>
      <w:bookmarkStart w:id="49" w:name="_Toc353873938"/>
      <w:bookmarkStart w:id="50" w:name="_Toc150774783"/>
      <w:bookmarkStart w:id="51" w:name="_Toc264969275"/>
      <w:bookmarkStart w:id="52" w:name="_Toc226965856"/>
      <w:r>
        <w:rPr>
          <w:rFonts w:hint="eastAsia" w:ascii="宋体" w:hAnsi="宋体" w:eastAsia="宋体" w:cs="宋体"/>
          <w:b/>
          <w:color w:val="auto"/>
          <w:sz w:val="36"/>
          <w:szCs w:val="36"/>
          <w:highlight w:val="none"/>
        </w:rPr>
        <w:t>第二章   供应商须知</w:t>
      </w:r>
      <w:bookmarkEnd w:id="40"/>
      <w:bookmarkEnd w:id="41"/>
      <w:bookmarkEnd w:id="42"/>
      <w:bookmarkEnd w:id="43"/>
      <w:bookmarkEnd w:id="44"/>
      <w:bookmarkEnd w:id="45"/>
      <w:bookmarkEnd w:id="46"/>
      <w:bookmarkEnd w:id="47"/>
      <w:bookmarkEnd w:id="48"/>
      <w:bookmarkEnd w:id="49"/>
      <w:bookmarkEnd w:id="50"/>
      <w:bookmarkEnd w:id="51"/>
      <w:bookmarkEnd w:id="52"/>
    </w:p>
    <w:p>
      <w:pPr>
        <w:pStyle w:val="5"/>
        <w:tabs>
          <w:tab w:val="center" w:pos="4592"/>
          <w:tab w:val="left" w:pos="7860"/>
        </w:tabs>
        <w:spacing w:before="0" w:line="360" w:lineRule="auto"/>
        <w:rPr>
          <w:rFonts w:hint="eastAsia" w:ascii="宋体" w:hAnsi="宋体" w:eastAsia="宋体" w:cs="宋体"/>
          <w:b/>
          <w:color w:val="auto"/>
          <w:sz w:val="28"/>
          <w:szCs w:val="28"/>
          <w:highlight w:val="none"/>
        </w:rPr>
      </w:pPr>
      <w:bookmarkStart w:id="53" w:name="_Toc164229214"/>
      <w:bookmarkStart w:id="54" w:name="_Toc226965709"/>
      <w:bookmarkStart w:id="55" w:name="_Toc226337215"/>
      <w:bookmarkStart w:id="56" w:name="_Toc520356144"/>
      <w:bookmarkStart w:id="57" w:name="_Toc226965792"/>
      <w:bookmarkStart w:id="58" w:name="_Toc151193833"/>
      <w:bookmarkStart w:id="59" w:name="_Toc151193689"/>
      <w:bookmarkStart w:id="60" w:name="_Toc164608788"/>
      <w:bookmarkStart w:id="61" w:name="_Toc150480757"/>
      <w:bookmarkStart w:id="62" w:name="_Toc150774724"/>
      <w:bookmarkStart w:id="63" w:name="_Toc151193907"/>
      <w:bookmarkStart w:id="64" w:name="_Toc127151519"/>
      <w:bookmarkStart w:id="65" w:name="_Toc127161433"/>
      <w:bookmarkStart w:id="66" w:name="_Toc164229360"/>
      <w:bookmarkStart w:id="67" w:name="_Toc151193617"/>
      <w:bookmarkStart w:id="68" w:name="_Toc127151720"/>
      <w:bookmarkStart w:id="69" w:name="_Toc151193761"/>
      <w:bookmarkStart w:id="70" w:name="_Toc195842884"/>
      <w:bookmarkStart w:id="71" w:name="_Toc149720812"/>
      <w:bookmarkStart w:id="72" w:name="_Toc150774619"/>
      <w:bookmarkStart w:id="73" w:name="_Toc150509270"/>
      <w:bookmarkStart w:id="74" w:name="_Toc151190146"/>
      <w:bookmarkStart w:id="75" w:name="_Toc142311021"/>
      <w:bookmarkStart w:id="76" w:name="_Toc226309763"/>
      <w:bookmarkStart w:id="77" w:name="_Toc164351613"/>
      <w:bookmarkStart w:id="78" w:name="_Toc164608633"/>
      <w:r>
        <w:rPr>
          <w:rFonts w:hint="eastAsia" w:ascii="宋体" w:hAnsi="宋体" w:eastAsia="宋体" w:cs="宋体"/>
          <w:color w:val="auto"/>
          <w:sz w:val="28"/>
          <w:highlight w:val="none"/>
        </w:rPr>
        <w:t>供应商须知资料表</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本表是对供应商须知的具体补充和修改，如有矛盾，均以本资料表为准。标记“</w:t>
      </w: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”的选项意为适用于本项目，标记“</w:t>
      </w:r>
      <w:r>
        <w:rPr>
          <w:rFonts w:hint="eastAsia" w:ascii="宋体" w:hAnsi="宋体" w:eastAsia="宋体" w:cs="宋体"/>
          <w:color w:val="auto"/>
          <w:highlight w:val="none"/>
        </w:rPr>
        <w:t>□</w:t>
      </w:r>
      <w:r>
        <w:rPr>
          <w:rFonts w:hint="eastAsia" w:ascii="宋体" w:hAnsi="宋体" w:eastAsia="宋体" w:cs="宋体"/>
          <w:color w:val="auto"/>
          <w:sz w:val="24"/>
          <w:highlight w:val="none"/>
        </w:rPr>
        <w:t>”的选项意为不适用于本项目。</w:t>
      </w:r>
    </w:p>
    <w:tbl>
      <w:tblPr>
        <w:tblStyle w:val="45"/>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85"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条款号</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条目</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服务</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货物</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cs="宋体"/>
                <w:color w:val="auto"/>
                <w:highlight w:val="none"/>
                <w:lang w:eastAsia="zh-CN"/>
              </w:rPr>
              <w:t>□</w:t>
            </w:r>
            <w:r>
              <w:rPr>
                <w:rFonts w:hint="eastAsia" w:ascii="宋体" w:hAnsi="宋体" w:eastAsia="宋体" w:cs="宋体"/>
                <w:color w:val="auto"/>
                <w:sz w:val="24"/>
                <w:highlight w:val="none"/>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科研仪器设备</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是否属于科研仪器设备采购项目：</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是</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Merge w:val="restart"/>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不组织</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bCs/>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组织，考察时间：</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点</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分</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考察地点：____/____。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Merge w:val="continue"/>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磋商前答疑会</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不召开</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召开，召开时间：</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点</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分</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召开地点：____/_______。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标的所属行业</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本项目采购标的对应的中小企业划分标准所属行业：</w:t>
            </w:r>
          </w:p>
          <w:tbl>
            <w:tblPr>
              <w:tblStyle w:val="45"/>
              <w:tblW w:w="6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包号</w:t>
                  </w:r>
                </w:p>
              </w:tc>
              <w:tc>
                <w:tcPr>
                  <w:tcW w:w="2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标的名称</w:t>
                  </w:r>
                </w:p>
              </w:tc>
              <w:tc>
                <w:tcPr>
                  <w:tcW w:w="31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after="0" w:line="420" w:lineRule="exact"/>
                    <w:jc w:val="center"/>
                    <w:textAlignment w:val="auto"/>
                    <w:rPr>
                      <w:rFonts w:hint="eastAsia" w:ascii="宋体" w:hAnsi="宋体" w:eastAsia="宋体" w:cs="宋体"/>
                      <w:bCs/>
                      <w:color w:val="auto"/>
                      <w:sz w:val="24"/>
                      <w:highlight w:val="none"/>
                    </w:rPr>
                  </w:pPr>
                  <w:r>
                    <w:rPr>
                      <w:rFonts w:hint="eastAsia" w:ascii="宋体" w:hAnsi="宋体" w:cs="宋体"/>
                      <w:color w:val="auto"/>
                      <w:sz w:val="24"/>
                      <w:highlight w:val="none"/>
                      <w:vertAlign w:val="baseline"/>
                      <w:lang w:val="en-US" w:eastAsia="zh-CN"/>
                    </w:rPr>
                    <w:t>04</w:t>
                  </w:r>
                </w:p>
              </w:tc>
              <w:tc>
                <w:tcPr>
                  <w:tcW w:w="269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after="0" w:line="420" w:lineRule="exact"/>
                    <w:jc w:val="center"/>
                    <w:textAlignment w:val="auto"/>
                    <w:rPr>
                      <w:rFonts w:hint="eastAsia" w:ascii="宋体" w:hAnsi="宋体" w:cs="宋体"/>
                      <w:bCs/>
                      <w:color w:val="auto"/>
                      <w:sz w:val="24"/>
                      <w:highlight w:val="none"/>
                      <w:lang w:eastAsia="zh-CN"/>
                    </w:rPr>
                  </w:pPr>
                  <w:r>
                    <w:rPr>
                      <w:rFonts w:hint="eastAsia" w:ascii="宋体" w:hAnsi="宋体" w:cs="宋体"/>
                      <w:color w:val="auto"/>
                      <w:sz w:val="24"/>
                      <w:highlight w:val="none"/>
                      <w:lang w:val="en-US" w:eastAsia="zh-CN"/>
                    </w:rPr>
                    <w:t>生活垃圾（粪便）处理设施环境监测</w:t>
                  </w:r>
                </w:p>
              </w:tc>
              <w:tc>
                <w:tcPr>
                  <w:tcW w:w="31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eastAsiaTheme="minorEastAsia"/>
                      <w:kern w:val="0"/>
                      <w:sz w:val="24"/>
                      <w:highlight w:val="none"/>
                      <w:lang w:eastAsia="zh-CN"/>
                    </w:rPr>
                  </w:pPr>
                  <w:r>
                    <w:rPr>
                      <w:rFonts w:hint="eastAsia" w:eastAsiaTheme="minorEastAsia"/>
                      <w:kern w:val="0"/>
                      <w:sz w:val="24"/>
                      <w:highlight w:val="none"/>
                      <w:lang w:eastAsia="zh-CN"/>
                    </w:rPr>
                    <w:t>其他未列明行业</w:t>
                  </w:r>
                </w:p>
              </w:tc>
            </w:tr>
          </w:tbl>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报价</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报价的特殊规定：</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sz w:val="24"/>
                <w:highlight w:val="none"/>
              </w:rPr>
              <w:t>无</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有，具体情形：</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不得超出</w:t>
            </w:r>
            <w:r>
              <w:rPr>
                <w:rFonts w:hint="eastAsia" w:ascii="宋体" w:hAnsi="宋体" w:cs="宋体"/>
                <w:color w:val="auto"/>
                <w:sz w:val="24"/>
                <w:highlight w:val="none"/>
                <w:u w:val="single"/>
                <w:lang w:val="en-US" w:eastAsia="zh-CN"/>
              </w:rPr>
              <w:t>各采购包预算金额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1701" w:type="dxa"/>
            <w:vMerge w:val="restart"/>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7253"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磋商保证金金额：</w:t>
            </w:r>
            <w:r>
              <w:rPr>
                <w:rFonts w:hint="eastAsia" w:hAnsi="宋体" w:cs="宋体"/>
                <w:b/>
                <w:bCs/>
                <w:color w:val="auto"/>
                <w:sz w:val="24"/>
                <w:szCs w:val="24"/>
                <w:highlight w:val="none"/>
                <w:lang w:val="en-US" w:eastAsia="zh-CN"/>
              </w:rPr>
              <w:t>本项目不收取保证金</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lang w:val="en-US" w:eastAsia="zh-CN"/>
              </w:rPr>
              <w:t>保证金收受人信息：</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可以自主选择以支票、汇票、本票或者金融机构、担保机构出具的保函等非现金形式缴纳或提交投标保证金。</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采用电汇方式提交</w:t>
            </w:r>
            <w:r>
              <w:rPr>
                <w:rFonts w:hint="eastAsia" w:hAnsi="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lang w:val="en-US" w:eastAsia="zh-CN"/>
              </w:rPr>
              <w:t>保证金时，请按以下内容办理：</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接收保证金开户行、账号：</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账户名称：国信招标集团股份有限公司 </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开户银行：平安银行北京神华支行</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账    号：</w:t>
            </w:r>
            <w:r>
              <w:rPr>
                <w:rFonts w:hint="eastAsia" w:hAnsi="宋体" w:cs="宋体"/>
                <w:b/>
                <w:bCs/>
                <w:color w:val="auto"/>
                <w:sz w:val="24"/>
                <w:szCs w:val="24"/>
                <w:highlight w:val="none"/>
                <w:lang w:val="en-US" w:eastAsia="zh-CN"/>
              </w:rPr>
              <w:t>（本项目专属账号）</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color w:val="auto"/>
                <w:sz w:val="24"/>
                <w:highlight w:val="none"/>
                <w:lang w:val="en-US" w:eastAsia="zh-CN"/>
              </w:rPr>
            </w:pPr>
            <w:r>
              <w:rPr>
                <w:rFonts w:hint="eastAsia" w:hAnsi="宋体" w:cs="宋体"/>
                <w:b/>
                <w:bCs/>
                <w:color w:val="auto"/>
                <w:sz w:val="24"/>
                <w:szCs w:val="24"/>
                <w:highlight w:val="none"/>
                <w:lang w:val="en-US" w:eastAsia="zh-CN"/>
              </w:rPr>
              <w:t>请供应商在汇款时务必注明项目编号，否则，因款项用途不明导致投标无效等后果由供应商自行承担；请各供应商在提交截止时间前3日，按采购文件的要求向代理机构递交磋商保证金，响应文件递交截止时间之后递交的磋商保证金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.5</w:t>
            </w:r>
          </w:p>
        </w:tc>
        <w:tc>
          <w:tcPr>
            <w:tcW w:w="1701" w:type="dxa"/>
            <w:vMerge w:val="continue"/>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磋商保证金不予退还的其他情形：</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无</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有，具体情形：</w:t>
            </w:r>
            <w:r>
              <w:rPr>
                <w:rFonts w:hint="eastAsia" w:ascii="宋体" w:hAnsi="宋体" w:eastAsia="宋体" w:cs="宋体"/>
                <w:color w:val="auto"/>
                <w:sz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自响应文件提交截止之日起算90日历天。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解密时间</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解密时间：</w:t>
            </w:r>
            <w:r>
              <w:rPr>
                <w:rFonts w:hint="eastAsia" w:ascii="宋体" w:hAnsi="宋体" w:eastAsia="宋体" w:cs="宋体"/>
                <w:b/>
                <w:bCs/>
                <w:color w:val="auto"/>
                <w:sz w:val="24"/>
                <w:highlight w:val="none"/>
                <w:lang w:val="en-US" w:eastAsia="zh-CN"/>
              </w:rPr>
              <w:t>自响应文件开启时间起</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30</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确定成交供应商</w:t>
            </w:r>
          </w:p>
        </w:tc>
        <w:tc>
          <w:tcPr>
            <w:tcW w:w="7253"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采购人是否授权磋商小组直接确定成交供应商：</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否</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是</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成交候选人并列的，按照以下方式确定成交供应商：</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分包</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本项目是否允许分包： </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不允许</w:t>
            </w:r>
          </w:p>
          <w:p>
            <w:pPr>
              <w:pStyle w:val="2"/>
              <w:keepNext w:val="0"/>
              <w:keepLines w:val="0"/>
              <w:pageBreakBefore w:val="0"/>
              <w:widowControl w:val="0"/>
              <w:kinsoku/>
              <w:wordWrap/>
              <w:overflowPunct/>
              <w:topLinePunct w:val="0"/>
              <w:autoSpaceDE/>
              <w:autoSpaceDN/>
              <w:bidi w:val="0"/>
              <w:snapToGrid w:val="0"/>
              <w:spacing w:before="0" w:after="0"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22.6</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政采贷</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24.1.1</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询问</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询问送达形式：书面形式递交至采购代理机构。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接收询问和质疑的联系方式</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联系部门：_</w:t>
            </w:r>
            <w:r>
              <w:rPr>
                <w:rFonts w:hint="eastAsia" w:ascii="宋体" w:hAnsi="宋体" w:eastAsia="宋体" w:cs="宋体"/>
                <w:color w:val="auto"/>
                <w:sz w:val="24"/>
                <w:highlight w:val="none"/>
                <w:u w:val="single"/>
              </w:rPr>
              <w:t>国信招标集团股份有限公司第三招标事业部</w:t>
            </w:r>
            <w:r>
              <w:rPr>
                <w:rFonts w:hint="eastAsia" w:ascii="宋体" w:hAnsi="宋体" w:eastAsia="宋体" w:cs="宋体"/>
                <w:color w:val="auto"/>
                <w:sz w:val="24"/>
                <w:highlight w:val="none"/>
              </w:rPr>
              <w:t>_；</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联系电话：_</w:t>
            </w:r>
            <w:r>
              <w:rPr>
                <w:rFonts w:hint="eastAsia" w:ascii="宋体" w:hAnsi="宋体" w:eastAsia="宋体" w:cs="宋体"/>
                <w:color w:val="auto"/>
                <w:sz w:val="24"/>
                <w:highlight w:val="none"/>
                <w:u w:val="single"/>
              </w:rPr>
              <w:t>13720096</w:t>
            </w:r>
            <w:r>
              <w:rPr>
                <w:rFonts w:hint="eastAsia" w:ascii="宋体" w:hAnsi="宋体" w:eastAsia="宋体" w:cs="宋体"/>
                <w:color w:val="auto"/>
                <w:sz w:val="24"/>
                <w:highlight w:val="none"/>
                <w:u w:val="single"/>
                <w:lang w:val="en-US" w:eastAsia="zh-CN"/>
              </w:rPr>
              <w:t>320</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通讯地址：_</w:t>
            </w:r>
            <w:r>
              <w:rPr>
                <w:rFonts w:hint="eastAsia" w:ascii="宋体" w:hAnsi="宋体" w:eastAsia="宋体" w:cs="宋体"/>
                <w:color w:val="auto"/>
                <w:sz w:val="24"/>
                <w:highlight w:val="none"/>
                <w:u w:val="single"/>
              </w:rPr>
              <w:t>北京市海淀区首体南路22号国兴大厦11层</w:t>
            </w:r>
            <w:r>
              <w:rPr>
                <w:rFonts w:hint="eastAsia" w:ascii="宋体" w:hAnsi="宋体" w:eastAsia="宋体" w:cs="宋体"/>
                <w:color w:val="auto"/>
                <w:sz w:val="24"/>
                <w:highlight w:val="none"/>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代理费</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收费对象：</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采购人</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lang w:val="en-US" w:eastAsia="zh-CN"/>
              </w:rPr>
            </w:pPr>
            <w:r>
              <w:rPr>
                <w:rFonts w:hint="eastAsia" w:ascii="宋体" w:hAnsi="宋体" w:cs="宋体"/>
                <w:color w:val="auto"/>
                <w:highlight w:val="none"/>
                <w:lang w:eastAsia="zh-CN"/>
              </w:rPr>
              <w:t>□</w:t>
            </w:r>
            <w:r>
              <w:rPr>
                <w:rFonts w:hint="eastAsia" w:ascii="宋体" w:hAnsi="宋体" w:eastAsia="宋体" w:cs="宋体"/>
                <w:color w:val="auto"/>
                <w:sz w:val="24"/>
                <w:highlight w:val="none"/>
              </w:rPr>
              <w:t>成交供应商</w:t>
            </w:r>
          </w:p>
        </w:tc>
      </w:tr>
    </w:tbl>
    <w:p>
      <w:pPr>
        <w:tabs>
          <w:tab w:val="left" w:pos="5580"/>
        </w:tabs>
        <w:adjustRightInd w:val="0"/>
        <w:spacing w:line="360" w:lineRule="auto"/>
        <w:jc w:val="distribute"/>
        <w:rPr>
          <w:rFonts w:hint="eastAsia" w:ascii="宋体" w:hAnsi="宋体" w:eastAsia="宋体" w:cs="宋体"/>
          <w:color w:val="auto"/>
          <w:sz w:val="24"/>
          <w:highlight w:val="none"/>
        </w:rPr>
        <w:sectPr>
          <w:footerReference r:id="rId12" w:type="first"/>
          <w:footerReference r:id="rId11" w:type="default"/>
          <w:pgSz w:w="11905" w:h="16838"/>
          <w:pgMar w:top="850" w:right="1134" w:bottom="850" w:left="1134" w:header="0" w:footer="850" w:gutter="0"/>
          <w:pgBorders>
            <w:top w:val="none" w:sz="0" w:space="0"/>
            <w:left w:val="none" w:sz="0" w:space="0"/>
            <w:bottom w:val="none" w:sz="0" w:space="0"/>
            <w:right w:val="none" w:sz="0" w:space="0"/>
          </w:pgBorders>
          <w:pgNumType w:fmt="decimal" w:start="1"/>
          <w:cols w:space="0" w:num="1"/>
          <w:rtlGutter w:val="0"/>
          <w:docGrid w:linePitch="462" w:charSpace="0"/>
        </w:sectPr>
      </w:pPr>
    </w:p>
    <w:p>
      <w:pPr>
        <w:spacing w:before="240" w:beforeLines="100" w:after="240" w:afterLines="1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供应商须知</w:t>
      </w:r>
    </w:p>
    <w:p>
      <w:pPr>
        <w:pStyle w:val="5"/>
        <w:pageBreakBefore w:val="0"/>
        <w:widowControl w:val="0"/>
        <w:tabs>
          <w:tab w:val="center" w:pos="4592"/>
          <w:tab w:val="left" w:pos="7860"/>
        </w:tabs>
        <w:kinsoku/>
        <w:wordWrap/>
        <w:overflowPunct/>
        <w:topLinePunct w:val="0"/>
        <w:bidi w:val="0"/>
        <w:snapToGrid w:val="0"/>
        <w:spacing w:before="0" w:after="0" w:line="400" w:lineRule="exact"/>
        <w:jc w:val="left"/>
        <w:textAlignment w:val="auto"/>
        <w:rPr>
          <w:rFonts w:hint="eastAsia" w:ascii="宋体" w:hAnsi="宋体" w:eastAsia="宋体" w:cs="宋体"/>
          <w:color w:val="auto"/>
          <w:sz w:val="28"/>
          <w:highlight w:val="none"/>
        </w:rPr>
      </w:pPr>
      <w:bookmarkStart w:id="79" w:name="_Toc520356143"/>
      <w:bookmarkStart w:id="80" w:name="_Toc127151518"/>
      <w:r>
        <w:rPr>
          <w:rFonts w:hint="eastAsia" w:ascii="宋体" w:hAnsi="宋体" w:eastAsia="宋体" w:cs="宋体"/>
          <w:color w:val="auto"/>
          <w:sz w:val="28"/>
          <w:highlight w:val="none"/>
        </w:rPr>
        <w:tab/>
      </w:r>
      <w:bookmarkStart w:id="81" w:name="_Toc305158860"/>
      <w:bookmarkStart w:id="82" w:name="_Toc226965791"/>
      <w:bookmarkStart w:id="83" w:name="_Toc151193832"/>
      <w:bookmarkStart w:id="84" w:name="_Toc265228356"/>
      <w:bookmarkStart w:id="85" w:name="_Toc151193760"/>
      <w:bookmarkStart w:id="86" w:name="_Toc305158786"/>
      <w:bookmarkStart w:id="87" w:name="_Toc151193688"/>
      <w:bookmarkStart w:id="88" w:name="_Toc150774723"/>
      <w:bookmarkStart w:id="89" w:name="_Toc150480756"/>
      <w:bookmarkStart w:id="90" w:name="_Toc195842883"/>
      <w:bookmarkStart w:id="91" w:name="_Toc142311020"/>
      <w:bookmarkStart w:id="92" w:name="_Toc226309762"/>
      <w:bookmarkStart w:id="93" w:name="_Toc150509269"/>
      <w:bookmarkStart w:id="94" w:name="_Toc226337214"/>
      <w:bookmarkStart w:id="95" w:name="_Toc151193616"/>
      <w:bookmarkStart w:id="96" w:name="_Toc264969208"/>
      <w:bookmarkStart w:id="97" w:name="_Toc226965708"/>
      <w:bookmarkStart w:id="98" w:name="_Toc150774618"/>
      <w:bookmarkStart w:id="99" w:name="_Toc151190145"/>
      <w:bookmarkStart w:id="100" w:name="_Toc151193906"/>
      <w:r>
        <w:rPr>
          <w:rFonts w:hint="eastAsia" w:ascii="宋体" w:hAnsi="宋体" w:eastAsia="宋体" w:cs="宋体"/>
          <w:color w:val="auto"/>
          <w:sz w:val="28"/>
          <w:highlight w:val="none"/>
        </w:rPr>
        <w:t>一   说  明</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hint="eastAsia" w:ascii="宋体" w:hAnsi="宋体" w:eastAsia="宋体" w:cs="宋体"/>
          <w:color w:val="auto"/>
          <w:sz w:val="28"/>
          <w:highlight w:val="none"/>
        </w:rPr>
        <w:tab/>
      </w:r>
    </w:p>
    <w:p>
      <w:pPr>
        <w:pageBreakBefore w:val="0"/>
        <w:widowControl w:val="0"/>
        <w:numPr>
          <w:ilvl w:val="0"/>
          <w:numId w:val="9"/>
        </w:numPr>
        <w:tabs>
          <w:tab w:val="left" w:pos="360"/>
          <w:tab w:val="clear" w:pos="90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101" w:name="_Toc265228357"/>
      <w:bookmarkStart w:id="102" w:name="_Toc305158861"/>
      <w:bookmarkStart w:id="103" w:name="_Toc264969209"/>
      <w:bookmarkStart w:id="104" w:name="_Toc305158787"/>
      <w:r>
        <w:rPr>
          <w:rFonts w:hint="eastAsia" w:ascii="宋体" w:hAnsi="宋体" w:eastAsia="宋体" w:cs="宋体"/>
          <w:color w:val="auto"/>
          <w:sz w:val="24"/>
          <w:highlight w:val="none"/>
        </w:rPr>
        <w:t>采购人、采购代理机构、供应商</w:t>
      </w:r>
      <w:bookmarkEnd w:id="101"/>
      <w:bookmarkEnd w:id="102"/>
      <w:bookmarkEnd w:id="103"/>
      <w:bookmarkEnd w:id="104"/>
      <w:r>
        <w:rPr>
          <w:rFonts w:hint="eastAsia" w:ascii="宋体" w:hAnsi="宋体" w:eastAsia="宋体" w:cs="宋体"/>
          <w:color w:val="auto"/>
          <w:sz w:val="24"/>
          <w:highlight w:val="none"/>
        </w:rPr>
        <w:t>、联合体</w:t>
      </w:r>
    </w:p>
    <w:p>
      <w:pPr>
        <w:pageBreakBefore w:val="0"/>
        <w:widowControl w:val="0"/>
        <w:numPr>
          <w:ilvl w:val="1"/>
          <w:numId w:val="9"/>
        </w:numPr>
        <w:tabs>
          <w:tab w:val="left" w:pos="1080"/>
          <w:tab w:val="left" w:pos="2014"/>
          <w:tab w:val="left" w:pos="5521"/>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采购人、采购代理机构：指依法进行政府采购的国家机关、事业单位、团体组织，及其委托的采购代理机构。本项目采购人、采购代理机构见第一章《采购邀请》。</w:t>
      </w:r>
    </w:p>
    <w:p>
      <w:pPr>
        <w:pageBreakBefore w:val="0"/>
        <w:widowControl w:val="0"/>
        <w:numPr>
          <w:ilvl w:val="1"/>
          <w:numId w:val="9"/>
        </w:numPr>
        <w:tabs>
          <w:tab w:val="left" w:pos="1080"/>
          <w:tab w:val="left" w:pos="2014"/>
          <w:tab w:val="left" w:pos="5521"/>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供应商（也称“申请人”）：指向采购人提供货物、工程或者服务的法人、其他组织或者自然人。</w:t>
      </w:r>
    </w:p>
    <w:p>
      <w:pPr>
        <w:pageBreakBefore w:val="0"/>
        <w:widowControl w:val="0"/>
        <w:numPr>
          <w:ilvl w:val="1"/>
          <w:numId w:val="9"/>
        </w:numPr>
        <w:tabs>
          <w:tab w:val="left" w:pos="1080"/>
          <w:tab w:val="left" w:pos="2014"/>
          <w:tab w:val="left" w:pos="5521"/>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联合体：指两个以上的自然人、法人或者其他组织组成一个联合体，以一个供应商的身份共同参加政府采购。</w:t>
      </w:r>
    </w:p>
    <w:p>
      <w:pPr>
        <w:pageBreakBefore w:val="0"/>
        <w:widowControl w:val="0"/>
        <w:numPr>
          <w:ilvl w:val="0"/>
          <w:numId w:val="9"/>
        </w:numPr>
        <w:tabs>
          <w:tab w:val="left" w:pos="360"/>
          <w:tab w:val="clear" w:pos="90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105" w:name="_Toc305158788"/>
      <w:bookmarkStart w:id="106" w:name="_Toc195842885"/>
      <w:bookmarkStart w:id="107" w:name="_Toc164608789"/>
      <w:bookmarkStart w:id="108" w:name="_Toc164351614"/>
      <w:bookmarkStart w:id="109" w:name="_Toc164608634"/>
      <w:bookmarkStart w:id="110" w:name="_Toc151190147"/>
      <w:bookmarkStart w:id="111" w:name="_Toc265228358"/>
      <w:bookmarkStart w:id="112" w:name="_Toc305158862"/>
      <w:bookmarkStart w:id="113" w:name="_Toc164229215"/>
      <w:bookmarkStart w:id="114" w:name="_Toc151193908"/>
      <w:bookmarkStart w:id="115" w:name="_Toc149720813"/>
      <w:bookmarkStart w:id="116" w:name="_Toc150774725"/>
      <w:bookmarkStart w:id="117" w:name="_Toc150509271"/>
      <w:bookmarkStart w:id="118" w:name="_Toc226965793"/>
      <w:bookmarkStart w:id="119" w:name="_Toc127161434"/>
      <w:bookmarkStart w:id="120" w:name="_Toc151193690"/>
      <w:bookmarkStart w:id="121" w:name="_Toc151193762"/>
      <w:bookmarkStart w:id="122" w:name="_Toc151193618"/>
      <w:bookmarkStart w:id="123" w:name="_Toc264969210"/>
      <w:bookmarkStart w:id="124" w:name="_Toc142311022"/>
      <w:bookmarkStart w:id="125" w:name="_Toc150774620"/>
      <w:bookmarkStart w:id="126" w:name="_Toc150480758"/>
      <w:bookmarkStart w:id="127" w:name="_Toc226309764"/>
      <w:bookmarkStart w:id="128" w:name="_Toc226337216"/>
      <w:bookmarkStart w:id="129" w:name="_Toc127151721"/>
      <w:bookmarkStart w:id="130" w:name="_Toc127151520"/>
      <w:bookmarkStart w:id="131" w:name="_Toc164229361"/>
      <w:bookmarkStart w:id="132" w:name="_Toc226965710"/>
      <w:bookmarkStart w:id="133" w:name="_Toc151193834"/>
      <w:r>
        <w:rPr>
          <w:rFonts w:hint="eastAsia" w:ascii="宋体" w:hAnsi="宋体" w:eastAsia="宋体" w:cs="宋体"/>
          <w:color w:val="auto"/>
          <w:sz w:val="24"/>
          <w:highlight w:val="none"/>
        </w:rPr>
        <w:t>资金来源</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hint="eastAsia" w:ascii="宋体" w:hAnsi="宋体" w:eastAsia="宋体" w:cs="宋体"/>
          <w:color w:val="auto"/>
          <w:sz w:val="24"/>
          <w:highlight w:val="none"/>
        </w:rPr>
        <w:t>、项目属性、科研仪器设备采购</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资金来源为财政性资金和/或本项目采购中无法与财政性资金分割的非财政性资金。</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项目属性见《供应商须知资料表》。</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是否属于科研仪器设备采购见《供应商须知资料表》。</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现场考察、磋商前答疑会</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8"/>
          <w:highlight w:val="none"/>
        </w:rPr>
      </w:pPr>
      <w:r>
        <w:rPr>
          <w:rFonts w:hint="eastAsia" w:ascii="宋体" w:hAnsi="宋体" w:eastAsia="宋体" w:cs="宋体"/>
          <w:color w:val="auto"/>
          <w:sz w:val="24"/>
          <w:highlight w:val="none"/>
        </w:rPr>
        <w:t>若《供应商须知资料表》中规定了组织现场考察、召开磋商前答疑会，则供应商应按要求在规定的时间和地点参加。</w:t>
      </w:r>
      <w:bookmarkStart w:id="134" w:name="_Toc151193620"/>
      <w:bookmarkStart w:id="135" w:name="_Toc151193764"/>
      <w:bookmarkStart w:id="136" w:name="_Toc151193910"/>
      <w:bookmarkStart w:id="137" w:name="_Toc305158790"/>
      <w:bookmarkStart w:id="138" w:name="_Toc195842887"/>
      <w:bookmarkStart w:id="139" w:name="_Toc150480760"/>
      <w:bookmarkStart w:id="140" w:name="_Toc150509273"/>
      <w:bookmarkStart w:id="141" w:name="_Toc226337218"/>
      <w:bookmarkStart w:id="142" w:name="_Toc305158864"/>
      <w:bookmarkStart w:id="143" w:name="_Toc150774727"/>
      <w:bookmarkStart w:id="144" w:name="_Toc151190149"/>
      <w:bookmarkStart w:id="145" w:name="_Toc127151522"/>
      <w:bookmarkStart w:id="146" w:name="_Toc226309766"/>
      <w:bookmarkStart w:id="147" w:name="_Toc151193836"/>
      <w:bookmarkStart w:id="148" w:name="_Toc520356146"/>
      <w:bookmarkStart w:id="149" w:name="_Toc226965712"/>
      <w:bookmarkStart w:id="150" w:name="_Toc142311024"/>
      <w:bookmarkStart w:id="151" w:name="_Toc150774622"/>
      <w:bookmarkStart w:id="152" w:name="_Toc264969212"/>
      <w:bookmarkStart w:id="153" w:name="_Toc151193692"/>
      <w:bookmarkStart w:id="154" w:name="_Toc265228360"/>
      <w:bookmarkStart w:id="155" w:name="_Toc226965795"/>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由于未参加现场考察或磋商前答疑会而导致对项目实际情况不了解，影响响应文件编制、报价准确性、综合因素响应不全面等问题的，由供应商自行承担不利评审后果。</w:t>
      </w:r>
    </w:p>
    <w:p>
      <w:pPr>
        <w:pageBreakBefore w:val="0"/>
        <w:widowControl w:val="0"/>
        <w:numPr>
          <w:ilvl w:val="0"/>
          <w:numId w:val="9"/>
        </w:numPr>
        <w:tabs>
          <w:tab w:val="left" w:pos="360"/>
          <w:tab w:val="clear" w:pos="90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政府采购政策（包括但不限于下列具体政策要求）</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采购本国货物、工程和服务</w:t>
      </w:r>
    </w:p>
    <w:p>
      <w:pPr>
        <w:pageBreakBefore w:val="0"/>
        <w:widowControl w:val="0"/>
        <w:numPr>
          <w:ilvl w:val="2"/>
          <w:numId w:val="9"/>
        </w:numPr>
        <w:tabs>
          <w:tab w:val="left" w:pos="2014"/>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政府采购应当采购本国货物、工程和服务。但有《</w:t>
      </w:r>
      <w:r>
        <w:rPr>
          <w:rFonts w:hint="eastAsia" w:ascii="宋体" w:hAnsi="宋体" w:eastAsia="宋体" w:cs="宋体"/>
          <w:b/>
          <w:color w:val="auto"/>
          <w:kern w:val="0"/>
          <w:sz w:val="24"/>
          <w:highlight w:val="none"/>
        </w:rPr>
        <w:t>中华人民共和国政府采购法</w:t>
      </w:r>
      <w:r>
        <w:rPr>
          <w:rFonts w:hint="eastAsia" w:ascii="宋体" w:hAnsi="宋体" w:eastAsia="宋体" w:cs="宋体"/>
          <w:color w:val="auto"/>
          <w:kern w:val="0"/>
          <w:sz w:val="24"/>
          <w:highlight w:val="none"/>
        </w:rPr>
        <w:t>》第十条规定情形的除外。</w:t>
      </w:r>
    </w:p>
    <w:p>
      <w:pPr>
        <w:pageBreakBefore w:val="0"/>
        <w:widowControl w:val="0"/>
        <w:numPr>
          <w:ilvl w:val="2"/>
          <w:numId w:val="9"/>
        </w:numPr>
        <w:tabs>
          <w:tab w:val="left" w:pos="2014"/>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本项目如接受非本国货物、工程、服务参与响应，则具体要求见第四章《采购需求》。</w:t>
      </w:r>
    </w:p>
    <w:p>
      <w:pPr>
        <w:pageBreakBefore w:val="0"/>
        <w:widowControl w:val="0"/>
        <w:numPr>
          <w:ilvl w:val="2"/>
          <w:numId w:val="9"/>
        </w:numPr>
        <w:tabs>
          <w:tab w:val="left" w:pos="2014"/>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中小企业、监狱企业及残疾人福利性单位</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中小企业定义：</w:t>
      </w:r>
    </w:p>
    <w:p>
      <w:pPr>
        <w:pStyle w:val="76"/>
        <w:pageBreakBefore w:val="0"/>
        <w:widowControl w:val="0"/>
        <w:numPr>
          <w:ilvl w:val="0"/>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0"/>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0"/>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0"/>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1"/>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1"/>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2"/>
          <w:numId w:val="10"/>
        </w:numPr>
        <w:tabs>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供应商提供的货物、工程或者服务符合下列情形的，享受中小企业扶持政策：</w:t>
      </w:r>
    </w:p>
    <w:p>
      <w:pPr>
        <w:pageBreakBefore w:val="0"/>
        <w:widowControl w:val="0"/>
        <w:tabs>
          <w:tab w:val="left" w:pos="1980"/>
        </w:tabs>
        <w:kinsoku/>
        <w:wordWrap/>
        <w:overflowPunct/>
        <w:topLinePunct w:val="0"/>
        <w:bidi w:val="0"/>
        <w:snapToGrid w:val="0"/>
        <w:spacing w:after="0" w:line="400" w:lineRule="exact"/>
        <w:ind w:left="2835" w:leftChars="1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（1）在货物采购项目中，货物由中小企业制造，即货物由中小企业生产且使用该中小企业商号或者注册商标；</w:t>
      </w:r>
    </w:p>
    <w:p>
      <w:pPr>
        <w:pageBreakBefore w:val="0"/>
        <w:widowControl w:val="0"/>
        <w:tabs>
          <w:tab w:val="left" w:pos="1980"/>
        </w:tabs>
        <w:kinsoku/>
        <w:wordWrap/>
        <w:overflowPunct/>
        <w:topLinePunct w:val="0"/>
        <w:bidi w:val="0"/>
        <w:snapToGrid w:val="0"/>
        <w:spacing w:after="0" w:line="400" w:lineRule="exact"/>
        <w:ind w:left="2835" w:leftChars="1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（2）在工程采购项目中，工程由中小企业承建，即工程施工单位为中小企业；</w:t>
      </w:r>
    </w:p>
    <w:p>
      <w:pPr>
        <w:pageBreakBefore w:val="0"/>
        <w:widowControl w:val="0"/>
        <w:tabs>
          <w:tab w:val="left" w:pos="1980"/>
        </w:tabs>
        <w:kinsoku/>
        <w:wordWrap/>
        <w:overflowPunct/>
        <w:topLinePunct w:val="0"/>
        <w:bidi w:val="0"/>
        <w:snapToGrid w:val="0"/>
        <w:spacing w:after="0" w:line="400" w:lineRule="exact"/>
        <w:ind w:left="2835" w:leftChars="1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（3）在服务采购项目中，服务由中小企业承接，即提供服务的人员为中小企业依照《中华人民共和国劳动合同法》订立劳动合同的从业人员。</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在货物采购项目中，供应商提供的货物既有中小企业制造货物，也有大型企业制造货物的，不享受中小企业扶持政策。</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76"/>
        <w:pageBreakBefore w:val="0"/>
        <w:widowControl w:val="0"/>
        <w:numPr>
          <w:ilvl w:val="2"/>
          <w:numId w:val="10"/>
        </w:numPr>
        <w:tabs>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2"/>
          <w:numId w:val="10"/>
        </w:numPr>
        <w:tabs>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安置的残疾人占本单位在职职工人数的比例不低于25%（含25%），并且安置的残疾人人数不少于10 人（含10 人）；</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依法与安置的每位残疾人签订了一年以上（含一年）的劳动合同或服务协议；</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为安置的每位残疾人按月足额缴纳了基本养老保险、基本医疗保险、失业保险、工伤保险和生育保险等社会保险费；</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通过银行等金融机构向安置的每位残疾人，按月支付了不低于单位所在区县适用的经省级人民政府批准的月最低工资标准的工资；</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提供本单位制造的货物、承担的工程或者服务（以下简称产品），或者提供其他残疾人福利性单位制造的货物（不包括使用非残疾人福利性单位注册商标的货物）；</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本项目是否专门面向中小企业预留采购份额见第一章《采购邀请》。</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采购标的对应的中小企业划分标准所属行业见《供应商须知资料表》。</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小微企业价格评审优惠的政策调整：见第三章《评审方法和评审标准》。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政府采购节能产品、环境标志产品</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color w:val="auto"/>
          <w:kern w:val="0"/>
          <w:sz w:val="24"/>
          <w:highlight w:val="none"/>
        </w:rPr>
        <w:t>否则</w:t>
      </w:r>
      <w:r>
        <w:rPr>
          <w:rFonts w:hint="eastAsia" w:ascii="宋体" w:hAnsi="宋体" w:eastAsia="宋体" w:cs="宋体"/>
          <w:b/>
          <w:color w:val="auto"/>
          <w:kern w:val="0"/>
          <w:sz w:val="24"/>
          <w:highlight w:val="none"/>
        </w:rPr>
        <w:t>响应无效</w:t>
      </w:r>
      <w:r>
        <w:rPr>
          <w:rFonts w:hint="eastAsia" w:ascii="宋体" w:hAnsi="宋体" w:eastAsia="宋体" w:cs="宋体"/>
          <w:color w:val="auto"/>
          <w:sz w:val="24"/>
          <w:highlight w:val="none"/>
        </w:rPr>
        <w:t>；</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非政府强制采购的节能产品或环境标志产品，依据品目清单和认证证书实施政府优先采购。优先采购的具体规定见第三章《评审方法和评审标准》（如涉及）。</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正版软件</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网络安全专用产品</w:t>
      </w:r>
    </w:p>
    <w:p>
      <w:pPr>
        <w:pageBreakBefore w:val="0"/>
        <w:widowControl w:val="0"/>
        <w:numPr>
          <w:ilvl w:val="2"/>
          <w:numId w:val="9"/>
        </w:numPr>
        <w:tabs>
          <w:tab w:val="left" w:pos="900"/>
          <w:tab w:val="left" w:pos="2014"/>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关于调整网络安全专用产品安全管理有关事项的公告》（2023年第1号），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推广使用低挥发性有机化合物（VOCs）</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eastAsia="宋体" w:cs="宋体"/>
          <w:color w:val="auto"/>
          <w:kern w:val="0"/>
          <w:sz w:val="24"/>
          <w:highlight w:val="none"/>
        </w:rPr>
        <w:t>否则</w:t>
      </w:r>
      <w:r>
        <w:rPr>
          <w:rFonts w:hint="eastAsia" w:ascii="宋体" w:hAnsi="宋体" w:eastAsia="宋体" w:cs="宋体"/>
          <w:b/>
          <w:color w:val="auto"/>
          <w:kern w:val="0"/>
          <w:sz w:val="24"/>
          <w:highlight w:val="none"/>
        </w:rPr>
        <w:t>响应无效</w:t>
      </w:r>
      <w:r>
        <w:rPr>
          <w:rFonts w:hint="eastAsia" w:ascii="宋体" w:hAnsi="宋体" w:eastAsia="宋体" w:cs="宋体"/>
          <w:color w:val="auto"/>
          <w:sz w:val="24"/>
          <w:highlight w:val="none"/>
        </w:rPr>
        <w:t>；属于推荐性标准的，优先采购，具体见第三章《评审方法和评审标准》。</w:t>
      </w:r>
    </w:p>
    <w:p>
      <w:pPr>
        <w:pageBreakBefore w:val="0"/>
        <w:widowControl w:val="0"/>
        <w:numPr>
          <w:ilvl w:val="1"/>
          <w:numId w:val="9"/>
        </w:numPr>
        <w:tabs>
          <w:tab w:val="left" w:pos="1080"/>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采购需求标准</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商品包装、快递包装政府采购需求标准（试行）</w:t>
      </w:r>
    </w:p>
    <w:p>
      <w:pPr>
        <w:pageBreakBefore w:val="0"/>
        <w:widowControl w:val="0"/>
        <w:tabs>
          <w:tab w:val="left" w:pos="900"/>
          <w:tab w:val="left" w:pos="1980"/>
        </w:tabs>
        <w:kinsoku/>
        <w:wordWrap/>
        <w:overflowPunct/>
        <w:topLinePunct w:val="0"/>
        <w:bidi w:val="0"/>
        <w:snapToGrid w:val="0"/>
        <w:spacing w:after="0" w:line="400" w:lineRule="exact"/>
        <w:ind w:left="19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pageBreakBefore w:val="0"/>
        <w:widowControl w:val="0"/>
        <w:numPr>
          <w:ilvl w:val="2"/>
          <w:numId w:val="9"/>
        </w:numPr>
        <w:tabs>
          <w:tab w:val="left" w:pos="2014"/>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其他政府采购需求标准 </w:t>
      </w:r>
    </w:p>
    <w:p>
      <w:pPr>
        <w:pageBreakBefore w:val="0"/>
        <w:widowControl w:val="0"/>
        <w:tabs>
          <w:tab w:val="left" w:pos="900"/>
          <w:tab w:val="left" w:pos="1980"/>
        </w:tabs>
        <w:kinsoku/>
        <w:wordWrap/>
        <w:overflowPunct/>
        <w:topLinePunct w:val="0"/>
        <w:bidi w:val="0"/>
        <w:snapToGrid w:val="0"/>
        <w:spacing w:after="0" w:line="400" w:lineRule="exact"/>
        <w:ind w:left="19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为贯彻落实《深化政府采购制度改革方案》有关要求，推动政府采购需求标准建设，</w:t>
      </w:r>
      <w:bookmarkStart w:id="156" w:name="_Hlk168431650"/>
      <w:r>
        <w:rPr>
          <w:rFonts w:hint="eastAsia" w:ascii="宋体" w:hAnsi="宋体" w:eastAsia="宋体" w:cs="宋体"/>
          <w:color w:val="auto"/>
          <w:sz w:val="24"/>
          <w:highlight w:val="none"/>
        </w:rPr>
        <w:t>财政部门会同有关部门制定发布的</w:t>
      </w:r>
      <w:bookmarkEnd w:id="156"/>
      <w:r>
        <w:rPr>
          <w:rFonts w:hint="eastAsia" w:ascii="宋体" w:hAnsi="宋体" w:eastAsia="宋体" w:cs="宋体"/>
          <w:color w:val="auto"/>
          <w:sz w:val="24"/>
          <w:highlight w:val="none"/>
        </w:rPr>
        <w:t>其他政府采购需求标准，本项目如涉及，则具体要求见第四章《采购需求》。</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响应费用</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8"/>
          <w:highlight w:val="none"/>
        </w:rPr>
      </w:pPr>
      <w:r>
        <w:rPr>
          <w:rFonts w:hint="eastAsia" w:ascii="宋体" w:hAnsi="宋体" w:eastAsia="宋体" w:cs="宋体"/>
          <w:color w:val="auto"/>
          <w:sz w:val="24"/>
          <w:highlight w:val="none"/>
        </w:rPr>
        <w:t>供应商应自行承担所有与准备和参加磋商有关的费用，无论磋商的结果如何，采购人或采购代理机构在任何情况下均无承担这些费用的义务和责任。</w:t>
      </w:r>
      <w:bookmarkStart w:id="157" w:name="_1.8_计量单位"/>
      <w:bookmarkEnd w:id="157"/>
    </w:p>
    <w:p>
      <w:pPr>
        <w:pStyle w:val="5"/>
        <w:pageBreakBefore w:val="0"/>
        <w:widowControl w:val="0"/>
        <w:kinsoku/>
        <w:wordWrap/>
        <w:overflowPunct/>
        <w:topLinePunct w:val="0"/>
        <w:bidi w:val="0"/>
        <w:snapToGrid w:val="0"/>
        <w:spacing w:before="0" w:after="0" w:line="400" w:lineRule="exact"/>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二   竞争性磋商文件</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158" w:name="_Toc151190150"/>
      <w:bookmarkStart w:id="159" w:name="_Toc164351617"/>
      <w:bookmarkStart w:id="160" w:name="_Toc150774728"/>
      <w:bookmarkStart w:id="161" w:name="_Toc265228361"/>
      <w:bookmarkStart w:id="162" w:name="_Toc305158865"/>
      <w:bookmarkStart w:id="163" w:name="_Toc151193621"/>
      <w:bookmarkStart w:id="164" w:name="_Toc226965796"/>
      <w:bookmarkStart w:id="165" w:name="_Toc226309767"/>
      <w:bookmarkStart w:id="166" w:name="_Toc127151724"/>
      <w:bookmarkStart w:id="167" w:name="_Toc226965713"/>
      <w:bookmarkStart w:id="168" w:name="_Toc164608637"/>
      <w:bookmarkStart w:id="169" w:name="_Toc142311025"/>
      <w:bookmarkStart w:id="170" w:name="_Toc151193837"/>
      <w:bookmarkStart w:id="171" w:name="_Toc164608792"/>
      <w:bookmarkStart w:id="172" w:name="_Toc151193911"/>
      <w:bookmarkStart w:id="173" w:name="_Toc264969213"/>
      <w:bookmarkStart w:id="174" w:name="_Toc127161437"/>
      <w:bookmarkStart w:id="175" w:name="_Toc195842888"/>
      <w:bookmarkStart w:id="176" w:name="_Toc151193765"/>
      <w:bookmarkStart w:id="177" w:name="_Toc226337219"/>
      <w:bookmarkStart w:id="178" w:name="_Toc520356147"/>
      <w:bookmarkStart w:id="179" w:name="_Toc149720816"/>
      <w:bookmarkStart w:id="180" w:name="_Toc150509274"/>
      <w:bookmarkStart w:id="181" w:name="_Toc305158791"/>
      <w:bookmarkStart w:id="182" w:name="_Toc127151523"/>
      <w:bookmarkStart w:id="183" w:name="_Toc164229218"/>
      <w:bookmarkStart w:id="184" w:name="_Toc151193693"/>
      <w:bookmarkStart w:id="185" w:name="_Toc150774623"/>
      <w:bookmarkStart w:id="186" w:name="_Toc150480761"/>
      <w:bookmarkStart w:id="187" w:name="_Toc164229364"/>
      <w:r>
        <w:rPr>
          <w:rFonts w:hint="eastAsia" w:ascii="宋体" w:hAnsi="宋体" w:eastAsia="宋体" w:cs="宋体"/>
          <w:color w:val="auto"/>
          <w:sz w:val="24"/>
          <w:highlight w:val="none"/>
        </w:rPr>
        <w:t>竞争性磋商文件构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hint="eastAsia" w:ascii="宋体" w:hAnsi="宋体" w:eastAsia="宋体" w:cs="宋体"/>
          <w:color w:val="auto"/>
          <w:sz w:val="24"/>
          <w:highlight w:val="none"/>
        </w:rPr>
        <w:t>成</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竞争性磋商文件包括以下部分：</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采购邀请</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供应商须知</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评审方法和评审标准</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合同草案条款</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响应文件格式</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pageBreakBefore w:val="0"/>
        <w:widowControl w:val="0"/>
        <w:numPr>
          <w:ilvl w:val="0"/>
          <w:numId w:val="9"/>
        </w:numPr>
        <w:tabs>
          <w:tab w:val="left" w:pos="1080"/>
          <w:tab w:val="left" w:pos="2014"/>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对竞争性磋商文件的澄清或修改</w:t>
      </w:r>
    </w:p>
    <w:p>
      <w:pPr>
        <w:pageBreakBefore w:val="0"/>
        <w:widowControl w:val="0"/>
        <w:numPr>
          <w:ilvl w:val="1"/>
          <w:numId w:val="9"/>
        </w:numPr>
        <w:tabs>
          <w:tab w:val="left" w:pos="1080"/>
          <w:tab w:val="left" w:pos="1561"/>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pageBreakBefore w:val="0"/>
        <w:widowControl w:val="0"/>
        <w:numPr>
          <w:ilvl w:val="1"/>
          <w:numId w:val="9"/>
        </w:numPr>
        <w:tabs>
          <w:tab w:val="left" w:pos="1080"/>
          <w:tab w:val="left" w:pos="1561"/>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上述书面通知，按照获取竞争性磋商文件的潜在供应商提供的联系方式发出，因提供的信息有误导致通知延迟或无法通知的，采购人或采购代理机构不承担责任。</w:t>
      </w:r>
    </w:p>
    <w:p>
      <w:pPr>
        <w:pageBreakBefore w:val="0"/>
        <w:widowControl w:val="0"/>
        <w:numPr>
          <w:ilvl w:val="1"/>
          <w:numId w:val="9"/>
        </w:numPr>
        <w:tabs>
          <w:tab w:val="left" w:pos="1080"/>
          <w:tab w:val="left" w:pos="1561"/>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8"/>
          <w:highlight w:val="none"/>
        </w:rPr>
      </w:pPr>
      <w:r>
        <w:rPr>
          <w:rFonts w:hint="eastAsia" w:ascii="宋体" w:hAnsi="宋体" w:eastAsia="宋体" w:cs="宋体"/>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日前，</w:t>
      </w:r>
      <w:r>
        <w:rPr>
          <w:rFonts w:hint="eastAsia" w:ascii="宋体" w:hAnsi="宋体" w:eastAsia="宋体" w:cs="宋体"/>
          <w:color w:val="auto"/>
          <w:kern w:val="0"/>
          <w:sz w:val="24"/>
          <w:highlight w:val="none"/>
        </w:rPr>
        <w:t>以书面形式通知所有获取磋商文件的供应商</w:t>
      </w:r>
      <w:r>
        <w:rPr>
          <w:rFonts w:hint="eastAsia" w:ascii="宋体" w:hAnsi="宋体" w:eastAsia="宋体" w:cs="宋体"/>
          <w:color w:val="auto"/>
          <w:sz w:val="24"/>
          <w:highlight w:val="none"/>
        </w:rPr>
        <w:t>；不足上述时间的，将顺延提交首次响应文件截止时间。</w:t>
      </w:r>
      <w:bookmarkStart w:id="188" w:name="_Toc516367020"/>
      <w:bookmarkStart w:id="189" w:name="_Toc265228364"/>
      <w:bookmarkStart w:id="190" w:name="_Toc305158868"/>
      <w:bookmarkStart w:id="191" w:name="_Toc150480764"/>
      <w:bookmarkStart w:id="192" w:name="_Toc142311028"/>
      <w:bookmarkStart w:id="193" w:name="_Toc150774731"/>
      <w:bookmarkStart w:id="194" w:name="_Toc151193696"/>
      <w:bookmarkStart w:id="195" w:name="_Toc226309770"/>
      <w:bookmarkStart w:id="196" w:name="_Toc150774626"/>
      <w:bookmarkStart w:id="197" w:name="_Toc520356150"/>
      <w:bookmarkStart w:id="198" w:name="_Toc195842891"/>
      <w:bookmarkStart w:id="199" w:name="_Toc151193768"/>
      <w:bookmarkStart w:id="200" w:name="_Toc226965799"/>
      <w:bookmarkStart w:id="201" w:name="_Toc127151526"/>
      <w:bookmarkStart w:id="202" w:name="_Toc150509277"/>
      <w:bookmarkStart w:id="203" w:name="_Toc151190153"/>
      <w:bookmarkStart w:id="204" w:name="_Toc151193624"/>
      <w:bookmarkStart w:id="205" w:name="_Toc151193914"/>
      <w:bookmarkStart w:id="206" w:name="_Toc226337222"/>
      <w:bookmarkStart w:id="207" w:name="_Toc305158794"/>
      <w:bookmarkStart w:id="208" w:name="_Toc226965716"/>
      <w:bookmarkStart w:id="209" w:name="_Toc151193840"/>
      <w:bookmarkStart w:id="210" w:name="_Toc264969216"/>
    </w:p>
    <w:p>
      <w:pPr>
        <w:pStyle w:val="5"/>
        <w:pageBreakBefore w:val="0"/>
        <w:widowControl w:val="0"/>
        <w:kinsoku/>
        <w:wordWrap/>
        <w:overflowPunct/>
        <w:topLinePunct w:val="0"/>
        <w:bidi w:val="0"/>
        <w:snapToGrid w:val="0"/>
        <w:spacing w:before="0" w:after="0" w:line="400" w:lineRule="exact"/>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三   响应文件</w:t>
      </w:r>
      <w:bookmarkEnd w:id="188"/>
      <w:r>
        <w:rPr>
          <w:rFonts w:hint="eastAsia" w:ascii="宋体" w:hAnsi="宋体" w:eastAsia="宋体" w:cs="宋体"/>
          <w:color w:val="auto"/>
          <w:sz w:val="28"/>
          <w:highlight w:val="none"/>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211" w:name="_Toc151193625"/>
      <w:bookmarkStart w:id="212" w:name="_Toc127161441"/>
      <w:bookmarkStart w:id="213" w:name="_Toc164351621"/>
      <w:bookmarkStart w:id="214" w:name="_Toc520356151"/>
      <w:bookmarkStart w:id="215" w:name="_Toc305158869"/>
      <w:bookmarkStart w:id="216" w:name="_Toc151193697"/>
      <w:bookmarkStart w:id="217" w:name="_Toc226965717"/>
      <w:bookmarkStart w:id="218" w:name="_Toc150774627"/>
      <w:bookmarkStart w:id="219" w:name="_Toc164229368"/>
      <w:bookmarkStart w:id="220" w:name="_Toc164229222"/>
      <w:bookmarkStart w:id="221" w:name="_Toc226337223"/>
      <w:bookmarkStart w:id="222" w:name="_Toc150480765"/>
      <w:bookmarkStart w:id="223" w:name="_Toc265228365"/>
      <w:bookmarkStart w:id="224" w:name="_Toc195842892"/>
      <w:bookmarkStart w:id="225" w:name="_Toc151193841"/>
      <w:bookmarkStart w:id="226" w:name="_Toc305158795"/>
      <w:bookmarkStart w:id="227" w:name="_Toc127151527"/>
      <w:bookmarkStart w:id="228" w:name="_Toc150774732"/>
      <w:bookmarkStart w:id="229" w:name="_Toc127151728"/>
      <w:bookmarkStart w:id="230" w:name="_Toc516367021"/>
      <w:bookmarkStart w:id="231" w:name="_Toc151193915"/>
      <w:bookmarkStart w:id="232" w:name="_Toc264969217"/>
      <w:bookmarkStart w:id="233" w:name="_Toc151190154"/>
      <w:bookmarkStart w:id="234" w:name="_Toc164608796"/>
      <w:bookmarkStart w:id="235" w:name="_Toc149720820"/>
      <w:bookmarkStart w:id="236" w:name="_Toc226965800"/>
      <w:bookmarkStart w:id="237" w:name="_Toc151193769"/>
      <w:bookmarkStart w:id="238" w:name="_Toc142311029"/>
      <w:bookmarkStart w:id="239" w:name="_Toc150509278"/>
      <w:bookmarkStart w:id="240" w:name="_Toc164608641"/>
      <w:bookmarkStart w:id="241" w:name="_Toc226309771"/>
      <w:r>
        <w:rPr>
          <w:rFonts w:hint="eastAsia" w:ascii="宋体" w:hAnsi="宋体" w:eastAsia="宋体" w:cs="宋体"/>
          <w:color w:val="auto"/>
          <w:sz w:val="24"/>
          <w:highlight w:val="none"/>
        </w:rPr>
        <w:t>响应范围、竞争性磋商文件中计量单位的使用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hint="eastAsia" w:ascii="宋体" w:hAnsi="宋体" w:eastAsia="宋体" w:cs="宋体"/>
          <w:color w:val="auto"/>
          <w:sz w:val="24"/>
          <w:highlight w:val="none"/>
        </w:rPr>
        <w:t>及磋商语言</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ascii="宋体" w:hAnsi="宋体" w:eastAsia="宋体" w:cs="宋体"/>
          <w:b/>
          <w:color w:val="auto"/>
          <w:sz w:val="24"/>
          <w:highlight w:val="none"/>
        </w:rPr>
        <w:t>无效响应</w:t>
      </w:r>
      <w:r>
        <w:rPr>
          <w:rFonts w:hint="eastAsia" w:ascii="宋体" w:hAnsi="宋体" w:eastAsia="宋体" w:cs="宋体"/>
          <w:color w:val="auto"/>
          <w:sz w:val="24"/>
          <w:highlight w:val="none"/>
        </w:rPr>
        <w:t>。</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除竞争性磋商文件有特殊要求外，本项目磋商所使用的计量单位，应采用中华人民共和国法定计量单位。</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242" w:name="_Ref467306676"/>
      <w:bookmarkStart w:id="243" w:name="_Ref467306195"/>
      <w:bookmarkStart w:id="244" w:name="_Toc516367022"/>
      <w:bookmarkStart w:id="245" w:name="_Toc127151729"/>
      <w:bookmarkStart w:id="246" w:name="_Toc164351622"/>
      <w:bookmarkStart w:id="247" w:name="_Toc265228366"/>
      <w:bookmarkStart w:id="248" w:name="_Toc226337224"/>
      <w:bookmarkStart w:id="249" w:name="_Toc226309772"/>
      <w:bookmarkStart w:id="250" w:name="_Toc164229369"/>
      <w:bookmarkStart w:id="251" w:name="_Toc226965801"/>
      <w:bookmarkStart w:id="252" w:name="_Toc127161442"/>
      <w:bookmarkStart w:id="253" w:name="_Toc164608642"/>
      <w:bookmarkStart w:id="254" w:name="_Toc151193698"/>
      <w:bookmarkStart w:id="255" w:name="_Toc195842893"/>
      <w:bookmarkStart w:id="256" w:name="_Toc149720821"/>
      <w:bookmarkStart w:id="257" w:name="_Toc305158796"/>
      <w:bookmarkStart w:id="258" w:name="_Toc164608797"/>
      <w:bookmarkStart w:id="259" w:name="_Toc150774628"/>
      <w:bookmarkStart w:id="260" w:name="_Toc150480766"/>
      <w:bookmarkStart w:id="261" w:name="_Toc150774733"/>
      <w:bookmarkStart w:id="262" w:name="_Toc226965718"/>
      <w:bookmarkStart w:id="263" w:name="_Toc264969218"/>
      <w:bookmarkStart w:id="264" w:name="_Toc151193842"/>
      <w:bookmarkStart w:id="265" w:name="_Toc151193626"/>
      <w:bookmarkStart w:id="266" w:name="_Toc151190155"/>
      <w:bookmarkStart w:id="267" w:name="_Toc127151528"/>
      <w:bookmarkStart w:id="268" w:name="_Toc164229223"/>
      <w:bookmarkStart w:id="269" w:name="_Toc150509279"/>
      <w:bookmarkStart w:id="270" w:name="_Toc142311030"/>
      <w:bookmarkStart w:id="271" w:name="_Toc151193916"/>
      <w:bookmarkStart w:id="272" w:name="_Toc151193770"/>
      <w:bookmarkStart w:id="273" w:name="_Toc305158870"/>
      <w:bookmarkStart w:id="274" w:name="_Toc520356152"/>
      <w:r>
        <w:rPr>
          <w:rFonts w:hint="eastAsia" w:ascii="宋体" w:hAnsi="宋体" w:eastAsia="宋体" w:cs="宋体"/>
          <w:color w:val="auto"/>
          <w:sz w:val="24"/>
          <w:highlight w:val="none"/>
        </w:rPr>
        <w:t>响应文件</w:t>
      </w:r>
      <w:bookmarkEnd w:id="242"/>
      <w:bookmarkEnd w:id="243"/>
      <w:bookmarkEnd w:id="244"/>
      <w:r>
        <w:rPr>
          <w:rFonts w:hint="eastAsia" w:ascii="宋体" w:hAnsi="宋体" w:eastAsia="宋体" w:cs="宋体"/>
          <w:color w:val="auto"/>
          <w:sz w:val="24"/>
          <w:highlight w:val="none"/>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275" w:name="_Ref467052588"/>
      <w:r>
        <w:rPr>
          <w:rFonts w:hint="eastAsia" w:ascii="宋体" w:hAnsi="宋体" w:eastAsia="宋体" w:cs="宋体"/>
          <w:color w:val="auto"/>
          <w:sz w:val="24"/>
          <w:highlight w:val="none"/>
        </w:rPr>
        <w:t>供应商应当按照竞争性磋商文件的要求编制响应文件，</w:t>
      </w:r>
      <w:r>
        <w:rPr>
          <w:rFonts w:hint="eastAsia" w:ascii="宋体" w:hAnsi="宋体" w:eastAsia="宋体" w:cs="宋体"/>
          <w:color w:val="auto"/>
          <w:kern w:val="0"/>
          <w:sz w:val="24"/>
          <w:highlight w:val="none"/>
        </w:rPr>
        <w:t>并对其提交的响应文件的真实性、合法性承担法律责任</w:t>
      </w:r>
      <w:r>
        <w:rPr>
          <w:rFonts w:hint="eastAsia" w:ascii="宋体" w:hAnsi="宋体" w:eastAsia="宋体" w:cs="宋体"/>
          <w:color w:val="auto"/>
          <w:sz w:val="24"/>
          <w:highlight w:val="none"/>
        </w:rPr>
        <w:t>。响应文件的部分格式要求，见第六章《响应文件格式》。</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对于竞争性磋商文件中标记了“实质性格式”文件的，</w:t>
      </w:r>
      <w:r>
        <w:rPr>
          <w:rFonts w:hint="eastAsia" w:ascii="宋体" w:hAnsi="宋体" w:eastAsia="宋体" w:cs="宋体"/>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color w:val="auto"/>
          <w:kern w:val="0"/>
          <w:sz w:val="24"/>
          <w:highlight w:val="none"/>
        </w:rPr>
        <w:t>否则响应无效</w:t>
      </w:r>
      <w:r>
        <w:rPr>
          <w:rFonts w:hint="eastAsia" w:ascii="宋体" w:hAnsi="宋体" w:eastAsia="宋体" w:cs="宋体"/>
          <w:color w:val="auto"/>
          <w:kern w:val="0"/>
          <w:sz w:val="24"/>
          <w:highlight w:val="none"/>
        </w:rPr>
        <w:t>。未标记“实质性格式”的文件和竞争性磋商文件未提供格式的内容，可由供应商自行编写。</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第三章《评审方法和评审标准》中涉及的证明文件。</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供应商认为应附的其他材料。</w:t>
      </w:r>
      <w:bookmarkEnd w:id="275"/>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276" w:name="_Toc142311032"/>
      <w:bookmarkStart w:id="277" w:name="_Toc520356155"/>
      <w:bookmarkStart w:id="278" w:name="_Toc164608644"/>
      <w:bookmarkStart w:id="279" w:name="_Toc195842895"/>
      <w:bookmarkStart w:id="280" w:name="_Toc164229371"/>
      <w:bookmarkStart w:id="281" w:name="_Toc149720823"/>
      <w:bookmarkStart w:id="282" w:name="_Toc164229225"/>
      <w:bookmarkStart w:id="283" w:name="_Toc151193918"/>
      <w:bookmarkStart w:id="284" w:name="_Toc164351624"/>
      <w:bookmarkStart w:id="285" w:name="_Toc164608799"/>
      <w:bookmarkStart w:id="286" w:name="_Toc150480768"/>
      <w:bookmarkStart w:id="287" w:name="_Toc127151731"/>
      <w:bookmarkStart w:id="288" w:name="_Toc150774735"/>
      <w:bookmarkStart w:id="289" w:name="_Toc151193844"/>
      <w:bookmarkStart w:id="290" w:name="_Toc151193700"/>
      <w:bookmarkStart w:id="291" w:name="_Toc127161444"/>
      <w:bookmarkStart w:id="292" w:name="_Toc151190157"/>
      <w:bookmarkStart w:id="293" w:name="_Toc151193628"/>
      <w:bookmarkStart w:id="294" w:name="_Toc151193772"/>
      <w:bookmarkStart w:id="295" w:name="_Toc150774630"/>
      <w:bookmarkStart w:id="296" w:name="_Toc127151530"/>
      <w:bookmarkStart w:id="297" w:name="_Toc150509281"/>
      <w:r>
        <w:rPr>
          <w:rFonts w:hint="eastAsia" w:ascii="宋体" w:hAnsi="宋体" w:eastAsia="宋体" w:cs="宋体"/>
          <w:color w:val="auto"/>
          <w:sz w:val="24"/>
          <w:highlight w:val="none"/>
        </w:rPr>
        <w:t>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所有响应均以人民币报价。</w:t>
      </w:r>
    </w:p>
    <w:p>
      <w:pPr>
        <w:pageBreakBefore w:val="0"/>
        <w:widowControl w:val="0"/>
        <w:numPr>
          <w:ilvl w:val="1"/>
          <w:numId w:val="9"/>
        </w:numPr>
        <w:tabs>
          <w:tab w:val="left" w:pos="1080"/>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按照竞争性磋商文件要求完成本项目的全部相关费用。</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采购人不得向供应商索要或者接受其给予的赠品、回扣或者与采购无关的其他商品、服务。</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供应商不能提供任何有选择性或可调整的最后报价（</w:t>
      </w:r>
      <w:r>
        <w:rPr>
          <w:rFonts w:hint="eastAsia" w:ascii="宋体" w:hAnsi="宋体" w:eastAsia="宋体" w:cs="宋体"/>
          <w:color w:val="auto"/>
          <w:kern w:val="0"/>
          <w:sz w:val="24"/>
          <w:highlight w:val="none"/>
        </w:rPr>
        <w:t>竞争性磋商文件</w:t>
      </w:r>
      <w:r>
        <w:rPr>
          <w:rFonts w:hint="eastAsia" w:ascii="宋体" w:hAnsi="宋体" w:eastAsia="宋体" w:cs="宋体"/>
          <w:color w:val="auto"/>
          <w:sz w:val="24"/>
          <w:highlight w:val="none"/>
        </w:rPr>
        <w:t>另有规定的除外），否则其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298" w:name="_Ref467306302"/>
      <w:r>
        <w:rPr>
          <w:rFonts w:hint="eastAsia" w:ascii="宋体" w:hAnsi="宋体" w:eastAsia="宋体" w:cs="宋体"/>
          <w:color w:val="auto"/>
          <w:sz w:val="24"/>
          <w:highlight w:val="none"/>
        </w:rPr>
        <w:t>供应商应按《供应商须知资料表》中规定的金额及要求交纳磋商保证金</w:t>
      </w:r>
      <w:bookmarkEnd w:id="298"/>
      <w:r>
        <w:rPr>
          <w:rFonts w:hint="eastAsia" w:ascii="宋体" w:hAnsi="宋体" w:eastAsia="宋体" w:cs="宋体"/>
          <w:color w:val="auto"/>
          <w:sz w:val="24"/>
          <w:highlight w:val="none"/>
        </w:rPr>
        <w:t>。供应商自愿超额缴纳磋商保证金的，响应文件不做无效处理。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交纳磋商保证金可采用的形式：政府采购法律法规接受的支票、汇票、本票、网上银行支付或者金融机构、担保机构出具的保函等非现金形式。</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磋商保证金有效期同响应有效期。</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供应商为联合体的，可以由联合体中的一方或者多方共同交纳磋商保证金，其交纳的保证金对联合体各方均具有约束力。</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已提交响应文件的供应商，在提交最后报价之前，可以根据磋商情况退出磋商。采购人、采购代理机构将退还退出磋商的供应商的磋商保证金；</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成交供应商的磋商保证金，在采购合同签订后5个工作日内退还成交供应商；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未成交供应商的磋商保证金，在成交通知书发出后5个工作日内退还。</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有下列情形之一的，采购人或采购代理机构不予退还磋商保证金：</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供应商在响应文件提交截止时间后撤回响应文件的；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供应商在响应文件中提供虚假材料的；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除因不可抗力或磋商文件认可的情形以外，成交供应商不与采购人签订合同的；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供应商与采购人、其他供应商或者采购代理机构恶意串通的；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《供应商须知资料表》规定的其他情形。</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299" w:name="_Toc265228371"/>
      <w:bookmarkStart w:id="300" w:name="_Toc164229228"/>
      <w:bookmarkStart w:id="301" w:name="_Toc195842898"/>
      <w:bookmarkStart w:id="302" w:name="_Toc142311035"/>
      <w:bookmarkStart w:id="303" w:name="_Toc164229374"/>
      <w:bookmarkStart w:id="304" w:name="_Toc520356158"/>
      <w:bookmarkStart w:id="305" w:name="_Toc164608802"/>
      <w:bookmarkStart w:id="306" w:name="_Toc164351627"/>
      <w:bookmarkStart w:id="307" w:name="_Toc151190160"/>
      <w:bookmarkStart w:id="308" w:name="_Toc150480771"/>
      <w:bookmarkStart w:id="309" w:name="_Toc164608647"/>
      <w:bookmarkStart w:id="310" w:name="_Toc151193631"/>
      <w:bookmarkStart w:id="311" w:name="_Toc150774738"/>
      <w:bookmarkStart w:id="312" w:name="_Toc127161447"/>
      <w:bookmarkStart w:id="313" w:name="_Toc127151533"/>
      <w:bookmarkStart w:id="314" w:name="_Toc150774633"/>
      <w:bookmarkStart w:id="315" w:name="_Toc226965723"/>
      <w:bookmarkStart w:id="316" w:name="_Toc151193847"/>
      <w:bookmarkStart w:id="317" w:name="_Toc226337229"/>
      <w:bookmarkStart w:id="318" w:name="_Toc151193921"/>
      <w:bookmarkStart w:id="319" w:name="_Toc226309777"/>
      <w:bookmarkStart w:id="320" w:name="_Toc151193775"/>
      <w:bookmarkStart w:id="321" w:name="_Toc305158801"/>
      <w:bookmarkStart w:id="322" w:name="_Toc127151734"/>
      <w:bookmarkStart w:id="323" w:name="_Toc264969223"/>
      <w:bookmarkStart w:id="324" w:name="_Toc226965806"/>
      <w:bookmarkStart w:id="325" w:name="_Toc149720826"/>
      <w:bookmarkStart w:id="326" w:name="_Toc305158875"/>
      <w:bookmarkStart w:id="327" w:name="_Toc151193703"/>
      <w:bookmarkStart w:id="328" w:name="_Toc150509284"/>
      <w:bookmarkStart w:id="329" w:name="_Toc151193922"/>
      <w:bookmarkStart w:id="330" w:name="_Toc151193704"/>
      <w:bookmarkStart w:id="331" w:name="_Toc150774739"/>
      <w:bookmarkStart w:id="332" w:name="_Toc142311036"/>
      <w:bookmarkStart w:id="333" w:name="_Toc151193776"/>
      <w:bookmarkStart w:id="334" w:name="_Toc195842899"/>
      <w:bookmarkStart w:id="335" w:name="_Toc305158802"/>
      <w:bookmarkStart w:id="336" w:name="_Toc226337230"/>
      <w:bookmarkStart w:id="337" w:name="_Toc151190161"/>
      <w:bookmarkStart w:id="338" w:name="_Toc226965807"/>
      <w:bookmarkStart w:id="339" w:name="_Toc151193632"/>
      <w:bookmarkStart w:id="340" w:name="_Toc265228372"/>
      <w:bookmarkStart w:id="341" w:name="_Toc520356159"/>
      <w:bookmarkStart w:id="342" w:name="_Toc127151534"/>
      <w:bookmarkStart w:id="343" w:name="_Toc264969224"/>
      <w:bookmarkStart w:id="344" w:name="_Toc226965724"/>
      <w:bookmarkStart w:id="345" w:name="_Toc226309778"/>
      <w:bookmarkStart w:id="346" w:name="_Toc151193848"/>
      <w:bookmarkStart w:id="347" w:name="_Toc150774634"/>
      <w:bookmarkStart w:id="348" w:name="_Toc305158876"/>
      <w:bookmarkStart w:id="349" w:name="_Toc150480772"/>
      <w:bookmarkStart w:id="350" w:name="_Toc150509285"/>
      <w:r>
        <w:rPr>
          <w:rFonts w:hint="eastAsia" w:ascii="宋体" w:hAnsi="宋体" w:eastAsia="宋体" w:cs="宋体"/>
          <w:color w:val="auto"/>
          <w:sz w:val="24"/>
          <w:highlight w:val="none"/>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ascii="宋体" w:hAnsi="宋体" w:eastAsia="宋体" w:cs="宋体"/>
          <w:color w:val="auto"/>
          <w:sz w:val="24"/>
          <w:highlight w:val="none"/>
        </w:rPr>
        <w:t>、盖章</w:t>
      </w:r>
    </w:p>
    <w:p>
      <w:pPr>
        <w:pageBreakBefore w:val="0"/>
        <w:widowControl w:val="0"/>
        <w:numPr>
          <w:ilvl w:val="1"/>
          <w:numId w:val="9"/>
        </w:numPr>
        <w:tabs>
          <w:tab w:val="left" w:pos="1080"/>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pPr>
        <w:pageBreakBefore w:val="0"/>
        <w:widowControl w:val="0"/>
        <w:numPr>
          <w:ilvl w:val="1"/>
          <w:numId w:val="9"/>
        </w:numPr>
        <w:tabs>
          <w:tab w:val="left" w:pos="1080"/>
        </w:tabs>
        <w:kinsoku/>
        <w:wordWrap/>
        <w:overflowPunct/>
        <w:topLinePunct w:val="0"/>
        <w:bidi w:val="0"/>
        <w:snapToGrid w:val="0"/>
        <w:spacing w:after="0" w:line="400" w:lineRule="exact"/>
        <w:ind w:left="1068" w:hanging="648"/>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竞争性磋商文件要求盖章的内容，一般通过投标文件编制工具加盖电子签章。</w:t>
      </w:r>
    </w:p>
    <w:p>
      <w:pPr>
        <w:pStyle w:val="5"/>
        <w:pageBreakBefore w:val="0"/>
        <w:widowControl w:val="0"/>
        <w:kinsoku/>
        <w:wordWrap/>
        <w:overflowPunct/>
        <w:topLinePunct w:val="0"/>
        <w:bidi w:val="0"/>
        <w:snapToGrid w:val="0"/>
        <w:spacing w:before="0" w:after="0" w:line="400" w:lineRule="exact"/>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四   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351" w:name="_Toc151193849"/>
      <w:bookmarkStart w:id="352" w:name="_Toc151193705"/>
      <w:bookmarkStart w:id="353" w:name="_Toc127151736"/>
      <w:bookmarkStart w:id="354" w:name="_Toc127161449"/>
      <w:bookmarkStart w:id="355" w:name="_Toc151193923"/>
      <w:bookmarkStart w:id="356" w:name="_Toc520356160"/>
      <w:bookmarkStart w:id="357" w:name="_Toc150774740"/>
      <w:bookmarkStart w:id="358" w:name="_Toc164229376"/>
      <w:bookmarkStart w:id="359" w:name="_Toc226965808"/>
      <w:bookmarkStart w:id="360" w:name="_Toc226337231"/>
      <w:bookmarkStart w:id="361" w:name="_Toc127151535"/>
      <w:bookmarkStart w:id="362" w:name="_Toc150480773"/>
      <w:bookmarkStart w:id="363" w:name="_Toc149720828"/>
      <w:bookmarkStart w:id="364" w:name="_Toc305158803"/>
      <w:bookmarkStart w:id="365" w:name="_Toc164229230"/>
      <w:bookmarkStart w:id="366" w:name="_Toc265228373"/>
      <w:bookmarkStart w:id="367" w:name="_Toc164351629"/>
      <w:bookmarkStart w:id="368" w:name="_Toc264969225"/>
      <w:bookmarkStart w:id="369" w:name="_Toc151193633"/>
      <w:bookmarkStart w:id="370" w:name="_Toc150774635"/>
      <w:bookmarkStart w:id="371" w:name="_Toc164608649"/>
      <w:bookmarkStart w:id="372" w:name="_Toc226965725"/>
      <w:bookmarkStart w:id="373" w:name="_Toc150509286"/>
      <w:bookmarkStart w:id="374" w:name="_Toc151193777"/>
      <w:bookmarkStart w:id="375" w:name="_Toc305158877"/>
      <w:bookmarkStart w:id="376" w:name="_Toc164608804"/>
      <w:bookmarkStart w:id="377" w:name="_Toc142311037"/>
      <w:bookmarkStart w:id="378" w:name="_Toc226309779"/>
      <w:bookmarkStart w:id="379" w:name="_Toc151190162"/>
      <w:bookmarkStart w:id="380" w:name="_Toc195842900"/>
      <w:r>
        <w:rPr>
          <w:rFonts w:hint="eastAsia" w:ascii="宋体" w:hAnsi="宋体" w:eastAsia="宋体" w:cs="宋体"/>
          <w:color w:val="auto"/>
          <w:sz w:val="24"/>
          <w:highlight w:val="none"/>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rFonts w:hint="eastAsia" w:ascii="宋体" w:hAnsi="宋体" w:eastAsia="宋体" w:cs="宋体"/>
          <w:color w:val="auto"/>
          <w:sz w:val="24"/>
          <w:highlight w:val="none"/>
        </w:rPr>
        <w:t>提交</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381" w:name="_Toc195921820"/>
      <w:r>
        <w:rPr>
          <w:rFonts w:hint="eastAsia" w:ascii="宋体" w:hAnsi="宋体" w:eastAsia="宋体" w:cs="宋体"/>
          <w:color w:val="auto"/>
          <w:sz w:val="24"/>
          <w:highlight w:val="none"/>
        </w:rPr>
        <w:t>响应文件的</w:t>
      </w:r>
      <w:bookmarkEnd w:id="381"/>
      <w:r>
        <w:rPr>
          <w:rFonts w:hint="eastAsia" w:ascii="宋体" w:hAnsi="宋体" w:eastAsia="宋体" w:cs="宋体"/>
          <w:color w:val="auto"/>
          <w:sz w:val="24"/>
          <w:highlight w:val="none"/>
        </w:rPr>
        <w:t>密封和标记</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382" w:name="_Ref421008478"/>
      <w:r>
        <w:rPr>
          <w:rFonts w:hint="eastAsia" w:ascii="宋体" w:hAnsi="宋体" w:eastAsia="宋体" w:cs="宋体"/>
          <w:color w:val="auto"/>
          <w:sz w:val="24"/>
          <w:highlight w:val="none"/>
        </w:rPr>
        <w:t>供应商递交的响应文件，应按照标包分别加以密封。密封方式为在响应文件外包装封口处加盖公章或“密封章”。</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383" w:name="_Ref527102501"/>
      <w:r>
        <w:rPr>
          <w:rFonts w:hint="eastAsia" w:ascii="宋体" w:hAnsi="宋体" w:eastAsia="宋体" w:cs="宋体"/>
          <w:color w:val="auto"/>
          <w:sz w:val="24"/>
          <w:highlight w:val="none"/>
        </w:rPr>
        <w:t>响应文件的封套上应标识的其他内容见供应商须知前附表。</w:t>
      </w:r>
      <w:bookmarkEnd w:id="382"/>
      <w:bookmarkEnd w:id="383"/>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未按本章第1</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REF _Ref421008478 \r \h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4.2</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项、第1</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REF _Ref421008478 \r \h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4.3</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项要求密封并加写标识的响应文件，采购人不予受理。</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384" w:name="_Toc195921821"/>
      <w:r>
        <w:rPr>
          <w:rFonts w:hint="eastAsia" w:ascii="宋体" w:hAnsi="宋体" w:eastAsia="宋体" w:cs="宋体"/>
          <w:color w:val="auto"/>
          <w:sz w:val="24"/>
          <w:highlight w:val="none"/>
        </w:rPr>
        <w:t>首次响应文件的递交</w:t>
      </w:r>
      <w:bookmarkEnd w:id="384"/>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供应商应在竞争性磋商公告或磋商邀请书规定的递交响应文件截止时间前递交首次响应文件。如有变化，见澄清修改文件。</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供应商递交首次响应文件的地点：见竞争性磋商公告或磋商邀请书。如有变化，见澄清修改文件。</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除因供应商家数不满足要求未进行谈判的情形外，供应商所递交的响应文件不予退还。</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逾期送达、未送达指定地点的响应文件，采购人不予受理。</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385" w:name="_Toc195921822"/>
      <w:r>
        <w:rPr>
          <w:rFonts w:hint="eastAsia" w:ascii="宋体" w:hAnsi="宋体" w:eastAsia="宋体" w:cs="宋体"/>
          <w:color w:val="auto"/>
          <w:sz w:val="24"/>
          <w:highlight w:val="none"/>
        </w:rPr>
        <w:t>响应文件的修改与撤回</w:t>
      </w:r>
      <w:bookmarkEnd w:id="385"/>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在竞争性磋商公告或磋商邀请书规定的首次响应文件递交截止时间前，供应商可以修改或撤回已递交的首次响应文件，但应以书面形式通知采购人。</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修改的内容为首次响应文件的组成部分。修改的首次响应文件应按照本章第3条、第4条规定进行编制、标记和递交，并标明“修改”字样。</w:t>
      </w:r>
    </w:p>
    <w:p>
      <w:pPr>
        <w:pStyle w:val="5"/>
        <w:pageBreakBefore w:val="0"/>
        <w:widowControl w:val="0"/>
        <w:kinsoku/>
        <w:wordWrap/>
        <w:overflowPunct/>
        <w:topLinePunct w:val="0"/>
        <w:bidi w:val="0"/>
        <w:snapToGrid w:val="0"/>
        <w:spacing w:before="0" w:after="0" w:line="400" w:lineRule="exact"/>
        <w:textAlignment w:val="auto"/>
        <w:rPr>
          <w:rFonts w:hint="eastAsia" w:ascii="宋体" w:hAnsi="宋体" w:eastAsia="宋体" w:cs="宋体"/>
          <w:color w:val="auto"/>
          <w:sz w:val="28"/>
          <w:highlight w:val="none"/>
        </w:rPr>
      </w:pPr>
      <w:bookmarkStart w:id="386" w:name="_Toc127151538"/>
      <w:bookmarkStart w:id="387" w:name="_Toc226337234"/>
      <w:bookmarkStart w:id="388" w:name="_Toc151193708"/>
      <w:bookmarkStart w:id="389" w:name="_Toc226965728"/>
      <w:bookmarkStart w:id="390" w:name="_Toc265228376"/>
      <w:bookmarkStart w:id="391" w:name="_Toc264969228"/>
      <w:bookmarkStart w:id="392" w:name="_Toc150774743"/>
      <w:bookmarkStart w:id="393" w:name="_Toc150509289"/>
      <w:bookmarkStart w:id="394" w:name="_Toc305158806"/>
      <w:bookmarkStart w:id="395" w:name="_Toc150774638"/>
      <w:bookmarkStart w:id="396" w:name="_Toc226965811"/>
      <w:bookmarkStart w:id="397" w:name="_Toc226309782"/>
      <w:bookmarkStart w:id="398" w:name="_Toc142311040"/>
      <w:bookmarkStart w:id="399" w:name="_Toc151193926"/>
      <w:bookmarkStart w:id="400" w:name="_Toc151193852"/>
      <w:bookmarkStart w:id="401" w:name="_Toc195842903"/>
      <w:bookmarkStart w:id="402" w:name="_Toc151190165"/>
      <w:bookmarkStart w:id="403" w:name="_Toc150480776"/>
      <w:bookmarkStart w:id="404" w:name="_Toc520356163"/>
      <w:bookmarkStart w:id="405" w:name="_Toc151193636"/>
      <w:bookmarkStart w:id="406" w:name="_Toc305158880"/>
      <w:bookmarkStart w:id="407" w:name="_Toc151193780"/>
      <w:r>
        <w:rPr>
          <w:rFonts w:hint="eastAsia" w:ascii="宋体" w:hAnsi="宋体" w:eastAsia="宋体" w:cs="宋体"/>
          <w:color w:val="auto"/>
          <w:sz w:val="28"/>
          <w:highlight w:val="none"/>
        </w:rPr>
        <w:t xml:space="preserve">五   </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hint="eastAsia" w:ascii="宋体" w:hAnsi="宋体" w:eastAsia="宋体" w:cs="宋体"/>
          <w:color w:val="auto"/>
          <w:sz w:val="28"/>
          <w:highlight w:val="none"/>
        </w:rPr>
        <w:t>评审</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响应文件的开启</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408" w:name="_Toc520356165"/>
      <w:r>
        <w:rPr>
          <w:rFonts w:hint="eastAsia" w:ascii="宋体" w:hAnsi="宋体" w:eastAsia="宋体" w:cs="宋体"/>
          <w:color w:val="auto"/>
          <w:sz w:val="24"/>
          <w:highlight w:val="none"/>
        </w:rPr>
        <w:t>采购人或采购代理机构将按竞争性磋商文件的规定，在响应文件提交截止时间的同一时间和竞争性磋商文件预先确定的地点开启响应文件。</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本项目解密使用北京市政府采购电子交易平台。供应商应在《供应商须知资料表》规定的时间内对响应文件进行解密，因非系统原因导致的解密失败，视为</w:t>
      </w:r>
      <w:r>
        <w:rPr>
          <w:rFonts w:hint="eastAsia" w:ascii="宋体" w:hAnsi="宋体" w:eastAsia="宋体" w:cs="宋体"/>
          <w:b/>
          <w:color w:val="auto"/>
          <w:sz w:val="24"/>
          <w:highlight w:val="none"/>
        </w:rPr>
        <w:t>无效响应</w:t>
      </w:r>
      <w:r>
        <w:rPr>
          <w:rFonts w:hint="eastAsia" w:ascii="宋体" w:hAnsi="宋体" w:eastAsia="宋体" w:cs="宋体"/>
          <w:color w:val="auto"/>
          <w:sz w:val="24"/>
          <w:highlight w:val="none"/>
        </w:rPr>
        <w:t>。</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供应商不足3家的，不予解密。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本项目不公开报价。</w:t>
      </w:r>
    </w:p>
    <w:bookmarkEnd w:id="408"/>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磋商小组根据政府采购有关规定和本次采购项目的特点进行组建，并负责具体评审与磋商事务，独立履行职责。</w:t>
      </w:r>
      <w:bookmarkStart w:id="409" w:name="_Toc520356166"/>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09"/>
      <w:bookmarkStart w:id="410" w:name="_Toc520356169"/>
    </w:p>
    <w:p>
      <w:pPr>
        <w:pageBreakBefore w:val="0"/>
        <w:widowControl w:val="0"/>
        <w:numPr>
          <w:ilvl w:val="0"/>
          <w:numId w:val="9"/>
        </w:numPr>
        <w:tabs>
          <w:tab w:val="left" w:pos="360"/>
        </w:tabs>
        <w:kinsoku/>
        <w:wordWrap/>
        <w:overflowPunct/>
        <w:topLinePunct w:val="0"/>
        <w:bidi w:val="0"/>
        <w:snapToGrid w:val="0"/>
        <w:spacing w:after="0" w:line="400" w:lineRule="exact"/>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评审方法和评审标准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见第三章《评审方法和评审标准》。</w:t>
      </w:r>
    </w:p>
    <w:p>
      <w:pPr>
        <w:pStyle w:val="5"/>
        <w:pageBreakBefore w:val="0"/>
        <w:widowControl w:val="0"/>
        <w:kinsoku/>
        <w:wordWrap/>
        <w:overflowPunct/>
        <w:topLinePunct w:val="0"/>
        <w:bidi w:val="0"/>
        <w:snapToGrid w:val="0"/>
        <w:spacing w:before="0" w:after="0" w:line="400" w:lineRule="exact"/>
        <w:textAlignment w:val="auto"/>
        <w:rPr>
          <w:rFonts w:hint="eastAsia" w:ascii="宋体" w:hAnsi="宋体" w:eastAsia="宋体" w:cs="宋体"/>
          <w:color w:val="auto"/>
          <w:sz w:val="28"/>
          <w:highlight w:val="none"/>
        </w:rPr>
      </w:pPr>
      <w:bookmarkStart w:id="411" w:name="_Toc226965818"/>
      <w:bookmarkStart w:id="412" w:name="_Toc150774645"/>
      <w:bookmarkStart w:id="413" w:name="_Toc264969235"/>
      <w:bookmarkStart w:id="414" w:name="_Toc142311047"/>
      <w:bookmarkStart w:id="415" w:name="_Toc151190172"/>
      <w:bookmarkStart w:id="416" w:name="_Toc150509296"/>
      <w:bookmarkStart w:id="417" w:name="_Toc305158887"/>
      <w:bookmarkStart w:id="418" w:name="_Toc265228383"/>
      <w:bookmarkStart w:id="419" w:name="_Toc151193643"/>
      <w:bookmarkStart w:id="420" w:name="_Toc127151545"/>
      <w:bookmarkStart w:id="421" w:name="_Toc195842910"/>
      <w:bookmarkStart w:id="422" w:name="_Toc226337241"/>
      <w:bookmarkStart w:id="423" w:name="_Toc226965735"/>
      <w:bookmarkStart w:id="424" w:name="_Toc151193933"/>
      <w:bookmarkStart w:id="425" w:name="_Toc151193715"/>
      <w:bookmarkStart w:id="426" w:name="_Toc151193859"/>
      <w:bookmarkStart w:id="427" w:name="_Toc151193787"/>
      <w:bookmarkStart w:id="428" w:name="_Toc226309789"/>
      <w:bookmarkStart w:id="429" w:name="_Toc150480783"/>
      <w:bookmarkStart w:id="430" w:name="_Toc150774750"/>
      <w:bookmarkStart w:id="431" w:name="_Toc305158813"/>
      <w:r>
        <w:rPr>
          <w:rFonts w:hint="eastAsia" w:ascii="宋体" w:hAnsi="宋体" w:eastAsia="宋体" w:cs="宋体"/>
          <w:color w:val="auto"/>
          <w:sz w:val="28"/>
          <w:highlight w:val="none"/>
        </w:rPr>
        <w:t xml:space="preserve">六   </w:t>
      </w:r>
      <w:bookmarkEnd w:id="410"/>
      <w:r>
        <w:rPr>
          <w:rFonts w:hint="eastAsia" w:ascii="宋体" w:hAnsi="宋体" w:eastAsia="宋体" w:cs="宋体"/>
          <w:color w:val="auto"/>
          <w:sz w:val="28"/>
          <w:highlight w:val="none"/>
        </w:rPr>
        <w:t>确定</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Pr>
          <w:rFonts w:hint="eastAsia" w:ascii="宋体" w:hAnsi="宋体" w:eastAsia="宋体" w:cs="宋体"/>
          <w:color w:val="auto"/>
          <w:sz w:val="28"/>
          <w:highlight w:val="none"/>
        </w:rPr>
        <w:t>成交</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432" w:name="_Toc150480785"/>
      <w:bookmarkStart w:id="433" w:name="_Toc226965820"/>
      <w:bookmarkStart w:id="434" w:name="_Toc226309791"/>
      <w:bookmarkStart w:id="435" w:name="_Toc164229242"/>
      <w:bookmarkStart w:id="436" w:name="_Toc151193789"/>
      <w:bookmarkStart w:id="437" w:name="_Toc151193861"/>
      <w:bookmarkStart w:id="438" w:name="_Toc226337243"/>
      <w:bookmarkStart w:id="439" w:name="_Toc150509298"/>
      <w:bookmarkStart w:id="440" w:name="_Toc127151547"/>
      <w:bookmarkStart w:id="441" w:name="_Toc150774752"/>
      <w:bookmarkStart w:id="442" w:name="_Toc164608661"/>
      <w:bookmarkStart w:id="443" w:name="_Toc151193935"/>
      <w:bookmarkStart w:id="444" w:name="_Toc226965737"/>
      <w:bookmarkStart w:id="445" w:name="_Toc305158889"/>
      <w:bookmarkStart w:id="446" w:name="_Toc264969237"/>
      <w:bookmarkStart w:id="447" w:name="_Toc127161461"/>
      <w:bookmarkStart w:id="448" w:name="_Toc127151748"/>
      <w:bookmarkStart w:id="449" w:name="_Toc150774647"/>
      <w:bookmarkStart w:id="450" w:name="_Toc151193717"/>
      <w:bookmarkStart w:id="451" w:name="_Toc149720840"/>
      <w:bookmarkStart w:id="452" w:name="_Toc164229388"/>
      <w:bookmarkStart w:id="453" w:name="_Toc195842912"/>
      <w:bookmarkStart w:id="454" w:name="_Toc151190174"/>
      <w:bookmarkStart w:id="455" w:name="_Toc142311049"/>
      <w:bookmarkStart w:id="456" w:name="_Toc164351641"/>
      <w:bookmarkStart w:id="457" w:name="_Toc305158815"/>
      <w:bookmarkStart w:id="458" w:name="_Toc151193645"/>
      <w:bookmarkStart w:id="459" w:name="_Toc265228385"/>
      <w:bookmarkStart w:id="460" w:name="_Toc164608816"/>
      <w:r>
        <w:rPr>
          <w:rFonts w:hint="eastAsia" w:ascii="宋体" w:hAnsi="宋体" w:eastAsia="宋体" w:cs="宋体"/>
          <w:color w:val="auto"/>
          <w:sz w:val="24"/>
          <w:highlight w:val="none"/>
        </w:rPr>
        <w:t>确定成交供应商</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461" w:name="_Toc305158891"/>
      <w:bookmarkStart w:id="462" w:name="_Toc305158817"/>
      <w:bookmarkStart w:id="463" w:name="_Toc150774649"/>
      <w:bookmarkStart w:id="464" w:name="_Toc164229390"/>
      <w:bookmarkStart w:id="465" w:name="_Toc149720842"/>
      <w:bookmarkStart w:id="466" w:name="_Toc195842914"/>
      <w:bookmarkStart w:id="467" w:name="_Toc164229244"/>
      <w:bookmarkStart w:id="468" w:name="_Toc127161463"/>
      <w:bookmarkStart w:id="469" w:name="_Toc150774754"/>
      <w:bookmarkStart w:id="470" w:name="_Toc151193719"/>
      <w:bookmarkStart w:id="471" w:name="_Toc226965739"/>
      <w:bookmarkStart w:id="472" w:name="_Toc264969239"/>
      <w:bookmarkStart w:id="473" w:name="_Toc150509300"/>
      <w:bookmarkStart w:id="474" w:name="_Toc164351643"/>
      <w:bookmarkStart w:id="475" w:name="_Toc151193647"/>
      <w:bookmarkStart w:id="476" w:name="_Toc265228387"/>
      <w:bookmarkStart w:id="477" w:name="_Toc151193937"/>
      <w:bookmarkStart w:id="478" w:name="_Toc142311051"/>
      <w:bookmarkStart w:id="479" w:name="_Toc226337245"/>
      <w:bookmarkStart w:id="480" w:name="_Toc151193863"/>
      <w:bookmarkStart w:id="481" w:name="_Toc151190176"/>
      <w:bookmarkStart w:id="482" w:name="_Toc127151750"/>
      <w:bookmarkStart w:id="483" w:name="_Toc164608663"/>
      <w:bookmarkStart w:id="484" w:name="_Toc226965822"/>
      <w:bookmarkStart w:id="485" w:name="_Toc151193791"/>
      <w:bookmarkStart w:id="486" w:name="_Toc164608818"/>
      <w:bookmarkStart w:id="487" w:name="_Toc150480787"/>
      <w:bookmarkStart w:id="488" w:name="_Toc127151549"/>
      <w:bookmarkStart w:id="489" w:name="_Toc226309793"/>
      <w:bookmarkStart w:id="490" w:name="_Toc520356176"/>
      <w:bookmarkStart w:id="491" w:name="_Ref467307090"/>
      <w:bookmarkStart w:id="492" w:name="_Ref467306425"/>
      <w:r>
        <w:rPr>
          <w:rFonts w:hint="eastAsia" w:ascii="宋体" w:hAnsi="宋体" w:eastAsia="宋体" w:cs="宋体"/>
          <w:color w:val="auto"/>
          <w:sz w:val="24"/>
          <w:highlight w:val="none"/>
        </w:rPr>
        <w:t>成交公告与成交通知书</w:t>
      </w:r>
      <w:bookmarkEnd w:id="461"/>
      <w:bookmarkEnd w:id="462"/>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采购人或采购代理机构将</w:t>
      </w:r>
      <w:r>
        <w:rPr>
          <w:rFonts w:hint="eastAsia" w:ascii="宋体" w:hAnsi="宋体" w:eastAsia="宋体" w:cs="宋体"/>
          <w:color w:val="auto"/>
          <w:kern w:val="0"/>
          <w:sz w:val="24"/>
          <w:highlight w:val="none"/>
        </w:rPr>
        <w:t>在成交供应商确定后2个工作日内，在</w:t>
      </w:r>
      <w:r>
        <w:rPr>
          <w:rFonts w:hint="eastAsia" w:ascii="宋体" w:hAnsi="宋体" w:eastAsia="宋体" w:cs="宋体"/>
          <w:color w:val="auto"/>
          <w:sz w:val="24"/>
          <w:highlight w:val="none"/>
        </w:rPr>
        <w:t>北京市政府采购网</w:t>
      </w:r>
      <w:r>
        <w:rPr>
          <w:rFonts w:hint="eastAsia" w:ascii="宋体" w:hAnsi="宋体" w:eastAsia="宋体" w:cs="宋体"/>
          <w:color w:val="auto"/>
          <w:kern w:val="0"/>
          <w:sz w:val="24"/>
          <w:highlight w:val="none"/>
        </w:rPr>
        <w:t>公告成交结果，同时向成交供应商发出成交通知书，</w:t>
      </w:r>
      <w:r>
        <w:rPr>
          <w:rFonts w:hint="eastAsia" w:ascii="宋体" w:hAnsi="宋体" w:eastAsia="宋体" w:cs="宋体"/>
          <w:color w:val="auto"/>
          <w:sz w:val="24"/>
          <w:highlight w:val="none"/>
        </w:rPr>
        <w:t>成交公告期限为1个工作日。项目采购采用综合评分法的，公告成交结果时应当同时公告成交供应商的评审总得分。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成交通知书对采购人和成交供应商均具有法律效力。成交通知书发出后，采购人改变成交结果的，或者成交供应商放弃成交项目的，应当依法承担法律责任。</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终止</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出现下列情形之一的，采购人或采购代理机构将终止竞争性磋商采购活动，发布项目终止公告并说明原因，重新开展采购活动：</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因情况变化，不再符合规定的竞争性磋商采购方式适用情形的；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出现影响采购公正的违法、违规行为的；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493" w:name="_Toc151193720"/>
      <w:bookmarkStart w:id="494" w:name="_Toc164229245"/>
      <w:bookmarkStart w:id="495" w:name="_Toc150774650"/>
      <w:bookmarkStart w:id="496" w:name="_Toc151193648"/>
      <w:bookmarkStart w:id="497" w:name="_Toc226337246"/>
      <w:bookmarkStart w:id="498" w:name="_Toc164229391"/>
      <w:bookmarkStart w:id="499" w:name="_Ref467306377"/>
      <w:bookmarkStart w:id="500" w:name="_Ref467307062"/>
      <w:bookmarkStart w:id="501" w:name="_Toc264969240"/>
      <w:bookmarkStart w:id="502" w:name="_Ref467307204"/>
      <w:bookmarkStart w:id="503" w:name="_Toc305158892"/>
      <w:bookmarkStart w:id="504" w:name="_Toc150480788"/>
      <w:bookmarkStart w:id="505" w:name="_Toc150509301"/>
      <w:bookmarkStart w:id="506" w:name="_Toc151190177"/>
      <w:bookmarkStart w:id="507" w:name="_Toc149720843"/>
      <w:bookmarkStart w:id="508" w:name="_Toc164608819"/>
      <w:bookmarkStart w:id="509" w:name="_Toc226965823"/>
      <w:bookmarkStart w:id="510" w:name="_Toc305158818"/>
      <w:bookmarkStart w:id="511" w:name="_Toc164608664"/>
      <w:bookmarkStart w:id="512" w:name="_Toc127151550"/>
      <w:bookmarkStart w:id="513" w:name="_Toc195842915"/>
      <w:bookmarkStart w:id="514" w:name="_Toc150774755"/>
      <w:bookmarkStart w:id="515" w:name="_Toc164351644"/>
      <w:bookmarkStart w:id="516" w:name="_Toc151193864"/>
      <w:bookmarkStart w:id="517" w:name="_Ref467306978"/>
      <w:bookmarkStart w:id="518" w:name="_Toc127151751"/>
      <w:bookmarkStart w:id="519" w:name="_Toc226965740"/>
      <w:bookmarkStart w:id="520" w:name="_Toc151193792"/>
      <w:bookmarkStart w:id="521" w:name="_Toc151193938"/>
      <w:bookmarkStart w:id="522" w:name="_Toc127161464"/>
      <w:bookmarkStart w:id="523" w:name="_Toc265228388"/>
      <w:bookmarkStart w:id="524" w:name="_Toc142311052"/>
      <w:bookmarkStart w:id="525" w:name="_Toc520356175"/>
      <w:bookmarkStart w:id="526" w:name="_Toc226309794"/>
      <w:r>
        <w:rPr>
          <w:rFonts w:hint="eastAsia" w:ascii="宋体" w:hAnsi="宋体" w:eastAsia="宋体" w:cs="宋体"/>
          <w:color w:val="auto"/>
          <w:sz w:val="24"/>
          <w:highlight w:val="none"/>
        </w:rPr>
        <w:t>签订合同</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采购人与成交供应商应当在成交通知书发出之日起30日内，按照磋商文件确定的合同文本以及采购标的、规格型号、采购金额、采购数量、技术和服务要求等事项签订政府采购合同。</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联合体成交的，联合体各方应当共同与采购人签订合同，就采购合同约定的事项向采购人承担连带责任。</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政府采购合同不能转包。</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eastAsia="宋体" w:cs="宋体"/>
          <w:b/>
          <w:color w:val="auto"/>
          <w:sz w:val="24"/>
          <w:highlight w:val="none"/>
        </w:rPr>
        <w:t>否则响应无效</w:t>
      </w:r>
      <w:r>
        <w:rPr>
          <w:rFonts w:hint="eastAsia" w:ascii="宋体" w:hAnsi="宋体" w:eastAsia="宋体" w:cs="宋体"/>
          <w:color w:val="auto"/>
          <w:sz w:val="24"/>
          <w:highlight w:val="none"/>
        </w:rPr>
        <w:t>。成交供应商就采购项目和分包项目向采购人负责，分包供应商就分包项目承担责任。</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“政采贷”融资指引：详见《供应商须知资料表》。</w:t>
      </w:r>
    </w:p>
    <w:bookmarkEnd w:id="490"/>
    <w:bookmarkEnd w:id="491"/>
    <w:bookmarkEnd w:id="492"/>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询问与质疑</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询问</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供应商对政府采购活动事项有疑问的，可依法提出询问，并按《供应商须知资料表》载明的形式送达采购人或采购代理机构。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采购人或采购代理机构对供应商依法提出的询问，在3个工作日内作出答复，但答复的内容不得涉及商业秘密。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供应商应在法定质疑期内一次性提出针对同一采购程序环节的质疑，法定质疑期内针对同一采购程序环节再次提出的质疑，采购人、采购代理机构有权不予答复。</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接收询问和质疑的联系部门、联系电话和通讯地址见《供应商须知资料表》。</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代理费</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收费对象、收费标准及缴纳时间见《供应商须知资料表》。由成交供应商支付的，成交供应商须一次性向采购代理机构缴纳代理费，报价应包含代理费用。</w:t>
      </w:r>
    </w:p>
    <w:p>
      <w:pPr>
        <w:tabs>
          <w:tab w:val="left" w:pos="360"/>
          <w:tab w:val="left" w:pos="1080"/>
        </w:tabs>
        <w:snapToGrid w:val="0"/>
        <w:spacing w:line="360" w:lineRule="auto"/>
        <w:ind w:left="360"/>
        <w:rPr>
          <w:rFonts w:hint="eastAsia" w:ascii="宋体" w:hAnsi="宋体" w:eastAsia="宋体" w:cs="宋体"/>
          <w:color w:val="auto"/>
          <w:sz w:val="24"/>
          <w:highlight w:val="none"/>
        </w:rPr>
      </w:pPr>
    </w:p>
    <w:p>
      <w:pPr>
        <w:spacing w:line="360" w:lineRule="auto"/>
        <w:jc w:val="center"/>
        <w:outlineLvl w:val="0"/>
        <w:rPr>
          <w:rFonts w:hint="eastAsia" w:ascii="宋体" w:hAnsi="宋体" w:eastAsia="宋体" w:cs="宋体"/>
          <w:b/>
          <w:color w:val="auto"/>
          <w:sz w:val="36"/>
          <w:szCs w:val="36"/>
          <w:highlight w:val="none"/>
        </w:rPr>
      </w:pPr>
      <w:bookmarkStart w:id="527" w:name="_Toc150774759"/>
      <w:bookmarkStart w:id="528" w:name="_Toc142311056"/>
      <w:bookmarkStart w:id="529" w:name="_Toc226965827"/>
      <w:bookmarkStart w:id="530" w:name="_Toc305158896"/>
      <w:bookmarkStart w:id="531" w:name="_Toc305158822"/>
      <w:bookmarkStart w:id="532" w:name="_Toc226337250"/>
      <w:bookmarkStart w:id="533" w:name="_Toc150480792"/>
      <w:bookmarkStart w:id="534" w:name="_Toc353825544"/>
      <w:bookmarkStart w:id="535" w:name="_Toc353873934"/>
      <w:bookmarkStart w:id="536" w:name="_Toc353873664"/>
      <w:bookmarkStart w:id="537" w:name="_Toc265228392"/>
      <w:bookmarkStart w:id="538" w:name="_Toc127151554"/>
      <w:bookmarkStart w:id="539" w:name="_Toc264969244"/>
      <w:r>
        <w:rPr>
          <w:rFonts w:hint="eastAsia" w:ascii="宋体" w:hAnsi="宋体" w:eastAsia="宋体" w:cs="宋体"/>
          <w:color w:val="auto"/>
          <w:sz w:val="24"/>
          <w:highlight w:val="none"/>
        </w:rPr>
        <w:br w:type="page"/>
      </w:r>
      <w:bookmarkStart w:id="540" w:name="_Toc3213"/>
      <w:r>
        <w:rPr>
          <w:rFonts w:hint="eastAsia" w:ascii="宋体" w:hAnsi="宋体" w:eastAsia="宋体" w:cs="宋体"/>
          <w:b/>
          <w:color w:val="auto"/>
          <w:sz w:val="36"/>
          <w:szCs w:val="36"/>
          <w:highlight w:val="none"/>
        </w:rPr>
        <w:t xml:space="preserve">第三章   </w:t>
      </w:r>
      <w:bookmarkEnd w:id="527"/>
      <w:bookmarkEnd w:id="528"/>
      <w:bookmarkEnd w:id="529"/>
      <w:bookmarkEnd w:id="530"/>
      <w:bookmarkEnd w:id="531"/>
      <w:bookmarkEnd w:id="532"/>
      <w:bookmarkEnd w:id="533"/>
      <w:bookmarkEnd w:id="534"/>
      <w:bookmarkEnd w:id="535"/>
      <w:bookmarkEnd w:id="536"/>
      <w:bookmarkEnd w:id="537"/>
      <w:bookmarkEnd w:id="538"/>
      <w:bookmarkEnd w:id="539"/>
      <w:r>
        <w:rPr>
          <w:rFonts w:hint="eastAsia" w:ascii="宋体" w:hAnsi="宋体" w:eastAsia="宋体" w:cs="宋体"/>
          <w:b/>
          <w:color w:val="auto"/>
          <w:sz w:val="36"/>
          <w:szCs w:val="36"/>
          <w:highlight w:val="none"/>
        </w:rPr>
        <w:t>评审方法和评审标准</w:t>
      </w:r>
      <w:bookmarkEnd w:id="540"/>
      <w:bookmarkStart w:id="541" w:name="_Toc487900382"/>
    </w:p>
    <w:p>
      <w:pPr>
        <w:pStyle w:val="5"/>
        <w:spacing w:before="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一、评审程序和方法</w:t>
      </w:r>
    </w:p>
    <w:p>
      <w:pPr>
        <w:tabs>
          <w:tab w:val="left" w:pos="1080"/>
        </w:tabs>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ab/>
      </w:r>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541"/>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bookmarkStart w:id="542" w:name="_Toc150774746"/>
      <w:bookmarkStart w:id="543" w:name="_Toc142311043"/>
      <w:bookmarkStart w:id="544" w:name="_Toc151193711"/>
      <w:bookmarkStart w:id="545" w:name="_Toc226965731"/>
      <w:bookmarkStart w:id="546" w:name="_Toc151193783"/>
      <w:bookmarkStart w:id="547" w:name="_Toc164229382"/>
      <w:bookmarkStart w:id="548" w:name="_Toc164351635"/>
      <w:bookmarkStart w:id="549" w:name="_Toc264969231"/>
      <w:bookmarkStart w:id="550" w:name="_Toc127151541"/>
      <w:bookmarkStart w:id="551" w:name="_Toc149720834"/>
      <w:bookmarkStart w:id="552" w:name="_Toc164608810"/>
      <w:bookmarkStart w:id="553" w:name="_Toc127161455"/>
      <w:bookmarkStart w:id="554" w:name="_Toc151193639"/>
      <w:bookmarkStart w:id="555" w:name="_Toc127151742"/>
      <w:bookmarkStart w:id="556" w:name="_Toc226309785"/>
      <w:bookmarkStart w:id="557" w:name="_Toc164229236"/>
      <w:bookmarkStart w:id="558" w:name="_Toc195842906"/>
      <w:bookmarkStart w:id="559" w:name="_Toc151190168"/>
      <w:bookmarkStart w:id="560" w:name="_Toc150480779"/>
      <w:bookmarkStart w:id="561" w:name="_Toc151193929"/>
      <w:bookmarkStart w:id="562" w:name="_Toc305158883"/>
      <w:bookmarkStart w:id="563" w:name="_Toc226965814"/>
      <w:bookmarkStart w:id="564" w:name="_Toc305158809"/>
      <w:bookmarkStart w:id="565" w:name="_Toc265228379"/>
      <w:bookmarkStart w:id="566" w:name="_Toc150774641"/>
      <w:bookmarkStart w:id="567" w:name="_Toc150509292"/>
      <w:bookmarkStart w:id="568" w:name="_Toc151193855"/>
      <w:bookmarkStart w:id="569" w:name="_Toc226337237"/>
      <w:bookmarkStart w:id="570" w:name="_Toc164608655"/>
      <w:bookmarkStart w:id="571" w:name="_Toc353873941"/>
      <w:bookmarkStart w:id="572" w:name="_Toc353825551"/>
      <w:bookmarkStart w:id="573" w:name="_Toc305158823"/>
      <w:bookmarkStart w:id="574" w:name="_Toc226965828"/>
      <w:bookmarkStart w:id="575" w:name="_Toc353873665"/>
      <w:bookmarkStart w:id="576" w:name="_Toc150480793"/>
      <w:bookmarkStart w:id="577" w:name="_Toc195842920"/>
      <w:bookmarkStart w:id="578" w:name="_Toc226337251"/>
      <w:bookmarkStart w:id="579" w:name="_Toc353873935"/>
      <w:bookmarkStart w:id="580" w:name="_Toc127151555"/>
      <w:bookmarkStart w:id="581" w:name="_Toc353825545"/>
      <w:bookmarkStart w:id="582" w:name="_Toc265228393"/>
      <w:bookmarkStart w:id="583" w:name="_Toc150774760"/>
      <w:bookmarkStart w:id="584" w:name="_Toc142311057"/>
      <w:bookmarkStart w:id="585" w:name="_Toc305158897"/>
      <w:bookmarkStart w:id="586" w:name="_Toc264969245"/>
      <w:r>
        <w:rPr>
          <w:rFonts w:hint="eastAsia" w:ascii="宋体" w:hAnsi="宋体" w:eastAsia="宋体" w:cs="宋体"/>
          <w:color w:val="auto"/>
          <w:sz w:val="24"/>
          <w:highlight w:val="none"/>
        </w:rPr>
        <w:t>响应文件的</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r>
        <w:rPr>
          <w:rFonts w:hint="eastAsia" w:ascii="宋体" w:hAnsi="宋体" w:eastAsia="宋体" w:cs="宋体"/>
          <w:color w:val="auto"/>
          <w:sz w:val="24"/>
          <w:highlight w:val="none"/>
        </w:rPr>
        <w:t>资格审查和符合性审查</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eastAsia="宋体" w:cs="宋体"/>
          <w:b/>
          <w:color w:val="auto"/>
          <w:sz w:val="24"/>
          <w:highlight w:val="none"/>
        </w:rPr>
        <w:t>无效响应</w:t>
      </w:r>
      <w:r>
        <w:rPr>
          <w:rFonts w:hint="eastAsia" w:ascii="宋体" w:hAnsi="宋体" w:eastAsia="宋体" w:cs="宋体"/>
          <w:color w:val="auto"/>
          <w:sz w:val="24"/>
          <w:highlight w:val="none"/>
        </w:rPr>
        <w:t>处理，磋商小组应当告知提交响应文件的供应商。</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《资格审查要求》中对格式有要求的，除竞争性磋商文件另有规定外，均为“实质性格式”文件。</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《资格审查要求》见下表：</w:t>
      </w:r>
    </w:p>
    <w:p>
      <w:pPr>
        <w:tabs>
          <w:tab w:val="left" w:pos="900"/>
          <w:tab w:val="left" w:pos="1080"/>
        </w:tabs>
        <w:snapToGrid w:val="0"/>
        <w:spacing w:line="360" w:lineRule="auto"/>
        <w:ind w:left="1077" w:firstLine="2650" w:firstLineChars="11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资格审查要求</w:t>
      </w:r>
    </w:p>
    <w:tbl>
      <w:tblPr>
        <w:tblStyle w:val="45"/>
        <w:tblW w:w="9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9"/>
        <w:gridCol w:w="1524"/>
        <w:gridCol w:w="5633"/>
        <w:gridCol w:w="1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blHeader/>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color w:val="auto"/>
                <w:sz w:val="24"/>
                <w:highlight w:val="none"/>
              </w:rPr>
            </w:pPr>
            <w:bookmarkStart w:id="587" w:name="_Hlt487972895"/>
            <w:bookmarkEnd w:id="587"/>
            <w:r>
              <w:rPr>
                <w:rFonts w:hint="eastAsia" w:ascii="宋体" w:hAnsi="宋体" w:eastAsia="宋体" w:cs="宋体"/>
                <w:b/>
                <w:color w:val="auto"/>
                <w:sz w:val="24"/>
                <w:highlight w:val="none"/>
              </w:rPr>
              <w:t>序号</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检查因素</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检查内容</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营业执照等证明文件</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供应商为企业（包括合伙企业）的，应提供有效的“营业执照”；</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供应商为事业单位的，应提供有效的“事业单位法人证书”；</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供应商是非企业机构的，应提供有效的“执业许可证”、“登记证书”等证明文件；</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供应商是个体工商户的，应提供有效的“个体工商户营业执照”；</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供应商是自然人的，应提供有效的自然人身份证明。</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分支机构参加响应的，应提供该分支机构或其所属法人/其他组织的相应证明文件；同时还应提供其所属法人/其他组织出具的授权其参与本项目的授权书（格式自拟，须加盖其所属法人/其他组织的公章）；对于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iCs/>
                <w:color w:val="auto"/>
                <w:sz w:val="24"/>
                <w:highlight w:val="none"/>
              </w:rPr>
              <w:t>银行、保险、石油石化、电力、电信等行业的分支机构，可以提供上述</w:t>
            </w:r>
            <w:r>
              <w:rPr>
                <w:rFonts w:hint="eastAsia" w:ascii="宋体" w:hAnsi="宋体" w:eastAsia="宋体" w:cs="宋体"/>
                <w:color w:val="auto"/>
                <w:sz w:val="24"/>
                <w:highlight w:val="none"/>
              </w:rPr>
              <w:t>授权，也可以提供其所属法人/其他组织的有关文件或制度等能够证明授权其独立开展业务的证明材料。</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提供证明文件的复印件须加盖本单位公章。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供应商资格声明书</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提供了符合竞争性磋商文件要求的《供应商资格声明书》。</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供应商信用记录</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查询渠道：信用中国网站和中国政府采购网（</w:t>
            </w:r>
            <w:r>
              <w:rPr>
                <w:rFonts w:hint="eastAsia" w:ascii="宋体" w:hAnsi="宋体" w:eastAsia="宋体" w:cs="宋体"/>
                <w:color w:val="auto"/>
                <w:highlight w:val="none"/>
              </w:rPr>
              <w:t>www.creditchina.gov.cn</w:t>
            </w:r>
            <w:r>
              <w:rPr>
                <w:rFonts w:hint="eastAsia" w:ascii="宋体" w:hAnsi="宋体" w:eastAsia="宋体" w:cs="宋体"/>
                <w:color w:val="auto"/>
                <w:sz w:val="24"/>
                <w:highlight w:val="none"/>
              </w:rPr>
              <w:t>、</w:t>
            </w:r>
            <w:r>
              <w:rPr>
                <w:rFonts w:hint="eastAsia" w:ascii="宋体" w:hAnsi="宋体" w:eastAsia="宋体" w:cs="宋体"/>
                <w:color w:val="auto"/>
                <w:highlight w:val="none"/>
              </w:rPr>
              <w:t>www.ccgp.gov.cn</w:t>
            </w:r>
            <w:r>
              <w:rPr>
                <w:rFonts w:hint="eastAsia" w:ascii="宋体" w:hAnsi="宋体" w:eastAsia="宋体" w:cs="宋体"/>
                <w:color w:val="auto"/>
                <w:sz w:val="24"/>
                <w:highlight w:val="none"/>
              </w:rPr>
              <w:t>）；</w:t>
            </w:r>
          </w:p>
          <w:p>
            <w:pPr>
              <w:keepNext w:val="0"/>
              <w:keepLines w:val="0"/>
              <w:pageBreakBefore w:val="0"/>
              <w:widowControl w:val="0"/>
              <w:tabs>
                <w:tab w:val="left" w:pos="900"/>
                <w:tab w:val="left" w:pos="19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截止时点：</w:t>
            </w:r>
            <w:r>
              <w:rPr>
                <w:rFonts w:hint="eastAsia" w:ascii="宋体" w:hAnsi="宋体" w:eastAsia="宋体" w:cs="宋体"/>
                <w:color w:val="auto"/>
                <w:kern w:val="0"/>
                <w:sz w:val="24"/>
                <w:szCs w:val="20"/>
                <w:highlight w:val="none"/>
              </w:rPr>
              <w:t>首次响应文件提交截止时间以后</w:t>
            </w:r>
            <w:r>
              <w:rPr>
                <w:rFonts w:hint="eastAsia" w:ascii="宋体" w:hAnsi="宋体" w:eastAsia="宋体" w:cs="宋体"/>
                <w:color w:val="auto"/>
                <w:sz w:val="24"/>
                <w:highlight w:val="none"/>
              </w:rPr>
              <w:t>、资格审查阶段采购人或采购代理机构的实际查询时间；</w:t>
            </w:r>
          </w:p>
          <w:p>
            <w:pPr>
              <w:keepNext w:val="0"/>
              <w:keepLines w:val="0"/>
              <w:pageBreakBefore w:val="0"/>
              <w:widowControl w:val="0"/>
              <w:tabs>
                <w:tab w:val="left" w:pos="900"/>
                <w:tab w:val="left" w:pos="19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信用信息查询记录和证据留存具体方式：查询结果网页打印页作为查询记录和证据，与其他竞争性磋商文件一并保存；</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信用信息的使用原则：经认定的被列入失信被执行人、重大税收违法案件当事人名单、政府采购严重违法失信行为记录名单的供应商，其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。联合体形式磋商的，联合体成员存在不良信用记录，视同联合体存在不良信用记录。</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中小企业证明文件</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当本项目（包）涉及预留份额专门面向中小企业采购，提供如下资料： </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1、供应商单独响应的，应提供《中小企业声明函》或《残疾人福利性单位声明函》或由省级以上监狱管理局、戒毒管理局（含新疆生产建设兵团）出具的属于监狱企业的证明文件。</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本项目的特定资格要求</w:t>
            </w:r>
          </w:p>
        </w:tc>
        <w:tc>
          <w:tcPr>
            <w:tcW w:w="5633" w:type="dxa"/>
            <w:shd w:val="clear" w:color="auto" w:fill="auto"/>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如有，见第一章《采购邀请》</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注：如联合体中有同类资质的供应商按照联合体分工承担相同工作的，均应当提供资质证书电子件或电子证照。</w:t>
            </w:r>
          </w:p>
        </w:tc>
        <w:tc>
          <w:tcPr>
            <w:tcW w:w="1642" w:type="dxa"/>
            <w:shd w:val="clear" w:color="auto" w:fill="auto"/>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磋商保证金</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按照竞争性磋商文件的要求提交磋商保证金</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本项目不适用</w:t>
            </w:r>
            <w:r>
              <w:rPr>
                <w:rFonts w:hint="eastAsia" w:ascii="宋体" w:hAnsi="宋体" w:cs="宋体"/>
                <w:color w:val="auto"/>
                <w:kern w:val="0"/>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获取磋商文件</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在规定期限内通过北京市政府采购电子交易平台获取所参与包的磋商文件。</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注：如本项目接受联合体，且供应商为联合体时，联合体中任一成员获取文件即视为满足要求。</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p>
        </w:tc>
      </w:tr>
    </w:tbl>
    <w:p>
      <w:pPr>
        <w:widowControl/>
        <w:jc w:val="left"/>
        <w:rPr>
          <w:rFonts w:hint="eastAsia" w:ascii="宋体" w:hAnsi="宋体" w:eastAsia="宋体" w:cs="宋体"/>
          <w:color w:val="auto"/>
          <w:sz w:val="24"/>
          <w:highlight w:val="none"/>
        </w:rPr>
      </w:pP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《符合性审查要求》见下表：</w:t>
      </w:r>
    </w:p>
    <w:tbl>
      <w:tblPr>
        <w:tblStyle w:val="45"/>
        <w:tblW w:w="95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7"/>
        <w:gridCol w:w="2173"/>
        <w:gridCol w:w="4784"/>
        <w:gridCol w:w="1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b/>
                <w:caps/>
                <w:color w:val="auto"/>
                <w:sz w:val="24"/>
                <w:highlight w:val="none"/>
              </w:rPr>
            </w:pPr>
            <w:r>
              <w:rPr>
                <w:rFonts w:hint="eastAsia" w:ascii="宋体" w:hAnsi="宋体" w:eastAsia="宋体" w:cs="宋体"/>
                <w:b/>
                <w:caps/>
                <w:color w:val="auto"/>
                <w:sz w:val="24"/>
                <w:highlight w:val="none"/>
              </w:rPr>
              <w:t>序号</w:t>
            </w:r>
          </w:p>
        </w:tc>
        <w:tc>
          <w:tcPr>
            <w:tcW w:w="2173" w:type="dxa"/>
            <w:vAlign w:val="center"/>
          </w:tcPr>
          <w:p>
            <w:pPr>
              <w:keepNext w:val="0"/>
              <w:keepLines w:val="0"/>
              <w:pageBreakBefore w:val="0"/>
              <w:widowControl/>
              <w:kinsoku/>
              <w:wordWrap/>
              <w:overflowPunct/>
              <w:topLinePunct w:val="0"/>
              <w:autoSpaceDE/>
              <w:autoSpaceDN/>
              <w:bidi w:val="0"/>
              <w:snapToGrid w:val="0"/>
              <w:spacing w:after="0" w:line="240" w:lineRule="auto"/>
              <w:jc w:val="center"/>
              <w:rPr>
                <w:rFonts w:hint="eastAsia" w:ascii="宋体" w:hAnsi="宋体" w:eastAsia="宋体" w:cs="宋体"/>
                <w:b/>
                <w:caps/>
                <w:color w:val="auto"/>
                <w:sz w:val="24"/>
                <w:highlight w:val="none"/>
              </w:rPr>
            </w:pPr>
            <w:r>
              <w:rPr>
                <w:rFonts w:hint="eastAsia" w:ascii="宋体" w:hAnsi="宋体" w:eastAsia="宋体" w:cs="宋体"/>
                <w:b/>
                <w:color w:val="auto"/>
                <w:sz w:val="24"/>
                <w:highlight w:val="none"/>
              </w:rPr>
              <w:t>检查</w:t>
            </w:r>
            <w:r>
              <w:rPr>
                <w:rFonts w:hint="eastAsia" w:ascii="宋体" w:hAnsi="宋体" w:eastAsia="宋体" w:cs="宋体"/>
                <w:b/>
                <w:color w:val="auto"/>
                <w:kern w:val="0"/>
                <w:sz w:val="24"/>
                <w:highlight w:val="none"/>
              </w:rPr>
              <w:t>因素</w:t>
            </w:r>
          </w:p>
        </w:tc>
        <w:tc>
          <w:tcPr>
            <w:tcW w:w="4784" w:type="dxa"/>
            <w:vAlign w:val="center"/>
          </w:tcPr>
          <w:p>
            <w:pPr>
              <w:keepNext w:val="0"/>
              <w:keepLines w:val="0"/>
              <w:pageBreakBefore w:val="0"/>
              <w:widowControl/>
              <w:kinsoku/>
              <w:wordWrap/>
              <w:overflowPunct/>
              <w:topLinePunct w:val="0"/>
              <w:autoSpaceDE/>
              <w:autoSpaceDN/>
              <w:bidi w:val="0"/>
              <w:snapToGrid w:val="0"/>
              <w:spacing w:after="0" w:line="240" w:lineRule="auto"/>
              <w:jc w:val="center"/>
              <w:rPr>
                <w:rFonts w:hint="eastAsia" w:ascii="宋体" w:hAnsi="宋体" w:eastAsia="宋体" w:cs="宋体"/>
                <w:b/>
                <w:caps/>
                <w:color w:val="auto"/>
                <w:sz w:val="24"/>
                <w:highlight w:val="none"/>
              </w:rPr>
            </w:pPr>
            <w:r>
              <w:rPr>
                <w:rFonts w:hint="eastAsia" w:ascii="宋体" w:hAnsi="宋体" w:eastAsia="宋体" w:cs="宋体"/>
                <w:b/>
                <w:color w:val="auto"/>
                <w:sz w:val="24"/>
                <w:highlight w:val="none"/>
              </w:rPr>
              <w:t>检查</w:t>
            </w:r>
            <w:r>
              <w:rPr>
                <w:rFonts w:hint="eastAsia" w:ascii="宋体" w:hAnsi="宋体" w:eastAsia="宋体" w:cs="宋体"/>
                <w:b/>
                <w:color w:val="auto"/>
                <w:kern w:val="0"/>
                <w:sz w:val="24"/>
                <w:highlight w:val="none"/>
              </w:rPr>
              <w:t>内容</w:t>
            </w:r>
          </w:p>
        </w:tc>
        <w:tc>
          <w:tcPr>
            <w:tcW w:w="192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b/>
                <w:caps/>
                <w:color w:val="auto"/>
                <w:sz w:val="24"/>
                <w:highlight w:val="none"/>
              </w:rPr>
            </w:pPr>
            <w:r>
              <w:rPr>
                <w:rFonts w:hint="eastAsia" w:ascii="宋体" w:hAnsi="宋体" w:eastAsia="宋体" w:cs="宋体"/>
                <w:b/>
                <w:color w:val="auto"/>
                <w:kern w:val="0"/>
                <w:sz w:val="24"/>
                <w:highlight w:val="none"/>
              </w:rPr>
              <w:t>是否允许澄清、说明或者更正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173"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响应文件签署盖章</w:t>
            </w:r>
          </w:p>
        </w:tc>
        <w:tc>
          <w:tcPr>
            <w:tcW w:w="478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按磋商文件格式要求加盖了供应商公章和（/或）有法定代表人或其授权代表签字加盖人名章。</w:t>
            </w:r>
          </w:p>
        </w:tc>
        <w:tc>
          <w:tcPr>
            <w:tcW w:w="192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173"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报价</w:t>
            </w:r>
          </w:p>
        </w:tc>
        <w:tc>
          <w:tcPr>
            <w:tcW w:w="478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供应商报价是固定价且未超过预算金额（磋商文件有最高限价的，报价未超过最高限价；</w:t>
            </w:r>
          </w:p>
        </w:tc>
        <w:tc>
          <w:tcPr>
            <w:tcW w:w="1924"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173"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附加条件</w:t>
            </w:r>
          </w:p>
        </w:tc>
        <w:tc>
          <w:tcPr>
            <w:tcW w:w="478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响应文件不含有采购人不能接受的附加条件；</w:t>
            </w:r>
          </w:p>
        </w:tc>
        <w:tc>
          <w:tcPr>
            <w:tcW w:w="1924"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响应文件有效期</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有效期满足磋商文件要求的；</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备选方案</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strike/>
                <w:color w:val="auto"/>
                <w:sz w:val="24"/>
                <w:highlight w:val="none"/>
              </w:rPr>
            </w:pPr>
            <w:r>
              <w:rPr>
                <w:rFonts w:hint="eastAsia" w:ascii="宋体" w:hAnsi="宋体" w:eastAsia="宋体" w:cs="宋体"/>
                <w:color w:val="auto"/>
                <w:sz w:val="24"/>
                <w:highlight w:val="none"/>
              </w:rPr>
              <w:t>供应商不得提交两份或者多份内容不同的响应文件，或者在同一份响应文件中对同一磋商项目有两个或者多个报价；</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响应文件内容</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供应商提供的货物/服务无实质性遗漏；</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技术响应</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符合“采购需求”要求，无重大偏差；</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服务期和服务地点</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满足磋商文件要求；</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磋商文件不允许偏差时，响应文件无负偏差。</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bookmarkStart w:id="588" w:name="OLE_LINK2"/>
            <w:r>
              <w:rPr>
                <w:rFonts w:hint="eastAsia" w:ascii="宋体" w:hAnsi="宋体" w:eastAsia="宋体" w:cs="宋体"/>
                <w:color w:val="auto"/>
                <w:sz w:val="24"/>
                <w:highlight w:val="none"/>
              </w:rPr>
              <w:t>不允许</w:t>
            </w:r>
            <w:bookmarkEnd w:id="58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2173"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其他无效情形</w:t>
            </w:r>
          </w:p>
        </w:tc>
        <w:tc>
          <w:tcPr>
            <w:tcW w:w="478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法律、法规和磋商文件规定的其他无效情形；</w:t>
            </w:r>
          </w:p>
        </w:tc>
        <w:tc>
          <w:tcPr>
            <w:tcW w:w="1924"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bl>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磋商、响应文件有关事项的澄清、说明或者更正和最后报价</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磋商小组所有成员将集中与单一供应商分别进行磋商，并给予所有参加磋商的供应商平等的磋商机会。</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对磋商文件作出的实质性变动是磋商文件的有效组成部分，磋商小组应当及时以书面形式同时通知所有参加磋商的供应商。</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供应商应当按照磋商文件的变动情况和磋商小组的要求重新提交响应文件，并由其法定代表人（</w:t>
      </w:r>
      <w:r>
        <w:rPr>
          <w:rFonts w:hint="eastAsia" w:ascii="宋体" w:hAnsi="宋体" w:eastAsia="宋体" w:cs="宋体"/>
          <w:color w:val="auto"/>
          <w:sz w:val="24"/>
          <w:szCs w:val="20"/>
          <w:highlight w:val="none"/>
        </w:rPr>
        <w:t>若供应商为事业单位或其他组织或分支机构，可为单位负责人</w:t>
      </w:r>
      <w:r>
        <w:rPr>
          <w:rFonts w:hint="eastAsia" w:ascii="宋体" w:hAnsi="宋体" w:eastAsia="宋体" w:cs="宋体"/>
          <w:color w:val="auto"/>
          <w:kern w:val="0"/>
          <w:sz w:val="24"/>
          <w:highlight w:val="none"/>
        </w:rPr>
        <w:t>）或授权代表签字或者加盖公章。由授权代表签字的，应当附授权委托书。供应商为自然人的，应当由本人签字并附身份证明。</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响应文件的澄清、说明或者更正：</w:t>
      </w:r>
    </w:p>
    <w:p>
      <w:pPr>
        <w:numPr>
          <w:ilvl w:val="2"/>
          <w:numId w:val="1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color w:val="auto"/>
          <w:sz w:val="24"/>
          <w:highlight w:val="none"/>
        </w:rPr>
        <w:t>无效处理</w:t>
      </w:r>
      <w:r>
        <w:rPr>
          <w:rFonts w:hint="eastAsia" w:ascii="宋体" w:hAnsi="宋体" w:eastAsia="宋体" w:cs="宋体"/>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color w:val="auto"/>
          <w:sz w:val="24"/>
          <w:highlight w:val="none"/>
        </w:rPr>
        <w:t>无效处理</w:t>
      </w:r>
      <w:r>
        <w:rPr>
          <w:rFonts w:hint="eastAsia" w:ascii="宋体" w:hAnsi="宋体" w:eastAsia="宋体" w:cs="宋体"/>
          <w:color w:val="auto"/>
          <w:sz w:val="24"/>
          <w:highlight w:val="none"/>
        </w:rPr>
        <w:t>。</w:t>
      </w:r>
    </w:p>
    <w:p>
      <w:pPr>
        <w:numPr>
          <w:ilvl w:val="2"/>
          <w:numId w:val="1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宋体" w:hAnsi="宋体" w:eastAsia="宋体" w:cs="宋体"/>
          <w:color w:val="auto"/>
          <w:kern w:val="0"/>
          <w:sz w:val="24"/>
          <w:highlight w:val="none"/>
        </w:rPr>
        <w:t>（</w:t>
      </w:r>
      <w:r>
        <w:rPr>
          <w:rFonts w:hint="eastAsia" w:ascii="宋体" w:hAnsi="宋体" w:eastAsia="宋体" w:cs="宋体"/>
          <w:color w:val="auto"/>
          <w:sz w:val="24"/>
          <w:szCs w:val="20"/>
          <w:highlight w:val="none"/>
        </w:rPr>
        <w:t>若供应商为事业单位或其他组织或分支机构，可为单位负责人</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或其授权代表签字或者加盖公章。由授权代表签字的，应当附授权委托书。供应商为自然人的，应当由本人签字并附身份证明。澄清、说明或者更正文件将作为响应文件内容的一部分。</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磋商结束后，磋商小组将要求所有实质性响应的供应商在规定时间内提交最后报价。最后报价时间为磋商小组指定的时间，具体时间根据磋商进度另行通知。</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color w:val="auto"/>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最后报价是供应商响应文件的有效组成部分。</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已提交响应文件的供应商，在提交最后报价之前，可以根据磋商情况退出磋商。</w:t>
      </w:r>
    </w:p>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最后报价的算术修正及政策调整</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最后报价出现前后不一致的，按照下列规定修正：</w:t>
      </w:r>
    </w:p>
    <w:p>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□有，具体规定为：___________</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☑无，按下述3.2.2-3.2.6项规定修正。</w:t>
      </w:r>
    </w:p>
    <w:p>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大写金额和小写金额不一致的，以大写金额为准；</w:t>
      </w:r>
    </w:p>
    <w:p>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单价金额小数点或者百分比有明显错位的，以总价为准，并修改单价；</w:t>
      </w:r>
    </w:p>
    <w:p>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总价金额与按单价汇总金额不一致的，以单价金额计算结果为准。</w:t>
      </w:r>
    </w:p>
    <w:p>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w:t>
      </w:r>
    </w:p>
    <w:p>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修正后的报价经供应商书面确认后产生约束力，供应商不确认的，</w:t>
      </w:r>
      <w:r>
        <w:rPr>
          <w:rFonts w:hint="eastAsia" w:ascii="宋体" w:hAnsi="宋体" w:eastAsia="宋体" w:cs="宋体"/>
          <w:b/>
          <w:color w:val="auto"/>
          <w:sz w:val="24"/>
          <w:highlight w:val="none"/>
        </w:rPr>
        <w:t>其响应无效</w:t>
      </w:r>
      <w:r>
        <w:rPr>
          <w:rFonts w:hint="eastAsia" w:ascii="宋体" w:hAnsi="宋体" w:eastAsia="宋体" w:cs="宋体"/>
          <w:color w:val="auto"/>
          <w:sz w:val="24"/>
          <w:highlight w:val="none"/>
        </w:rPr>
        <w:t>。</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落实政府采购政策的价格调整：只有符合第二章《供应商须知》4.2条规定情形的，可以享受中小企业扶持政策，用扣除后的价格参加评审；否则，评审时价格不予扣除。</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对于未预留份额专门面向中小企业采购的采购项目，以及预留份额项目中的非预留部分采购包，对小微企业报价给予</w:t>
      </w:r>
      <w:r>
        <w:rPr>
          <w:rFonts w:hint="eastAsia" w:ascii="宋体" w:hAnsi="宋体" w:cs="宋体"/>
          <w:color w:val="auto"/>
          <w:sz w:val="24"/>
          <w:highlight w:val="none"/>
          <w:u w:val="single"/>
          <w:lang w:val="en-US" w:eastAsia="zh-CN"/>
        </w:rPr>
        <w:t xml:space="preserve"> 10 </w:t>
      </w:r>
      <w:r>
        <w:rPr>
          <w:rFonts w:hint="eastAsia" w:ascii="宋体" w:hAnsi="宋体" w:eastAsia="宋体" w:cs="宋体"/>
          <w:color w:val="auto"/>
          <w:sz w:val="24"/>
          <w:highlight w:val="none"/>
        </w:rPr>
        <w:t>%的扣除，用扣除后的价格参加评审。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本项目不适用</w:t>
      </w:r>
      <w:r>
        <w:rPr>
          <w:rFonts w:hint="eastAsia" w:ascii="宋体" w:hAnsi="宋体" w:cs="宋体"/>
          <w:color w:val="auto"/>
          <w:sz w:val="24"/>
          <w:highlight w:val="none"/>
          <w:lang w:eastAsia="zh-CN"/>
        </w:rPr>
        <w:t>】</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cs="宋体"/>
          <w:color w:val="auto"/>
          <w:sz w:val="24"/>
          <w:highlight w:val="none"/>
          <w:u w:val="single"/>
          <w:lang w:val="en-US" w:eastAsia="zh-CN"/>
        </w:rPr>
        <w:t xml:space="preserve"> 4 </w:t>
      </w:r>
      <w:r>
        <w:rPr>
          <w:rFonts w:hint="eastAsia" w:ascii="宋体" w:hAnsi="宋体" w:eastAsia="宋体" w:cs="宋体"/>
          <w:color w:val="auto"/>
          <w:sz w:val="24"/>
          <w:highlight w:val="none"/>
        </w:rPr>
        <w:t>%的扣除，用扣除后的价格参加评审。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本项目不适用</w:t>
      </w:r>
      <w:r>
        <w:rPr>
          <w:rFonts w:hint="eastAsia" w:ascii="宋体" w:hAnsi="宋体" w:cs="宋体"/>
          <w:color w:val="auto"/>
          <w:sz w:val="24"/>
          <w:highlight w:val="none"/>
          <w:lang w:eastAsia="zh-CN"/>
        </w:rPr>
        <w:t>】</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组成联合体或者接受分包的小微企业与联合体内其他企业、分包企业之间存在直接控股、管理关系的，不享受价格扣除优惠政策。</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价格扣除比例对小型企业和微型企业同等对待，不作区分。</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中小企业参加政府采购活动，应当按照竞争性磋商文件给定的格式出具《中小企业声明函》，否则不得享受相关中小企业扶持政策。</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监狱企业提供了由省级以上监狱管理局、戒毒管理局（含新疆生产建设兵团）出具的属于监狱企业的证明文件的，视同小微企业。</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残疾人福利性单位按竞争性磋商文件要求提供了《残疾人福利性单位声明函》的，视同小微企业。</w:t>
      </w:r>
    </w:p>
    <w:p>
      <w:pPr>
        <w:numPr>
          <w:ilvl w:val="2"/>
          <w:numId w:val="12"/>
        </w:numPr>
        <w:tabs>
          <w:tab w:val="left" w:pos="1080"/>
          <w:tab w:val="left" w:pos="1589"/>
          <w:tab w:val="left" w:pos="20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若供应商同时属于小型或微型企业、监狱企业、残疾人福利性单位中的两种及以上，将不重复享受小微企业价格扣减的优惠政策。</w:t>
      </w:r>
    </w:p>
    <w:p>
      <w:pPr>
        <w:numPr>
          <w:ilvl w:val="2"/>
          <w:numId w:val="12"/>
        </w:numPr>
        <w:tabs>
          <w:tab w:val="left" w:pos="1080"/>
          <w:tab w:val="left" w:pos="1589"/>
          <w:tab w:val="left" w:pos="20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其他为落实政府采购政策实施的优先采购：/。</w:t>
      </w:r>
    </w:p>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磋商环节及提交最后报价后如出现以下情况的，供应商的</w:t>
      </w:r>
      <w:r>
        <w:rPr>
          <w:rFonts w:hint="eastAsia" w:ascii="宋体" w:hAnsi="宋体" w:eastAsia="宋体" w:cs="宋体"/>
          <w:b/>
          <w:color w:val="auto"/>
          <w:sz w:val="24"/>
          <w:highlight w:val="none"/>
        </w:rPr>
        <w:t>响应文件无效</w:t>
      </w:r>
      <w:r>
        <w:rPr>
          <w:rFonts w:hint="eastAsia" w:ascii="宋体" w:hAnsi="宋体" w:eastAsia="宋体" w:cs="宋体"/>
          <w:color w:val="auto"/>
          <w:sz w:val="24"/>
          <w:highlight w:val="none"/>
        </w:rPr>
        <w:t>：</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供应商对实质性变动不予确认的；</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不满足磋商文件★号条款或磋商文件技术指标超出磋商文件《采购需求》中主要技术参数允许偏差的最大范围的（如有）；</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未按照磋商小组规定的时间、逾期提交最后报价的；</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如供应商的最后报价超过竞争性磋商文件中规定的项目/采购包预算金额或者项目/采购包最高限价的；</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响应文件中出现可选择性或可调整的报价的（竞争性磋商文件另有规定的除外）；</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最后报价出现前后不一致，供应商对修正后的报价不予确认的；</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r>
        <w:rPr>
          <w:rFonts w:hint="eastAsia" w:ascii="宋体" w:hAnsi="宋体" w:eastAsia="宋体" w:cs="宋体"/>
          <w:color w:val="auto"/>
          <w:sz w:val="24"/>
          <w:highlight w:val="none"/>
          <w:u w:val="single"/>
        </w:rPr>
        <w:t>/。</w:t>
      </w:r>
    </w:p>
    <w:bookmarkEnd w:id="571"/>
    <w:bookmarkEnd w:id="572"/>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评审方法和评审标准</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竞争性磋商文件中没有规定的评审标准不得作为评审依据。</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非政府强制采购的节能产品或环境标志产品，依据品目清单和认证证书实施政府优先采购。优先采购的具体规定（如涉及）___/___。</w:t>
      </w:r>
    </w:p>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确定</w:t>
      </w:r>
      <w:bookmarkStart w:id="589" w:name="_Toc226965819"/>
      <w:bookmarkStart w:id="590" w:name="_Toc520356170"/>
      <w:bookmarkStart w:id="591" w:name="_Toc151193934"/>
      <w:bookmarkStart w:id="592" w:name="_Toc151193788"/>
      <w:bookmarkStart w:id="593" w:name="_Toc164229241"/>
      <w:bookmarkStart w:id="594" w:name="_Toc151193860"/>
      <w:bookmarkStart w:id="595" w:name="_Toc195842911"/>
      <w:bookmarkStart w:id="596" w:name="_Toc149720839"/>
      <w:bookmarkStart w:id="597" w:name="_Toc127151546"/>
      <w:bookmarkStart w:id="598" w:name="_Toc305158888"/>
      <w:bookmarkStart w:id="599" w:name="_Toc150509297"/>
      <w:bookmarkStart w:id="600" w:name="_Toc151193644"/>
      <w:bookmarkStart w:id="601" w:name="_Toc164229387"/>
      <w:bookmarkStart w:id="602" w:name="_Toc264969236"/>
      <w:bookmarkStart w:id="603" w:name="_Toc226309790"/>
      <w:bookmarkStart w:id="604" w:name="_Ref467307010"/>
      <w:bookmarkStart w:id="605" w:name="_Toc226965736"/>
      <w:bookmarkStart w:id="606" w:name="_Toc150774646"/>
      <w:bookmarkStart w:id="607" w:name="_Toc142311048"/>
      <w:bookmarkStart w:id="608" w:name="_Toc265228384"/>
      <w:bookmarkStart w:id="609" w:name="_Toc150480784"/>
      <w:bookmarkStart w:id="610" w:name="_Toc151190173"/>
      <w:bookmarkStart w:id="611" w:name="_Toc164608815"/>
      <w:bookmarkStart w:id="612" w:name="_Toc226337242"/>
      <w:bookmarkStart w:id="613" w:name="_Toc150774751"/>
      <w:bookmarkStart w:id="614" w:name="_Toc151193716"/>
      <w:bookmarkStart w:id="615" w:name="_Toc164351640"/>
      <w:bookmarkStart w:id="616" w:name="_Toc164608660"/>
      <w:bookmarkStart w:id="617" w:name="_Toc127151747"/>
      <w:bookmarkStart w:id="618" w:name="_Toc127161460"/>
      <w:bookmarkStart w:id="619" w:name="_Toc305158814"/>
      <w:r>
        <w:rPr>
          <w:rFonts w:hint="eastAsia" w:ascii="宋体" w:hAnsi="宋体" w:eastAsia="宋体" w:cs="宋体"/>
          <w:color w:val="auto"/>
          <w:sz w:val="24"/>
          <w:highlight w:val="none"/>
        </w:rPr>
        <w:t>成交候选人名单</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kern w:val="0"/>
          <w:sz w:val="24"/>
          <w:szCs w:val="20"/>
          <w:highlight w:val="none"/>
        </w:rPr>
        <w:t>磋商小组根据上述供应商排序，依次推荐排序前</w:t>
      </w:r>
      <w:r>
        <w:rPr>
          <w:rFonts w:hint="eastAsia" w:ascii="宋体" w:hAnsi="宋体" w:eastAsia="宋体" w:cs="宋体"/>
          <w:color w:val="auto"/>
          <w:sz w:val="24"/>
          <w:highlight w:val="none"/>
        </w:rPr>
        <w:t>3名</w:t>
      </w:r>
      <w:r>
        <w:rPr>
          <w:rFonts w:hint="eastAsia" w:ascii="宋体" w:hAnsi="宋体" w:eastAsia="宋体" w:cs="宋体"/>
          <w:color w:val="auto"/>
          <w:kern w:val="0"/>
          <w:sz w:val="24"/>
          <w:szCs w:val="20"/>
          <w:highlight w:val="none"/>
        </w:rPr>
        <w:t>的供应商为</w:t>
      </w:r>
      <w:r>
        <w:rPr>
          <w:rFonts w:hint="eastAsia" w:ascii="宋体" w:hAnsi="宋体" w:eastAsia="宋体" w:cs="宋体"/>
          <w:snapToGrid w:val="0"/>
          <w:color w:val="auto"/>
          <w:kern w:val="0"/>
          <w:sz w:val="24"/>
          <w:szCs w:val="21"/>
          <w:highlight w:val="none"/>
        </w:rPr>
        <w:t>成交候选供应商</w:t>
      </w:r>
      <w:r>
        <w:rPr>
          <w:rFonts w:hint="eastAsia" w:ascii="宋体" w:hAnsi="宋体" w:eastAsia="宋体" w:cs="宋体"/>
          <w:color w:val="auto"/>
          <w:kern w:val="0"/>
          <w:sz w:val="24"/>
          <w:szCs w:val="20"/>
          <w:highlight w:val="none"/>
        </w:rPr>
        <w:t>（若在磋商文件允许的情形下提交最后报价的供应商为二家，则依次推荐二名供应商为成交候选供应商），并编写评审报告。</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磋商小组要对评分汇总情况进行复核，特别是对排名第一的、报价最低的、响应文件被认定为无效的情形进行重点复核。</w:t>
      </w:r>
    </w:p>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报告违法行为</w:t>
      </w:r>
    </w:p>
    <w:p>
      <w:pPr>
        <w:widowControl/>
        <w:numPr>
          <w:ilvl w:val="1"/>
          <w:numId w:val="12"/>
        </w:numPr>
        <w:tabs>
          <w:tab w:val="left" w:pos="1080"/>
          <w:tab w:val="left" w:pos="1872"/>
        </w:tabs>
        <w:snapToGrid w:val="0"/>
        <w:spacing w:line="360" w:lineRule="auto"/>
        <w:ind w:left="1077" w:hanging="72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磋商小组在评审过程中发现供应商有行贿、提供虚假材料或者串通等违法行为时，应当及时向财政部门报告。</w:t>
      </w:r>
      <w:r>
        <w:rPr>
          <w:rFonts w:hint="eastAsia" w:ascii="宋体" w:hAnsi="宋体" w:eastAsia="宋体" w:cs="宋体"/>
          <w:b/>
          <w:color w:val="auto"/>
          <w:sz w:val="24"/>
          <w:highlight w:val="none"/>
        </w:rPr>
        <w:br w:type="page"/>
      </w:r>
    </w:p>
    <w:p>
      <w:pPr>
        <w:pStyle w:val="5"/>
        <w:numPr>
          <w:ilvl w:val="0"/>
          <w:numId w:val="13"/>
        </w:numPr>
        <w:spacing w:before="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p>
      <w:pPr>
        <w:numPr>
          <w:ilvl w:val="0"/>
          <w:numId w:val="0"/>
        </w:numPr>
        <w:rPr>
          <w:rFonts w:hint="default" w:eastAsia="宋体"/>
          <w:sz w:val="24"/>
          <w:szCs w:val="32"/>
          <w:highlight w:val="none"/>
          <w:lang w:val="en-US" w:eastAsia="zh-CN"/>
        </w:rPr>
      </w:pPr>
      <w:r>
        <w:rPr>
          <w:rFonts w:hint="eastAsia"/>
          <w:sz w:val="24"/>
          <w:szCs w:val="32"/>
          <w:highlight w:val="none"/>
          <w:lang w:val="en-US" w:eastAsia="zh-CN"/>
        </w:rPr>
        <w:t>适用于04包</w:t>
      </w:r>
    </w:p>
    <w:tbl>
      <w:tblPr>
        <w:tblStyle w:val="45"/>
        <w:tblW w:w="95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1080"/>
        <w:gridCol w:w="1182"/>
        <w:gridCol w:w="5880"/>
        <w:gridCol w:w="6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评审项目</w:t>
            </w:r>
          </w:p>
        </w:tc>
        <w:tc>
          <w:tcPr>
            <w:tcW w:w="7062" w:type="dxa"/>
            <w:gridSpan w:val="2"/>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645"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restart"/>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80" w:type="dxa"/>
            <w:vMerge w:val="restart"/>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cs="宋体"/>
                <w:color w:val="auto"/>
                <w:sz w:val="24"/>
                <w:szCs w:val="24"/>
                <w:highlight w:val="none"/>
                <w:lang w:val="en-US" w:eastAsia="zh-CN"/>
              </w:rPr>
              <w:t>18</w:t>
            </w:r>
            <w:r>
              <w:rPr>
                <w:rFonts w:hint="eastAsia" w:ascii="宋体" w:hAnsi="宋体" w:eastAsia="宋体" w:cs="宋体"/>
                <w:color w:val="auto"/>
                <w:sz w:val="24"/>
                <w:szCs w:val="24"/>
                <w:highlight w:val="none"/>
              </w:rPr>
              <w:t>分）</w:t>
            </w: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业绩</w:t>
            </w:r>
          </w:p>
        </w:tc>
        <w:tc>
          <w:tcPr>
            <w:tcW w:w="5880" w:type="dxa"/>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供应商提供近</w:t>
            </w:r>
            <w:r>
              <w:rPr>
                <w:rFonts w:hint="eastAsia" w:cs="宋体"/>
                <w:color w:val="auto"/>
                <w:spacing w:val="-5"/>
                <w:sz w:val="24"/>
                <w:szCs w:val="24"/>
                <w:highlight w:val="none"/>
                <w:lang w:val="en-US" w:eastAsia="zh-CN"/>
              </w:rPr>
              <w:t>三</w:t>
            </w:r>
            <w:r>
              <w:rPr>
                <w:rFonts w:hint="eastAsia" w:ascii="宋体" w:hAnsi="宋体" w:eastAsia="宋体" w:cs="宋体"/>
                <w:color w:val="auto"/>
                <w:spacing w:val="-5"/>
                <w:sz w:val="24"/>
                <w:szCs w:val="24"/>
                <w:highlight w:val="none"/>
                <w:lang w:eastAsia="zh-CN"/>
              </w:rPr>
              <w:t>年（20</w:t>
            </w:r>
            <w:r>
              <w:rPr>
                <w:rFonts w:hint="eastAsia" w:ascii="宋体" w:hAnsi="宋体" w:eastAsia="宋体" w:cs="宋体"/>
                <w:color w:val="auto"/>
                <w:spacing w:val="-5"/>
                <w:sz w:val="24"/>
                <w:szCs w:val="24"/>
                <w:highlight w:val="none"/>
                <w:lang w:val="en-US" w:eastAsia="zh-CN"/>
              </w:rPr>
              <w:t>2</w:t>
            </w:r>
            <w:r>
              <w:rPr>
                <w:rFonts w:hint="eastAsia"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年</w:t>
            </w:r>
            <w:r>
              <w:rPr>
                <w:rFonts w:hint="eastAsia" w:cs="宋体"/>
                <w:color w:val="auto"/>
                <w:spacing w:val="-5"/>
                <w:sz w:val="24"/>
                <w:szCs w:val="24"/>
                <w:highlight w:val="none"/>
                <w:lang w:val="en-US" w:eastAsia="zh-CN"/>
              </w:rPr>
              <w:t>12</w:t>
            </w:r>
            <w:r>
              <w:rPr>
                <w:rFonts w:hint="eastAsia" w:ascii="宋体" w:hAnsi="宋体" w:eastAsia="宋体" w:cs="宋体"/>
                <w:color w:val="auto"/>
                <w:spacing w:val="-5"/>
                <w:sz w:val="24"/>
                <w:szCs w:val="24"/>
                <w:highlight w:val="none"/>
                <w:lang w:eastAsia="zh-CN"/>
              </w:rPr>
              <w:t>月1日至</w:t>
            </w:r>
            <w:r>
              <w:rPr>
                <w:rFonts w:hint="eastAsia" w:cs="宋体"/>
                <w:color w:val="auto"/>
                <w:spacing w:val="-5"/>
                <w:sz w:val="24"/>
                <w:szCs w:val="24"/>
                <w:highlight w:val="none"/>
                <w:lang w:val="en-US" w:eastAsia="zh-CN"/>
              </w:rPr>
              <w:t>2025年12月1日</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8"/>
                <w:sz w:val="24"/>
                <w:szCs w:val="24"/>
                <w:highlight w:val="none"/>
                <w:lang w:eastAsia="zh-CN"/>
              </w:rPr>
              <w:t>同类项目或相似项目</w:t>
            </w:r>
            <w:r>
              <w:rPr>
                <w:rFonts w:hint="eastAsia" w:ascii="宋体" w:hAnsi="宋体" w:eastAsia="宋体" w:cs="宋体"/>
                <w:color w:val="auto"/>
                <w:spacing w:val="-5"/>
                <w:sz w:val="24"/>
                <w:szCs w:val="24"/>
                <w:highlight w:val="none"/>
                <w:lang w:eastAsia="zh-CN"/>
              </w:rPr>
              <w:t>业绩。每提供</w:t>
            </w:r>
            <w:r>
              <w:rPr>
                <w:rFonts w:hint="eastAsia" w:ascii="宋体" w:hAnsi="宋体" w:eastAsia="宋体" w:cs="宋体"/>
                <w:color w:val="auto"/>
                <w:spacing w:val="8"/>
                <w:sz w:val="24"/>
                <w:szCs w:val="24"/>
                <w:highlight w:val="none"/>
                <w:lang w:eastAsia="zh-CN"/>
              </w:rPr>
              <w:t>一项有效业绩合同</w:t>
            </w:r>
            <w:r>
              <w:rPr>
                <w:rFonts w:hint="eastAsia" w:ascii="宋体" w:hAnsi="宋体" w:eastAsia="宋体" w:cs="宋体"/>
                <w:color w:val="auto"/>
                <w:spacing w:val="-5"/>
                <w:sz w:val="24"/>
                <w:szCs w:val="24"/>
                <w:highlight w:val="none"/>
                <w:lang w:eastAsia="zh-CN"/>
              </w:rPr>
              <w:t>得</w:t>
            </w:r>
            <w:r>
              <w:rPr>
                <w:rFonts w:hint="eastAsia" w:cs="宋体"/>
                <w:color w:val="auto"/>
                <w:spacing w:val="-5"/>
                <w:sz w:val="24"/>
                <w:szCs w:val="24"/>
                <w:highlight w:val="none"/>
                <w:lang w:val="en-US" w:eastAsia="zh-CN"/>
              </w:rPr>
              <w:t>4</w:t>
            </w:r>
            <w:r>
              <w:rPr>
                <w:rFonts w:hint="eastAsia" w:ascii="宋体" w:hAnsi="宋体" w:eastAsia="宋体" w:cs="宋体"/>
                <w:color w:val="auto"/>
                <w:spacing w:val="-5"/>
                <w:sz w:val="24"/>
                <w:szCs w:val="24"/>
                <w:highlight w:val="none"/>
                <w:lang w:eastAsia="zh-CN"/>
              </w:rPr>
              <w:t>分，最多得</w:t>
            </w:r>
            <w:r>
              <w:rPr>
                <w:rFonts w:hint="eastAsia" w:cs="宋体"/>
                <w:color w:val="auto"/>
                <w:spacing w:val="-5"/>
                <w:sz w:val="24"/>
                <w:szCs w:val="24"/>
                <w:highlight w:val="none"/>
                <w:lang w:val="en-US" w:eastAsia="zh-CN"/>
              </w:rPr>
              <w:t>12</w:t>
            </w:r>
            <w:r>
              <w:rPr>
                <w:rFonts w:hint="eastAsia" w:ascii="宋体" w:hAnsi="宋体" w:eastAsia="宋体" w:cs="宋体"/>
                <w:color w:val="auto"/>
                <w:spacing w:val="-5"/>
                <w:sz w:val="24"/>
                <w:szCs w:val="24"/>
                <w:highlight w:val="none"/>
                <w:lang w:eastAsia="zh-CN"/>
              </w:rPr>
              <w:t>分。  (附</w:t>
            </w:r>
            <w:r>
              <w:rPr>
                <w:rFonts w:hint="eastAsia" w:ascii="宋体" w:hAnsi="宋体" w:eastAsia="宋体" w:cs="宋体"/>
                <w:color w:val="auto"/>
                <w:spacing w:val="14"/>
                <w:sz w:val="24"/>
                <w:szCs w:val="24"/>
                <w:highlight w:val="none"/>
                <w:lang w:eastAsia="zh-CN"/>
              </w:rPr>
              <w:t>项</w:t>
            </w:r>
            <w:r>
              <w:rPr>
                <w:rFonts w:hint="eastAsia" w:ascii="宋体" w:hAnsi="宋体" w:eastAsia="宋体" w:cs="宋体"/>
                <w:color w:val="auto"/>
                <w:spacing w:val="13"/>
                <w:sz w:val="24"/>
                <w:szCs w:val="24"/>
                <w:highlight w:val="none"/>
                <w:lang w:eastAsia="zh-CN"/>
              </w:rPr>
              <w:t>目</w:t>
            </w:r>
            <w:r>
              <w:rPr>
                <w:rFonts w:hint="eastAsia" w:ascii="宋体" w:hAnsi="宋体" w:eastAsia="宋体" w:cs="宋体"/>
                <w:color w:val="auto"/>
                <w:spacing w:val="7"/>
                <w:sz w:val="24"/>
                <w:szCs w:val="24"/>
                <w:highlight w:val="none"/>
                <w:lang w:eastAsia="zh-CN"/>
              </w:rPr>
              <w:t>有效合同</w:t>
            </w:r>
            <w:r>
              <w:rPr>
                <w:rFonts w:hint="eastAsia" w:cs="宋体"/>
                <w:color w:val="auto"/>
                <w:spacing w:val="7"/>
                <w:sz w:val="24"/>
                <w:szCs w:val="24"/>
                <w:highlight w:val="none"/>
                <w:lang w:val="en-US" w:eastAsia="zh-CN"/>
              </w:rPr>
              <w:t>证明</w:t>
            </w:r>
            <w:r>
              <w:rPr>
                <w:rFonts w:hint="eastAsia" w:ascii="宋体" w:hAnsi="宋体" w:eastAsia="宋体" w:cs="宋体"/>
                <w:color w:val="auto"/>
                <w:spacing w:val="8"/>
                <w:sz w:val="24"/>
                <w:szCs w:val="24"/>
                <w:highlight w:val="none"/>
                <w:lang w:eastAsia="zh-CN"/>
              </w:rPr>
              <w:t>扫描件</w:t>
            </w:r>
            <w:r>
              <w:rPr>
                <w:rFonts w:hint="eastAsia" w:ascii="宋体" w:hAnsi="宋体" w:eastAsia="宋体" w:cs="宋体"/>
                <w:color w:val="auto"/>
                <w:spacing w:val="7"/>
                <w:sz w:val="24"/>
                <w:szCs w:val="24"/>
                <w:highlight w:val="none"/>
                <w:lang w:eastAsia="zh-CN"/>
              </w:rPr>
              <w:t>，包含首页、服务内容页、</w:t>
            </w:r>
            <w:r>
              <w:rPr>
                <w:rFonts w:hint="eastAsia" w:ascii="宋体" w:hAnsi="宋体" w:eastAsia="宋体" w:cs="宋体"/>
                <w:color w:val="auto"/>
                <w:spacing w:val="16"/>
                <w:sz w:val="24"/>
                <w:szCs w:val="24"/>
                <w:highlight w:val="none"/>
                <w:lang w:eastAsia="zh-CN"/>
              </w:rPr>
              <w:t>盖</w:t>
            </w:r>
            <w:r>
              <w:rPr>
                <w:rFonts w:hint="eastAsia" w:ascii="宋体" w:hAnsi="宋体" w:eastAsia="宋体" w:cs="宋体"/>
                <w:color w:val="auto"/>
                <w:spacing w:val="9"/>
                <w:sz w:val="24"/>
                <w:szCs w:val="24"/>
                <w:highlight w:val="none"/>
                <w:lang w:eastAsia="zh-CN"/>
              </w:rPr>
              <w:t>章</w:t>
            </w:r>
            <w:r>
              <w:rPr>
                <w:rFonts w:hint="eastAsia" w:ascii="宋体" w:hAnsi="宋体" w:eastAsia="宋体" w:cs="宋体"/>
                <w:color w:val="auto"/>
                <w:spacing w:val="8"/>
                <w:sz w:val="24"/>
                <w:szCs w:val="24"/>
                <w:highlight w:val="none"/>
                <w:lang w:eastAsia="zh-CN"/>
              </w:rPr>
              <w:t>页、金额页</w:t>
            </w:r>
            <w:r>
              <w:rPr>
                <w:rFonts w:hint="eastAsia" w:cs="宋体"/>
                <w:color w:val="auto"/>
                <w:spacing w:val="8"/>
                <w:sz w:val="24"/>
                <w:szCs w:val="24"/>
                <w:highlight w:val="none"/>
                <w:lang w:val="en-US" w:eastAsia="zh-CN"/>
              </w:rPr>
              <w:t>等</w:t>
            </w:r>
            <w:r>
              <w:rPr>
                <w:rFonts w:hint="eastAsia" w:ascii="宋体" w:hAnsi="宋体" w:eastAsia="宋体" w:cs="宋体"/>
                <w:color w:val="auto"/>
                <w:spacing w:val="8"/>
                <w:sz w:val="24"/>
                <w:szCs w:val="24"/>
                <w:highlight w:val="none"/>
                <w:lang w:eastAsia="zh-CN"/>
              </w:rPr>
              <w:t>，不满足以上要求不得分)。</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tcBorders>
              <w:top w:val="nil"/>
            </w:tcBorders>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tcBorders>
              <w:top w:val="nil"/>
            </w:tcBorders>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5880" w:type="dxa"/>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（1）具备类似项目业绩经验，每个业绩得1分，最高得</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 xml:space="preserve">分。（需提供相关业绩经验证明资料复印件。） </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（2）具有相关专业高级及以上职称得</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分，中级职称得</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分，初级职称不得分。（需提供职称证书复印件，加盖单位公章。）</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tcBorders>
              <w:top w:val="nil"/>
            </w:tcBorders>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tcBorders>
              <w:top w:val="nil"/>
            </w:tcBorders>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财务状况</w:t>
            </w:r>
          </w:p>
        </w:tc>
        <w:tc>
          <w:tcPr>
            <w:tcW w:w="5880" w:type="dxa"/>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 </w:t>
            </w:r>
            <w:r>
              <w:rPr>
                <w:rFonts w:hint="eastAsia" w:cs="宋体"/>
                <w:color w:val="auto"/>
                <w:sz w:val="24"/>
                <w:szCs w:val="24"/>
                <w:highlight w:val="none"/>
                <w:lang w:val="en-US" w:eastAsia="zh-CN"/>
              </w:rPr>
              <w:t>提交近三年内任一年的经审计的财务报告，得1分。否则不得分</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restart"/>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80" w:type="dxa"/>
            <w:vMerge w:val="restart"/>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cs="宋体"/>
                <w:color w:val="auto"/>
                <w:sz w:val="24"/>
                <w:szCs w:val="24"/>
                <w:highlight w:val="none"/>
                <w:lang w:val="en-US" w:eastAsia="zh-CN"/>
              </w:rPr>
              <w:t>72</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w:t>
            </w: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color w:val="auto"/>
                <w:sz w:val="24"/>
                <w:highlight w:val="none"/>
              </w:rPr>
              <w:t>项目理解</w:t>
            </w:r>
          </w:p>
        </w:tc>
        <w:tc>
          <w:tcPr>
            <w:tcW w:w="5880" w:type="dxa"/>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ascii="宋体" w:hAnsi="宋体"/>
                <w:color w:val="auto"/>
                <w:sz w:val="24"/>
                <w:highlight w:val="none"/>
              </w:rPr>
              <w:t>根据供应商对本项目的理解程度、重点难点分析等方面进行综合评审：对本项目解读进行了详细的阐述，能够正确理解项目需求且全面，思路清晰，重点突出，合理分析现状，得5分；对本项目解读虽进行了阐述但未能贴合项目实际情况进行详细论述，工作理解较全面、基本理解项目需求，思路较清晰，项目重点掌握一般，现状分析一般，得3分；对本项目解读虽进行了阐述但未能贴合项目实际情况进行详细论述，工作理解较差，思路不清晰，项目重点未能完全掌握，现状分析较差，得2分；对本项目解读虽进行了阐述但仅为对采购需求的简单复制，得1分；未对本项目采购需求进行任何项目解读，得0分。</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sz w:val="24"/>
                <w:szCs w:val="24"/>
                <w:highlight w:val="none"/>
              </w:rPr>
              <w:t>服务方案</w:t>
            </w:r>
          </w:p>
        </w:tc>
        <w:tc>
          <w:tcPr>
            <w:tcW w:w="5880" w:type="dxa"/>
            <w:vAlign w:val="top"/>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针对本项目制定</w:t>
            </w:r>
            <w:r>
              <w:rPr>
                <w:rFonts w:hint="eastAsia" w:cs="宋体"/>
                <w:color w:val="auto"/>
                <w:sz w:val="24"/>
                <w:szCs w:val="24"/>
                <w:highlight w:val="none"/>
                <w:lang w:val="en-US" w:eastAsia="zh-CN"/>
              </w:rPr>
              <w:t>的整体</w:t>
            </w:r>
            <w:r>
              <w:rPr>
                <w:rFonts w:hint="eastAsia" w:ascii="宋体" w:hAnsi="宋体" w:eastAsia="宋体" w:cs="宋体"/>
                <w:color w:val="auto"/>
                <w:sz w:val="24"/>
                <w:szCs w:val="24"/>
                <w:highlight w:val="none"/>
              </w:rPr>
              <w:t>服务方案（包括但不限于服务内容、服务流程、管理服务架构等）</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服务内容全面具体、服务流程详细、管理服务架构、方案合理，可操作性强，得1</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服务内容较为全面、服务流程一般、管理服务架构方案基本合理，可操作性较强，得</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服务内容基本全面、服务流程基本详细、管理服务架构方案基本合理，可操作性一般，得</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服务内容不够全面、服务流程不够详细、管理服务架构方案不够合理，可操作一般，得</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leftChars="0"/>
              <w:textAlignment w:val="auto"/>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sz w:val="24"/>
                <w:szCs w:val="24"/>
                <w:highlight w:val="none"/>
              </w:rPr>
              <w:t>未提供或其他得0分。</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bidi="ar-SA"/>
              </w:rPr>
              <w:t>出具检测报告及数据</w:t>
            </w:r>
            <w:r>
              <w:rPr>
                <w:rFonts w:hint="eastAsia" w:ascii="宋体" w:hAnsi="宋体" w:eastAsia="宋体" w:cs="宋体"/>
                <w:color w:val="auto"/>
                <w:sz w:val="24"/>
                <w:szCs w:val="24"/>
                <w:highlight w:val="none"/>
              </w:rPr>
              <w:t>追溯校核、复审、释疑</w:t>
            </w:r>
            <w:r>
              <w:rPr>
                <w:rFonts w:hint="eastAsia" w:ascii="宋体" w:hAnsi="宋体" w:cs="宋体"/>
                <w:color w:val="auto"/>
                <w:sz w:val="24"/>
                <w:szCs w:val="24"/>
                <w:highlight w:val="none"/>
                <w:lang w:val="en-US" w:eastAsia="zh-CN"/>
              </w:rPr>
              <w:t>相关工作方案</w:t>
            </w:r>
          </w:p>
        </w:tc>
        <w:tc>
          <w:tcPr>
            <w:tcW w:w="58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ascii="宋体" w:hAnsi="宋体"/>
                <w:color w:val="auto"/>
                <w:sz w:val="24"/>
                <w:highlight w:val="none"/>
              </w:rPr>
              <w:t>根据供应商</w:t>
            </w:r>
            <w:r>
              <w:rPr>
                <w:rFonts w:hint="eastAsia" w:ascii="宋体" w:hAnsi="宋体" w:cs="宋体"/>
                <w:color w:val="auto"/>
                <w:kern w:val="2"/>
                <w:sz w:val="24"/>
                <w:szCs w:val="24"/>
                <w:highlight w:val="none"/>
                <w:lang w:val="en-US" w:eastAsia="zh-CN" w:bidi="ar-SA"/>
              </w:rPr>
              <w:t>出具检测报告及数据</w:t>
            </w:r>
            <w:r>
              <w:rPr>
                <w:rFonts w:hint="eastAsia" w:ascii="宋体" w:hAnsi="宋体" w:eastAsia="宋体" w:cs="宋体"/>
                <w:color w:val="auto"/>
                <w:sz w:val="24"/>
                <w:szCs w:val="24"/>
                <w:highlight w:val="none"/>
              </w:rPr>
              <w:t>追溯校核、复审、释疑</w:t>
            </w:r>
            <w:r>
              <w:rPr>
                <w:rFonts w:hint="eastAsia" w:ascii="宋体" w:hAnsi="宋体" w:cs="宋体"/>
                <w:color w:val="auto"/>
                <w:sz w:val="24"/>
                <w:szCs w:val="24"/>
                <w:highlight w:val="none"/>
                <w:lang w:val="en-US" w:eastAsia="zh-CN"/>
              </w:rPr>
              <w:t>相关工作方案</w:t>
            </w:r>
            <w:r>
              <w:rPr>
                <w:rFonts w:ascii="宋体" w:hAnsi="宋体"/>
                <w:color w:val="auto"/>
                <w:sz w:val="24"/>
                <w:highlight w:val="none"/>
              </w:rPr>
              <w:t>进行综合评审：</w:t>
            </w:r>
            <w:r>
              <w:rPr>
                <w:rFonts w:hint="eastAsia" w:ascii="宋体" w:hAnsi="宋体"/>
                <w:color w:val="auto"/>
                <w:sz w:val="24"/>
                <w:highlight w:val="none"/>
                <w:lang w:val="en-US" w:eastAsia="zh-CN"/>
              </w:rPr>
              <w:t>工作</w:t>
            </w:r>
            <w:r>
              <w:rPr>
                <w:rFonts w:ascii="宋体" w:hAnsi="宋体"/>
                <w:color w:val="auto"/>
                <w:sz w:val="24"/>
                <w:highlight w:val="none"/>
              </w:rPr>
              <w:t>服务方案完整、具体、</w:t>
            </w:r>
            <w:r>
              <w:rPr>
                <w:rFonts w:hint="eastAsia" w:ascii="宋体" w:hAnsi="宋体" w:eastAsia="宋体" w:cs="宋体"/>
                <w:color w:val="auto"/>
                <w:sz w:val="24"/>
                <w:szCs w:val="24"/>
                <w:highlight w:val="none"/>
              </w:rPr>
              <w:t>可操作性强</w:t>
            </w:r>
            <w:r>
              <w:rPr>
                <w:rFonts w:ascii="宋体" w:hAnsi="宋体"/>
                <w:color w:val="auto"/>
                <w:sz w:val="24"/>
                <w:highlight w:val="none"/>
              </w:rPr>
              <w:t>，得15分；</w:t>
            </w:r>
            <w:r>
              <w:rPr>
                <w:rFonts w:hint="eastAsia" w:ascii="宋体" w:hAnsi="宋体"/>
                <w:color w:val="auto"/>
                <w:sz w:val="24"/>
                <w:highlight w:val="none"/>
                <w:lang w:val="en-US" w:eastAsia="zh-CN"/>
              </w:rPr>
              <w:t>工作</w:t>
            </w:r>
            <w:r>
              <w:rPr>
                <w:rFonts w:ascii="宋体" w:hAnsi="宋体"/>
                <w:color w:val="auto"/>
                <w:sz w:val="24"/>
                <w:highlight w:val="none"/>
              </w:rPr>
              <w:t>服务方案较完整、较具体、</w:t>
            </w:r>
            <w:r>
              <w:rPr>
                <w:rFonts w:hint="eastAsia" w:ascii="宋体" w:hAnsi="宋体" w:eastAsia="宋体" w:cs="宋体"/>
                <w:color w:val="auto"/>
                <w:sz w:val="24"/>
                <w:szCs w:val="24"/>
                <w:highlight w:val="none"/>
              </w:rPr>
              <w:t>可操作性较强</w:t>
            </w:r>
            <w:r>
              <w:rPr>
                <w:rFonts w:ascii="宋体" w:hAnsi="宋体"/>
                <w:color w:val="auto"/>
                <w:sz w:val="24"/>
                <w:highlight w:val="none"/>
              </w:rPr>
              <w:t>，得10分；</w:t>
            </w:r>
            <w:r>
              <w:rPr>
                <w:rFonts w:hint="eastAsia" w:ascii="宋体" w:hAnsi="宋体"/>
                <w:color w:val="auto"/>
                <w:sz w:val="24"/>
                <w:highlight w:val="none"/>
                <w:lang w:val="en-US" w:eastAsia="zh-CN"/>
              </w:rPr>
              <w:t>工作</w:t>
            </w:r>
            <w:r>
              <w:rPr>
                <w:rFonts w:ascii="宋体" w:hAnsi="宋体"/>
                <w:color w:val="auto"/>
                <w:sz w:val="24"/>
                <w:highlight w:val="none"/>
              </w:rPr>
              <w:t>服务方案一般、</w:t>
            </w:r>
            <w:r>
              <w:rPr>
                <w:rFonts w:hint="eastAsia" w:ascii="宋体" w:hAnsi="宋体" w:eastAsia="宋体" w:cs="宋体"/>
                <w:color w:val="auto"/>
                <w:sz w:val="24"/>
                <w:szCs w:val="24"/>
                <w:highlight w:val="none"/>
              </w:rPr>
              <w:t>可操作性一般</w:t>
            </w:r>
            <w:r>
              <w:rPr>
                <w:rFonts w:ascii="宋体" w:hAnsi="宋体"/>
                <w:color w:val="auto"/>
                <w:sz w:val="24"/>
                <w:highlight w:val="none"/>
              </w:rPr>
              <w:t>，得7分；</w:t>
            </w:r>
            <w:r>
              <w:rPr>
                <w:rFonts w:hint="eastAsia" w:ascii="宋体" w:hAnsi="宋体"/>
                <w:color w:val="auto"/>
                <w:sz w:val="24"/>
                <w:highlight w:val="none"/>
                <w:lang w:val="en-US" w:eastAsia="zh-CN"/>
              </w:rPr>
              <w:t>工作</w:t>
            </w:r>
            <w:r>
              <w:rPr>
                <w:rFonts w:ascii="宋体" w:hAnsi="宋体"/>
                <w:color w:val="auto"/>
                <w:sz w:val="24"/>
                <w:highlight w:val="none"/>
              </w:rPr>
              <w:t>服务方案</w:t>
            </w:r>
            <w:r>
              <w:rPr>
                <w:rFonts w:hint="eastAsia" w:ascii="宋体" w:hAnsi="宋体"/>
                <w:color w:val="auto"/>
                <w:sz w:val="24"/>
                <w:highlight w:val="none"/>
              </w:rPr>
              <w:t>不</w:t>
            </w:r>
            <w:r>
              <w:rPr>
                <w:rFonts w:hint="eastAsia"/>
                <w:color w:val="auto"/>
                <w:sz w:val="24"/>
                <w:highlight w:val="none"/>
                <w:lang w:val="en-US" w:eastAsia="zh-CN"/>
              </w:rPr>
              <w:t>够</w:t>
            </w:r>
            <w:r>
              <w:rPr>
                <w:rFonts w:hint="eastAsia" w:ascii="宋体" w:hAnsi="宋体"/>
                <w:color w:val="auto"/>
                <w:sz w:val="24"/>
                <w:highlight w:val="none"/>
              </w:rPr>
              <w:t>完整</w:t>
            </w:r>
            <w:r>
              <w:rPr>
                <w:rFonts w:ascii="宋体" w:hAnsi="宋体"/>
                <w:color w:val="auto"/>
                <w:sz w:val="24"/>
                <w:highlight w:val="none"/>
              </w:rPr>
              <w:t>，</w:t>
            </w:r>
            <w:r>
              <w:rPr>
                <w:rFonts w:hint="eastAsia" w:ascii="宋体" w:hAnsi="宋体" w:eastAsia="宋体" w:cs="宋体"/>
                <w:color w:val="auto"/>
                <w:sz w:val="24"/>
                <w:szCs w:val="24"/>
                <w:highlight w:val="none"/>
              </w:rPr>
              <w:t>可操作一般</w:t>
            </w:r>
            <w:r>
              <w:rPr>
                <w:rFonts w:hint="eastAsia" w:ascii="宋体" w:hAnsi="宋体"/>
                <w:color w:val="auto"/>
                <w:sz w:val="24"/>
                <w:highlight w:val="none"/>
              </w:rPr>
              <w:t>，</w:t>
            </w:r>
            <w:r>
              <w:rPr>
                <w:rFonts w:ascii="宋体" w:hAnsi="宋体"/>
                <w:color w:val="auto"/>
                <w:sz w:val="24"/>
                <w:highlight w:val="none"/>
              </w:rPr>
              <w:t>得4分；</w:t>
            </w:r>
            <w:r>
              <w:rPr>
                <w:rFonts w:hint="eastAsia" w:ascii="宋体" w:hAnsi="宋体" w:eastAsia="宋体" w:cs="宋体"/>
                <w:color w:val="auto"/>
                <w:sz w:val="24"/>
                <w:szCs w:val="24"/>
                <w:highlight w:val="none"/>
              </w:rPr>
              <w:t>未提供或其他得0分</w:t>
            </w:r>
            <w:r>
              <w:rPr>
                <w:rFonts w:ascii="宋体" w:hAnsi="宋体"/>
                <w:color w:val="auto"/>
                <w:sz w:val="24"/>
                <w:highlight w:val="none"/>
              </w:rPr>
              <w:t>。</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olor w:val="auto"/>
                <w:sz w:val="24"/>
                <w:highlight w:val="none"/>
              </w:rPr>
              <w:t>人员配备方案</w:t>
            </w:r>
          </w:p>
        </w:tc>
        <w:tc>
          <w:tcPr>
            <w:tcW w:w="58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ascii="宋体" w:hAnsi="宋体"/>
                <w:color w:val="auto"/>
                <w:sz w:val="24"/>
                <w:highlight w:val="none"/>
              </w:rPr>
              <w:t>根据供应商提供的人员配备方案进行综合评审：拟派人员具备丰富的专业和经验、职责详细、分工明确合理，得1</w:t>
            </w:r>
            <w:r>
              <w:rPr>
                <w:rFonts w:hint="eastAsia"/>
                <w:color w:val="auto"/>
                <w:sz w:val="24"/>
                <w:highlight w:val="none"/>
                <w:lang w:val="en-US" w:eastAsia="zh-CN"/>
              </w:rPr>
              <w:t>2</w:t>
            </w:r>
            <w:r>
              <w:rPr>
                <w:rFonts w:ascii="宋体" w:hAnsi="宋体"/>
                <w:color w:val="auto"/>
                <w:sz w:val="24"/>
                <w:highlight w:val="none"/>
              </w:rPr>
              <w:t>分；拟派人员具备较丰富的专业和经验、职责较详细、分工较明确、较合理，得</w:t>
            </w:r>
            <w:r>
              <w:rPr>
                <w:rFonts w:hint="eastAsia"/>
                <w:color w:val="auto"/>
                <w:sz w:val="24"/>
                <w:highlight w:val="none"/>
                <w:lang w:val="en-US" w:eastAsia="zh-CN"/>
              </w:rPr>
              <w:t>8</w:t>
            </w:r>
            <w:r>
              <w:rPr>
                <w:rFonts w:ascii="宋体" w:hAnsi="宋体"/>
                <w:color w:val="auto"/>
                <w:sz w:val="24"/>
                <w:highlight w:val="none"/>
              </w:rPr>
              <w:t>分；拟派人员具备专业和经验一般、职责详细度一般、分工明确性及合理性一般，得4分；</w:t>
            </w:r>
            <w:r>
              <w:rPr>
                <w:rFonts w:hint="eastAsia" w:ascii="宋体" w:hAnsi="宋体" w:eastAsia="宋体" w:cs="宋体"/>
                <w:color w:val="auto"/>
                <w:sz w:val="24"/>
                <w:szCs w:val="24"/>
                <w:highlight w:val="none"/>
              </w:rPr>
              <w:t>未提供或其他得0分</w:t>
            </w:r>
            <w:r>
              <w:rPr>
                <w:rFonts w:ascii="宋体" w:hAnsi="宋体"/>
                <w:color w:val="auto"/>
                <w:sz w:val="24"/>
                <w:highlight w:val="none"/>
              </w:rPr>
              <w:t>。</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ascii="宋体" w:hAnsi="宋体"/>
                <w:color w:val="auto"/>
                <w:sz w:val="24"/>
                <w:highlight w:val="none"/>
              </w:rPr>
              <w:t>质量保障措施</w:t>
            </w:r>
          </w:p>
        </w:tc>
        <w:tc>
          <w:tcPr>
            <w:tcW w:w="58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ascii="宋体" w:hAnsi="宋体"/>
                <w:color w:val="auto"/>
                <w:sz w:val="24"/>
                <w:highlight w:val="none"/>
              </w:rPr>
              <w:t>根据供应商所提供的质量保障措施等方面进行综合评审：</w:t>
            </w:r>
            <w:r>
              <w:rPr>
                <w:rFonts w:hint="eastAsia" w:ascii="宋体" w:hAnsi="宋体"/>
                <w:color w:val="auto"/>
                <w:sz w:val="24"/>
                <w:highlight w:val="none"/>
              </w:rPr>
              <w:t>服务</w:t>
            </w:r>
            <w:r>
              <w:rPr>
                <w:rFonts w:ascii="宋体" w:hAnsi="宋体"/>
                <w:color w:val="auto"/>
                <w:sz w:val="24"/>
                <w:highlight w:val="none"/>
              </w:rPr>
              <w:t>质量标准及保障措施完整、具体、可行，得10分；</w:t>
            </w:r>
            <w:r>
              <w:rPr>
                <w:rFonts w:hint="eastAsia" w:ascii="宋体" w:hAnsi="宋体"/>
                <w:color w:val="auto"/>
                <w:sz w:val="24"/>
                <w:highlight w:val="none"/>
              </w:rPr>
              <w:t>服务</w:t>
            </w:r>
            <w:r>
              <w:rPr>
                <w:rFonts w:ascii="宋体" w:hAnsi="宋体"/>
                <w:color w:val="auto"/>
                <w:sz w:val="24"/>
                <w:highlight w:val="none"/>
              </w:rPr>
              <w:t>质量标准及保障措施较完整、较具体、较可行，得7分；</w:t>
            </w:r>
            <w:r>
              <w:rPr>
                <w:rFonts w:hint="eastAsia" w:ascii="宋体" w:hAnsi="宋体"/>
                <w:color w:val="auto"/>
                <w:sz w:val="24"/>
                <w:highlight w:val="none"/>
              </w:rPr>
              <w:t>服务</w:t>
            </w:r>
            <w:r>
              <w:rPr>
                <w:rFonts w:ascii="宋体" w:hAnsi="宋体"/>
                <w:color w:val="auto"/>
                <w:sz w:val="24"/>
                <w:highlight w:val="none"/>
              </w:rPr>
              <w:t>质量标准及保障措施一般、可行性一般，得4分；</w:t>
            </w:r>
            <w:r>
              <w:rPr>
                <w:rFonts w:hint="eastAsia" w:ascii="宋体" w:hAnsi="宋体" w:eastAsia="宋体" w:cs="宋体"/>
                <w:color w:val="auto"/>
                <w:sz w:val="24"/>
                <w:szCs w:val="24"/>
                <w:highlight w:val="none"/>
              </w:rPr>
              <w:t>未提供或其他得0分</w:t>
            </w:r>
            <w:r>
              <w:rPr>
                <w:rFonts w:ascii="宋体" w:hAnsi="宋体"/>
                <w:color w:val="auto"/>
                <w:sz w:val="24"/>
                <w:highlight w:val="none"/>
              </w:rPr>
              <w:t>。</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color w:val="auto"/>
                <w:sz w:val="24"/>
                <w:highlight w:val="none"/>
                <w:lang w:val="en-US" w:eastAsia="zh-CN"/>
              </w:rPr>
              <w:t>进度</w:t>
            </w:r>
            <w:r>
              <w:rPr>
                <w:rFonts w:ascii="宋体" w:hAnsi="宋体"/>
                <w:color w:val="auto"/>
                <w:sz w:val="24"/>
                <w:highlight w:val="none"/>
              </w:rPr>
              <w:t>保障措施</w:t>
            </w:r>
          </w:p>
        </w:tc>
        <w:tc>
          <w:tcPr>
            <w:tcW w:w="58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leftChars="0"/>
              <w:textAlignment w:val="auto"/>
              <w:rPr>
                <w:rFonts w:hint="eastAsia" w:ascii="宋体" w:hAnsi="宋体" w:eastAsia="宋体" w:cs="宋体"/>
                <w:color w:val="auto"/>
                <w:kern w:val="0"/>
                <w:sz w:val="24"/>
                <w:szCs w:val="24"/>
                <w:highlight w:val="none"/>
                <w:lang w:val="en-US" w:eastAsia="en-US" w:bidi="ar-SA"/>
              </w:rPr>
            </w:pPr>
            <w:r>
              <w:rPr>
                <w:rFonts w:ascii="宋体" w:hAnsi="宋体"/>
                <w:color w:val="auto"/>
                <w:sz w:val="24"/>
                <w:highlight w:val="none"/>
              </w:rPr>
              <w:t>根据供应商所提供的</w:t>
            </w:r>
            <w:r>
              <w:rPr>
                <w:rFonts w:hint="eastAsia"/>
                <w:color w:val="auto"/>
                <w:sz w:val="24"/>
                <w:highlight w:val="none"/>
                <w:lang w:val="en-US" w:eastAsia="zh-CN"/>
              </w:rPr>
              <w:t>进度</w:t>
            </w:r>
            <w:r>
              <w:rPr>
                <w:rFonts w:ascii="宋体" w:hAnsi="宋体"/>
                <w:color w:val="auto"/>
                <w:sz w:val="24"/>
                <w:highlight w:val="none"/>
              </w:rPr>
              <w:t>保障措施等方面进行综合评审：</w:t>
            </w:r>
            <w:r>
              <w:rPr>
                <w:rFonts w:hint="eastAsia"/>
                <w:color w:val="auto"/>
                <w:sz w:val="24"/>
                <w:highlight w:val="none"/>
                <w:lang w:val="en-US" w:eastAsia="zh-CN"/>
              </w:rPr>
              <w:t>进度计划</w:t>
            </w:r>
            <w:r>
              <w:rPr>
                <w:rFonts w:ascii="宋体" w:hAnsi="宋体"/>
                <w:color w:val="auto"/>
                <w:sz w:val="24"/>
                <w:highlight w:val="none"/>
              </w:rPr>
              <w:t>及保障措施完整、具体、可行，得</w:t>
            </w:r>
            <w:r>
              <w:rPr>
                <w:rFonts w:hint="eastAsia"/>
                <w:color w:val="auto"/>
                <w:sz w:val="24"/>
                <w:highlight w:val="none"/>
                <w:lang w:val="en-US" w:eastAsia="zh-CN"/>
              </w:rPr>
              <w:t>5</w:t>
            </w:r>
            <w:r>
              <w:rPr>
                <w:rFonts w:ascii="宋体" w:hAnsi="宋体"/>
                <w:color w:val="auto"/>
                <w:sz w:val="24"/>
                <w:highlight w:val="none"/>
              </w:rPr>
              <w:t>分；</w:t>
            </w:r>
            <w:r>
              <w:rPr>
                <w:rFonts w:hint="eastAsia"/>
                <w:color w:val="auto"/>
                <w:sz w:val="24"/>
                <w:highlight w:val="none"/>
                <w:lang w:val="en-US" w:eastAsia="zh-CN"/>
              </w:rPr>
              <w:t>进度计划</w:t>
            </w:r>
            <w:r>
              <w:rPr>
                <w:rFonts w:ascii="宋体" w:hAnsi="宋体"/>
                <w:color w:val="auto"/>
                <w:sz w:val="24"/>
                <w:highlight w:val="none"/>
              </w:rPr>
              <w:t>及保障措施较完整、较具体、较可行，得</w:t>
            </w:r>
            <w:r>
              <w:rPr>
                <w:rFonts w:hint="eastAsia"/>
                <w:color w:val="auto"/>
                <w:sz w:val="24"/>
                <w:highlight w:val="none"/>
                <w:lang w:val="en-US" w:eastAsia="zh-CN"/>
              </w:rPr>
              <w:t>3</w:t>
            </w:r>
            <w:r>
              <w:rPr>
                <w:rFonts w:ascii="宋体" w:hAnsi="宋体"/>
                <w:color w:val="auto"/>
                <w:sz w:val="24"/>
                <w:highlight w:val="none"/>
              </w:rPr>
              <w:t>分；</w:t>
            </w:r>
            <w:r>
              <w:rPr>
                <w:rFonts w:hint="eastAsia"/>
                <w:color w:val="auto"/>
                <w:sz w:val="24"/>
                <w:highlight w:val="none"/>
                <w:lang w:val="en-US" w:eastAsia="zh-CN"/>
              </w:rPr>
              <w:t>进度计划</w:t>
            </w:r>
            <w:r>
              <w:rPr>
                <w:rFonts w:ascii="宋体" w:hAnsi="宋体"/>
                <w:color w:val="auto"/>
                <w:sz w:val="24"/>
                <w:highlight w:val="none"/>
              </w:rPr>
              <w:t>及保障措施一般、可行性一般，得</w:t>
            </w:r>
            <w:r>
              <w:rPr>
                <w:rFonts w:hint="eastAsia"/>
                <w:color w:val="auto"/>
                <w:sz w:val="24"/>
                <w:highlight w:val="none"/>
                <w:lang w:val="en-US" w:eastAsia="zh-CN"/>
              </w:rPr>
              <w:t>2</w:t>
            </w:r>
            <w:r>
              <w:rPr>
                <w:rFonts w:ascii="宋体" w:hAnsi="宋体"/>
                <w:color w:val="auto"/>
                <w:sz w:val="24"/>
                <w:highlight w:val="none"/>
              </w:rPr>
              <w:t>分；</w:t>
            </w:r>
            <w:r>
              <w:rPr>
                <w:rFonts w:hint="eastAsia" w:ascii="宋体" w:hAnsi="宋体" w:eastAsia="宋体" w:cs="宋体"/>
                <w:color w:val="auto"/>
                <w:sz w:val="24"/>
                <w:szCs w:val="24"/>
                <w:highlight w:val="none"/>
              </w:rPr>
              <w:t>未提供或其他得0分</w:t>
            </w:r>
            <w:r>
              <w:rPr>
                <w:rFonts w:ascii="宋体" w:hAnsi="宋体"/>
                <w:color w:val="auto"/>
                <w:sz w:val="24"/>
                <w:highlight w:val="none"/>
              </w:rPr>
              <w:t>。</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应急预案</w:t>
            </w:r>
          </w:p>
        </w:tc>
        <w:tc>
          <w:tcPr>
            <w:tcW w:w="58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评委根据供应商的紧急处置预案及响应能力等情况进行打分：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情况预想完全符合实际，应急措施科学，力量编配合理，可行性强，完全能够满足服务需要得1</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情况预想较实际，应急措施较科学，力量编配较合理，可行性较强，能够满足服务需要得</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情况预想基本符合实际，应急措施科学性一般，力量编配合理性一般，可行性一般，能够基本满足服务需要得</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未提供或其他得0分</w:t>
            </w:r>
            <w:r>
              <w:rPr>
                <w:rFonts w:hint="eastAsia" w:ascii="宋体" w:hAnsi="宋体" w:eastAsia="宋体" w:cs="宋体"/>
                <w:color w:val="auto"/>
                <w:sz w:val="24"/>
                <w:szCs w:val="24"/>
                <w:highlight w:val="none"/>
                <w:lang w:val="en-US" w:eastAsia="zh-CN"/>
              </w:rPr>
              <w:t>。</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80" w:type="dxa"/>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0分）</w:t>
            </w:r>
          </w:p>
        </w:tc>
        <w:tc>
          <w:tcPr>
            <w:tcW w:w="7062" w:type="dxa"/>
            <w:gridSpan w:val="2"/>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在报价合理的基础上，</w:t>
            </w:r>
            <w:r>
              <w:rPr>
                <w:rFonts w:hint="eastAsia" w:ascii="宋体" w:hAnsi="宋体" w:eastAsia="宋体" w:cs="宋体"/>
                <w:color w:val="auto"/>
                <w:sz w:val="24"/>
                <w:szCs w:val="24"/>
                <w:highlight w:val="none"/>
                <w:lang w:val="en-US" w:eastAsia="zh-CN"/>
              </w:rPr>
              <w:t>对磋商后最终报价进行评审</w:t>
            </w:r>
            <w:r>
              <w:rPr>
                <w:rFonts w:hint="eastAsia" w:ascii="宋体" w:hAnsi="宋体" w:eastAsia="宋体" w:cs="宋体"/>
                <w:color w:val="auto"/>
                <w:sz w:val="24"/>
                <w:szCs w:val="24"/>
                <w:highlight w:val="none"/>
                <w:lang w:eastAsia="zh-CN"/>
              </w:rPr>
              <w:t>：</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（1）满足竞争性磋商文件要求且</w:t>
            </w:r>
            <w:r>
              <w:rPr>
                <w:rFonts w:hint="eastAsia" w:ascii="宋体" w:hAnsi="宋体" w:eastAsia="宋体" w:cs="宋体"/>
                <w:color w:val="auto"/>
                <w:spacing w:val="20"/>
                <w:sz w:val="24"/>
                <w:szCs w:val="24"/>
                <w:highlight w:val="none"/>
                <w:lang w:eastAsia="zh-CN"/>
              </w:rPr>
              <w:t>响应价格</w:t>
            </w:r>
            <w:r>
              <w:rPr>
                <w:rFonts w:hint="eastAsia" w:ascii="宋体" w:hAnsi="宋体" w:eastAsia="宋体" w:cs="宋体"/>
                <w:color w:val="auto"/>
                <w:sz w:val="24"/>
                <w:szCs w:val="24"/>
                <w:highlight w:val="none"/>
                <w:lang w:eastAsia="zh-CN"/>
              </w:rPr>
              <w:t>最低的响应报价为</w:t>
            </w:r>
            <w:r>
              <w:rPr>
                <w:rFonts w:hint="eastAsia" w:ascii="宋体" w:hAnsi="宋体" w:eastAsia="宋体" w:cs="宋体"/>
                <w:color w:val="auto"/>
                <w:spacing w:val="9"/>
                <w:sz w:val="24"/>
                <w:szCs w:val="24"/>
                <w:highlight w:val="none"/>
                <w:lang w:eastAsia="zh-CN"/>
              </w:rPr>
              <w:t>评审基准价</w:t>
            </w:r>
            <w:r>
              <w:rPr>
                <w:rFonts w:hint="eastAsia" w:ascii="宋体" w:hAnsi="宋体" w:eastAsia="宋体" w:cs="宋体"/>
                <w:color w:val="auto"/>
                <w:sz w:val="24"/>
                <w:szCs w:val="24"/>
                <w:highlight w:val="none"/>
                <w:lang w:eastAsia="zh-CN"/>
              </w:rPr>
              <w:t>，其价格为满分。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（2）响应报价得分 =（评审基准价/响应报价）×</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0×100%</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注：响应报价得分保留2位小数。</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0</w:t>
            </w:r>
          </w:p>
        </w:tc>
      </w:tr>
    </w:tbl>
    <w:p>
      <w:pPr>
        <w:numPr>
          <w:ilvl w:val="0"/>
          <w:numId w:val="14"/>
        </w:num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 xml:space="preserve">  </w:t>
      </w:r>
      <w:bookmarkStart w:id="620" w:name="_Toc14667"/>
      <w:r>
        <w:rPr>
          <w:rFonts w:hint="eastAsia" w:ascii="宋体" w:hAnsi="宋体" w:eastAsia="宋体" w:cs="宋体"/>
          <w:b/>
          <w:color w:val="auto"/>
          <w:sz w:val="36"/>
          <w:szCs w:val="36"/>
          <w:highlight w:val="none"/>
        </w:rPr>
        <w:t>采购需求</w:t>
      </w:r>
      <w:bookmarkEnd w:id="620"/>
    </w:p>
    <w:p>
      <w:pPr>
        <w:pageBreakBefore w:val="0"/>
        <w:kinsoku/>
        <w:wordWrap/>
        <w:overflowPunct/>
        <w:topLinePunct w:val="0"/>
        <w:bidi w:val="0"/>
        <w:snapToGrid w:val="0"/>
        <w:spacing w:line="360" w:lineRule="exact"/>
        <w:rPr>
          <w:rFonts w:hint="eastAsia" w:ascii="宋体" w:hAnsi="宋体" w:eastAsia="宋体" w:cs="宋体"/>
          <w:b/>
          <w:bCs/>
          <w:color w:val="auto"/>
          <w:kern w:val="0"/>
          <w:sz w:val="24"/>
          <w:szCs w:val="24"/>
          <w:highlight w:val="none"/>
          <w:u w:val="single"/>
          <w:lang w:val="en-US" w:eastAsia="zh-CN" w:bidi="ar"/>
        </w:rPr>
      </w:pPr>
      <w:r>
        <w:rPr>
          <w:rFonts w:hint="eastAsia" w:ascii="宋体" w:hAnsi="宋体" w:eastAsia="宋体" w:cs="宋体"/>
          <w:b/>
          <w:bCs/>
          <w:color w:val="auto"/>
          <w:kern w:val="0"/>
          <w:sz w:val="24"/>
          <w:szCs w:val="24"/>
          <w:highlight w:val="none"/>
          <w:u w:val="single"/>
          <w:lang w:val="en-US" w:eastAsia="zh-CN" w:bidi="ar"/>
        </w:rPr>
        <w:t>04包</w:t>
      </w:r>
    </w:p>
    <w:p>
      <w:pPr>
        <w:pStyle w:val="2"/>
        <w:pageBreakBefore w:val="0"/>
        <w:kinsoku/>
        <w:wordWrap/>
        <w:overflowPunct/>
        <w:topLinePunct w:val="0"/>
        <w:bidi w:val="0"/>
        <w:snapToGrid w:val="0"/>
        <w:spacing w:before="0" w:line="360" w:lineRule="exact"/>
        <w:ind w:firstLine="540" w:firstLineChars="22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一、项目背景</w:t>
      </w:r>
      <w:r>
        <w:rPr>
          <w:rFonts w:hint="eastAsia" w:ascii="宋体" w:hAnsi="宋体" w:eastAsia="宋体" w:cs="宋体"/>
          <w:sz w:val="24"/>
          <w:szCs w:val="24"/>
          <w:highlight w:val="none"/>
          <w:lang w:eastAsia="zh-CN"/>
        </w:rPr>
        <w:tab/>
      </w:r>
    </w:p>
    <w:p>
      <w:pPr>
        <w:pStyle w:val="2"/>
        <w:pageBreakBefore w:val="0"/>
        <w:kinsoku/>
        <w:wordWrap/>
        <w:overflowPunct/>
        <w:topLinePunct w:val="0"/>
        <w:bidi w:val="0"/>
        <w:snapToGrid w:val="0"/>
        <w:spacing w:before="0" w:line="360" w:lineRule="exact"/>
        <w:ind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按照《北京市城市管理委员会关于印发北京市深化垃圾粪便处理设施环境监测工作的实施方案的通知》（京管函【2018】429号）的要求，自2019年起，各区或设施主管部门需委托社会环境监测机构对垃圾粪便处理设施开展每月不少于1次的自行监测和每季度不少于1次的监督监测，该项工作由市城市管理委统一组织实施并列入对各区的检查考核。</w:t>
      </w:r>
    </w:p>
    <w:p>
      <w:pPr>
        <w:pStyle w:val="2"/>
        <w:pageBreakBefore w:val="0"/>
        <w:kinsoku/>
        <w:wordWrap/>
        <w:overflowPunct/>
        <w:topLinePunct w:val="0"/>
        <w:bidi w:val="0"/>
        <w:snapToGrid w:val="0"/>
        <w:spacing w:before="0" w:line="360" w:lineRule="exact"/>
        <w:ind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我区被列入监测的设施是衙门口垃圾转运站和粪便消纳站。全年需16次正常检测。</w:t>
      </w:r>
    </w:p>
    <w:p>
      <w:pPr>
        <w:pStyle w:val="2"/>
        <w:pageBreakBefore w:val="0"/>
        <w:kinsoku/>
        <w:wordWrap/>
        <w:overflowPunct/>
        <w:topLinePunct w:val="0"/>
        <w:bidi w:val="0"/>
        <w:snapToGrid w:val="0"/>
        <w:spacing w:before="0" w:line="360" w:lineRule="exact"/>
        <w:ind w:firstLine="540" w:firstLineChars="22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二、项目内容</w:t>
      </w:r>
    </w:p>
    <w:p>
      <w:pPr>
        <w:pStyle w:val="2"/>
        <w:pageBreakBefore w:val="0"/>
        <w:kinsoku/>
        <w:wordWrap/>
        <w:overflowPunct/>
        <w:topLinePunct w:val="0"/>
        <w:bidi w:val="0"/>
        <w:snapToGrid w:val="0"/>
        <w:spacing w:before="0" w:line="360" w:lineRule="exact"/>
        <w:ind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(一)内容：提供加盖 CMA章的书面监测报告。</w:t>
      </w:r>
    </w:p>
    <w:p>
      <w:pPr>
        <w:pStyle w:val="2"/>
        <w:pageBreakBefore w:val="0"/>
        <w:kinsoku/>
        <w:wordWrap/>
        <w:overflowPunct/>
        <w:topLinePunct w:val="0"/>
        <w:bidi w:val="0"/>
        <w:snapToGrid w:val="0"/>
        <w:spacing w:before="0" w:line="360" w:lineRule="exact"/>
        <w:ind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(二)形式：</w:t>
      </w:r>
      <w:r>
        <w:rPr>
          <w:rFonts w:hint="eastAsia" w:ascii="宋体" w:hAnsi="宋体" w:eastAsia="宋体" w:cs="宋体"/>
          <w:sz w:val="24"/>
          <w:szCs w:val="24"/>
          <w:highlight w:val="none"/>
          <w:lang w:eastAsia="zh-CN"/>
        </w:rPr>
        <w:t>监测公司按照要求</w:t>
      </w:r>
      <w:r>
        <w:rPr>
          <w:rFonts w:hint="eastAsia" w:ascii="宋体" w:hAnsi="宋体" w:eastAsia="宋体" w:cs="宋体"/>
          <w:sz w:val="24"/>
          <w:szCs w:val="24"/>
          <w:highlight w:val="none"/>
        </w:rPr>
        <w:t>进行监测，完成监测报告，监测数据客观、真实、准确。</w:t>
      </w:r>
    </w:p>
    <w:p>
      <w:pPr>
        <w:pStyle w:val="2"/>
        <w:pageBreakBefore w:val="0"/>
        <w:kinsoku/>
        <w:wordWrap/>
        <w:overflowPunct/>
        <w:topLinePunct w:val="0"/>
        <w:bidi w:val="0"/>
        <w:snapToGrid w:val="0"/>
        <w:spacing w:before="0" w:line="360" w:lineRule="exact"/>
        <w:ind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(三)要求：</w:t>
      </w:r>
    </w:p>
    <w:p>
      <w:pPr>
        <w:pStyle w:val="2"/>
        <w:pageBreakBefore w:val="0"/>
        <w:kinsoku/>
        <w:wordWrap/>
        <w:overflowPunct/>
        <w:topLinePunct w:val="0"/>
        <w:bidi w:val="0"/>
        <w:snapToGrid w:val="0"/>
        <w:spacing w:before="0" w:line="360" w:lineRule="exact"/>
        <w:ind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（1）按照</w:t>
      </w:r>
      <w:r>
        <w:rPr>
          <w:rFonts w:hint="eastAsia" w:ascii="宋体" w:hAnsi="宋体" w:eastAsia="宋体" w:cs="宋体"/>
          <w:sz w:val="24"/>
          <w:szCs w:val="24"/>
          <w:highlight w:val="none"/>
          <w:lang w:eastAsia="zh-CN"/>
        </w:rPr>
        <w:t>《北京市垃圾粪便处理设施环境监测方案》</w:t>
      </w:r>
      <w:r>
        <w:rPr>
          <w:rFonts w:hint="eastAsia" w:ascii="宋体" w:hAnsi="宋体" w:eastAsia="宋体" w:cs="宋体"/>
          <w:sz w:val="24"/>
          <w:szCs w:val="24"/>
          <w:highlight w:val="none"/>
        </w:rPr>
        <w:t>进行监测</w:t>
      </w:r>
      <w:r>
        <w:rPr>
          <w:rFonts w:hint="eastAsia" w:ascii="宋体" w:hAnsi="宋体" w:eastAsia="宋体" w:cs="宋体"/>
          <w:sz w:val="24"/>
          <w:szCs w:val="24"/>
          <w:highlight w:val="none"/>
          <w:lang w:val="en-US" w:eastAsia="zh-CN"/>
        </w:rPr>
        <w:t>(见附件)</w:t>
      </w:r>
      <w:r>
        <w:rPr>
          <w:rFonts w:hint="eastAsia" w:ascii="宋体" w:hAnsi="宋体" w:eastAsia="宋体" w:cs="宋体"/>
          <w:sz w:val="24"/>
          <w:szCs w:val="24"/>
          <w:highlight w:val="none"/>
        </w:rPr>
        <w:t>。</w:t>
      </w:r>
    </w:p>
    <w:p>
      <w:pPr>
        <w:pStyle w:val="2"/>
        <w:pageBreakBefore w:val="0"/>
        <w:kinsoku/>
        <w:wordWrap/>
        <w:overflowPunct/>
        <w:topLinePunct w:val="0"/>
        <w:bidi w:val="0"/>
        <w:snapToGrid w:val="0"/>
        <w:spacing w:before="0" w:line="360" w:lineRule="exact"/>
        <w:ind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（2）如对数据有异议，</w:t>
      </w:r>
      <w:r>
        <w:rPr>
          <w:rFonts w:hint="eastAsia" w:ascii="宋体" w:hAnsi="宋体" w:eastAsia="宋体" w:cs="宋体"/>
          <w:sz w:val="24"/>
          <w:szCs w:val="24"/>
          <w:highlight w:val="none"/>
          <w:lang w:eastAsia="zh-CN"/>
        </w:rPr>
        <w:t>监测公司</w:t>
      </w:r>
      <w:r>
        <w:rPr>
          <w:rFonts w:hint="eastAsia" w:ascii="宋体" w:hAnsi="宋体" w:eastAsia="宋体" w:cs="宋体"/>
          <w:sz w:val="24"/>
          <w:szCs w:val="24"/>
          <w:highlight w:val="none"/>
        </w:rPr>
        <w:t>负责数据核查。若提出补测个别数据，</w:t>
      </w:r>
      <w:r>
        <w:rPr>
          <w:rFonts w:hint="eastAsia" w:ascii="宋体" w:hAnsi="宋体" w:eastAsia="宋体" w:cs="宋体"/>
          <w:sz w:val="24"/>
          <w:szCs w:val="24"/>
          <w:highlight w:val="none"/>
          <w:lang w:eastAsia="zh-CN"/>
        </w:rPr>
        <w:t>监测公司</w:t>
      </w:r>
      <w:r>
        <w:rPr>
          <w:rFonts w:hint="eastAsia" w:ascii="宋体" w:hAnsi="宋体" w:eastAsia="宋体" w:cs="宋体"/>
          <w:sz w:val="24"/>
          <w:szCs w:val="24"/>
          <w:highlight w:val="none"/>
        </w:rPr>
        <w:t>协助办理，涉及费用增加部分双方另行协商。</w:t>
      </w:r>
    </w:p>
    <w:p>
      <w:pPr>
        <w:pStyle w:val="2"/>
        <w:pageBreakBefore w:val="0"/>
        <w:kinsoku/>
        <w:wordWrap/>
        <w:overflowPunct/>
        <w:topLinePunct w:val="0"/>
        <w:bidi w:val="0"/>
        <w:snapToGrid w:val="0"/>
        <w:spacing w:before="0" w:line="360" w:lineRule="exact"/>
        <w:ind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监测公司</w:t>
      </w:r>
      <w:r>
        <w:rPr>
          <w:rFonts w:hint="eastAsia" w:ascii="宋体" w:hAnsi="宋体" w:eastAsia="宋体" w:cs="宋体"/>
          <w:sz w:val="24"/>
          <w:szCs w:val="24"/>
          <w:highlight w:val="none"/>
        </w:rPr>
        <w:t>应于每月月初（即每月15日之前）完成现场采样工作，10个工作日内（即每月25日前）向</w:t>
      </w:r>
      <w:r>
        <w:rPr>
          <w:rFonts w:hint="eastAsia" w:ascii="宋体" w:hAnsi="宋体" w:eastAsia="宋体" w:cs="宋体"/>
          <w:sz w:val="24"/>
          <w:szCs w:val="24"/>
          <w:highlight w:val="none"/>
          <w:lang w:eastAsia="zh-CN"/>
        </w:rPr>
        <w:t>我委</w:t>
      </w:r>
      <w:r>
        <w:rPr>
          <w:rFonts w:hint="eastAsia" w:ascii="宋体" w:hAnsi="宋体" w:eastAsia="宋体" w:cs="宋体"/>
          <w:sz w:val="24"/>
          <w:szCs w:val="24"/>
          <w:highlight w:val="none"/>
        </w:rPr>
        <w:t>提供检测报告。</w:t>
      </w:r>
    </w:p>
    <w:p>
      <w:pPr>
        <w:pStyle w:val="2"/>
        <w:pageBreakBefore w:val="0"/>
        <w:kinsoku/>
        <w:wordWrap/>
        <w:overflowPunct/>
        <w:topLinePunct w:val="0"/>
        <w:bidi w:val="0"/>
        <w:snapToGrid w:val="0"/>
        <w:spacing w:before="0" w:line="360" w:lineRule="exact"/>
        <w:ind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期限、地点和方式</w:t>
      </w:r>
    </w:p>
    <w:p>
      <w:pPr>
        <w:pStyle w:val="2"/>
        <w:pageBreakBefore w:val="0"/>
        <w:kinsoku/>
        <w:wordWrap/>
        <w:overflowPunct/>
        <w:topLinePunct w:val="0"/>
        <w:bidi w:val="0"/>
        <w:snapToGrid w:val="0"/>
        <w:spacing w:before="0" w:line="360" w:lineRule="exact"/>
        <w:ind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cs="宋体"/>
          <w:sz w:val="24"/>
          <w:szCs w:val="24"/>
          <w:highlight w:val="none"/>
          <w:lang w:val="en-US" w:eastAsia="zh-CN"/>
        </w:rPr>
        <w:t>服务</w:t>
      </w:r>
      <w:r>
        <w:rPr>
          <w:rFonts w:hint="eastAsia" w:ascii="宋体" w:hAnsi="宋体" w:eastAsia="宋体" w:cs="宋体"/>
          <w:sz w:val="24"/>
          <w:szCs w:val="24"/>
          <w:highlight w:val="none"/>
        </w:rPr>
        <w:t>期限：</w:t>
      </w:r>
      <w:r>
        <w:rPr>
          <w:rFonts w:hint="eastAsia" w:ascii="宋体" w:hAnsi="宋体" w:eastAsia="宋体" w:cs="宋体"/>
          <w:sz w:val="24"/>
          <w:szCs w:val="24"/>
          <w:highlight w:val="none"/>
          <w:lang w:val="en-US" w:eastAsia="zh-CN"/>
        </w:rPr>
        <w:t>2026年1月1日至2026年12月31日</w:t>
      </w:r>
      <w:r>
        <w:rPr>
          <w:rFonts w:hint="eastAsia" w:ascii="宋体" w:hAnsi="宋体" w:eastAsia="宋体" w:cs="宋体"/>
          <w:sz w:val="24"/>
          <w:szCs w:val="24"/>
          <w:highlight w:val="none"/>
        </w:rPr>
        <w:t>。</w:t>
      </w:r>
    </w:p>
    <w:p>
      <w:pPr>
        <w:pStyle w:val="2"/>
        <w:pageBreakBefore w:val="0"/>
        <w:kinsoku/>
        <w:wordWrap/>
        <w:overflowPunct/>
        <w:topLinePunct w:val="0"/>
        <w:bidi w:val="0"/>
        <w:snapToGrid w:val="0"/>
        <w:spacing w:before="0" w:line="360" w:lineRule="exact"/>
        <w:ind w:firstLine="540" w:firstLineChars="22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cs="宋体"/>
          <w:sz w:val="24"/>
          <w:szCs w:val="24"/>
          <w:highlight w:val="none"/>
          <w:lang w:val="en-US" w:eastAsia="zh-CN"/>
        </w:rPr>
        <w:t>服务</w:t>
      </w:r>
      <w:r>
        <w:rPr>
          <w:rFonts w:hint="eastAsia" w:ascii="宋体" w:hAnsi="宋体" w:eastAsia="宋体" w:cs="宋体"/>
          <w:sz w:val="24"/>
          <w:szCs w:val="24"/>
          <w:highlight w:val="none"/>
        </w:rPr>
        <w:t>地点：北京</w:t>
      </w:r>
      <w:r>
        <w:rPr>
          <w:rFonts w:hint="eastAsia" w:ascii="宋体" w:hAnsi="宋体" w:eastAsia="宋体" w:cs="宋体"/>
          <w:sz w:val="24"/>
          <w:szCs w:val="24"/>
          <w:highlight w:val="none"/>
          <w:lang w:eastAsia="zh-CN"/>
        </w:rPr>
        <w:t>市石景山区</w:t>
      </w:r>
    </w:p>
    <w:p>
      <w:pPr>
        <w:pStyle w:val="2"/>
        <w:pageBreakBefore w:val="0"/>
        <w:kinsoku/>
        <w:wordWrap/>
        <w:overflowPunct/>
        <w:topLinePunct w:val="0"/>
        <w:bidi w:val="0"/>
        <w:snapToGrid w:val="0"/>
        <w:spacing w:before="0" w:line="360" w:lineRule="exact"/>
        <w:ind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cs="宋体"/>
          <w:sz w:val="24"/>
          <w:szCs w:val="24"/>
          <w:highlight w:val="none"/>
          <w:lang w:val="en-US" w:eastAsia="zh-CN"/>
        </w:rPr>
        <w:t>服务</w:t>
      </w:r>
      <w:r>
        <w:rPr>
          <w:rFonts w:hint="eastAsia" w:ascii="宋体" w:hAnsi="宋体" w:eastAsia="宋体" w:cs="宋体"/>
          <w:sz w:val="24"/>
          <w:szCs w:val="24"/>
          <w:highlight w:val="none"/>
        </w:rPr>
        <w:t>方式：</w:t>
      </w:r>
      <w:r>
        <w:rPr>
          <w:rFonts w:hint="eastAsia" w:ascii="宋体" w:hAnsi="宋体" w:eastAsia="宋体" w:cs="宋体"/>
          <w:sz w:val="24"/>
          <w:szCs w:val="24"/>
          <w:highlight w:val="none"/>
          <w:lang w:eastAsia="zh-CN"/>
        </w:rPr>
        <w:t>监测公司每月、每季度</w:t>
      </w:r>
      <w:r>
        <w:rPr>
          <w:rFonts w:hint="eastAsia" w:ascii="宋体" w:hAnsi="宋体" w:eastAsia="宋体" w:cs="宋体"/>
          <w:sz w:val="24"/>
          <w:szCs w:val="24"/>
          <w:highlight w:val="none"/>
        </w:rPr>
        <w:t>向</w:t>
      </w:r>
      <w:r>
        <w:rPr>
          <w:rFonts w:hint="eastAsia" w:ascii="宋体" w:hAnsi="宋体" w:eastAsia="宋体" w:cs="宋体"/>
          <w:sz w:val="24"/>
          <w:szCs w:val="24"/>
          <w:highlight w:val="none"/>
          <w:lang w:eastAsia="zh-CN"/>
        </w:rPr>
        <w:t>我委</w:t>
      </w:r>
      <w:r>
        <w:rPr>
          <w:rFonts w:hint="eastAsia" w:ascii="宋体" w:hAnsi="宋体" w:eastAsia="宋体" w:cs="宋体"/>
          <w:sz w:val="24"/>
          <w:szCs w:val="24"/>
          <w:highlight w:val="none"/>
        </w:rPr>
        <w:t>出具加盖CMA章的书面检测报告。</w:t>
      </w:r>
    </w:p>
    <w:p>
      <w:pPr>
        <w:pStyle w:val="2"/>
        <w:pageBreakBefore w:val="0"/>
        <w:kinsoku/>
        <w:wordWrap/>
        <w:overflowPunct/>
        <w:topLinePunct w:val="0"/>
        <w:bidi w:val="0"/>
        <w:snapToGrid w:val="0"/>
        <w:spacing w:before="0" w:line="360" w:lineRule="exact"/>
        <w:ind w:firstLine="540" w:firstLineChars="22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标准要求</w:t>
      </w:r>
    </w:p>
    <w:p>
      <w:pPr>
        <w:pStyle w:val="2"/>
        <w:pageBreakBefore w:val="0"/>
        <w:kinsoku/>
        <w:wordWrap/>
        <w:overflowPunct/>
        <w:topLinePunct w:val="0"/>
        <w:bidi w:val="0"/>
        <w:snapToGrid w:val="0"/>
        <w:spacing w:before="0" w:line="360" w:lineRule="exact"/>
        <w:ind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1、根据</w:t>
      </w:r>
      <w:r>
        <w:rPr>
          <w:rFonts w:hint="eastAsia" w:ascii="宋体" w:hAnsi="宋体" w:eastAsia="宋体" w:cs="宋体"/>
          <w:sz w:val="24"/>
          <w:szCs w:val="24"/>
          <w:highlight w:val="none"/>
          <w:lang w:eastAsia="zh-CN"/>
        </w:rPr>
        <w:t>我委</w:t>
      </w:r>
      <w:r>
        <w:rPr>
          <w:rFonts w:hint="eastAsia" w:ascii="宋体" w:hAnsi="宋体" w:eastAsia="宋体" w:cs="宋体"/>
          <w:sz w:val="24"/>
          <w:szCs w:val="24"/>
          <w:highlight w:val="none"/>
        </w:rPr>
        <w:t>要求按时完成检测工作，出具检测报告，若</w:t>
      </w:r>
      <w:r>
        <w:rPr>
          <w:rFonts w:hint="eastAsia" w:ascii="宋体" w:hAnsi="宋体" w:eastAsia="宋体" w:cs="宋体"/>
          <w:sz w:val="24"/>
          <w:szCs w:val="24"/>
          <w:highlight w:val="none"/>
          <w:lang w:eastAsia="zh-CN"/>
        </w:rPr>
        <w:t>我委</w:t>
      </w:r>
      <w:r>
        <w:rPr>
          <w:rFonts w:hint="eastAsia" w:ascii="宋体" w:hAnsi="宋体" w:eastAsia="宋体" w:cs="宋体"/>
          <w:sz w:val="24"/>
          <w:szCs w:val="24"/>
          <w:highlight w:val="none"/>
        </w:rPr>
        <w:t>对数据有疑问,应根据</w:t>
      </w:r>
      <w:r>
        <w:rPr>
          <w:rFonts w:hint="eastAsia" w:ascii="宋体" w:hAnsi="宋体" w:eastAsia="宋体" w:cs="宋体"/>
          <w:sz w:val="24"/>
          <w:szCs w:val="24"/>
          <w:highlight w:val="none"/>
          <w:lang w:eastAsia="zh-CN"/>
        </w:rPr>
        <w:t>我委</w:t>
      </w:r>
      <w:r>
        <w:rPr>
          <w:rFonts w:hint="eastAsia" w:ascii="宋体" w:hAnsi="宋体" w:eastAsia="宋体" w:cs="宋体"/>
          <w:sz w:val="24"/>
          <w:szCs w:val="24"/>
          <w:highlight w:val="none"/>
        </w:rPr>
        <w:t>要求重新对数据进行追溯校核、复审、释疑。</w:t>
      </w:r>
    </w:p>
    <w:p>
      <w:pPr>
        <w:pStyle w:val="2"/>
        <w:pageBreakBefore w:val="0"/>
        <w:kinsoku/>
        <w:wordWrap/>
        <w:overflowPunct/>
        <w:topLinePunct w:val="0"/>
        <w:bidi w:val="0"/>
        <w:snapToGrid w:val="0"/>
        <w:spacing w:before="0" w:line="360" w:lineRule="exact"/>
        <w:ind w:firstLine="540" w:firstLineChars="225"/>
        <w:rPr>
          <w:rFonts w:hint="eastAsia" w:ascii="宋体" w:hAnsi="宋体" w:eastAsia="宋体" w:cs="宋体"/>
          <w:b/>
          <w:sz w:val="24"/>
          <w:szCs w:val="24"/>
          <w:highlight w:val="none"/>
        </w:rPr>
      </w:pPr>
      <w:r>
        <w:rPr>
          <w:rFonts w:hint="eastAsia" w:ascii="宋体" w:hAnsi="宋体" w:eastAsia="宋体" w:cs="宋体"/>
          <w:sz w:val="24"/>
          <w:szCs w:val="24"/>
          <w:highlight w:val="none"/>
        </w:rPr>
        <w:t>2、按规定时间和内容向</w:t>
      </w:r>
      <w:r>
        <w:rPr>
          <w:rFonts w:hint="eastAsia" w:ascii="宋体" w:hAnsi="宋体" w:eastAsia="宋体" w:cs="宋体"/>
          <w:sz w:val="24"/>
          <w:szCs w:val="24"/>
          <w:highlight w:val="none"/>
          <w:lang w:eastAsia="zh-CN"/>
        </w:rPr>
        <w:t>我委</w:t>
      </w:r>
      <w:r>
        <w:rPr>
          <w:rFonts w:hint="eastAsia" w:ascii="宋体" w:hAnsi="宋体" w:eastAsia="宋体" w:cs="宋体"/>
          <w:sz w:val="24"/>
          <w:szCs w:val="24"/>
          <w:highlight w:val="none"/>
        </w:rPr>
        <w:t>提供检测数据及加盖CMA 章的书面检测报告。</w:t>
      </w:r>
    </w:p>
    <w:tbl>
      <w:tblPr>
        <w:tblStyle w:val="45"/>
        <w:tblW w:w="9160" w:type="dxa"/>
        <w:tblInd w:w="0" w:type="dxa"/>
        <w:tblLayout w:type="fixed"/>
        <w:tblCellMar>
          <w:top w:w="0" w:type="dxa"/>
          <w:left w:w="0" w:type="dxa"/>
          <w:bottom w:w="0" w:type="dxa"/>
          <w:right w:w="0" w:type="dxa"/>
        </w:tblCellMar>
      </w:tblPr>
      <w:tblGrid>
        <w:gridCol w:w="1526"/>
        <w:gridCol w:w="1526"/>
        <w:gridCol w:w="1528"/>
        <w:gridCol w:w="1526"/>
        <w:gridCol w:w="1528"/>
        <w:gridCol w:w="1526"/>
      </w:tblGrid>
      <w:tr>
        <w:tblPrEx>
          <w:tblCellMar>
            <w:top w:w="0" w:type="dxa"/>
            <w:left w:w="0" w:type="dxa"/>
            <w:bottom w:w="0" w:type="dxa"/>
            <w:right w:w="0" w:type="dxa"/>
          </w:tblCellMar>
        </w:tblPrEx>
        <w:trPr>
          <w:trHeight w:val="23" w:hRule="atLeast"/>
        </w:trPr>
        <w:tc>
          <w:tcPr>
            <w:tcW w:w="152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设施名称</w:t>
            </w:r>
          </w:p>
        </w:tc>
        <w:tc>
          <w:tcPr>
            <w:tcW w:w="3054" w:type="dxa"/>
            <w:gridSpan w:val="2"/>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监测项目</w:t>
            </w:r>
          </w:p>
        </w:tc>
        <w:tc>
          <w:tcPr>
            <w:tcW w:w="152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采样点</w:t>
            </w:r>
          </w:p>
        </w:tc>
        <w:tc>
          <w:tcPr>
            <w:tcW w:w="1528"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采样天数</w:t>
            </w:r>
          </w:p>
        </w:tc>
        <w:tc>
          <w:tcPr>
            <w:tcW w:w="152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频次</w:t>
            </w:r>
          </w:p>
        </w:tc>
      </w:tr>
      <w:tr>
        <w:tblPrEx>
          <w:tblCellMar>
            <w:top w:w="0" w:type="dxa"/>
            <w:left w:w="0" w:type="dxa"/>
            <w:bottom w:w="0" w:type="dxa"/>
            <w:right w:w="0" w:type="dxa"/>
          </w:tblCellMar>
        </w:tblPrEx>
        <w:trPr>
          <w:trHeight w:val="23" w:hRule="atLeast"/>
        </w:trPr>
        <w:tc>
          <w:tcPr>
            <w:tcW w:w="1526"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转运站</w:t>
            </w:r>
          </w:p>
        </w:tc>
        <w:tc>
          <w:tcPr>
            <w:tcW w:w="1526"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转运站无组织废气</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氮氧化物</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二氧化硫</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一氧化碳</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总悬浮颗粒物</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氨</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硫化氢</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臭气浓度</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甲烷</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restart"/>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转运站设备出水、外排污水</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pH</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色度</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生化需氧量</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化学需氧量</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悬浮物</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氨氮</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粪大肠菌群</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总氮</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总磷</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总汞</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总镉</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总铬</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六价铬</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总砷</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总铅</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溶解性总固体</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转运站噪声</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噪声（昼）</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restart"/>
            <w:tcBorders>
              <w:top w:val="nil"/>
              <w:left w:val="nil"/>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转运站有组织废气</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卸料口废气排放筒DA003：氨</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left w:val="nil"/>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卸料口废气排放筒DA003：臭气浓度</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left w:val="nil"/>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卸料口废气排放筒DA003：硫化氢</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left w:val="nil"/>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卸料口废气排放筒DA003：颗粒物</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left w:val="nil"/>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转运站有组织 废气：臭气浓度</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left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转运站有组织 废气：硫化氢</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转运站有组织 废气：氨</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粪便消纳站</w:t>
            </w:r>
          </w:p>
        </w:tc>
        <w:tc>
          <w:tcPr>
            <w:tcW w:w="1526"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消纳站无组织废气</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氨</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硫化氢</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臭气浓度</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甲烷</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restart"/>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消纳站设备出水、外排污水</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pH</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生化需氧量</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化学需氧量</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悬浮物</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氨氮</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总氮</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总磷</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溶解性总固体</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消纳站噪声</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噪声（昼）</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消纳站有组织废气</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臭气浓度</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硫化氢</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r>
        <w:tblPrEx>
          <w:tblCellMar>
            <w:top w:w="0" w:type="dxa"/>
            <w:left w:w="0" w:type="dxa"/>
            <w:bottom w:w="0" w:type="dxa"/>
            <w:right w:w="0" w:type="dxa"/>
          </w:tblCellMar>
        </w:tblPrEx>
        <w:trPr>
          <w:trHeight w:val="23" w:hRule="atLeast"/>
        </w:trPr>
        <w:tc>
          <w:tcPr>
            <w:tcW w:w="1526"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b/>
                <w:i w:val="0"/>
                <w:color w:val="000000"/>
                <w:sz w:val="24"/>
                <w:szCs w:val="24"/>
                <w:highlight w:val="none"/>
                <w:u w:val="none"/>
              </w:rPr>
            </w:pPr>
          </w:p>
        </w:tc>
        <w:tc>
          <w:tcPr>
            <w:tcW w:w="1526"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240" w:lineRule="auto"/>
              <w:jc w:val="center"/>
              <w:rPr>
                <w:rFonts w:hint="eastAsia" w:ascii="宋体" w:hAnsi="宋体" w:eastAsia="宋体" w:cs="宋体"/>
                <w:i w:val="0"/>
                <w:color w:val="000000"/>
                <w:sz w:val="24"/>
                <w:szCs w:val="24"/>
                <w:highlight w:val="none"/>
                <w:u w:val="none"/>
              </w:rPr>
            </w:pP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氨</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52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r>
    </w:tbl>
    <w:p>
      <w:pPr>
        <w:pStyle w:val="2"/>
        <w:rPr>
          <w:rFonts w:hint="default"/>
          <w:highlight w:val="none"/>
          <w:lang w:val="en-US" w:eastAsia="zh-CN"/>
        </w:rPr>
      </w:pPr>
    </w:p>
    <w:p>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bookmarkStart w:id="621" w:name="_Toc332"/>
      <w:r>
        <w:rPr>
          <w:rFonts w:hint="eastAsia" w:ascii="宋体" w:hAnsi="宋体" w:eastAsia="宋体" w:cs="宋体"/>
          <w:b/>
          <w:color w:val="auto"/>
          <w:sz w:val="36"/>
          <w:szCs w:val="36"/>
          <w:highlight w:val="none"/>
        </w:rPr>
        <w:t xml:space="preserve">第五章 </w:t>
      </w:r>
      <w:r>
        <w:rPr>
          <w:rFonts w:hint="eastAsia" w:ascii="宋体" w:hAnsi="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合同草案条款</w:t>
      </w:r>
      <w:bookmarkEnd w:id="621"/>
    </w:p>
    <w:p>
      <w:pPr>
        <w:jc w:val="center"/>
        <w:rPr>
          <w:rFonts w:hint="eastAsia" w:ascii="宋体" w:hAnsi="宋体" w:cs="宋体"/>
          <w:b/>
          <w:bCs/>
          <w:kern w:val="44"/>
          <w:sz w:val="24"/>
          <w:highlight w:val="none"/>
        </w:rPr>
      </w:pPr>
    </w:p>
    <w:p>
      <w:pPr>
        <w:spacing w:before="143" w:line="346" w:lineRule="auto"/>
        <w:ind w:left="1878" w:hanging="1879"/>
        <w:jc w:val="center"/>
        <w:rPr>
          <w:rFonts w:hint="eastAsia" w:ascii="宋体" w:hAnsi="宋体" w:cs="宋体"/>
          <w:b/>
          <w:bCs/>
          <w:spacing w:val="-6"/>
          <w:sz w:val="44"/>
          <w:szCs w:val="44"/>
          <w:highlight w:val="none"/>
        </w:rPr>
      </w:pPr>
      <w:r>
        <w:rPr>
          <w:rFonts w:ascii="宋体" w:hAnsi="宋体" w:cs="宋体"/>
          <w:b/>
          <w:bCs/>
          <w:spacing w:val="-6"/>
          <w:sz w:val="44"/>
          <w:szCs w:val="44"/>
          <w:highlight w:val="none"/>
        </w:rPr>
        <w:t>202</w:t>
      </w:r>
      <w:r>
        <w:rPr>
          <w:rFonts w:hint="eastAsia" w:ascii="宋体" w:hAnsi="宋体" w:cs="宋体"/>
          <w:b/>
          <w:bCs/>
          <w:spacing w:val="-6"/>
          <w:sz w:val="44"/>
          <w:szCs w:val="44"/>
          <w:highlight w:val="none"/>
        </w:rPr>
        <w:t>6</w:t>
      </w:r>
      <w:r>
        <w:rPr>
          <w:rFonts w:ascii="宋体" w:hAnsi="宋体" w:cs="宋体"/>
          <w:b/>
          <w:bCs/>
          <w:spacing w:val="-6"/>
          <w:sz w:val="44"/>
          <w:szCs w:val="44"/>
          <w:highlight w:val="none"/>
        </w:rPr>
        <w:t>年石景山区垃圾分类服务项目</w:t>
      </w:r>
    </w:p>
    <w:p>
      <w:pPr>
        <w:spacing w:before="143" w:line="346" w:lineRule="auto"/>
        <w:ind w:left="1878" w:hanging="1879"/>
        <w:jc w:val="center"/>
        <w:rPr>
          <w:rFonts w:hint="eastAsia" w:ascii="宋体" w:hAnsi="宋体" w:cs="宋体"/>
          <w:sz w:val="44"/>
          <w:szCs w:val="44"/>
          <w:highlight w:val="none"/>
        </w:rPr>
      </w:pPr>
      <w:r>
        <w:rPr>
          <w:rFonts w:ascii="宋体" w:hAnsi="宋体" w:cs="宋体"/>
          <w:spacing w:val="-6"/>
          <w:sz w:val="44"/>
          <w:szCs w:val="44"/>
          <w:highlight w:val="none"/>
        </w:rPr>
        <w:t>（</w:t>
      </w:r>
      <w:r>
        <w:rPr>
          <w:rFonts w:hint="eastAsia" w:ascii="宋体" w:hAnsi="宋体" w:cs="宋体"/>
          <w:spacing w:val="-6"/>
          <w:sz w:val="44"/>
          <w:szCs w:val="44"/>
          <w:highlight w:val="none"/>
        </w:rPr>
        <w:t>适用于</w:t>
      </w:r>
      <w:r>
        <w:rPr>
          <w:rFonts w:hint="eastAsia"/>
          <w:sz w:val="36"/>
          <w:szCs w:val="36"/>
          <w:highlight w:val="none"/>
          <w:u w:val="single"/>
        </w:rPr>
        <w:t xml:space="preserve"> 04包生活垃圾（粪便）处理设施环境监测  </w:t>
      </w:r>
      <w:r>
        <w:rPr>
          <w:rFonts w:ascii="宋体" w:hAnsi="宋体" w:cs="宋体"/>
          <w:spacing w:val="-6"/>
          <w:sz w:val="44"/>
          <w:szCs w:val="44"/>
          <w:highlight w:val="none"/>
        </w:rPr>
        <w:t>）</w:t>
      </w:r>
    </w:p>
    <w:p>
      <w:pPr>
        <w:pStyle w:val="2"/>
        <w:spacing w:line="270" w:lineRule="auto"/>
        <w:rPr>
          <w:rFonts w:hint="eastAsia"/>
          <w:highlight w:val="none"/>
        </w:rPr>
      </w:pPr>
    </w:p>
    <w:p>
      <w:pPr>
        <w:pStyle w:val="2"/>
        <w:spacing w:line="270" w:lineRule="auto"/>
        <w:rPr>
          <w:rFonts w:hint="eastAsia"/>
          <w:highlight w:val="none"/>
        </w:rPr>
      </w:pPr>
    </w:p>
    <w:p>
      <w:pPr>
        <w:pStyle w:val="2"/>
        <w:spacing w:line="270" w:lineRule="auto"/>
        <w:rPr>
          <w:rFonts w:hint="eastAsia"/>
          <w:highlight w:val="none"/>
        </w:rPr>
      </w:pPr>
    </w:p>
    <w:p>
      <w:pPr>
        <w:pStyle w:val="2"/>
        <w:spacing w:line="270" w:lineRule="auto"/>
        <w:rPr>
          <w:rFonts w:hint="eastAsia"/>
          <w:highlight w:val="none"/>
        </w:rPr>
      </w:pPr>
    </w:p>
    <w:p>
      <w:pPr>
        <w:pStyle w:val="2"/>
        <w:spacing w:line="249" w:lineRule="auto"/>
        <w:jc w:val="center"/>
        <w:rPr>
          <w:rFonts w:hint="eastAsia"/>
          <w:highlight w:val="none"/>
        </w:rPr>
      </w:pPr>
      <w:r>
        <w:rPr>
          <w:rFonts w:cs="宋体"/>
          <w:b/>
          <w:bCs/>
          <w:spacing w:val="-8"/>
          <w:sz w:val="44"/>
          <w:szCs w:val="44"/>
          <w:highlight w:val="none"/>
        </w:rPr>
        <w:t>服务合同</w:t>
      </w:r>
    </w:p>
    <w:p>
      <w:pPr>
        <w:pStyle w:val="2"/>
        <w:spacing w:line="249" w:lineRule="auto"/>
        <w:rPr>
          <w:rFonts w:hint="eastAsia"/>
          <w:highlight w:val="none"/>
        </w:rPr>
      </w:pPr>
    </w:p>
    <w:p>
      <w:pPr>
        <w:pStyle w:val="2"/>
        <w:spacing w:line="249" w:lineRule="auto"/>
        <w:rPr>
          <w:rFonts w:hint="eastAsia"/>
          <w:highlight w:val="none"/>
        </w:rPr>
      </w:pPr>
    </w:p>
    <w:p>
      <w:pPr>
        <w:pStyle w:val="2"/>
        <w:spacing w:line="249" w:lineRule="auto"/>
        <w:rPr>
          <w:rFonts w:hint="eastAsia"/>
          <w:highlight w:val="none"/>
        </w:rPr>
      </w:pPr>
    </w:p>
    <w:p>
      <w:pPr>
        <w:pStyle w:val="2"/>
        <w:spacing w:line="249" w:lineRule="auto"/>
        <w:rPr>
          <w:rFonts w:hint="eastAsia"/>
          <w:highlight w:val="none"/>
        </w:rPr>
      </w:pPr>
    </w:p>
    <w:p>
      <w:pPr>
        <w:pStyle w:val="2"/>
        <w:spacing w:line="249" w:lineRule="auto"/>
        <w:rPr>
          <w:rFonts w:hint="eastAsia"/>
          <w:highlight w:val="none"/>
        </w:rPr>
      </w:pPr>
    </w:p>
    <w:p>
      <w:pPr>
        <w:pStyle w:val="2"/>
        <w:spacing w:line="249" w:lineRule="auto"/>
        <w:rPr>
          <w:rFonts w:hint="eastAsia"/>
          <w:highlight w:val="none"/>
        </w:rPr>
      </w:pPr>
    </w:p>
    <w:p>
      <w:pPr>
        <w:pStyle w:val="2"/>
        <w:spacing w:line="249" w:lineRule="auto"/>
        <w:rPr>
          <w:rFonts w:hint="eastAsia"/>
          <w:highlight w:val="none"/>
        </w:rPr>
      </w:pPr>
    </w:p>
    <w:p>
      <w:pPr>
        <w:pStyle w:val="2"/>
        <w:spacing w:line="249" w:lineRule="auto"/>
        <w:rPr>
          <w:rFonts w:hint="eastAsia"/>
          <w:highlight w:val="none"/>
        </w:rPr>
      </w:pPr>
    </w:p>
    <w:p>
      <w:pPr>
        <w:pStyle w:val="2"/>
        <w:spacing w:line="250" w:lineRule="auto"/>
        <w:rPr>
          <w:rFonts w:hint="eastAsia"/>
          <w:highlight w:val="none"/>
        </w:rPr>
      </w:pPr>
    </w:p>
    <w:p>
      <w:pPr>
        <w:pStyle w:val="2"/>
        <w:spacing w:line="250" w:lineRule="auto"/>
        <w:rPr>
          <w:rFonts w:hint="eastAsia"/>
          <w:highlight w:val="none"/>
        </w:rPr>
      </w:pPr>
    </w:p>
    <w:p>
      <w:pPr>
        <w:spacing w:before="104" w:line="347" w:lineRule="auto"/>
        <w:ind w:left="1289" w:right="1704" w:firstLine="17"/>
        <w:rPr>
          <w:rFonts w:hint="eastAsia" w:ascii="宋体" w:hAnsi="宋体" w:cs="宋体"/>
          <w:sz w:val="32"/>
          <w:szCs w:val="32"/>
          <w:highlight w:val="none"/>
        </w:rPr>
      </w:pPr>
      <w:r>
        <w:rPr>
          <w:rFonts w:ascii="宋体" w:hAnsi="宋体" w:cs="宋体"/>
          <w:spacing w:val="-3"/>
          <w:sz w:val="32"/>
          <w:szCs w:val="32"/>
          <w:highlight w:val="none"/>
        </w:rPr>
        <w:t>甲    方：北京市石景山区城市管理委员会</w:t>
      </w:r>
      <w:r>
        <w:rPr>
          <w:rFonts w:ascii="宋体" w:hAnsi="宋体" w:cs="宋体"/>
          <w:spacing w:val="6"/>
          <w:sz w:val="32"/>
          <w:szCs w:val="32"/>
          <w:highlight w:val="none"/>
        </w:rPr>
        <w:t xml:space="preserve"> </w:t>
      </w:r>
      <w:r>
        <w:rPr>
          <w:rFonts w:ascii="宋体" w:hAnsi="宋体" w:cs="宋体"/>
          <w:spacing w:val="-28"/>
          <w:sz w:val="32"/>
          <w:szCs w:val="32"/>
          <w:highlight w:val="none"/>
        </w:rPr>
        <w:t>乙</w:t>
      </w:r>
      <w:r>
        <w:rPr>
          <w:rFonts w:ascii="宋体" w:hAnsi="宋体" w:cs="宋体"/>
          <w:spacing w:val="3"/>
          <w:sz w:val="32"/>
          <w:szCs w:val="32"/>
          <w:highlight w:val="none"/>
        </w:rPr>
        <w:t xml:space="preserve">    </w:t>
      </w:r>
      <w:r>
        <w:rPr>
          <w:rFonts w:ascii="宋体" w:hAnsi="宋体" w:cs="宋体"/>
          <w:spacing w:val="-28"/>
          <w:sz w:val="32"/>
          <w:szCs w:val="32"/>
          <w:highlight w:val="none"/>
        </w:rPr>
        <w:t>方：</w:t>
      </w:r>
    </w:p>
    <w:p>
      <w:pPr>
        <w:spacing w:before="44" w:line="347" w:lineRule="auto"/>
        <w:ind w:left="1264" w:right="2344"/>
        <w:rPr>
          <w:rFonts w:hint="eastAsia" w:ascii="宋体" w:hAnsi="宋体" w:cs="宋体"/>
          <w:sz w:val="32"/>
          <w:szCs w:val="32"/>
          <w:highlight w:val="none"/>
        </w:rPr>
      </w:pPr>
      <w:r>
        <w:rPr>
          <w:rFonts w:ascii="宋体" w:hAnsi="宋体" w:cs="宋体"/>
          <w:spacing w:val="-16"/>
          <w:sz w:val="32"/>
          <w:szCs w:val="32"/>
          <w:highlight w:val="none"/>
        </w:rPr>
        <w:t>签订日期：</w:t>
      </w:r>
      <w:r>
        <w:rPr>
          <w:rFonts w:ascii="宋体" w:hAnsi="宋体" w:cs="宋体"/>
          <w:spacing w:val="2"/>
          <w:sz w:val="32"/>
          <w:szCs w:val="32"/>
          <w:highlight w:val="none"/>
        </w:rPr>
        <w:t xml:space="preserve">        </w:t>
      </w:r>
      <w:r>
        <w:rPr>
          <w:rFonts w:ascii="宋体" w:hAnsi="宋体" w:cs="宋体"/>
          <w:spacing w:val="-16"/>
          <w:sz w:val="32"/>
          <w:szCs w:val="32"/>
          <w:highlight w:val="none"/>
        </w:rPr>
        <w:t>年</w:t>
      </w:r>
      <w:r>
        <w:rPr>
          <w:rFonts w:ascii="宋体" w:hAnsi="宋体" w:cs="宋体"/>
          <w:spacing w:val="6"/>
          <w:sz w:val="32"/>
          <w:szCs w:val="32"/>
          <w:highlight w:val="none"/>
        </w:rPr>
        <w:t xml:space="preserve">     </w:t>
      </w:r>
      <w:r>
        <w:rPr>
          <w:rFonts w:ascii="宋体" w:hAnsi="宋体" w:cs="宋体"/>
          <w:spacing w:val="-16"/>
          <w:sz w:val="32"/>
          <w:szCs w:val="32"/>
          <w:highlight w:val="none"/>
        </w:rPr>
        <w:t>月</w:t>
      </w:r>
      <w:r>
        <w:rPr>
          <w:rFonts w:ascii="宋体" w:hAnsi="宋体" w:cs="宋体"/>
          <w:spacing w:val="13"/>
          <w:sz w:val="32"/>
          <w:szCs w:val="32"/>
          <w:highlight w:val="none"/>
        </w:rPr>
        <w:t xml:space="preserve">     </w:t>
      </w:r>
      <w:r>
        <w:rPr>
          <w:rFonts w:ascii="宋体" w:hAnsi="宋体" w:cs="宋体"/>
          <w:spacing w:val="-16"/>
          <w:sz w:val="32"/>
          <w:szCs w:val="32"/>
          <w:highlight w:val="none"/>
        </w:rPr>
        <w:t>日</w:t>
      </w:r>
      <w:r>
        <w:rPr>
          <w:rFonts w:ascii="宋体" w:hAnsi="宋体" w:cs="宋体"/>
          <w:spacing w:val="3"/>
          <w:sz w:val="32"/>
          <w:szCs w:val="32"/>
          <w:highlight w:val="none"/>
        </w:rPr>
        <w:t xml:space="preserve"> </w:t>
      </w:r>
      <w:r>
        <w:rPr>
          <w:rFonts w:ascii="宋体" w:hAnsi="宋体" w:cs="宋体"/>
          <w:spacing w:val="-14"/>
          <w:sz w:val="32"/>
          <w:szCs w:val="32"/>
          <w:highlight w:val="none"/>
        </w:rPr>
        <w:t>签订地点：</w:t>
      </w:r>
    </w:p>
    <w:p>
      <w:pPr>
        <w:spacing w:line="347" w:lineRule="auto"/>
        <w:rPr>
          <w:rFonts w:hint="eastAsia" w:ascii="宋体" w:hAnsi="宋体" w:cs="宋体"/>
          <w:sz w:val="32"/>
          <w:szCs w:val="32"/>
          <w:highlight w:val="none"/>
        </w:rPr>
        <w:sectPr>
          <w:footerReference r:id="rId13" w:type="default"/>
          <w:pgSz w:w="11905" w:h="16838"/>
          <w:pgMar w:top="850" w:right="1134" w:bottom="850" w:left="1134" w:header="0" w:footer="850" w:gutter="0"/>
          <w:pgNumType w:fmt="decimal"/>
          <w:cols w:space="0" w:num="1"/>
        </w:sectPr>
      </w:pPr>
    </w:p>
    <w:p>
      <w:pPr>
        <w:keepNext w:val="0"/>
        <w:keepLines w:val="0"/>
        <w:pageBreakBefore w:val="0"/>
        <w:kinsoku/>
        <w:wordWrap/>
        <w:overflowPunct/>
        <w:topLinePunct w:val="0"/>
        <w:autoSpaceDE/>
        <w:autoSpaceDN/>
        <w:bidi w:val="0"/>
        <w:adjustRightInd/>
        <w:snapToGrid w:val="0"/>
        <w:spacing w:after="0" w:line="420" w:lineRule="exact"/>
        <w:ind w:left="513"/>
        <w:rPr>
          <w:rFonts w:hint="eastAsia" w:ascii="宋体" w:hAnsi="宋体" w:cs="宋体"/>
          <w:sz w:val="24"/>
          <w:highlight w:val="none"/>
        </w:rPr>
      </w:pPr>
      <w:r>
        <w:rPr>
          <w:rFonts w:ascii="宋体" w:hAnsi="宋体" w:cs="宋体"/>
          <w:b/>
          <w:bCs/>
          <w:spacing w:val="-16"/>
          <w:sz w:val="24"/>
          <w:highlight w:val="none"/>
        </w:rPr>
        <w:t>甲方：</w:t>
      </w:r>
    </w:p>
    <w:p>
      <w:pPr>
        <w:keepNext w:val="0"/>
        <w:keepLines w:val="0"/>
        <w:pageBreakBefore w:val="0"/>
        <w:tabs>
          <w:tab w:val="left" w:pos="8992"/>
        </w:tabs>
        <w:kinsoku/>
        <w:wordWrap/>
        <w:overflowPunct/>
        <w:topLinePunct w:val="0"/>
        <w:autoSpaceDE/>
        <w:autoSpaceDN/>
        <w:bidi w:val="0"/>
        <w:adjustRightInd/>
        <w:snapToGrid w:val="0"/>
        <w:spacing w:after="0" w:line="420" w:lineRule="exact"/>
        <w:ind w:left="480" w:right="276"/>
        <w:rPr>
          <w:rFonts w:hint="eastAsia" w:ascii="宋体" w:hAnsi="宋体" w:cs="宋体"/>
          <w:sz w:val="24"/>
          <w:highlight w:val="none"/>
        </w:rPr>
      </w:pPr>
      <w:r>
        <w:rPr>
          <w:rFonts w:ascii="宋体" w:hAnsi="宋体" w:cs="宋体"/>
          <w:spacing w:val="-2"/>
          <w:sz w:val="24"/>
          <w:highlight w:val="none"/>
        </w:rPr>
        <w:t>采购人（全称</w:t>
      </w:r>
      <w:r>
        <w:rPr>
          <w:rFonts w:ascii="宋体" w:hAnsi="宋体" w:cs="宋体"/>
          <w:spacing w:val="1"/>
          <w:sz w:val="24"/>
          <w:highlight w:val="none"/>
        </w:rPr>
        <w:t>）：</w:t>
      </w:r>
      <w:r>
        <w:rPr>
          <w:rFonts w:ascii="宋体" w:hAnsi="宋体" w:cs="宋体"/>
          <w:sz w:val="24"/>
          <w:highlight w:val="none"/>
          <w:u w:val="single"/>
        </w:rPr>
        <w:tab/>
      </w:r>
      <w:r>
        <w:rPr>
          <w:rFonts w:ascii="宋体" w:hAnsi="宋体" w:cs="宋体"/>
          <w:sz w:val="24"/>
          <w:highlight w:val="none"/>
        </w:rPr>
        <w:t xml:space="preserve"> </w:t>
      </w:r>
    </w:p>
    <w:p>
      <w:pPr>
        <w:keepNext w:val="0"/>
        <w:keepLines w:val="0"/>
        <w:pageBreakBefore w:val="0"/>
        <w:tabs>
          <w:tab w:val="left" w:pos="8992"/>
        </w:tabs>
        <w:kinsoku/>
        <w:wordWrap/>
        <w:overflowPunct/>
        <w:topLinePunct w:val="0"/>
        <w:autoSpaceDE/>
        <w:autoSpaceDN/>
        <w:bidi w:val="0"/>
        <w:adjustRightInd/>
        <w:snapToGrid w:val="0"/>
        <w:spacing w:after="0" w:line="420" w:lineRule="exact"/>
        <w:ind w:left="480" w:right="276"/>
        <w:rPr>
          <w:rFonts w:hint="eastAsia" w:ascii="宋体" w:hAnsi="宋体" w:cs="宋体"/>
          <w:sz w:val="24"/>
          <w:highlight w:val="none"/>
        </w:rPr>
      </w:pPr>
      <w:r>
        <w:rPr>
          <w:rFonts w:ascii="宋体" w:hAnsi="宋体" w:cs="宋体"/>
          <w:spacing w:val="-2"/>
          <w:sz w:val="24"/>
          <w:highlight w:val="none"/>
        </w:rPr>
        <w:t>采购人地址：</w:t>
      </w:r>
      <w:r>
        <w:rPr>
          <w:rFonts w:ascii="宋体" w:hAnsi="宋体" w:cs="宋体"/>
          <w:sz w:val="24"/>
          <w:highlight w:val="none"/>
          <w:u w:val="single"/>
        </w:rPr>
        <w:tab/>
      </w:r>
      <w:r>
        <w:rPr>
          <w:rFonts w:ascii="宋体" w:hAnsi="宋体" w:cs="宋体"/>
          <w:sz w:val="24"/>
          <w:highlight w:val="none"/>
        </w:rPr>
        <w:t xml:space="preserve"> </w:t>
      </w:r>
    </w:p>
    <w:p>
      <w:pPr>
        <w:keepNext w:val="0"/>
        <w:keepLines w:val="0"/>
        <w:pageBreakBefore w:val="0"/>
        <w:tabs>
          <w:tab w:val="left" w:pos="8992"/>
        </w:tabs>
        <w:kinsoku/>
        <w:wordWrap/>
        <w:overflowPunct/>
        <w:topLinePunct w:val="0"/>
        <w:autoSpaceDE/>
        <w:autoSpaceDN/>
        <w:bidi w:val="0"/>
        <w:adjustRightInd/>
        <w:snapToGrid w:val="0"/>
        <w:spacing w:after="0" w:line="420" w:lineRule="exact"/>
        <w:ind w:left="480" w:right="276"/>
        <w:rPr>
          <w:rFonts w:hint="eastAsia" w:ascii="宋体" w:hAnsi="宋体" w:cs="宋体"/>
          <w:sz w:val="24"/>
          <w:highlight w:val="none"/>
        </w:rPr>
      </w:pPr>
      <w:r>
        <w:rPr>
          <w:rFonts w:ascii="宋体" w:hAnsi="宋体" w:cs="宋体"/>
          <w:spacing w:val="-2"/>
          <w:sz w:val="24"/>
          <w:highlight w:val="none"/>
        </w:rPr>
        <w:t>采购人联系方式：</w:t>
      </w:r>
      <w:r>
        <w:rPr>
          <w:rFonts w:ascii="宋体" w:hAnsi="宋体" w:cs="宋体"/>
          <w:sz w:val="24"/>
          <w:highlight w:val="none"/>
          <w:u w:val="single"/>
        </w:rPr>
        <w:t xml:space="preserve">                                                       </w:t>
      </w:r>
    </w:p>
    <w:p>
      <w:pPr>
        <w:keepNext w:val="0"/>
        <w:keepLines w:val="0"/>
        <w:pageBreakBefore w:val="0"/>
        <w:kinsoku/>
        <w:wordWrap/>
        <w:overflowPunct/>
        <w:topLinePunct w:val="0"/>
        <w:autoSpaceDE/>
        <w:autoSpaceDN/>
        <w:bidi w:val="0"/>
        <w:adjustRightInd/>
        <w:snapToGrid w:val="0"/>
        <w:spacing w:after="0" w:line="420" w:lineRule="exact"/>
        <w:ind w:left="500"/>
        <w:rPr>
          <w:rFonts w:hint="eastAsia" w:ascii="宋体" w:hAnsi="宋体" w:cs="宋体"/>
          <w:sz w:val="24"/>
          <w:highlight w:val="none"/>
        </w:rPr>
      </w:pPr>
      <w:r>
        <w:rPr>
          <w:rFonts w:ascii="宋体" w:hAnsi="宋体" w:cs="宋体"/>
          <w:b/>
          <w:bCs/>
          <w:spacing w:val="-12"/>
          <w:sz w:val="24"/>
          <w:highlight w:val="none"/>
        </w:rPr>
        <w:t>乙方：</w:t>
      </w:r>
    </w:p>
    <w:p>
      <w:pPr>
        <w:keepNext w:val="0"/>
        <w:keepLines w:val="0"/>
        <w:pageBreakBefore w:val="0"/>
        <w:tabs>
          <w:tab w:val="left" w:pos="8992"/>
        </w:tabs>
        <w:kinsoku/>
        <w:wordWrap/>
        <w:overflowPunct/>
        <w:topLinePunct w:val="0"/>
        <w:autoSpaceDE/>
        <w:autoSpaceDN/>
        <w:bidi w:val="0"/>
        <w:adjustRightInd/>
        <w:snapToGrid w:val="0"/>
        <w:spacing w:after="0" w:line="420" w:lineRule="exact"/>
        <w:ind w:left="481" w:right="276"/>
        <w:rPr>
          <w:rFonts w:hint="eastAsia" w:ascii="宋体" w:hAnsi="宋体" w:cs="宋体"/>
          <w:sz w:val="24"/>
          <w:highlight w:val="none"/>
        </w:rPr>
      </w:pPr>
      <w:r>
        <w:rPr>
          <w:rFonts w:ascii="宋体" w:hAnsi="宋体" w:cs="宋体"/>
          <w:spacing w:val="-2"/>
          <w:sz w:val="24"/>
          <w:highlight w:val="none"/>
        </w:rPr>
        <w:t>供应商（全称</w:t>
      </w:r>
      <w:r>
        <w:rPr>
          <w:rFonts w:ascii="宋体" w:hAnsi="宋体" w:cs="宋体"/>
          <w:sz w:val="24"/>
          <w:highlight w:val="none"/>
        </w:rPr>
        <w:t>）：</w:t>
      </w:r>
      <w:r>
        <w:rPr>
          <w:rFonts w:ascii="宋体" w:hAnsi="宋体" w:cs="宋体"/>
          <w:sz w:val="24"/>
          <w:highlight w:val="none"/>
          <w:u w:val="single"/>
        </w:rPr>
        <w:tab/>
      </w:r>
      <w:r>
        <w:rPr>
          <w:rFonts w:ascii="宋体" w:hAnsi="宋体" w:cs="宋体"/>
          <w:sz w:val="24"/>
          <w:highlight w:val="none"/>
        </w:rPr>
        <w:t xml:space="preserve"> </w:t>
      </w:r>
    </w:p>
    <w:p>
      <w:pPr>
        <w:keepNext w:val="0"/>
        <w:keepLines w:val="0"/>
        <w:pageBreakBefore w:val="0"/>
        <w:tabs>
          <w:tab w:val="left" w:pos="8992"/>
        </w:tabs>
        <w:kinsoku/>
        <w:wordWrap/>
        <w:overflowPunct/>
        <w:topLinePunct w:val="0"/>
        <w:autoSpaceDE/>
        <w:autoSpaceDN/>
        <w:bidi w:val="0"/>
        <w:adjustRightInd/>
        <w:snapToGrid w:val="0"/>
        <w:spacing w:after="0" w:line="420" w:lineRule="exact"/>
        <w:ind w:left="481" w:right="276"/>
        <w:rPr>
          <w:rFonts w:hint="eastAsia" w:ascii="宋体" w:hAnsi="宋体" w:cs="宋体"/>
          <w:sz w:val="24"/>
          <w:highlight w:val="none"/>
        </w:rPr>
      </w:pPr>
      <w:r>
        <w:rPr>
          <w:rFonts w:ascii="宋体" w:hAnsi="宋体" w:cs="宋体"/>
          <w:spacing w:val="-2"/>
          <w:sz w:val="24"/>
          <w:highlight w:val="none"/>
        </w:rPr>
        <w:t xml:space="preserve">供应商地址： </w:t>
      </w:r>
      <w:r>
        <w:rPr>
          <w:rFonts w:ascii="宋体" w:hAnsi="宋体" w:cs="宋体"/>
          <w:sz w:val="24"/>
          <w:highlight w:val="none"/>
          <w:u w:val="single"/>
        </w:rPr>
        <w:tab/>
      </w:r>
      <w:r>
        <w:rPr>
          <w:rFonts w:ascii="宋体" w:hAnsi="宋体" w:cs="宋体"/>
          <w:sz w:val="24"/>
          <w:highlight w:val="none"/>
        </w:rPr>
        <w:t xml:space="preserve"> </w:t>
      </w:r>
    </w:p>
    <w:p>
      <w:pPr>
        <w:keepNext w:val="0"/>
        <w:keepLines w:val="0"/>
        <w:pageBreakBefore w:val="0"/>
        <w:tabs>
          <w:tab w:val="left" w:pos="8992"/>
        </w:tabs>
        <w:kinsoku/>
        <w:wordWrap/>
        <w:overflowPunct/>
        <w:topLinePunct w:val="0"/>
        <w:autoSpaceDE/>
        <w:autoSpaceDN/>
        <w:bidi w:val="0"/>
        <w:adjustRightInd/>
        <w:snapToGrid w:val="0"/>
        <w:spacing w:after="0" w:line="420" w:lineRule="exact"/>
        <w:ind w:left="481" w:right="276"/>
        <w:rPr>
          <w:rFonts w:hint="eastAsia" w:ascii="宋体" w:hAnsi="宋体" w:cs="宋体"/>
          <w:sz w:val="24"/>
          <w:highlight w:val="none"/>
        </w:rPr>
      </w:pPr>
      <w:r>
        <w:rPr>
          <w:rFonts w:ascii="宋体" w:hAnsi="宋体" w:cs="宋体"/>
          <w:spacing w:val="-2"/>
          <w:sz w:val="24"/>
          <w:highlight w:val="none"/>
        </w:rPr>
        <w:t>供应商联系方式：</w:t>
      </w:r>
      <w:r>
        <w:rPr>
          <w:rFonts w:ascii="宋体" w:hAnsi="宋体" w:cs="宋体"/>
          <w:sz w:val="24"/>
          <w:highlight w:val="none"/>
          <w:u w:val="single"/>
        </w:rPr>
        <w:t xml:space="preserve">                                                       </w:t>
      </w:r>
    </w:p>
    <w:p>
      <w:pPr>
        <w:keepNext w:val="0"/>
        <w:keepLines w:val="0"/>
        <w:pageBreakBefore w:val="0"/>
        <w:kinsoku/>
        <w:wordWrap/>
        <w:overflowPunct/>
        <w:topLinePunct w:val="0"/>
        <w:autoSpaceDE/>
        <w:autoSpaceDN/>
        <w:bidi w:val="0"/>
        <w:adjustRightInd/>
        <w:snapToGrid w:val="0"/>
        <w:spacing w:after="0" w:line="420" w:lineRule="exact"/>
        <w:ind w:left="48" w:firstLine="433"/>
        <w:rPr>
          <w:rFonts w:hint="eastAsia" w:ascii="宋体" w:hAnsi="宋体" w:cs="宋体"/>
          <w:sz w:val="24"/>
          <w:highlight w:val="none"/>
        </w:rPr>
      </w:pPr>
      <w:r>
        <w:rPr>
          <w:rFonts w:ascii="宋体" w:hAnsi="宋体" w:cs="宋体"/>
          <w:spacing w:val="3"/>
          <w:sz w:val="24"/>
          <w:highlight w:val="none"/>
        </w:rPr>
        <w:t>根据《中华人民共和国民法典》等法律、法规和规</w:t>
      </w:r>
      <w:r>
        <w:rPr>
          <w:rFonts w:ascii="宋体" w:hAnsi="宋体" w:cs="宋体"/>
          <w:spacing w:val="2"/>
          <w:sz w:val="24"/>
          <w:highlight w:val="none"/>
        </w:rPr>
        <w:t>章的规定，</w:t>
      </w:r>
      <w:r>
        <w:rPr>
          <w:rFonts w:ascii="宋体" w:hAnsi="宋体" w:cs="宋体"/>
          <w:spacing w:val="-68"/>
          <w:sz w:val="24"/>
          <w:highlight w:val="none"/>
        </w:rPr>
        <w:t xml:space="preserve"> </w:t>
      </w:r>
      <w:r>
        <w:rPr>
          <w:rFonts w:ascii="宋体" w:hAnsi="宋体" w:cs="宋体"/>
          <w:spacing w:val="2"/>
          <w:sz w:val="24"/>
          <w:highlight w:val="none"/>
        </w:rPr>
        <w:t>甲、乙双方在平等、</w:t>
      </w:r>
      <w:r>
        <w:rPr>
          <w:rFonts w:ascii="宋体" w:hAnsi="宋体" w:cs="宋体"/>
          <w:sz w:val="24"/>
          <w:highlight w:val="none"/>
        </w:rPr>
        <w:t xml:space="preserve"> </w:t>
      </w:r>
      <w:r>
        <w:rPr>
          <w:rFonts w:ascii="宋体" w:hAnsi="宋体" w:cs="宋体"/>
          <w:spacing w:val="-5"/>
          <w:sz w:val="24"/>
          <w:highlight w:val="none"/>
        </w:rPr>
        <w:t>自愿、公平和诚实信用的基础上订立本合同。</w:t>
      </w:r>
    </w:p>
    <w:p>
      <w:pPr>
        <w:keepNext w:val="0"/>
        <w:keepLines w:val="0"/>
        <w:pageBreakBefore w:val="0"/>
        <w:numPr>
          <w:ilvl w:val="0"/>
          <w:numId w:val="15"/>
        </w:numPr>
        <w:kinsoku/>
        <w:wordWrap/>
        <w:overflowPunct/>
        <w:topLinePunct w:val="0"/>
        <w:autoSpaceDE/>
        <w:autoSpaceDN/>
        <w:bidi w:val="0"/>
        <w:adjustRightInd/>
        <w:snapToGrid w:val="0"/>
        <w:spacing w:after="0" w:line="420" w:lineRule="exact"/>
        <w:ind w:firstLine="462" w:firstLineChars="200"/>
        <w:rPr>
          <w:rFonts w:hint="eastAsia" w:ascii="宋体" w:hAnsi="宋体" w:cs="宋体"/>
          <w:b/>
          <w:bCs/>
          <w:spacing w:val="-5"/>
          <w:sz w:val="24"/>
          <w:highlight w:val="none"/>
        </w:rPr>
      </w:pPr>
      <w:r>
        <w:rPr>
          <w:rFonts w:ascii="宋体" w:hAnsi="宋体" w:cs="宋体"/>
          <w:b/>
          <w:bCs/>
          <w:spacing w:val="-5"/>
          <w:sz w:val="24"/>
          <w:highlight w:val="none"/>
        </w:rPr>
        <w:t>服务内容和</w:t>
      </w:r>
      <w:r>
        <w:rPr>
          <w:rFonts w:hint="eastAsia" w:ascii="宋体" w:hAnsi="宋体" w:cs="宋体"/>
          <w:b/>
          <w:bCs/>
          <w:spacing w:val="-5"/>
          <w:sz w:val="24"/>
          <w:highlight w:val="none"/>
        </w:rPr>
        <w:t>标准</w:t>
      </w:r>
      <w:r>
        <w:rPr>
          <w:rFonts w:ascii="宋体" w:hAnsi="宋体" w:cs="宋体"/>
          <w:b/>
          <w:bCs/>
          <w:spacing w:val="-5"/>
          <w:sz w:val="24"/>
          <w:highlight w:val="none"/>
        </w:rPr>
        <w:t>要求</w:t>
      </w:r>
    </w:p>
    <w:p>
      <w:pPr>
        <w:pStyle w:val="2"/>
        <w:keepNext w:val="0"/>
        <w:keepLines w:val="0"/>
        <w:pageBreakBefore w:val="0"/>
        <w:kinsoku/>
        <w:wordWrap/>
        <w:overflowPunct/>
        <w:topLinePunct w:val="0"/>
        <w:autoSpaceDE/>
        <w:autoSpaceDN/>
        <w:bidi w:val="0"/>
        <w:adjustRightInd/>
        <w:snapToGrid w:val="0"/>
        <w:spacing w:before="0" w:after="0" w:line="420" w:lineRule="exact"/>
        <w:ind w:firstLine="540" w:firstLineChars="225"/>
        <w:rPr>
          <w:rFonts w:hint="eastAsia" w:cs="宋体"/>
          <w:highlight w:val="none"/>
        </w:rPr>
      </w:pPr>
      <w:r>
        <w:rPr>
          <w:rFonts w:hint="eastAsia" w:cs="宋体"/>
          <w:highlight w:val="none"/>
        </w:rPr>
        <w:t>(一)内容：提供加盖 CMA章的书面监测报告。</w:t>
      </w:r>
    </w:p>
    <w:p>
      <w:pPr>
        <w:pStyle w:val="2"/>
        <w:keepNext w:val="0"/>
        <w:keepLines w:val="0"/>
        <w:pageBreakBefore w:val="0"/>
        <w:kinsoku/>
        <w:wordWrap/>
        <w:overflowPunct/>
        <w:topLinePunct w:val="0"/>
        <w:autoSpaceDE/>
        <w:autoSpaceDN/>
        <w:bidi w:val="0"/>
        <w:adjustRightInd/>
        <w:snapToGrid w:val="0"/>
        <w:spacing w:before="0" w:after="0" w:line="420" w:lineRule="exact"/>
        <w:ind w:firstLine="540" w:firstLineChars="225"/>
        <w:rPr>
          <w:rFonts w:hint="eastAsia" w:cs="宋体"/>
          <w:highlight w:val="none"/>
        </w:rPr>
      </w:pPr>
      <w:r>
        <w:rPr>
          <w:rFonts w:hint="eastAsia" w:cs="宋体"/>
          <w:highlight w:val="none"/>
        </w:rPr>
        <w:t>(二)形式：监测公司按照要求进行监测，完成监测报告，监测数据客观、真实、准确。</w:t>
      </w:r>
    </w:p>
    <w:p>
      <w:pPr>
        <w:pStyle w:val="2"/>
        <w:keepNext w:val="0"/>
        <w:keepLines w:val="0"/>
        <w:pageBreakBefore w:val="0"/>
        <w:kinsoku/>
        <w:wordWrap/>
        <w:overflowPunct/>
        <w:topLinePunct w:val="0"/>
        <w:autoSpaceDE/>
        <w:autoSpaceDN/>
        <w:bidi w:val="0"/>
        <w:adjustRightInd/>
        <w:snapToGrid w:val="0"/>
        <w:spacing w:before="0" w:after="0" w:line="420" w:lineRule="exact"/>
        <w:ind w:firstLine="540" w:firstLineChars="225"/>
        <w:rPr>
          <w:rFonts w:hint="eastAsia" w:cs="宋体"/>
          <w:highlight w:val="none"/>
        </w:rPr>
      </w:pPr>
      <w:r>
        <w:rPr>
          <w:rFonts w:hint="eastAsia" w:cs="宋体"/>
          <w:highlight w:val="none"/>
        </w:rPr>
        <w:t>(三)要求：</w:t>
      </w:r>
    </w:p>
    <w:p>
      <w:pPr>
        <w:pStyle w:val="2"/>
        <w:keepNext w:val="0"/>
        <w:keepLines w:val="0"/>
        <w:pageBreakBefore w:val="0"/>
        <w:kinsoku/>
        <w:wordWrap/>
        <w:overflowPunct/>
        <w:topLinePunct w:val="0"/>
        <w:autoSpaceDE/>
        <w:autoSpaceDN/>
        <w:bidi w:val="0"/>
        <w:adjustRightInd/>
        <w:snapToGrid w:val="0"/>
        <w:spacing w:before="0" w:after="0" w:line="420" w:lineRule="exact"/>
        <w:ind w:firstLine="540" w:firstLineChars="225"/>
        <w:rPr>
          <w:rFonts w:hint="eastAsia" w:cs="宋体"/>
          <w:highlight w:val="none"/>
        </w:rPr>
      </w:pPr>
      <w:r>
        <w:rPr>
          <w:rFonts w:hint="eastAsia" w:cs="宋体"/>
          <w:highlight w:val="none"/>
        </w:rPr>
        <w:t>（1）按照《北京市垃圾粪便处理设施环境监测方案》进行监测(见附件)。</w:t>
      </w:r>
    </w:p>
    <w:p>
      <w:pPr>
        <w:pStyle w:val="2"/>
        <w:keepNext w:val="0"/>
        <w:keepLines w:val="0"/>
        <w:pageBreakBefore w:val="0"/>
        <w:kinsoku/>
        <w:wordWrap/>
        <w:overflowPunct/>
        <w:topLinePunct w:val="0"/>
        <w:autoSpaceDE/>
        <w:autoSpaceDN/>
        <w:bidi w:val="0"/>
        <w:adjustRightInd/>
        <w:snapToGrid w:val="0"/>
        <w:spacing w:before="0" w:after="0" w:line="420" w:lineRule="exact"/>
        <w:ind w:firstLine="540" w:firstLineChars="225"/>
        <w:rPr>
          <w:rFonts w:hint="eastAsia" w:cs="宋体"/>
          <w:highlight w:val="none"/>
        </w:rPr>
      </w:pPr>
      <w:r>
        <w:rPr>
          <w:rFonts w:hint="eastAsia" w:cs="宋体"/>
          <w:highlight w:val="none"/>
        </w:rPr>
        <w:t>（2）如对数据有异议，监测公司负责数据核查。若提出补测个别数据，监测公司协助办理，涉及费用增加部分双方另行协商。</w:t>
      </w:r>
    </w:p>
    <w:p>
      <w:pPr>
        <w:pStyle w:val="2"/>
        <w:keepNext w:val="0"/>
        <w:keepLines w:val="0"/>
        <w:pageBreakBefore w:val="0"/>
        <w:kinsoku/>
        <w:wordWrap/>
        <w:overflowPunct/>
        <w:topLinePunct w:val="0"/>
        <w:autoSpaceDE/>
        <w:autoSpaceDN/>
        <w:bidi w:val="0"/>
        <w:adjustRightInd/>
        <w:snapToGrid w:val="0"/>
        <w:spacing w:before="0" w:after="0" w:line="420" w:lineRule="exact"/>
        <w:ind w:firstLine="540" w:firstLineChars="225"/>
        <w:rPr>
          <w:rFonts w:hint="eastAsia" w:cs="宋体"/>
          <w:highlight w:val="none"/>
        </w:rPr>
      </w:pPr>
      <w:r>
        <w:rPr>
          <w:rFonts w:hint="eastAsia" w:cs="宋体"/>
          <w:highlight w:val="none"/>
        </w:rPr>
        <w:t>（3）监测公司应于每月月初（即每月15日之前）完成现场采样工作，10个工作日内（即每月25日前）向我委提供检测报告。</w:t>
      </w:r>
    </w:p>
    <w:p>
      <w:pPr>
        <w:pStyle w:val="2"/>
        <w:keepNext w:val="0"/>
        <w:keepLines w:val="0"/>
        <w:pageBreakBefore w:val="0"/>
        <w:kinsoku/>
        <w:wordWrap/>
        <w:overflowPunct/>
        <w:topLinePunct w:val="0"/>
        <w:autoSpaceDE/>
        <w:autoSpaceDN/>
        <w:bidi w:val="0"/>
        <w:adjustRightInd/>
        <w:snapToGrid w:val="0"/>
        <w:spacing w:before="0" w:after="0" w:line="420" w:lineRule="exact"/>
        <w:ind w:firstLine="540" w:firstLineChars="225"/>
        <w:rPr>
          <w:rFonts w:hint="eastAsia" w:cs="宋体"/>
          <w:highlight w:val="none"/>
        </w:rPr>
      </w:pPr>
      <w:r>
        <w:rPr>
          <w:rFonts w:hint="eastAsia" w:cs="宋体"/>
          <w:highlight w:val="none"/>
        </w:rPr>
        <w:t>（四）地点和方式</w:t>
      </w:r>
    </w:p>
    <w:p>
      <w:pPr>
        <w:pStyle w:val="2"/>
        <w:keepNext w:val="0"/>
        <w:keepLines w:val="0"/>
        <w:pageBreakBefore w:val="0"/>
        <w:kinsoku/>
        <w:wordWrap/>
        <w:overflowPunct/>
        <w:topLinePunct w:val="0"/>
        <w:autoSpaceDE/>
        <w:autoSpaceDN/>
        <w:bidi w:val="0"/>
        <w:adjustRightInd/>
        <w:snapToGrid w:val="0"/>
        <w:spacing w:before="0" w:after="0" w:line="420" w:lineRule="exact"/>
        <w:ind w:firstLine="540" w:firstLineChars="225"/>
        <w:rPr>
          <w:rFonts w:hint="eastAsia" w:cs="宋体"/>
          <w:highlight w:val="none"/>
        </w:rPr>
      </w:pPr>
      <w:r>
        <w:rPr>
          <w:rFonts w:hint="eastAsia" w:cs="宋体"/>
          <w:highlight w:val="none"/>
        </w:rPr>
        <w:t>（1）服务地点：北京市石景山区</w:t>
      </w:r>
    </w:p>
    <w:p>
      <w:pPr>
        <w:pStyle w:val="2"/>
        <w:keepNext w:val="0"/>
        <w:keepLines w:val="0"/>
        <w:pageBreakBefore w:val="0"/>
        <w:kinsoku/>
        <w:wordWrap/>
        <w:overflowPunct/>
        <w:topLinePunct w:val="0"/>
        <w:autoSpaceDE/>
        <w:autoSpaceDN/>
        <w:bidi w:val="0"/>
        <w:adjustRightInd/>
        <w:snapToGrid w:val="0"/>
        <w:spacing w:before="0" w:after="0" w:line="420" w:lineRule="exact"/>
        <w:ind w:firstLine="540" w:firstLineChars="225"/>
        <w:rPr>
          <w:rFonts w:hint="eastAsia" w:cs="宋体"/>
          <w:highlight w:val="none"/>
        </w:rPr>
      </w:pPr>
      <w:r>
        <w:rPr>
          <w:rFonts w:hint="eastAsia" w:cs="宋体"/>
          <w:highlight w:val="none"/>
        </w:rPr>
        <w:t>（2）服务方式：监测公司每月、每季度向我委出具加盖CMA章的书面检测报告。</w:t>
      </w:r>
    </w:p>
    <w:p>
      <w:pPr>
        <w:pStyle w:val="2"/>
        <w:keepNext w:val="0"/>
        <w:keepLines w:val="0"/>
        <w:pageBreakBefore w:val="0"/>
        <w:kinsoku/>
        <w:wordWrap/>
        <w:overflowPunct/>
        <w:topLinePunct w:val="0"/>
        <w:autoSpaceDE/>
        <w:autoSpaceDN/>
        <w:bidi w:val="0"/>
        <w:adjustRightInd/>
        <w:snapToGrid w:val="0"/>
        <w:spacing w:before="0" w:after="0" w:line="420" w:lineRule="exact"/>
        <w:ind w:firstLine="540" w:firstLineChars="225"/>
        <w:rPr>
          <w:rFonts w:hint="eastAsia" w:cs="宋体"/>
          <w:highlight w:val="none"/>
        </w:rPr>
      </w:pPr>
      <w:r>
        <w:rPr>
          <w:rFonts w:hint="eastAsia" w:cs="宋体"/>
          <w:highlight w:val="none"/>
        </w:rPr>
        <w:t>（四）标准要求</w:t>
      </w:r>
    </w:p>
    <w:p>
      <w:pPr>
        <w:pStyle w:val="2"/>
        <w:keepNext w:val="0"/>
        <w:keepLines w:val="0"/>
        <w:pageBreakBefore w:val="0"/>
        <w:kinsoku/>
        <w:wordWrap/>
        <w:overflowPunct/>
        <w:topLinePunct w:val="0"/>
        <w:autoSpaceDE/>
        <w:autoSpaceDN/>
        <w:bidi w:val="0"/>
        <w:adjustRightInd/>
        <w:snapToGrid w:val="0"/>
        <w:spacing w:before="0" w:after="0" w:line="420" w:lineRule="exact"/>
        <w:ind w:firstLine="540" w:firstLineChars="225"/>
        <w:rPr>
          <w:rFonts w:hint="eastAsia" w:cs="宋体"/>
          <w:highlight w:val="none"/>
        </w:rPr>
      </w:pPr>
      <w:r>
        <w:rPr>
          <w:rFonts w:hint="eastAsia" w:cs="宋体"/>
          <w:highlight w:val="none"/>
        </w:rPr>
        <w:t>1、根据我委要求按时完成检测工作，出具检测报告，若我委对数据有疑问,应根据我委要求重新对数据进行追溯校核、复审、释疑。</w:t>
      </w:r>
    </w:p>
    <w:p>
      <w:pPr>
        <w:pStyle w:val="2"/>
        <w:keepNext w:val="0"/>
        <w:keepLines w:val="0"/>
        <w:pageBreakBefore w:val="0"/>
        <w:kinsoku/>
        <w:wordWrap/>
        <w:overflowPunct/>
        <w:topLinePunct w:val="0"/>
        <w:autoSpaceDE/>
        <w:autoSpaceDN/>
        <w:bidi w:val="0"/>
        <w:adjustRightInd/>
        <w:snapToGrid w:val="0"/>
        <w:spacing w:before="0" w:after="0" w:line="420" w:lineRule="exact"/>
        <w:ind w:firstLine="540" w:firstLineChars="225"/>
        <w:rPr>
          <w:rFonts w:hint="eastAsia" w:cs="宋体"/>
          <w:b/>
          <w:highlight w:val="none"/>
        </w:rPr>
      </w:pPr>
      <w:r>
        <w:rPr>
          <w:rFonts w:hint="eastAsia" w:cs="宋体"/>
          <w:highlight w:val="none"/>
        </w:rPr>
        <w:t>2、按规定时间和内容向我委提供检测数据及加盖CMA 章的书面检测报告。</w:t>
      </w:r>
    </w:p>
    <w:tbl>
      <w:tblPr>
        <w:tblStyle w:val="45"/>
        <w:tblW w:w="997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09"/>
        <w:gridCol w:w="1550"/>
        <w:gridCol w:w="3580"/>
        <w:gridCol w:w="1190"/>
        <w:gridCol w:w="1350"/>
        <w:gridCol w:w="11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设施名称</w:t>
            </w:r>
          </w:p>
        </w:tc>
        <w:tc>
          <w:tcPr>
            <w:tcW w:w="5130" w:type="dxa"/>
            <w:gridSpan w:val="2"/>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b/>
                <w:color w:val="000000"/>
                <w:sz w:val="24"/>
                <w:highlight w:val="none"/>
              </w:rPr>
            </w:pPr>
            <w:r>
              <w:rPr>
                <w:rFonts w:hint="eastAsia" w:ascii="宋体" w:hAnsi="宋体" w:cs="宋体"/>
                <w:b/>
                <w:color w:val="000000"/>
                <w:kern w:val="0"/>
                <w:sz w:val="24"/>
                <w:highlight w:val="none"/>
                <w:lang w:bidi="ar"/>
              </w:rPr>
              <w:t>监测项目</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b/>
                <w:color w:val="000000"/>
                <w:sz w:val="24"/>
                <w:highlight w:val="none"/>
              </w:rPr>
            </w:pPr>
            <w:r>
              <w:rPr>
                <w:rFonts w:hint="eastAsia" w:ascii="宋体" w:hAnsi="宋体" w:cs="宋体"/>
                <w:b/>
                <w:color w:val="000000"/>
                <w:kern w:val="0"/>
                <w:sz w:val="24"/>
                <w:highlight w:val="none"/>
                <w:lang w:bidi="ar"/>
              </w:rPr>
              <w:t>采样点</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b/>
                <w:color w:val="000000"/>
                <w:sz w:val="24"/>
                <w:highlight w:val="none"/>
              </w:rPr>
            </w:pPr>
            <w:r>
              <w:rPr>
                <w:rFonts w:hint="eastAsia" w:ascii="宋体" w:hAnsi="宋体" w:cs="宋体"/>
                <w:b/>
                <w:color w:val="000000"/>
                <w:kern w:val="0"/>
                <w:sz w:val="24"/>
                <w:highlight w:val="none"/>
                <w:lang w:bidi="ar"/>
              </w:rPr>
              <w:t>采样天数</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b/>
                <w:color w:val="000000"/>
                <w:sz w:val="24"/>
                <w:highlight w:val="none"/>
              </w:rPr>
            </w:pPr>
            <w:r>
              <w:rPr>
                <w:rFonts w:hint="eastAsia" w:ascii="宋体" w:hAnsi="宋体" w:cs="宋体"/>
                <w:b/>
                <w:color w:val="000000"/>
                <w:kern w:val="0"/>
                <w:sz w:val="24"/>
                <w:highlight w:val="none"/>
                <w:lang w:bidi="ar"/>
              </w:rPr>
              <w:t>频次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restar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b/>
                <w:color w:val="000000"/>
                <w:sz w:val="24"/>
                <w:highlight w:val="none"/>
              </w:rPr>
            </w:pPr>
            <w:r>
              <w:rPr>
                <w:rFonts w:hint="eastAsia" w:ascii="宋体" w:hAnsi="宋体" w:cs="宋体"/>
                <w:b/>
                <w:color w:val="000000"/>
                <w:kern w:val="0"/>
                <w:sz w:val="24"/>
                <w:highlight w:val="none"/>
                <w:lang w:bidi="ar"/>
              </w:rPr>
              <w:t>转运站</w:t>
            </w:r>
          </w:p>
        </w:tc>
        <w:tc>
          <w:tcPr>
            <w:tcW w:w="1550" w:type="dxa"/>
            <w:vMerge w:val="restar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转运站无组织废气</w:t>
            </w: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氮氧化物</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二氧化硫</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一氧化碳</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总悬浮颗粒物</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氨</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硫化氢</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臭气浓度</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甲烷</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restar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转运站设备出水、外排污水</w:t>
            </w: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pH</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色度</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生化需氧量</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化学需氧量</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悬浮物</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氨氮</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粪大肠菌群</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总氮</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总磷</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总汞</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总镉</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总铬</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六价铬</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总砷</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总铅</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溶解性总固体</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转运站噪声</w:t>
            </w: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噪声（昼）</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restar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转运站有组织废气</w:t>
            </w: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卸料口废气排放筒DA003：氨</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kern w:val="0"/>
                <w:sz w:val="24"/>
                <w:highlight w:val="none"/>
                <w:lang w:bidi="ar"/>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卸料口废气排放筒DA003：臭气浓度</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kern w:val="0"/>
                <w:sz w:val="24"/>
                <w:highlight w:val="none"/>
                <w:lang w:bidi="ar"/>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卸料口废气排放筒DA003：硫化氢</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kern w:val="0"/>
                <w:sz w:val="24"/>
                <w:highlight w:val="none"/>
                <w:lang w:bidi="ar"/>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卸料口废气排放筒DA003：颗粒物</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转运站有组织 废气：臭气浓度</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转运站有组织 废气：硫化氢</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转运站有组织 废气：氨</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restar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b/>
                <w:color w:val="000000"/>
                <w:sz w:val="24"/>
                <w:highlight w:val="none"/>
              </w:rPr>
            </w:pPr>
            <w:r>
              <w:rPr>
                <w:rFonts w:hint="eastAsia" w:ascii="宋体" w:hAnsi="宋体" w:cs="宋体"/>
                <w:b/>
                <w:color w:val="000000"/>
                <w:kern w:val="0"/>
                <w:sz w:val="24"/>
                <w:highlight w:val="none"/>
                <w:lang w:bidi="ar"/>
              </w:rPr>
              <w:t>粪便消纳站</w:t>
            </w:r>
          </w:p>
        </w:tc>
        <w:tc>
          <w:tcPr>
            <w:tcW w:w="1550" w:type="dxa"/>
            <w:vMerge w:val="restar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消纳站无组织废气</w:t>
            </w: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氨</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硫化氢</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臭气浓度</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甲烷</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restar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消纳站设备出水、外排污水</w:t>
            </w: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pH</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生化需氧量</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化学需氧量</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悬浮物</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氨氮</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总氮</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总磷</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溶解性总固体</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消纳站噪声</w:t>
            </w: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噪声（昼）</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restar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消纳站有组织废气</w:t>
            </w: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臭气浓度</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硫化氢</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trPr>
        <w:tc>
          <w:tcPr>
            <w:tcW w:w="1209"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b/>
                <w:color w:val="000000"/>
                <w:sz w:val="24"/>
                <w:highlight w:val="none"/>
              </w:rPr>
            </w:pPr>
          </w:p>
        </w:tc>
        <w:tc>
          <w:tcPr>
            <w:tcW w:w="1550" w:type="dxa"/>
            <w:vMerge w:val="continue"/>
            <w:tcBorders>
              <w:tl2br w:val="nil"/>
              <w:tr2bl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line="420" w:lineRule="exact"/>
              <w:jc w:val="center"/>
              <w:rPr>
                <w:rFonts w:hint="eastAsia" w:ascii="宋体" w:hAnsi="宋体" w:cs="宋体"/>
                <w:color w:val="000000"/>
                <w:sz w:val="24"/>
                <w:highlight w:val="none"/>
              </w:rPr>
            </w:pPr>
          </w:p>
        </w:tc>
        <w:tc>
          <w:tcPr>
            <w:tcW w:w="358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氨</w:t>
            </w:r>
          </w:p>
        </w:tc>
        <w:tc>
          <w:tcPr>
            <w:tcW w:w="11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35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10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after="0" w:line="42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r>
    </w:tbl>
    <w:p>
      <w:pPr>
        <w:keepNext w:val="0"/>
        <w:keepLines w:val="0"/>
        <w:pageBreakBefore w:val="0"/>
        <w:kinsoku/>
        <w:wordWrap/>
        <w:overflowPunct/>
        <w:topLinePunct w:val="0"/>
        <w:autoSpaceDE/>
        <w:autoSpaceDN/>
        <w:bidi w:val="0"/>
        <w:adjustRightInd/>
        <w:snapToGrid w:val="0"/>
        <w:spacing w:after="0" w:line="420" w:lineRule="exact"/>
        <w:ind w:left="483"/>
        <w:rPr>
          <w:rFonts w:hint="eastAsia" w:ascii="宋体" w:hAnsi="宋体" w:cs="宋体"/>
          <w:sz w:val="24"/>
          <w:highlight w:val="none"/>
        </w:rPr>
      </w:pPr>
      <w:r>
        <w:rPr>
          <w:rFonts w:ascii="宋体" w:hAnsi="宋体" w:cs="宋体"/>
          <w:b/>
          <w:bCs/>
          <w:spacing w:val="-4"/>
          <w:sz w:val="24"/>
          <w:highlight w:val="none"/>
        </w:rPr>
        <w:t>二、服务期限</w:t>
      </w:r>
    </w:p>
    <w:p>
      <w:pPr>
        <w:keepNext w:val="0"/>
        <w:keepLines w:val="0"/>
        <w:pageBreakBefore w:val="0"/>
        <w:kinsoku/>
        <w:wordWrap/>
        <w:overflowPunct/>
        <w:topLinePunct w:val="0"/>
        <w:autoSpaceDE/>
        <w:autoSpaceDN/>
        <w:bidi w:val="0"/>
        <w:adjustRightInd/>
        <w:snapToGrid w:val="0"/>
        <w:spacing w:after="0" w:line="420" w:lineRule="exact"/>
        <w:ind w:left="482"/>
        <w:rPr>
          <w:rFonts w:hint="eastAsia" w:ascii="宋体" w:hAnsi="宋体" w:cs="宋体"/>
          <w:sz w:val="24"/>
          <w:highlight w:val="none"/>
        </w:rPr>
      </w:pPr>
      <w:r>
        <w:rPr>
          <w:rFonts w:ascii="宋体" w:hAnsi="宋体" w:cs="宋体"/>
          <w:spacing w:val="-13"/>
          <w:sz w:val="24"/>
          <w:highlight w:val="none"/>
        </w:rPr>
        <w:t>202</w:t>
      </w:r>
      <w:r>
        <w:rPr>
          <w:rFonts w:hint="eastAsia" w:ascii="宋体" w:hAnsi="宋体" w:cs="宋体"/>
          <w:spacing w:val="-13"/>
          <w:sz w:val="24"/>
          <w:highlight w:val="none"/>
        </w:rPr>
        <w:t>6</w:t>
      </w:r>
      <w:r>
        <w:rPr>
          <w:rFonts w:ascii="宋体" w:hAnsi="宋体" w:cs="宋体"/>
          <w:spacing w:val="-13"/>
          <w:sz w:val="24"/>
          <w:highlight w:val="none"/>
        </w:rPr>
        <w:t>年</w:t>
      </w:r>
      <w:r>
        <w:rPr>
          <w:rFonts w:ascii="宋体" w:hAnsi="宋体" w:cs="宋体"/>
          <w:spacing w:val="-33"/>
          <w:sz w:val="24"/>
          <w:highlight w:val="none"/>
        </w:rPr>
        <w:t xml:space="preserve"> </w:t>
      </w:r>
      <w:r>
        <w:rPr>
          <w:rFonts w:ascii="宋体" w:hAnsi="宋体" w:cs="宋体"/>
          <w:spacing w:val="-13"/>
          <w:sz w:val="24"/>
          <w:highlight w:val="none"/>
        </w:rPr>
        <w:t>1</w:t>
      </w:r>
      <w:r>
        <w:rPr>
          <w:rFonts w:ascii="宋体" w:hAnsi="宋体" w:cs="宋体"/>
          <w:spacing w:val="-39"/>
          <w:sz w:val="24"/>
          <w:highlight w:val="none"/>
        </w:rPr>
        <w:t xml:space="preserve"> </w:t>
      </w:r>
      <w:r>
        <w:rPr>
          <w:rFonts w:ascii="宋体" w:hAnsi="宋体" w:cs="宋体"/>
          <w:spacing w:val="-13"/>
          <w:sz w:val="24"/>
          <w:highlight w:val="none"/>
        </w:rPr>
        <w:t>月</w:t>
      </w:r>
      <w:r>
        <w:rPr>
          <w:rFonts w:ascii="宋体" w:hAnsi="宋体" w:cs="宋体"/>
          <w:spacing w:val="-33"/>
          <w:sz w:val="24"/>
          <w:highlight w:val="none"/>
        </w:rPr>
        <w:t xml:space="preserve"> </w:t>
      </w:r>
      <w:r>
        <w:rPr>
          <w:rFonts w:ascii="宋体" w:hAnsi="宋体" w:cs="宋体"/>
          <w:spacing w:val="-13"/>
          <w:sz w:val="24"/>
          <w:highlight w:val="none"/>
        </w:rPr>
        <w:t>1 日至</w:t>
      </w:r>
      <w:r>
        <w:rPr>
          <w:rFonts w:ascii="宋体" w:hAnsi="宋体" w:cs="宋体"/>
          <w:spacing w:val="-48"/>
          <w:sz w:val="24"/>
          <w:highlight w:val="none"/>
        </w:rPr>
        <w:t xml:space="preserve"> </w:t>
      </w:r>
      <w:r>
        <w:rPr>
          <w:rFonts w:ascii="宋体" w:hAnsi="宋体" w:cs="宋体"/>
          <w:spacing w:val="-13"/>
          <w:sz w:val="24"/>
          <w:highlight w:val="none"/>
        </w:rPr>
        <w:t>202</w:t>
      </w:r>
      <w:r>
        <w:rPr>
          <w:rFonts w:hint="eastAsia" w:ascii="宋体" w:hAnsi="宋体" w:cs="宋体"/>
          <w:spacing w:val="-49"/>
          <w:sz w:val="24"/>
          <w:highlight w:val="none"/>
        </w:rPr>
        <w:t>6</w:t>
      </w:r>
      <w:r>
        <w:rPr>
          <w:rFonts w:ascii="宋体" w:hAnsi="宋体" w:cs="宋体"/>
          <w:spacing w:val="-13"/>
          <w:sz w:val="24"/>
          <w:highlight w:val="none"/>
        </w:rPr>
        <w:t>年</w:t>
      </w:r>
      <w:r>
        <w:rPr>
          <w:rFonts w:ascii="宋体" w:hAnsi="宋体" w:cs="宋体"/>
          <w:spacing w:val="-33"/>
          <w:sz w:val="24"/>
          <w:highlight w:val="none"/>
        </w:rPr>
        <w:t xml:space="preserve"> </w:t>
      </w:r>
      <w:r>
        <w:rPr>
          <w:rFonts w:ascii="宋体" w:hAnsi="宋体" w:cs="宋体"/>
          <w:spacing w:val="-13"/>
          <w:sz w:val="24"/>
          <w:highlight w:val="none"/>
        </w:rPr>
        <w:t>12</w:t>
      </w:r>
      <w:r>
        <w:rPr>
          <w:rFonts w:ascii="宋体" w:hAnsi="宋体" w:cs="宋体"/>
          <w:spacing w:val="-40"/>
          <w:sz w:val="24"/>
          <w:highlight w:val="none"/>
        </w:rPr>
        <w:t xml:space="preserve"> </w:t>
      </w:r>
      <w:r>
        <w:rPr>
          <w:rFonts w:ascii="宋体" w:hAnsi="宋体" w:cs="宋体"/>
          <w:spacing w:val="-13"/>
          <w:sz w:val="24"/>
          <w:highlight w:val="none"/>
        </w:rPr>
        <w:t>月</w:t>
      </w:r>
      <w:r>
        <w:rPr>
          <w:rFonts w:ascii="宋体" w:hAnsi="宋体" w:cs="宋体"/>
          <w:spacing w:val="-45"/>
          <w:sz w:val="24"/>
          <w:highlight w:val="none"/>
        </w:rPr>
        <w:t xml:space="preserve"> </w:t>
      </w:r>
      <w:r>
        <w:rPr>
          <w:rFonts w:ascii="宋体" w:hAnsi="宋体" w:cs="宋体"/>
          <w:spacing w:val="-13"/>
          <w:sz w:val="24"/>
          <w:highlight w:val="none"/>
        </w:rPr>
        <w:t>31 日。</w:t>
      </w:r>
    </w:p>
    <w:p>
      <w:pPr>
        <w:keepNext w:val="0"/>
        <w:keepLines w:val="0"/>
        <w:pageBreakBefore w:val="0"/>
        <w:kinsoku/>
        <w:wordWrap/>
        <w:overflowPunct/>
        <w:topLinePunct w:val="0"/>
        <w:autoSpaceDE/>
        <w:autoSpaceDN/>
        <w:bidi w:val="0"/>
        <w:adjustRightInd/>
        <w:snapToGrid w:val="0"/>
        <w:spacing w:after="0" w:line="420" w:lineRule="exact"/>
        <w:ind w:left="479"/>
        <w:rPr>
          <w:rFonts w:hint="eastAsia" w:ascii="宋体" w:hAnsi="宋体" w:cs="宋体"/>
          <w:sz w:val="24"/>
          <w:highlight w:val="none"/>
        </w:rPr>
      </w:pPr>
      <w:r>
        <w:rPr>
          <w:rFonts w:ascii="宋体" w:hAnsi="宋体" w:cs="宋体"/>
          <w:b/>
          <w:bCs/>
          <w:spacing w:val="-3"/>
          <w:sz w:val="24"/>
          <w:highlight w:val="none"/>
        </w:rPr>
        <w:t>三、服务费用和付款方式</w:t>
      </w:r>
    </w:p>
    <w:p>
      <w:pPr>
        <w:keepNext w:val="0"/>
        <w:keepLines w:val="0"/>
        <w:pageBreakBefore w:val="0"/>
        <w:kinsoku/>
        <w:wordWrap/>
        <w:overflowPunct/>
        <w:topLinePunct w:val="0"/>
        <w:autoSpaceDE/>
        <w:autoSpaceDN/>
        <w:bidi w:val="0"/>
        <w:adjustRightInd/>
        <w:snapToGrid w:val="0"/>
        <w:spacing w:after="0" w:line="420" w:lineRule="exact"/>
        <w:ind w:left="5" w:right="206" w:firstLine="492"/>
        <w:rPr>
          <w:rFonts w:hint="eastAsia" w:ascii="宋体" w:hAnsi="宋体" w:cs="宋体"/>
          <w:sz w:val="24"/>
          <w:highlight w:val="none"/>
        </w:rPr>
      </w:pPr>
      <w:r>
        <w:rPr>
          <w:rFonts w:ascii="宋体" w:hAnsi="宋体" w:cs="宋体"/>
          <w:spacing w:val="1"/>
          <w:sz w:val="24"/>
          <w:highlight w:val="none"/>
        </w:rPr>
        <w:t>1.本项目（</w:t>
      </w:r>
      <w:r>
        <w:rPr>
          <w:rFonts w:ascii="宋体" w:hAnsi="宋体" w:cs="宋体"/>
          <w:spacing w:val="3"/>
          <w:sz w:val="24"/>
          <w:highlight w:val="none"/>
          <w:u w:val="single"/>
        </w:rPr>
        <w:t xml:space="preserve"> </w:t>
      </w:r>
      <w:r>
        <w:rPr>
          <w:rFonts w:hint="eastAsia" w:ascii="宋体" w:hAnsi="宋体" w:cs="宋体"/>
          <w:spacing w:val="3"/>
          <w:sz w:val="24"/>
          <w:highlight w:val="none"/>
          <w:u w:val="single"/>
        </w:rPr>
        <w:t>04包生活垃圾（粪便）处理设施环境监测</w:t>
      </w:r>
      <w:r>
        <w:rPr>
          <w:rFonts w:ascii="宋体" w:hAnsi="宋体" w:cs="宋体"/>
          <w:spacing w:val="3"/>
          <w:sz w:val="24"/>
          <w:highlight w:val="none"/>
          <w:u w:val="single"/>
        </w:rPr>
        <w:t xml:space="preserve"> </w:t>
      </w:r>
      <w:r>
        <w:rPr>
          <w:rFonts w:ascii="宋体" w:hAnsi="宋体" w:cs="宋体"/>
          <w:spacing w:val="1"/>
          <w:sz w:val="24"/>
          <w:highlight w:val="none"/>
        </w:rPr>
        <w:t>）合同金额为人民币</w:t>
      </w:r>
      <w:r>
        <w:rPr>
          <w:rFonts w:ascii="宋体" w:hAnsi="宋体" w:cs="宋体"/>
          <w:spacing w:val="-116"/>
          <w:sz w:val="24"/>
          <w:highlight w:val="none"/>
        </w:rPr>
        <w:t xml:space="preserve"> </w:t>
      </w:r>
      <w:r>
        <w:rPr>
          <w:rFonts w:ascii="宋体" w:hAnsi="宋体" w:cs="宋体"/>
          <w:spacing w:val="3"/>
          <w:sz w:val="24"/>
          <w:highlight w:val="none"/>
          <w:u w:val="single"/>
        </w:rPr>
        <w:t xml:space="preserve">        </w:t>
      </w:r>
      <w:r>
        <w:rPr>
          <w:rFonts w:ascii="宋体" w:hAnsi="宋体" w:cs="宋体"/>
          <w:spacing w:val="-107"/>
          <w:sz w:val="24"/>
          <w:highlight w:val="none"/>
        </w:rPr>
        <w:t xml:space="preserve"> </w:t>
      </w:r>
      <w:r>
        <w:rPr>
          <w:rFonts w:ascii="宋体" w:hAnsi="宋体" w:cs="宋体"/>
          <w:spacing w:val="1"/>
          <w:sz w:val="24"/>
          <w:highlight w:val="none"/>
        </w:rPr>
        <w:t>元（大</w:t>
      </w:r>
      <w:r>
        <w:rPr>
          <w:rFonts w:ascii="宋体" w:hAnsi="宋体" w:cs="宋体"/>
          <w:sz w:val="24"/>
          <w:highlight w:val="none"/>
        </w:rPr>
        <w:t xml:space="preserve"> </w:t>
      </w:r>
      <w:r>
        <w:rPr>
          <w:rFonts w:ascii="宋体" w:hAnsi="宋体" w:cs="宋体"/>
          <w:spacing w:val="-6"/>
          <w:sz w:val="24"/>
          <w:highlight w:val="none"/>
        </w:rPr>
        <w:t>写）</w:t>
      </w:r>
      <w:r>
        <w:rPr>
          <w:rFonts w:ascii="宋体" w:hAnsi="宋体" w:cs="宋体"/>
          <w:sz w:val="24"/>
          <w:highlight w:val="none"/>
          <w:u w:val="single"/>
        </w:rPr>
        <w:t xml:space="preserve">            </w:t>
      </w:r>
      <w:r>
        <w:rPr>
          <w:rFonts w:ascii="宋体" w:hAnsi="宋体" w:cs="宋体"/>
          <w:spacing w:val="-6"/>
          <w:sz w:val="24"/>
          <w:highlight w:val="none"/>
        </w:rPr>
        <w:t>。</w:t>
      </w:r>
    </w:p>
    <w:p>
      <w:pPr>
        <w:keepNext w:val="0"/>
        <w:keepLines w:val="0"/>
        <w:pageBreakBefore w:val="0"/>
        <w:kinsoku/>
        <w:wordWrap/>
        <w:overflowPunct/>
        <w:topLinePunct w:val="0"/>
        <w:autoSpaceDE/>
        <w:autoSpaceDN/>
        <w:bidi w:val="0"/>
        <w:adjustRightInd/>
        <w:snapToGrid w:val="0"/>
        <w:spacing w:after="0" w:line="420" w:lineRule="exact"/>
        <w:ind w:left="482"/>
        <w:rPr>
          <w:rFonts w:hint="eastAsia" w:ascii="宋体" w:hAnsi="宋体" w:cs="宋体"/>
          <w:sz w:val="24"/>
          <w:highlight w:val="none"/>
        </w:rPr>
      </w:pPr>
      <w:r>
        <w:rPr>
          <w:rFonts w:ascii="宋体" w:hAnsi="宋体" w:cs="宋体"/>
          <w:spacing w:val="-9"/>
          <w:sz w:val="24"/>
          <w:highlight w:val="none"/>
        </w:rPr>
        <w:t>2.付款方式：</w:t>
      </w:r>
    </w:p>
    <w:p>
      <w:pPr>
        <w:keepNext w:val="0"/>
        <w:keepLines w:val="0"/>
        <w:pageBreakBefore w:val="0"/>
        <w:kinsoku/>
        <w:wordWrap/>
        <w:overflowPunct/>
        <w:topLinePunct w:val="0"/>
        <w:autoSpaceDE/>
        <w:autoSpaceDN/>
        <w:bidi w:val="0"/>
        <w:adjustRightInd/>
        <w:snapToGrid w:val="0"/>
        <w:spacing w:after="0" w:line="420" w:lineRule="exact"/>
        <w:ind w:right="206" w:firstLine="480"/>
        <w:rPr>
          <w:rFonts w:hint="eastAsia" w:ascii="宋体" w:hAnsi="宋体" w:cs="宋体"/>
          <w:sz w:val="24"/>
          <w:highlight w:val="none"/>
        </w:rPr>
      </w:pPr>
      <w:r>
        <w:rPr>
          <w:rFonts w:ascii="宋体" w:hAnsi="宋体" w:cs="宋体"/>
          <w:sz w:val="24"/>
          <w:highlight w:val="none"/>
        </w:rPr>
        <w:t>本合同签订完成且政府资金到达甲方账户后，甲方</w:t>
      </w:r>
      <w:r>
        <w:rPr>
          <w:rFonts w:ascii="宋体" w:hAnsi="宋体" w:cs="宋体"/>
          <w:spacing w:val="-1"/>
          <w:sz w:val="24"/>
          <w:highlight w:val="none"/>
        </w:rPr>
        <w:t>向乙方支付合同金额的</w:t>
      </w:r>
      <w:r>
        <w:rPr>
          <w:rFonts w:ascii="宋体" w:hAnsi="宋体" w:cs="宋体"/>
          <w:spacing w:val="-45"/>
          <w:sz w:val="24"/>
          <w:highlight w:val="none"/>
        </w:rPr>
        <w:t xml:space="preserve"> </w:t>
      </w:r>
      <w:r>
        <w:rPr>
          <w:rFonts w:ascii="宋体" w:hAnsi="宋体" w:cs="宋体"/>
          <w:spacing w:val="-1"/>
          <w:sz w:val="24"/>
          <w:highlight w:val="none"/>
          <w:u w:val="single"/>
        </w:rPr>
        <w:t>50%</w:t>
      </w:r>
      <w:r>
        <w:rPr>
          <w:rFonts w:ascii="宋体" w:hAnsi="宋体" w:cs="宋体"/>
          <w:spacing w:val="-1"/>
          <w:sz w:val="24"/>
          <w:highlight w:val="none"/>
        </w:rPr>
        <w:t>作为</w:t>
      </w:r>
      <w:r>
        <w:rPr>
          <w:rFonts w:ascii="宋体" w:hAnsi="宋体" w:cs="宋体"/>
          <w:spacing w:val="-2"/>
          <w:sz w:val="24"/>
          <w:highlight w:val="none"/>
        </w:rPr>
        <w:t>预付款；待服务期满</w:t>
      </w:r>
      <w:r>
        <w:rPr>
          <w:rFonts w:ascii="宋体" w:hAnsi="宋体" w:cs="宋体"/>
          <w:spacing w:val="-44"/>
          <w:sz w:val="24"/>
          <w:highlight w:val="none"/>
        </w:rPr>
        <w:t xml:space="preserve"> </w:t>
      </w:r>
      <w:r>
        <w:rPr>
          <w:rFonts w:ascii="宋体" w:hAnsi="宋体" w:cs="宋体"/>
          <w:spacing w:val="-2"/>
          <w:sz w:val="24"/>
          <w:highlight w:val="none"/>
          <w:u w:val="single"/>
        </w:rPr>
        <w:t>9</w:t>
      </w:r>
      <w:r>
        <w:rPr>
          <w:rFonts w:ascii="宋体" w:hAnsi="宋体" w:cs="宋体"/>
          <w:spacing w:val="-51"/>
          <w:sz w:val="24"/>
          <w:highlight w:val="none"/>
          <w:u w:val="single"/>
        </w:rPr>
        <w:t xml:space="preserve"> </w:t>
      </w:r>
      <w:r>
        <w:rPr>
          <w:rFonts w:ascii="宋体" w:hAnsi="宋体" w:cs="宋体"/>
          <w:spacing w:val="-2"/>
          <w:sz w:val="24"/>
          <w:highlight w:val="none"/>
        </w:rPr>
        <w:t>个月时</w:t>
      </w:r>
      <w:r>
        <w:rPr>
          <w:rFonts w:hint="eastAsia" w:ascii="宋体" w:hAnsi="宋体" w:cs="宋体"/>
          <w:spacing w:val="-2"/>
          <w:sz w:val="24"/>
          <w:highlight w:val="none"/>
        </w:rPr>
        <w:t>并经甲方验收合格后</w:t>
      </w:r>
      <w:r>
        <w:rPr>
          <w:rFonts w:ascii="宋体" w:hAnsi="宋体" w:cs="宋体"/>
          <w:spacing w:val="-2"/>
          <w:sz w:val="24"/>
          <w:highlight w:val="none"/>
        </w:rPr>
        <w:t>支付至合同金额的</w:t>
      </w:r>
      <w:r>
        <w:rPr>
          <w:rFonts w:ascii="宋体" w:hAnsi="宋体" w:cs="宋体"/>
          <w:spacing w:val="-49"/>
          <w:sz w:val="24"/>
          <w:highlight w:val="none"/>
        </w:rPr>
        <w:t xml:space="preserve"> </w:t>
      </w:r>
      <w:r>
        <w:rPr>
          <w:rFonts w:ascii="宋体" w:hAnsi="宋体" w:cs="宋体"/>
          <w:spacing w:val="-2"/>
          <w:sz w:val="24"/>
          <w:highlight w:val="none"/>
          <w:u w:val="single"/>
        </w:rPr>
        <w:t>80%</w:t>
      </w:r>
      <w:r>
        <w:rPr>
          <w:rFonts w:ascii="宋体" w:hAnsi="宋体" w:cs="宋体"/>
          <w:spacing w:val="-2"/>
          <w:sz w:val="24"/>
          <w:highlight w:val="none"/>
        </w:rPr>
        <w:t>，合同履行完成</w:t>
      </w:r>
      <w:r>
        <w:rPr>
          <w:rFonts w:hint="eastAsia" w:ascii="宋体" w:hAnsi="宋体" w:cs="宋体"/>
          <w:spacing w:val="-2"/>
          <w:sz w:val="24"/>
          <w:highlight w:val="none"/>
        </w:rPr>
        <w:t>并经甲方验收合格后</w:t>
      </w:r>
      <w:r>
        <w:rPr>
          <w:rFonts w:ascii="宋体" w:hAnsi="宋体" w:cs="宋体"/>
          <w:spacing w:val="-2"/>
          <w:sz w:val="24"/>
          <w:highlight w:val="none"/>
        </w:rPr>
        <w:t>结算剩余款项。</w:t>
      </w:r>
    </w:p>
    <w:p>
      <w:pPr>
        <w:keepNext w:val="0"/>
        <w:keepLines w:val="0"/>
        <w:pageBreakBefore w:val="0"/>
        <w:kinsoku/>
        <w:wordWrap/>
        <w:overflowPunct/>
        <w:topLinePunct w:val="0"/>
        <w:autoSpaceDE/>
        <w:autoSpaceDN/>
        <w:bidi w:val="0"/>
        <w:adjustRightInd/>
        <w:snapToGrid w:val="0"/>
        <w:spacing w:after="0" w:line="420" w:lineRule="exact"/>
        <w:ind w:right="205" w:firstLine="484"/>
        <w:rPr>
          <w:rFonts w:hint="eastAsia" w:ascii="宋体" w:hAnsi="宋体" w:cs="宋体"/>
          <w:sz w:val="24"/>
          <w:highlight w:val="none"/>
        </w:rPr>
      </w:pPr>
      <w:r>
        <w:rPr>
          <w:rFonts w:ascii="宋体" w:hAnsi="宋体" w:cs="宋体"/>
          <w:spacing w:val="-7"/>
          <w:sz w:val="24"/>
          <w:highlight w:val="none"/>
        </w:rPr>
        <w:t>3.乙方应当在甲方付款之前先行提供等额、真实、合法有效的增值税发票，甲方</w:t>
      </w:r>
      <w:r>
        <w:rPr>
          <w:rFonts w:ascii="宋体" w:hAnsi="宋体" w:cs="宋体"/>
          <w:spacing w:val="-2"/>
          <w:sz w:val="24"/>
          <w:highlight w:val="none"/>
        </w:rPr>
        <w:t>见票并且认证无误后支付协议价款。如果乙方未先行向甲方提供该增值税发票或者未经认证通过，则甲方有权拒付款项且不承担任何违约责任。</w:t>
      </w:r>
    </w:p>
    <w:p>
      <w:pPr>
        <w:keepNext w:val="0"/>
        <w:keepLines w:val="0"/>
        <w:pageBreakBefore w:val="0"/>
        <w:kinsoku/>
        <w:wordWrap/>
        <w:overflowPunct/>
        <w:topLinePunct w:val="0"/>
        <w:autoSpaceDE/>
        <w:autoSpaceDN/>
        <w:bidi w:val="0"/>
        <w:adjustRightInd/>
        <w:snapToGrid w:val="0"/>
        <w:spacing w:after="0" w:line="420" w:lineRule="exact"/>
        <w:ind w:left="479"/>
        <w:rPr>
          <w:rFonts w:hint="eastAsia" w:ascii="宋体" w:hAnsi="宋体" w:cs="宋体"/>
          <w:sz w:val="24"/>
          <w:highlight w:val="none"/>
        </w:rPr>
      </w:pPr>
      <w:r>
        <w:rPr>
          <w:rFonts w:ascii="宋体" w:hAnsi="宋体" w:cs="宋体"/>
          <w:spacing w:val="-7"/>
          <w:sz w:val="24"/>
          <w:highlight w:val="none"/>
        </w:rPr>
        <w:t>4.乙方账户：</w:t>
      </w:r>
    </w:p>
    <w:p>
      <w:pPr>
        <w:keepNext w:val="0"/>
        <w:keepLines w:val="0"/>
        <w:pageBreakBefore w:val="0"/>
        <w:tabs>
          <w:tab w:val="left" w:pos="5390"/>
        </w:tabs>
        <w:kinsoku/>
        <w:wordWrap/>
        <w:overflowPunct/>
        <w:topLinePunct w:val="0"/>
        <w:autoSpaceDE/>
        <w:autoSpaceDN/>
        <w:bidi w:val="0"/>
        <w:adjustRightInd/>
        <w:snapToGrid w:val="0"/>
        <w:spacing w:after="0" w:line="420" w:lineRule="exact"/>
        <w:ind w:left="479" w:right="3877" w:firstLine="7"/>
        <w:rPr>
          <w:rFonts w:hint="eastAsia" w:ascii="宋体" w:hAnsi="宋体" w:cs="宋体"/>
          <w:sz w:val="24"/>
          <w:highlight w:val="none"/>
        </w:rPr>
      </w:pPr>
      <w:r>
        <w:rPr>
          <w:rFonts w:ascii="宋体" w:hAnsi="宋体" w:cs="宋体"/>
          <w:spacing w:val="-9"/>
          <w:sz w:val="24"/>
          <w:highlight w:val="none"/>
        </w:rPr>
        <w:t>开</w:t>
      </w:r>
      <w:r>
        <w:rPr>
          <w:rFonts w:ascii="宋体" w:hAnsi="宋体" w:cs="宋体"/>
          <w:spacing w:val="10"/>
          <w:sz w:val="24"/>
          <w:highlight w:val="none"/>
        </w:rPr>
        <w:t xml:space="preserve"> </w:t>
      </w:r>
      <w:r>
        <w:rPr>
          <w:rFonts w:ascii="宋体" w:hAnsi="宋体" w:cs="宋体"/>
          <w:spacing w:val="-9"/>
          <w:sz w:val="24"/>
          <w:highlight w:val="none"/>
        </w:rPr>
        <w:t>户</w:t>
      </w:r>
      <w:r>
        <w:rPr>
          <w:rFonts w:ascii="宋体" w:hAnsi="宋体" w:cs="宋体"/>
          <w:spacing w:val="9"/>
          <w:sz w:val="24"/>
          <w:highlight w:val="none"/>
        </w:rPr>
        <w:t xml:space="preserve"> </w:t>
      </w:r>
      <w:r>
        <w:rPr>
          <w:rFonts w:ascii="宋体" w:hAnsi="宋体" w:cs="宋体"/>
          <w:spacing w:val="-9"/>
          <w:sz w:val="24"/>
          <w:highlight w:val="none"/>
        </w:rPr>
        <w:t>行：</w:t>
      </w:r>
      <w:r>
        <w:rPr>
          <w:rFonts w:ascii="宋体" w:hAnsi="宋体" w:cs="宋体"/>
          <w:sz w:val="24"/>
          <w:highlight w:val="none"/>
          <w:u w:val="single"/>
        </w:rPr>
        <w:tab/>
      </w:r>
      <w:r>
        <w:rPr>
          <w:rFonts w:ascii="宋体" w:hAnsi="宋体" w:cs="宋体"/>
          <w:sz w:val="24"/>
          <w:highlight w:val="none"/>
        </w:rPr>
        <w:t xml:space="preserve"> </w:t>
      </w:r>
    </w:p>
    <w:p>
      <w:pPr>
        <w:keepNext w:val="0"/>
        <w:keepLines w:val="0"/>
        <w:pageBreakBefore w:val="0"/>
        <w:tabs>
          <w:tab w:val="left" w:pos="5390"/>
        </w:tabs>
        <w:kinsoku/>
        <w:wordWrap/>
        <w:overflowPunct/>
        <w:topLinePunct w:val="0"/>
        <w:autoSpaceDE/>
        <w:autoSpaceDN/>
        <w:bidi w:val="0"/>
        <w:adjustRightInd/>
        <w:snapToGrid w:val="0"/>
        <w:spacing w:after="0" w:line="420" w:lineRule="exact"/>
        <w:ind w:left="479" w:right="3877" w:firstLine="7"/>
        <w:rPr>
          <w:rFonts w:hint="eastAsia" w:ascii="宋体" w:hAnsi="宋体" w:cs="宋体"/>
          <w:sz w:val="24"/>
          <w:highlight w:val="none"/>
          <w:u w:val="single"/>
        </w:rPr>
      </w:pPr>
      <w:r>
        <w:rPr>
          <w:rFonts w:ascii="宋体" w:hAnsi="宋体" w:cs="宋体"/>
          <w:spacing w:val="-2"/>
          <w:sz w:val="24"/>
          <w:highlight w:val="none"/>
        </w:rPr>
        <w:t>账户名称：</w:t>
      </w:r>
      <w:r>
        <w:rPr>
          <w:rFonts w:ascii="宋体" w:hAnsi="宋体" w:cs="宋体"/>
          <w:sz w:val="24"/>
          <w:highlight w:val="none"/>
          <w:u w:val="single"/>
        </w:rPr>
        <w:tab/>
      </w:r>
    </w:p>
    <w:p>
      <w:pPr>
        <w:keepNext w:val="0"/>
        <w:keepLines w:val="0"/>
        <w:pageBreakBefore w:val="0"/>
        <w:tabs>
          <w:tab w:val="left" w:pos="5390"/>
        </w:tabs>
        <w:kinsoku/>
        <w:wordWrap/>
        <w:overflowPunct/>
        <w:topLinePunct w:val="0"/>
        <w:autoSpaceDE/>
        <w:autoSpaceDN/>
        <w:bidi w:val="0"/>
        <w:adjustRightInd/>
        <w:snapToGrid w:val="0"/>
        <w:spacing w:after="0" w:line="420" w:lineRule="exact"/>
        <w:ind w:left="479" w:right="3877" w:firstLine="7"/>
        <w:rPr>
          <w:rFonts w:hint="eastAsia" w:ascii="宋体" w:hAnsi="宋体" w:cs="宋体"/>
          <w:sz w:val="24"/>
          <w:highlight w:val="none"/>
        </w:rPr>
      </w:pPr>
      <w:r>
        <w:rPr>
          <w:rFonts w:ascii="宋体" w:hAnsi="宋体" w:cs="宋体"/>
          <w:spacing w:val="-8"/>
          <w:sz w:val="24"/>
          <w:highlight w:val="none"/>
        </w:rPr>
        <w:t>账</w:t>
      </w:r>
      <w:r>
        <w:rPr>
          <w:rFonts w:ascii="宋体" w:hAnsi="宋体" w:cs="宋体"/>
          <w:spacing w:val="3"/>
          <w:sz w:val="24"/>
          <w:highlight w:val="none"/>
        </w:rPr>
        <w:t xml:space="preserve">    </w:t>
      </w:r>
      <w:r>
        <w:rPr>
          <w:rFonts w:ascii="宋体" w:hAnsi="宋体" w:cs="宋体"/>
          <w:spacing w:val="-8"/>
          <w:sz w:val="24"/>
          <w:highlight w:val="none"/>
        </w:rPr>
        <w:t>号：</w:t>
      </w:r>
      <w:r>
        <w:rPr>
          <w:rFonts w:ascii="宋体" w:hAnsi="宋体" w:cs="宋体"/>
          <w:sz w:val="24"/>
          <w:highlight w:val="none"/>
          <w:u w:val="single"/>
        </w:rPr>
        <w:tab/>
      </w:r>
      <w:r>
        <w:rPr>
          <w:rFonts w:ascii="宋体" w:hAnsi="宋体" w:cs="宋体"/>
          <w:sz w:val="24"/>
          <w:highlight w:val="none"/>
        </w:rPr>
        <w:t xml:space="preserve"> </w:t>
      </w:r>
    </w:p>
    <w:p>
      <w:pPr>
        <w:keepNext w:val="0"/>
        <w:keepLines w:val="0"/>
        <w:pageBreakBefore w:val="0"/>
        <w:tabs>
          <w:tab w:val="left" w:pos="5390"/>
        </w:tabs>
        <w:kinsoku/>
        <w:wordWrap/>
        <w:overflowPunct/>
        <w:topLinePunct w:val="0"/>
        <w:autoSpaceDE/>
        <w:autoSpaceDN/>
        <w:bidi w:val="0"/>
        <w:adjustRightInd/>
        <w:snapToGrid w:val="0"/>
        <w:spacing w:after="0" w:line="420" w:lineRule="exact"/>
        <w:ind w:left="479" w:right="3877" w:firstLine="7"/>
        <w:rPr>
          <w:rFonts w:hint="eastAsia" w:ascii="宋体" w:hAnsi="宋体" w:cs="宋体"/>
          <w:sz w:val="24"/>
          <w:highlight w:val="none"/>
        </w:rPr>
      </w:pPr>
      <w:r>
        <w:rPr>
          <w:rFonts w:ascii="宋体" w:hAnsi="宋体" w:cs="宋体"/>
          <w:spacing w:val="-2"/>
          <w:sz w:val="24"/>
          <w:highlight w:val="none"/>
        </w:rPr>
        <w:t>联系方式：</w:t>
      </w:r>
      <w:r>
        <w:rPr>
          <w:rFonts w:ascii="宋体" w:hAnsi="宋体" w:cs="宋体"/>
          <w:sz w:val="24"/>
          <w:highlight w:val="none"/>
          <w:u w:val="single"/>
        </w:rPr>
        <w:t xml:space="preserve">                               </w:t>
      </w:r>
    </w:p>
    <w:p>
      <w:pPr>
        <w:keepNext w:val="0"/>
        <w:keepLines w:val="0"/>
        <w:pageBreakBefore w:val="0"/>
        <w:kinsoku/>
        <w:wordWrap/>
        <w:overflowPunct/>
        <w:topLinePunct w:val="0"/>
        <w:autoSpaceDE/>
        <w:autoSpaceDN/>
        <w:bidi w:val="0"/>
        <w:adjustRightInd/>
        <w:snapToGrid w:val="0"/>
        <w:spacing w:after="0" w:line="420" w:lineRule="exact"/>
        <w:ind w:left="502"/>
        <w:rPr>
          <w:rFonts w:hint="eastAsia" w:ascii="宋体" w:hAnsi="宋体" w:cs="宋体"/>
          <w:sz w:val="24"/>
          <w:highlight w:val="none"/>
        </w:rPr>
      </w:pPr>
      <w:r>
        <w:rPr>
          <w:rFonts w:ascii="宋体" w:hAnsi="宋体" w:cs="宋体"/>
          <w:b/>
          <w:bCs/>
          <w:spacing w:val="-5"/>
          <w:sz w:val="24"/>
          <w:highlight w:val="none"/>
        </w:rPr>
        <w:t>四、甲方的权</w:t>
      </w:r>
      <w:r>
        <w:rPr>
          <w:rFonts w:hint="eastAsia" w:ascii="宋体" w:hAnsi="宋体" w:cs="宋体"/>
          <w:b/>
          <w:bCs/>
          <w:spacing w:val="-5"/>
          <w:sz w:val="24"/>
          <w:highlight w:val="none"/>
        </w:rPr>
        <w:t>利</w:t>
      </w:r>
      <w:r>
        <w:rPr>
          <w:rFonts w:ascii="宋体" w:hAnsi="宋体" w:cs="宋体"/>
          <w:b/>
          <w:bCs/>
          <w:spacing w:val="-5"/>
          <w:sz w:val="24"/>
          <w:highlight w:val="none"/>
        </w:rPr>
        <w:t>与义务</w:t>
      </w:r>
    </w:p>
    <w:p>
      <w:pPr>
        <w:keepNext w:val="0"/>
        <w:keepLines w:val="0"/>
        <w:pageBreakBefore w:val="0"/>
        <w:kinsoku/>
        <w:wordWrap/>
        <w:overflowPunct/>
        <w:topLinePunct w:val="0"/>
        <w:autoSpaceDE/>
        <w:autoSpaceDN/>
        <w:bidi w:val="0"/>
        <w:adjustRightInd/>
        <w:snapToGrid w:val="0"/>
        <w:spacing w:after="0" w:line="420" w:lineRule="exact"/>
        <w:ind w:right="119" w:firstLine="482"/>
        <w:rPr>
          <w:rFonts w:hint="eastAsia" w:ascii="宋体" w:hAnsi="宋体" w:cs="宋体"/>
          <w:sz w:val="24"/>
          <w:highlight w:val="none"/>
        </w:rPr>
      </w:pPr>
      <w:r>
        <w:rPr>
          <w:rFonts w:ascii="宋体" w:hAnsi="宋体" w:cs="宋体"/>
          <w:spacing w:val="2"/>
          <w:sz w:val="24"/>
          <w:highlight w:val="none"/>
        </w:rPr>
        <w:t>1.就约定的采购项目，</w:t>
      </w:r>
      <w:r>
        <w:rPr>
          <w:rFonts w:ascii="宋体" w:hAnsi="宋体" w:cs="宋体"/>
          <w:spacing w:val="-65"/>
          <w:sz w:val="24"/>
          <w:highlight w:val="none"/>
        </w:rPr>
        <w:t xml:space="preserve"> </w:t>
      </w:r>
      <w:r>
        <w:rPr>
          <w:rFonts w:ascii="宋体" w:hAnsi="宋体" w:cs="宋体"/>
          <w:spacing w:val="2"/>
          <w:sz w:val="24"/>
          <w:highlight w:val="none"/>
        </w:rPr>
        <w:t>甲方有权向乙方提出明确的工作要求、工作目标和需求等。</w:t>
      </w:r>
    </w:p>
    <w:p>
      <w:pPr>
        <w:keepNext w:val="0"/>
        <w:keepLines w:val="0"/>
        <w:pageBreakBefore w:val="0"/>
        <w:kinsoku/>
        <w:wordWrap/>
        <w:overflowPunct/>
        <w:topLinePunct w:val="0"/>
        <w:autoSpaceDE/>
        <w:autoSpaceDN/>
        <w:bidi w:val="0"/>
        <w:adjustRightInd/>
        <w:snapToGrid w:val="0"/>
        <w:spacing w:after="0" w:line="420" w:lineRule="exact"/>
        <w:ind w:right="119" w:firstLine="482"/>
        <w:rPr>
          <w:rFonts w:hint="eastAsia" w:ascii="宋体" w:hAnsi="宋体" w:cs="宋体"/>
          <w:sz w:val="24"/>
          <w:highlight w:val="none"/>
        </w:rPr>
      </w:pPr>
      <w:r>
        <w:rPr>
          <w:rFonts w:ascii="宋体" w:hAnsi="宋体" w:cs="宋体"/>
          <w:spacing w:val="-2"/>
          <w:sz w:val="24"/>
          <w:highlight w:val="none"/>
        </w:rPr>
        <w:t>2.审定乙方提交的项目工作方案和配套工作计划。甲方有权对项目承办的筹备过程和实施过程进行监督和指导，有权检查监督乙方完成委托项目工作的进度，对于乙方不</w:t>
      </w:r>
      <w:r>
        <w:rPr>
          <w:rFonts w:ascii="宋体" w:hAnsi="宋体" w:cs="宋体"/>
          <w:spacing w:val="-8"/>
          <w:sz w:val="24"/>
          <w:highlight w:val="none"/>
        </w:rPr>
        <w:t>履行合同、不适当履行合同等行为，甲方有权要求乙方立即更正，并采取其他补救措施。</w:t>
      </w:r>
    </w:p>
    <w:p>
      <w:pPr>
        <w:keepNext w:val="0"/>
        <w:keepLines w:val="0"/>
        <w:pageBreakBefore w:val="0"/>
        <w:kinsoku/>
        <w:wordWrap/>
        <w:overflowPunct/>
        <w:topLinePunct w:val="0"/>
        <w:autoSpaceDE/>
        <w:autoSpaceDN/>
        <w:bidi w:val="0"/>
        <w:adjustRightInd/>
        <w:snapToGrid w:val="0"/>
        <w:spacing w:after="0" w:line="420" w:lineRule="exact"/>
        <w:ind w:right="205" w:firstLine="483"/>
        <w:rPr>
          <w:rFonts w:hint="eastAsia" w:ascii="宋体" w:hAnsi="宋体" w:cs="宋体"/>
          <w:spacing w:val="-2"/>
          <w:sz w:val="24"/>
          <w:highlight w:val="none"/>
        </w:rPr>
      </w:pPr>
      <w:r>
        <w:rPr>
          <w:rFonts w:ascii="宋体" w:hAnsi="宋体" w:cs="宋体"/>
          <w:spacing w:val="-2"/>
          <w:sz w:val="24"/>
          <w:highlight w:val="none"/>
        </w:rPr>
        <w:t>3.接受乙方提交的符合本合同约定条件的工作成果及相关文件，</w:t>
      </w:r>
      <w:r>
        <w:rPr>
          <w:rFonts w:hint="eastAsia" w:ascii="宋体" w:hAnsi="宋体" w:cs="宋体"/>
          <w:spacing w:val="-2"/>
          <w:sz w:val="24"/>
          <w:highlight w:val="none"/>
        </w:rPr>
        <w:t>如需</w:t>
      </w:r>
      <w:r>
        <w:rPr>
          <w:rFonts w:ascii="宋体" w:hAnsi="宋体" w:cs="宋体"/>
          <w:spacing w:val="-2"/>
          <w:sz w:val="24"/>
          <w:highlight w:val="none"/>
        </w:rPr>
        <w:t>可组织专家或者通过评估，对乙方提交的项目工作成果的质量进行评审和验收。</w:t>
      </w:r>
    </w:p>
    <w:p>
      <w:pPr>
        <w:keepNext w:val="0"/>
        <w:keepLines w:val="0"/>
        <w:pageBreakBefore w:val="0"/>
        <w:kinsoku/>
        <w:wordWrap/>
        <w:overflowPunct/>
        <w:topLinePunct w:val="0"/>
        <w:autoSpaceDE/>
        <w:autoSpaceDN/>
        <w:bidi w:val="0"/>
        <w:adjustRightInd/>
        <w:snapToGrid w:val="0"/>
        <w:spacing w:after="0" w:line="420" w:lineRule="exact"/>
        <w:ind w:right="205" w:firstLine="483"/>
        <w:rPr>
          <w:rFonts w:ascii="宋体" w:hAnsi="宋体" w:cs="宋体"/>
          <w:spacing w:val="-2"/>
          <w:sz w:val="24"/>
          <w:highlight w:val="none"/>
        </w:rPr>
      </w:pPr>
      <w:r>
        <w:rPr>
          <w:rFonts w:ascii="宋体" w:hAnsi="宋体" w:cs="宋体"/>
          <w:spacing w:val="-2"/>
          <w:sz w:val="24"/>
          <w:highlight w:val="none"/>
        </w:rPr>
        <w:t>4.在乙方按时保质地履行本合同项下约定义务的基础上， 甲方按合同约定的期限、标准及方式向乙方支付服务费。</w:t>
      </w:r>
    </w:p>
    <w:p>
      <w:pPr>
        <w:keepNext w:val="0"/>
        <w:keepLines w:val="0"/>
        <w:pageBreakBefore w:val="0"/>
        <w:kinsoku/>
        <w:wordWrap/>
        <w:overflowPunct/>
        <w:topLinePunct w:val="0"/>
        <w:autoSpaceDE/>
        <w:autoSpaceDN/>
        <w:bidi w:val="0"/>
        <w:adjustRightInd/>
        <w:snapToGrid w:val="0"/>
        <w:spacing w:after="0" w:line="420" w:lineRule="exact"/>
        <w:ind w:right="205" w:firstLine="483"/>
        <w:rPr>
          <w:rFonts w:hint="eastAsia" w:ascii="宋体" w:hAnsi="宋体" w:cs="宋体"/>
          <w:spacing w:val="-2"/>
          <w:sz w:val="24"/>
          <w:highlight w:val="none"/>
        </w:rPr>
      </w:pPr>
      <w:r>
        <w:rPr>
          <w:rFonts w:hint="eastAsia" w:ascii="宋体" w:hAnsi="宋体" w:cs="宋体"/>
          <w:spacing w:val="-2"/>
          <w:sz w:val="24"/>
          <w:highlight w:val="none"/>
        </w:rPr>
        <w:t>5.乙方应知悉甲方为行政机关，若上述费用涉及财政审批且甲方因此未按约定时间付款的，则付款时间相应顺延，甲方无需因此承担任何法律责任。</w:t>
      </w:r>
    </w:p>
    <w:p>
      <w:pPr>
        <w:keepNext w:val="0"/>
        <w:keepLines w:val="0"/>
        <w:pageBreakBefore w:val="0"/>
        <w:kinsoku/>
        <w:wordWrap/>
        <w:overflowPunct/>
        <w:topLinePunct w:val="0"/>
        <w:autoSpaceDE/>
        <w:autoSpaceDN/>
        <w:bidi w:val="0"/>
        <w:adjustRightInd/>
        <w:snapToGrid w:val="0"/>
        <w:spacing w:after="0" w:line="420" w:lineRule="exact"/>
        <w:ind w:left="483"/>
        <w:rPr>
          <w:rFonts w:hint="eastAsia" w:ascii="宋体" w:hAnsi="宋体" w:cs="宋体"/>
          <w:sz w:val="24"/>
          <w:highlight w:val="none"/>
        </w:rPr>
      </w:pPr>
      <w:r>
        <w:rPr>
          <w:rFonts w:ascii="宋体" w:hAnsi="宋体" w:cs="宋体"/>
          <w:b/>
          <w:bCs/>
          <w:spacing w:val="-4"/>
          <w:sz w:val="24"/>
          <w:highlight w:val="none"/>
        </w:rPr>
        <w:t>五、乙方的权</w:t>
      </w:r>
      <w:r>
        <w:rPr>
          <w:rFonts w:hint="eastAsia" w:ascii="宋体" w:hAnsi="宋体" w:cs="宋体"/>
          <w:b/>
          <w:bCs/>
          <w:spacing w:val="-4"/>
          <w:sz w:val="24"/>
          <w:highlight w:val="none"/>
        </w:rPr>
        <w:t>利</w:t>
      </w:r>
      <w:r>
        <w:rPr>
          <w:rFonts w:ascii="宋体" w:hAnsi="宋体" w:cs="宋体"/>
          <w:b/>
          <w:bCs/>
          <w:spacing w:val="-4"/>
          <w:sz w:val="24"/>
          <w:highlight w:val="none"/>
        </w:rPr>
        <w:t>与义务</w:t>
      </w:r>
    </w:p>
    <w:p>
      <w:pPr>
        <w:keepNext w:val="0"/>
        <w:keepLines w:val="0"/>
        <w:pageBreakBefore w:val="0"/>
        <w:kinsoku/>
        <w:wordWrap/>
        <w:overflowPunct/>
        <w:topLinePunct w:val="0"/>
        <w:autoSpaceDE/>
        <w:autoSpaceDN/>
        <w:bidi w:val="0"/>
        <w:adjustRightInd/>
        <w:snapToGrid w:val="0"/>
        <w:spacing w:after="0" w:line="420" w:lineRule="exact"/>
        <w:ind w:left="19" w:right="204" w:firstLine="463"/>
        <w:rPr>
          <w:rFonts w:hint="eastAsia" w:ascii="宋体" w:hAnsi="宋体" w:cs="宋体"/>
          <w:spacing w:val="-2"/>
          <w:sz w:val="24"/>
          <w:highlight w:val="none"/>
        </w:rPr>
      </w:pPr>
      <w:r>
        <w:rPr>
          <w:rFonts w:ascii="宋体" w:hAnsi="宋体" w:cs="宋体"/>
          <w:spacing w:val="-2"/>
          <w:sz w:val="24"/>
          <w:highlight w:val="none"/>
        </w:rPr>
        <w:t>1.乙方必须按照经审查同意的实施方案按时有序、保质保量地开展工作。</w:t>
      </w:r>
    </w:p>
    <w:p>
      <w:pPr>
        <w:keepNext w:val="0"/>
        <w:keepLines w:val="0"/>
        <w:pageBreakBefore w:val="0"/>
        <w:kinsoku/>
        <w:wordWrap/>
        <w:overflowPunct/>
        <w:topLinePunct w:val="0"/>
        <w:autoSpaceDE/>
        <w:autoSpaceDN/>
        <w:bidi w:val="0"/>
        <w:adjustRightInd/>
        <w:snapToGrid w:val="0"/>
        <w:spacing w:after="0" w:line="420" w:lineRule="exact"/>
        <w:ind w:left="17" w:right="204" w:firstLine="465"/>
        <w:rPr>
          <w:rFonts w:hint="eastAsia" w:ascii="宋体" w:hAnsi="宋体" w:cs="宋体"/>
          <w:spacing w:val="-2"/>
          <w:sz w:val="24"/>
          <w:highlight w:val="none"/>
        </w:rPr>
      </w:pPr>
      <w:r>
        <w:rPr>
          <w:rFonts w:ascii="宋体" w:hAnsi="宋体" w:cs="宋体"/>
          <w:spacing w:val="-2"/>
          <w:sz w:val="24"/>
          <w:highlight w:val="none"/>
        </w:rPr>
        <w:t>2.乙方应组建专业性较强的</w:t>
      </w:r>
      <w:r>
        <w:rPr>
          <w:rFonts w:hint="eastAsia" w:ascii="宋体" w:hAnsi="宋体" w:cs="宋体"/>
          <w:spacing w:val="-2"/>
          <w:sz w:val="24"/>
          <w:highlight w:val="none"/>
        </w:rPr>
        <w:t>项目</w:t>
      </w:r>
      <w:r>
        <w:rPr>
          <w:rFonts w:ascii="宋体" w:hAnsi="宋体" w:cs="宋体"/>
          <w:spacing w:val="-2"/>
          <w:sz w:val="24"/>
          <w:highlight w:val="none"/>
        </w:rPr>
        <w:t>团队，采用规范和有效的项目控制措施，保证按时</w:t>
      </w:r>
      <w:r>
        <w:rPr>
          <w:rFonts w:hint="eastAsia" w:ascii="宋体" w:hAnsi="宋体" w:cs="宋体"/>
          <w:spacing w:val="-2"/>
          <w:sz w:val="24"/>
          <w:highlight w:val="none"/>
        </w:rPr>
        <w:t>完</w:t>
      </w:r>
      <w:r>
        <w:rPr>
          <w:rFonts w:ascii="宋体" w:hAnsi="宋体" w:cs="宋体"/>
          <w:spacing w:val="-2"/>
          <w:sz w:val="24"/>
          <w:highlight w:val="none"/>
        </w:rPr>
        <w:t>成本合同规定的内容，并达到相关要求。</w:t>
      </w:r>
    </w:p>
    <w:p>
      <w:pPr>
        <w:keepNext w:val="0"/>
        <w:keepLines w:val="0"/>
        <w:pageBreakBefore w:val="0"/>
        <w:kinsoku/>
        <w:wordWrap/>
        <w:overflowPunct/>
        <w:topLinePunct w:val="0"/>
        <w:autoSpaceDE/>
        <w:autoSpaceDN/>
        <w:bidi w:val="0"/>
        <w:adjustRightInd/>
        <w:snapToGrid w:val="0"/>
        <w:spacing w:after="0" w:line="420" w:lineRule="exact"/>
        <w:ind w:firstLine="485"/>
        <w:rPr>
          <w:rFonts w:hint="eastAsia" w:ascii="宋体" w:hAnsi="宋体" w:cs="宋体"/>
          <w:sz w:val="24"/>
          <w:highlight w:val="none"/>
        </w:rPr>
      </w:pPr>
      <w:r>
        <w:rPr>
          <w:rFonts w:ascii="宋体" w:hAnsi="宋体" w:cs="宋体"/>
          <w:spacing w:val="-2"/>
          <w:sz w:val="24"/>
          <w:highlight w:val="none"/>
        </w:rPr>
        <w:t>3.乙方应确保本项目的全部文件不会侵犯任何第三方的知识产权（包括但不</w:t>
      </w:r>
      <w:r>
        <w:rPr>
          <w:rFonts w:ascii="宋体" w:hAnsi="宋体" w:cs="宋体"/>
          <w:spacing w:val="-3"/>
          <w:sz w:val="24"/>
          <w:highlight w:val="none"/>
        </w:rPr>
        <w:t>限于著</w:t>
      </w:r>
      <w:r>
        <w:rPr>
          <w:rFonts w:ascii="宋体" w:hAnsi="宋体" w:cs="宋体"/>
          <w:spacing w:val="-2"/>
          <w:sz w:val="24"/>
          <w:highlight w:val="none"/>
        </w:rPr>
        <w:t>作权、商标权、专利权）或专有技术或商业秘密；乙方如果在本项目文件中使用或包含</w:t>
      </w:r>
      <w:r>
        <w:rPr>
          <w:rFonts w:ascii="宋体" w:hAnsi="宋体" w:cs="宋体"/>
          <w:spacing w:val="4"/>
          <w:sz w:val="24"/>
          <w:highlight w:val="none"/>
        </w:rPr>
        <w:t>任何其他人的知识产权或专有技术或商业秘密，应保证已经获得权利人的合</w:t>
      </w:r>
      <w:r>
        <w:rPr>
          <w:rFonts w:ascii="宋体" w:hAnsi="宋体" w:cs="宋体"/>
          <w:spacing w:val="3"/>
          <w:sz w:val="24"/>
          <w:highlight w:val="none"/>
        </w:rPr>
        <w:t>法、有效、</w:t>
      </w:r>
      <w:r>
        <w:rPr>
          <w:rFonts w:ascii="宋体" w:hAnsi="宋体" w:cs="宋体"/>
          <w:spacing w:val="-8"/>
          <w:sz w:val="24"/>
          <w:highlight w:val="none"/>
        </w:rPr>
        <w:t>充分的授权。未经甲方同意，</w:t>
      </w:r>
      <w:r>
        <w:rPr>
          <w:rFonts w:ascii="宋体" w:hAnsi="宋体" w:cs="宋体"/>
          <w:spacing w:val="-37"/>
          <w:sz w:val="24"/>
          <w:highlight w:val="none"/>
        </w:rPr>
        <w:t xml:space="preserve"> </w:t>
      </w:r>
      <w:r>
        <w:rPr>
          <w:rFonts w:ascii="宋体" w:hAnsi="宋体" w:cs="宋体"/>
          <w:spacing w:val="-8"/>
          <w:sz w:val="24"/>
          <w:highlight w:val="none"/>
        </w:rPr>
        <w:t>乙方不得将甲方提供的数据、资料用于本项目以外的事项，</w:t>
      </w:r>
      <w:r>
        <w:rPr>
          <w:rFonts w:ascii="宋体" w:hAnsi="宋体" w:cs="宋体"/>
          <w:spacing w:val="-5"/>
          <w:sz w:val="24"/>
          <w:highlight w:val="none"/>
        </w:rPr>
        <w:t>并不得向他人披露。</w:t>
      </w:r>
    </w:p>
    <w:p>
      <w:pPr>
        <w:keepNext w:val="0"/>
        <w:keepLines w:val="0"/>
        <w:pageBreakBefore w:val="0"/>
        <w:kinsoku/>
        <w:wordWrap/>
        <w:overflowPunct/>
        <w:topLinePunct w:val="0"/>
        <w:autoSpaceDE/>
        <w:autoSpaceDN/>
        <w:bidi w:val="0"/>
        <w:adjustRightInd/>
        <w:snapToGrid w:val="0"/>
        <w:spacing w:after="0" w:line="420" w:lineRule="exact"/>
        <w:ind w:left="5" w:right="204" w:firstLine="474"/>
        <w:rPr>
          <w:rFonts w:hint="eastAsia" w:ascii="宋体" w:hAnsi="宋体" w:cs="宋体"/>
          <w:sz w:val="24"/>
          <w:highlight w:val="none"/>
        </w:rPr>
      </w:pPr>
      <w:r>
        <w:rPr>
          <w:rFonts w:ascii="宋体" w:hAnsi="宋体" w:cs="宋体"/>
          <w:spacing w:val="-2"/>
          <w:sz w:val="24"/>
          <w:highlight w:val="none"/>
        </w:rPr>
        <w:t>4.乙方自觉接受甲方的安全保密监督和管理，乙方如违反安全保密条款，甲方将追</w:t>
      </w:r>
      <w:r>
        <w:rPr>
          <w:rFonts w:ascii="宋体" w:hAnsi="宋体" w:cs="宋体"/>
          <w:spacing w:val="-8"/>
          <w:sz w:val="24"/>
          <w:highlight w:val="none"/>
        </w:rPr>
        <w:t>究其责任。</w:t>
      </w:r>
    </w:p>
    <w:p>
      <w:pPr>
        <w:keepNext w:val="0"/>
        <w:keepLines w:val="0"/>
        <w:pageBreakBefore w:val="0"/>
        <w:kinsoku/>
        <w:wordWrap/>
        <w:overflowPunct/>
        <w:topLinePunct w:val="0"/>
        <w:autoSpaceDE/>
        <w:autoSpaceDN/>
        <w:bidi w:val="0"/>
        <w:adjustRightInd/>
        <w:snapToGrid w:val="0"/>
        <w:spacing w:after="0" w:line="420" w:lineRule="exact"/>
        <w:ind w:left="485"/>
        <w:rPr>
          <w:rFonts w:hint="eastAsia" w:ascii="宋体" w:hAnsi="宋体" w:cs="宋体"/>
          <w:sz w:val="24"/>
          <w:highlight w:val="none"/>
        </w:rPr>
      </w:pPr>
      <w:r>
        <w:rPr>
          <w:rFonts w:ascii="宋体" w:hAnsi="宋体" w:cs="宋体"/>
          <w:spacing w:val="-1"/>
          <w:sz w:val="24"/>
          <w:highlight w:val="none"/>
        </w:rPr>
        <w:t>5.未经甲方事先书面同意，乙方不得部分或</w:t>
      </w:r>
      <w:r>
        <w:rPr>
          <w:rFonts w:ascii="宋体" w:hAnsi="宋体" w:cs="宋体"/>
          <w:spacing w:val="-2"/>
          <w:sz w:val="24"/>
          <w:highlight w:val="none"/>
        </w:rPr>
        <w:t>全部转让其应履行的合同义务。</w:t>
      </w:r>
    </w:p>
    <w:p>
      <w:pPr>
        <w:keepNext w:val="0"/>
        <w:keepLines w:val="0"/>
        <w:pageBreakBefore w:val="0"/>
        <w:kinsoku/>
        <w:wordWrap/>
        <w:overflowPunct/>
        <w:topLinePunct w:val="0"/>
        <w:autoSpaceDE/>
        <w:autoSpaceDN/>
        <w:bidi w:val="0"/>
        <w:adjustRightInd/>
        <w:snapToGrid w:val="0"/>
        <w:spacing w:after="0" w:line="420" w:lineRule="exact"/>
        <w:ind w:left="19" w:right="204" w:firstLine="463"/>
        <w:rPr>
          <w:rFonts w:hint="eastAsia" w:ascii="宋体" w:hAnsi="宋体" w:cs="宋体"/>
          <w:sz w:val="24"/>
          <w:highlight w:val="none"/>
        </w:rPr>
      </w:pPr>
      <w:r>
        <w:rPr>
          <w:rFonts w:ascii="宋体" w:hAnsi="宋体" w:cs="宋体"/>
          <w:spacing w:val="-2"/>
          <w:sz w:val="24"/>
          <w:highlight w:val="none"/>
        </w:rPr>
        <w:t>6.乙方在本合同履行过程中，因违反法律法规的规定造成政府有关部门罚款的，由</w:t>
      </w:r>
      <w:r>
        <w:rPr>
          <w:rFonts w:ascii="宋体" w:hAnsi="宋体" w:cs="宋体"/>
          <w:spacing w:val="-5"/>
          <w:sz w:val="24"/>
          <w:highlight w:val="none"/>
        </w:rPr>
        <w:t>乙方自行承担，与甲方无关。</w:t>
      </w:r>
    </w:p>
    <w:p>
      <w:pPr>
        <w:keepNext w:val="0"/>
        <w:keepLines w:val="0"/>
        <w:pageBreakBefore w:val="0"/>
        <w:kinsoku/>
        <w:wordWrap/>
        <w:overflowPunct/>
        <w:topLinePunct w:val="0"/>
        <w:autoSpaceDE/>
        <w:autoSpaceDN/>
        <w:bidi w:val="0"/>
        <w:adjustRightInd/>
        <w:snapToGrid w:val="0"/>
        <w:spacing w:after="0" w:line="420" w:lineRule="exact"/>
        <w:ind w:right="204" w:firstLine="486"/>
        <w:rPr>
          <w:rFonts w:hint="eastAsia" w:ascii="宋体" w:hAnsi="宋体" w:cs="宋体"/>
          <w:sz w:val="24"/>
          <w:highlight w:val="none"/>
        </w:rPr>
      </w:pPr>
      <w:r>
        <w:rPr>
          <w:rFonts w:ascii="宋体" w:hAnsi="宋体" w:cs="宋体"/>
          <w:spacing w:val="-7"/>
          <w:sz w:val="24"/>
          <w:highlight w:val="none"/>
        </w:rPr>
        <w:t>7.在本协议履行过程中，因任何乙方原因给第三方造成人身、财产等损失的，乙方</w:t>
      </w:r>
      <w:r>
        <w:rPr>
          <w:rFonts w:ascii="宋体" w:hAnsi="宋体" w:cs="宋体"/>
          <w:spacing w:val="-6"/>
          <w:sz w:val="24"/>
          <w:highlight w:val="none"/>
        </w:rPr>
        <w:t>应当自行承担全部赔偿责任，与甲方无关。给甲方造成损</w:t>
      </w:r>
      <w:r>
        <w:rPr>
          <w:rFonts w:ascii="宋体" w:hAnsi="宋体" w:cs="宋体"/>
          <w:spacing w:val="-7"/>
          <w:sz w:val="24"/>
          <w:highlight w:val="none"/>
        </w:rPr>
        <w:t>失的，乙方应根据甲方损失程</w:t>
      </w:r>
      <w:r>
        <w:rPr>
          <w:rFonts w:ascii="宋体" w:hAnsi="宋体" w:cs="宋体"/>
          <w:spacing w:val="-2"/>
          <w:sz w:val="24"/>
          <w:highlight w:val="none"/>
        </w:rPr>
        <w:t>度向甲方支付赔偿金，赔偿金数额以甲方实际损失为准。</w:t>
      </w:r>
    </w:p>
    <w:p>
      <w:pPr>
        <w:keepNext w:val="0"/>
        <w:keepLines w:val="0"/>
        <w:pageBreakBefore w:val="0"/>
        <w:kinsoku/>
        <w:wordWrap/>
        <w:overflowPunct/>
        <w:topLinePunct w:val="0"/>
        <w:autoSpaceDE/>
        <w:autoSpaceDN/>
        <w:bidi w:val="0"/>
        <w:adjustRightInd/>
        <w:snapToGrid w:val="0"/>
        <w:spacing w:after="0" w:line="420" w:lineRule="exact"/>
        <w:ind w:left="480"/>
        <w:rPr>
          <w:rFonts w:hint="eastAsia" w:ascii="宋体" w:hAnsi="宋体" w:cs="宋体"/>
          <w:sz w:val="24"/>
          <w:highlight w:val="none"/>
        </w:rPr>
      </w:pPr>
      <w:r>
        <w:rPr>
          <w:rFonts w:ascii="宋体" w:hAnsi="宋体" w:cs="宋体"/>
          <w:b/>
          <w:bCs/>
          <w:spacing w:val="-4"/>
          <w:sz w:val="24"/>
          <w:highlight w:val="none"/>
        </w:rPr>
        <w:t>六、违约责任</w:t>
      </w:r>
    </w:p>
    <w:p>
      <w:pPr>
        <w:keepNext w:val="0"/>
        <w:keepLines w:val="0"/>
        <w:pageBreakBefore w:val="0"/>
        <w:kinsoku/>
        <w:wordWrap/>
        <w:overflowPunct/>
        <w:topLinePunct w:val="0"/>
        <w:autoSpaceDE/>
        <w:autoSpaceDN/>
        <w:bidi w:val="0"/>
        <w:adjustRightInd/>
        <w:snapToGrid w:val="0"/>
        <w:spacing w:after="0" w:line="420" w:lineRule="exact"/>
        <w:ind w:left="32" w:right="204" w:firstLine="465"/>
        <w:rPr>
          <w:rFonts w:hint="eastAsia" w:ascii="宋体" w:hAnsi="宋体" w:cs="宋体"/>
          <w:sz w:val="24"/>
          <w:highlight w:val="none"/>
        </w:rPr>
      </w:pPr>
      <w:r>
        <w:rPr>
          <w:rFonts w:ascii="宋体" w:hAnsi="宋体" w:cs="宋体"/>
          <w:spacing w:val="-7"/>
          <w:sz w:val="24"/>
          <w:highlight w:val="none"/>
        </w:rPr>
        <w:t>1.未经甲方书面同意，乙方不得将本项目转委托或转包、分包给任意第三方，否则</w:t>
      </w:r>
      <w:r>
        <w:rPr>
          <w:rFonts w:ascii="宋体" w:hAnsi="宋体" w:cs="宋体"/>
          <w:spacing w:val="-2"/>
          <w:sz w:val="24"/>
          <w:highlight w:val="none"/>
        </w:rPr>
        <w:t>甲方有权单方解除本合同。乙方应</w:t>
      </w:r>
      <w:r>
        <w:rPr>
          <w:rFonts w:hint="eastAsia" w:ascii="宋体" w:hAnsi="宋体" w:cs="宋体"/>
          <w:spacing w:val="-2"/>
          <w:sz w:val="24"/>
          <w:highlight w:val="none"/>
        </w:rPr>
        <w:t>退回收取的全部费用，</w:t>
      </w:r>
      <w:r>
        <w:rPr>
          <w:rFonts w:ascii="宋体" w:hAnsi="宋体" w:cs="宋体"/>
          <w:spacing w:val="-2"/>
          <w:sz w:val="24"/>
          <w:highlight w:val="none"/>
        </w:rPr>
        <w:t>按照合同总金额的</w:t>
      </w:r>
      <w:r>
        <w:rPr>
          <w:rFonts w:ascii="宋体" w:hAnsi="宋体" w:cs="宋体"/>
          <w:spacing w:val="-48"/>
          <w:sz w:val="24"/>
          <w:highlight w:val="none"/>
        </w:rPr>
        <w:t xml:space="preserve"> </w:t>
      </w:r>
      <w:r>
        <w:rPr>
          <w:rFonts w:ascii="宋体" w:hAnsi="宋体" w:cs="宋体"/>
          <w:spacing w:val="-2"/>
          <w:sz w:val="24"/>
          <w:highlight w:val="none"/>
          <w:u w:val="single"/>
        </w:rPr>
        <w:t>2</w:t>
      </w:r>
      <w:r>
        <w:rPr>
          <w:rFonts w:ascii="宋体" w:hAnsi="宋体" w:cs="宋体"/>
          <w:spacing w:val="-3"/>
          <w:sz w:val="24"/>
          <w:highlight w:val="none"/>
          <w:u w:val="single"/>
        </w:rPr>
        <w:t>0%</w:t>
      </w:r>
      <w:r>
        <w:rPr>
          <w:rFonts w:ascii="宋体" w:hAnsi="宋体" w:cs="宋体"/>
          <w:spacing w:val="-3"/>
          <w:sz w:val="24"/>
          <w:highlight w:val="none"/>
        </w:rPr>
        <w:t>向甲方支付违约金</w:t>
      </w:r>
      <w:r>
        <w:rPr>
          <w:rFonts w:hint="eastAsia" w:ascii="宋体" w:hAnsi="宋体" w:cs="宋体"/>
          <w:spacing w:val="-3"/>
          <w:sz w:val="24"/>
          <w:highlight w:val="none"/>
        </w:rPr>
        <w:t>，给甲方造成损失的，乙方应当赔偿</w:t>
      </w:r>
      <w:r>
        <w:rPr>
          <w:rFonts w:ascii="宋体" w:hAnsi="宋体" w:cs="宋体"/>
          <w:spacing w:val="-3"/>
          <w:sz w:val="24"/>
          <w:highlight w:val="none"/>
        </w:rPr>
        <w:t>。</w:t>
      </w:r>
    </w:p>
    <w:p>
      <w:pPr>
        <w:keepNext w:val="0"/>
        <w:keepLines w:val="0"/>
        <w:pageBreakBefore w:val="0"/>
        <w:kinsoku/>
        <w:wordWrap/>
        <w:overflowPunct/>
        <w:topLinePunct w:val="0"/>
        <w:autoSpaceDE/>
        <w:autoSpaceDN/>
        <w:bidi w:val="0"/>
        <w:adjustRightInd/>
        <w:snapToGrid w:val="0"/>
        <w:spacing w:after="0" w:line="420" w:lineRule="exact"/>
        <w:ind w:left="2" w:right="204" w:firstLine="480"/>
        <w:rPr>
          <w:rFonts w:hint="eastAsia" w:ascii="宋体" w:hAnsi="宋体" w:cs="宋体"/>
          <w:sz w:val="24"/>
          <w:highlight w:val="none"/>
        </w:rPr>
      </w:pPr>
      <w:r>
        <w:rPr>
          <w:rFonts w:ascii="宋体" w:hAnsi="宋体" w:cs="宋体"/>
          <w:spacing w:val="-2"/>
          <w:sz w:val="24"/>
          <w:highlight w:val="none"/>
        </w:rPr>
        <w:t>2.乙方工作不满足本合同约定的，甲方提出整改后，乙方依然不合格的，甲方有权</w:t>
      </w:r>
      <w:r>
        <w:rPr>
          <w:rFonts w:ascii="宋体" w:hAnsi="宋体" w:cs="宋体"/>
          <w:spacing w:val="-1"/>
          <w:sz w:val="24"/>
          <w:highlight w:val="none"/>
        </w:rPr>
        <w:t>单方面解除本合同，乙方应</w:t>
      </w:r>
      <w:r>
        <w:rPr>
          <w:rFonts w:hint="eastAsia" w:ascii="宋体" w:hAnsi="宋体" w:cs="宋体"/>
          <w:spacing w:val="-1"/>
          <w:sz w:val="24"/>
          <w:highlight w:val="none"/>
        </w:rPr>
        <w:t>退回收取的全部费用，</w:t>
      </w:r>
      <w:r>
        <w:rPr>
          <w:rFonts w:ascii="宋体" w:hAnsi="宋体" w:cs="宋体"/>
          <w:spacing w:val="-1"/>
          <w:sz w:val="24"/>
          <w:highlight w:val="none"/>
        </w:rPr>
        <w:t>按照合同总金额的</w:t>
      </w:r>
      <w:r>
        <w:rPr>
          <w:rFonts w:ascii="宋体" w:hAnsi="宋体" w:cs="宋体"/>
          <w:spacing w:val="-49"/>
          <w:sz w:val="24"/>
          <w:highlight w:val="none"/>
        </w:rPr>
        <w:t xml:space="preserve"> </w:t>
      </w:r>
      <w:r>
        <w:rPr>
          <w:rFonts w:ascii="宋体" w:hAnsi="宋体" w:cs="宋体"/>
          <w:spacing w:val="-93"/>
          <w:sz w:val="24"/>
          <w:highlight w:val="none"/>
          <w:u w:val="single"/>
        </w:rPr>
        <w:t xml:space="preserve"> </w:t>
      </w:r>
      <w:r>
        <w:rPr>
          <w:rFonts w:hint="eastAsia" w:ascii="宋体" w:hAnsi="宋体" w:cs="宋体"/>
          <w:spacing w:val="-1"/>
          <w:sz w:val="24"/>
          <w:highlight w:val="none"/>
          <w:u w:val="single"/>
        </w:rPr>
        <w:t>2</w:t>
      </w:r>
      <w:r>
        <w:rPr>
          <w:rFonts w:ascii="宋体" w:hAnsi="宋体" w:cs="宋体"/>
          <w:spacing w:val="-1"/>
          <w:sz w:val="24"/>
          <w:highlight w:val="none"/>
          <w:u w:val="single"/>
        </w:rPr>
        <w:t>0%</w:t>
      </w:r>
      <w:r>
        <w:rPr>
          <w:rFonts w:ascii="宋体" w:hAnsi="宋体" w:cs="宋体"/>
          <w:spacing w:val="-1"/>
          <w:sz w:val="24"/>
          <w:highlight w:val="none"/>
        </w:rPr>
        <w:t>向甲方支付违约金，同时还应当赔偿</w:t>
      </w:r>
      <w:r>
        <w:rPr>
          <w:rFonts w:ascii="宋体" w:hAnsi="宋体" w:cs="宋体"/>
          <w:spacing w:val="-4"/>
          <w:sz w:val="24"/>
          <w:highlight w:val="none"/>
        </w:rPr>
        <w:t>甲方因此遭受的全部损失。</w:t>
      </w:r>
    </w:p>
    <w:p>
      <w:pPr>
        <w:keepNext w:val="0"/>
        <w:keepLines w:val="0"/>
        <w:pageBreakBefore w:val="0"/>
        <w:kinsoku/>
        <w:wordWrap/>
        <w:overflowPunct/>
        <w:topLinePunct w:val="0"/>
        <w:autoSpaceDE/>
        <w:autoSpaceDN/>
        <w:bidi w:val="0"/>
        <w:adjustRightInd/>
        <w:snapToGrid w:val="0"/>
        <w:spacing w:after="0" w:line="420" w:lineRule="exact"/>
        <w:ind w:left="2" w:right="205" w:firstLine="482"/>
        <w:rPr>
          <w:rFonts w:hint="eastAsia" w:ascii="宋体" w:hAnsi="宋体" w:cs="宋体"/>
          <w:sz w:val="24"/>
          <w:highlight w:val="none"/>
        </w:rPr>
      </w:pPr>
      <w:r>
        <w:rPr>
          <w:rFonts w:ascii="宋体" w:hAnsi="宋体" w:cs="宋体"/>
          <w:spacing w:val="-2"/>
          <w:sz w:val="24"/>
          <w:highlight w:val="none"/>
        </w:rPr>
        <w:t>3.因乙方提供的工作及相应的</w:t>
      </w:r>
      <w:r>
        <w:rPr>
          <w:rFonts w:hint="eastAsia" w:ascii="宋体" w:hAnsi="宋体" w:cs="宋体"/>
          <w:spacing w:val="-2"/>
          <w:sz w:val="24"/>
          <w:highlight w:val="none"/>
        </w:rPr>
        <w:t>成果文件</w:t>
      </w:r>
      <w:r>
        <w:rPr>
          <w:rFonts w:ascii="宋体" w:hAnsi="宋体" w:cs="宋体"/>
          <w:spacing w:val="-2"/>
          <w:sz w:val="24"/>
          <w:highlight w:val="none"/>
        </w:rPr>
        <w:t>侵犯第三方合法权益（</w:t>
      </w:r>
      <w:r>
        <w:rPr>
          <w:rFonts w:ascii="宋体" w:hAnsi="宋体" w:cs="宋体"/>
          <w:spacing w:val="-3"/>
          <w:sz w:val="24"/>
          <w:highlight w:val="none"/>
        </w:rPr>
        <w:t>包括但不限于知</w:t>
      </w:r>
      <w:r>
        <w:rPr>
          <w:rFonts w:ascii="宋体" w:hAnsi="宋体" w:cs="宋体"/>
          <w:spacing w:val="-2"/>
          <w:sz w:val="24"/>
          <w:highlight w:val="none"/>
        </w:rPr>
        <w:t>识产权在内的一切权益</w:t>
      </w:r>
      <w:r>
        <w:rPr>
          <w:rFonts w:ascii="宋体" w:hAnsi="宋体" w:cs="宋体"/>
          <w:spacing w:val="22"/>
          <w:sz w:val="24"/>
          <w:highlight w:val="none"/>
        </w:rPr>
        <w:t>），</w:t>
      </w:r>
      <w:r>
        <w:rPr>
          <w:rFonts w:ascii="宋体" w:hAnsi="宋体" w:cs="宋体"/>
          <w:spacing w:val="-2"/>
          <w:sz w:val="24"/>
          <w:highlight w:val="none"/>
        </w:rPr>
        <w:t>甲方有权单方面解除本合同，乙方应</w:t>
      </w:r>
      <w:r>
        <w:rPr>
          <w:rFonts w:hint="eastAsia" w:ascii="宋体" w:hAnsi="宋体" w:cs="宋体"/>
          <w:spacing w:val="-2"/>
          <w:sz w:val="24"/>
          <w:highlight w:val="none"/>
        </w:rPr>
        <w:t>退回收取的全部费用，</w:t>
      </w:r>
      <w:r>
        <w:rPr>
          <w:rFonts w:ascii="宋体" w:hAnsi="宋体" w:cs="宋体"/>
          <w:spacing w:val="-2"/>
          <w:sz w:val="24"/>
          <w:highlight w:val="none"/>
        </w:rPr>
        <w:t>按合同总金额的</w:t>
      </w:r>
      <w:r>
        <w:rPr>
          <w:rFonts w:ascii="宋体" w:hAnsi="宋体" w:cs="宋体"/>
          <w:spacing w:val="-58"/>
          <w:sz w:val="24"/>
          <w:highlight w:val="none"/>
        </w:rPr>
        <w:t xml:space="preserve"> </w:t>
      </w:r>
      <w:r>
        <w:rPr>
          <w:rFonts w:ascii="宋体" w:hAnsi="宋体" w:cs="宋体"/>
          <w:spacing w:val="-93"/>
          <w:sz w:val="24"/>
          <w:highlight w:val="none"/>
          <w:u w:val="single"/>
        </w:rPr>
        <w:t xml:space="preserve"> </w:t>
      </w:r>
      <w:r>
        <w:rPr>
          <w:rFonts w:hint="eastAsia" w:ascii="宋体" w:hAnsi="宋体" w:cs="宋体"/>
          <w:spacing w:val="-2"/>
          <w:sz w:val="24"/>
          <w:highlight w:val="none"/>
          <w:u w:val="single"/>
        </w:rPr>
        <w:t>2</w:t>
      </w:r>
      <w:r>
        <w:rPr>
          <w:rFonts w:ascii="宋体" w:hAnsi="宋体" w:cs="宋体"/>
          <w:spacing w:val="-2"/>
          <w:sz w:val="24"/>
          <w:highlight w:val="none"/>
          <w:u w:val="single"/>
        </w:rPr>
        <w:t>0%</w:t>
      </w:r>
      <w:r>
        <w:rPr>
          <w:rFonts w:ascii="宋体" w:hAnsi="宋体" w:cs="宋体"/>
          <w:spacing w:val="-2"/>
          <w:sz w:val="24"/>
          <w:highlight w:val="none"/>
        </w:rPr>
        <w:t>向甲方支付违约金，并由乙方承担全部赔偿责</w:t>
      </w:r>
      <w:r>
        <w:rPr>
          <w:rFonts w:ascii="宋体" w:hAnsi="宋体" w:cs="宋体"/>
          <w:spacing w:val="-3"/>
          <w:sz w:val="24"/>
          <w:highlight w:val="none"/>
        </w:rPr>
        <w:t>任。</w:t>
      </w:r>
    </w:p>
    <w:p>
      <w:pPr>
        <w:keepNext w:val="0"/>
        <w:keepLines w:val="0"/>
        <w:pageBreakBefore w:val="0"/>
        <w:kinsoku/>
        <w:wordWrap/>
        <w:overflowPunct/>
        <w:topLinePunct w:val="0"/>
        <w:autoSpaceDE/>
        <w:autoSpaceDN/>
        <w:bidi w:val="0"/>
        <w:adjustRightInd/>
        <w:snapToGrid w:val="0"/>
        <w:spacing w:after="0" w:line="420" w:lineRule="exact"/>
        <w:ind w:left="2" w:right="204" w:firstLine="477"/>
        <w:rPr>
          <w:rFonts w:hint="eastAsia" w:ascii="宋体" w:hAnsi="宋体" w:cs="宋体"/>
          <w:sz w:val="24"/>
          <w:highlight w:val="none"/>
        </w:rPr>
      </w:pPr>
      <w:r>
        <w:rPr>
          <w:rFonts w:ascii="宋体" w:hAnsi="宋体" w:cs="宋体"/>
          <w:spacing w:val="-2"/>
          <w:sz w:val="24"/>
          <w:highlight w:val="none"/>
        </w:rPr>
        <w:t>4.在本合同履行过程中，由于乙方原因造成本次工作中甲乙双方或者任意第三方人</w:t>
      </w:r>
      <w:r>
        <w:rPr>
          <w:rFonts w:ascii="宋体" w:hAnsi="宋体" w:cs="宋体"/>
          <w:spacing w:val="-11"/>
          <w:sz w:val="24"/>
          <w:highlight w:val="none"/>
        </w:rPr>
        <w:t>身、财产损害，应由乙方承担全部责任。如需由甲方先行赔付的，则甲方在垫付后有权</w:t>
      </w:r>
      <w:r>
        <w:rPr>
          <w:rFonts w:ascii="宋体" w:hAnsi="宋体" w:cs="宋体"/>
          <w:spacing w:val="-2"/>
          <w:sz w:val="24"/>
          <w:highlight w:val="none"/>
        </w:rPr>
        <w:t>就全部赔偿金额向乙方进行双倍追偿，同时甲方有权单方面解除本合同。乙方应当赔偿</w:t>
      </w:r>
      <w:r>
        <w:rPr>
          <w:rFonts w:ascii="宋体" w:hAnsi="宋体" w:cs="宋体"/>
          <w:spacing w:val="-4"/>
          <w:sz w:val="24"/>
          <w:highlight w:val="none"/>
        </w:rPr>
        <w:t>甲方因此遭受的全部损失。</w:t>
      </w:r>
    </w:p>
    <w:p>
      <w:pPr>
        <w:keepNext w:val="0"/>
        <w:keepLines w:val="0"/>
        <w:pageBreakBefore w:val="0"/>
        <w:kinsoku/>
        <w:wordWrap/>
        <w:overflowPunct/>
        <w:topLinePunct w:val="0"/>
        <w:autoSpaceDE/>
        <w:autoSpaceDN/>
        <w:bidi w:val="0"/>
        <w:adjustRightInd/>
        <w:snapToGrid w:val="0"/>
        <w:spacing w:after="0" w:line="420" w:lineRule="exact"/>
        <w:ind w:right="204" w:firstLine="484"/>
        <w:rPr>
          <w:rFonts w:hint="eastAsia" w:ascii="宋体" w:hAnsi="宋体" w:cs="宋体"/>
          <w:sz w:val="24"/>
          <w:highlight w:val="none"/>
        </w:rPr>
      </w:pPr>
      <w:r>
        <w:rPr>
          <w:rFonts w:ascii="宋体" w:hAnsi="宋体" w:cs="宋体"/>
          <w:spacing w:val="-2"/>
          <w:sz w:val="24"/>
          <w:highlight w:val="none"/>
        </w:rPr>
        <w:t>5.合同生效后，乙方不得擅自单独终止或解除合同，否则乙方应双倍返还甲方已支付的合同款，同时还应当赔偿甲方因此遭受的其他损失。</w:t>
      </w:r>
    </w:p>
    <w:p>
      <w:pPr>
        <w:pStyle w:val="2"/>
        <w:keepNext w:val="0"/>
        <w:keepLines w:val="0"/>
        <w:pageBreakBefore w:val="0"/>
        <w:kinsoku/>
        <w:wordWrap/>
        <w:overflowPunct/>
        <w:topLinePunct w:val="0"/>
        <w:autoSpaceDE/>
        <w:autoSpaceDN/>
        <w:bidi w:val="0"/>
        <w:adjustRightInd/>
        <w:snapToGrid w:val="0"/>
        <w:spacing w:before="0" w:after="0" w:line="420" w:lineRule="exact"/>
        <w:ind w:firstLine="476" w:firstLineChars="200"/>
        <w:rPr>
          <w:rFonts w:hint="eastAsia"/>
          <w:highlight w:val="none"/>
        </w:rPr>
      </w:pPr>
      <w:r>
        <w:rPr>
          <w:rFonts w:cs="宋体"/>
          <w:spacing w:val="-1"/>
          <w:highlight w:val="none"/>
        </w:rPr>
        <w:t>6.本合同约定的赔偿金、补偿金、违约金可从甲</w:t>
      </w:r>
      <w:r>
        <w:rPr>
          <w:rFonts w:cs="宋体"/>
          <w:spacing w:val="-2"/>
          <w:highlight w:val="none"/>
        </w:rPr>
        <w:t>方应付合同款中直接扣除。</w:t>
      </w:r>
    </w:p>
    <w:p>
      <w:pPr>
        <w:keepNext w:val="0"/>
        <w:keepLines w:val="0"/>
        <w:pageBreakBefore w:val="0"/>
        <w:kinsoku/>
        <w:wordWrap/>
        <w:overflowPunct/>
        <w:topLinePunct w:val="0"/>
        <w:autoSpaceDE/>
        <w:autoSpaceDN/>
        <w:bidi w:val="0"/>
        <w:adjustRightInd/>
        <w:snapToGrid w:val="0"/>
        <w:spacing w:after="0" w:line="420" w:lineRule="exact"/>
        <w:ind w:right="204" w:firstLine="484"/>
        <w:rPr>
          <w:rFonts w:ascii="宋体" w:hAnsi="宋体" w:cs="宋体"/>
          <w:spacing w:val="-2"/>
          <w:sz w:val="24"/>
          <w:highlight w:val="none"/>
        </w:rPr>
      </w:pPr>
      <w:r>
        <w:rPr>
          <w:rFonts w:ascii="宋体" w:hAnsi="宋体" w:cs="宋体"/>
          <w:spacing w:val="-1"/>
          <w:sz w:val="24"/>
          <w:highlight w:val="none"/>
        </w:rPr>
        <w:t>7.甲</w:t>
      </w:r>
      <w:r>
        <w:rPr>
          <w:rFonts w:ascii="宋体" w:hAnsi="宋体" w:cs="宋体"/>
          <w:spacing w:val="-2"/>
          <w:sz w:val="24"/>
          <w:highlight w:val="none"/>
        </w:rPr>
        <w:t>方未能履行合同的有关要求而造成乙方损失的应改正，赔偿损失。因不可抗力因素造成一方或双方违约的，由双方协商解决。</w:t>
      </w:r>
    </w:p>
    <w:p>
      <w:pPr>
        <w:keepNext w:val="0"/>
        <w:keepLines w:val="0"/>
        <w:pageBreakBefore w:val="0"/>
        <w:kinsoku/>
        <w:wordWrap/>
        <w:overflowPunct/>
        <w:topLinePunct w:val="0"/>
        <w:autoSpaceDE/>
        <w:autoSpaceDN/>
        <w:bidi w:val="0"/>
        <w:adjustRightInd/>
        <w:snapToGrid w:val="0"/>
        <w:spacing w:after="0" w:line="420" w:lineRule="exact"/>
        <w:ind w:right="204" w:firstLine="484"/>
        <w:rPr>
          <w:rFonts w:hint="eastAsia" w:ascii="宋体" w:hAnsi="宋体" w:cs="宋体"/>
          <w:spacing w:val="-2"/>
          <w:sz w:val="24"/>
          <w:highlight w:val="none"/>
        </w:rPr>
      </w:pPr>
      <w:r>
        <w:rPr>
          <w:rFonts w:hint="eastAsia" w:ascii="宋体" w:hAnsi="宋体" w:cs="宋体"/>
          <w:spacing w:val="-2"/>
          <w:sz w:val="24"/>
          <w:highlight w:val="none"/>
        </w:rPr>
        <w:t>8.守约方亦有权向违约方追偿因维权支出的费用，包括但不限于律师费、鉴定费、差旅费、公证费等。</w:t>
      </w:r>
    </w:p>
    <w:p>
      <w:pPr>
        <w:keepNext w:val="0"/>
        <w:keepLines w:val="0"/>
        <w:pageBreakBefore w:val="0"/>
        <w:kinsoku/>
        <w:wordWrap/>
        <w:overflowPunct/>
        <w:topLinePunct w:val="0"/>
        <w:autoSpaceDE/>
        <w:autoSpaceDN/>
        <w:bidi w:val="0"/>
        <w:adjustRightInd/>
        <w:snapToGrid w:val="0"/>
        <w:spacing w:after="0" w:line="420" w:lineRule="exact"/>
        <w:ind w:left="480"/>
        <w:rPr>
          <w:rFonts w:hint="eastAsia" w:ascii="宋体" w:hAnsi="宋体" w:cs="宋体"/>
          <w:sz w:val="24"/>
          <w:highlight w:val="none"/>
        </w:rPr>
      </w:pPr>
      <w:r>
        <w:rPr>
          <w:rFonts w:ascii="宋体" w:hAnsi="宋体" w:cs="宋体"/>
          <w:b/>
          <w:bCs/>
          <w:spacing w:val="-4"/>
          <w:sz w:val="24"/>
          <w:highlight w:val="none"/>
        </w:rPr>
        <w:t>七、争议处理</w:t>
      </w:r>
    </w:p>
    <w:p>
      <w:pPr>
        <w:keepNext w:val="0"/>
        <w:keepLines w:val="0"/>
        <w:pageBreakBefore w:val="0"/>
        <w:kinsoku/>
        <w:wordWrap/>
        <w:overflowPunct/>
        <w:topLinePunct w:val="0"/>
        <w:autoSpaceDE/>
        <w:autoSpaceDN/>
        <w:bidi w:val="0"/>
        <w:adjustRightInd/>
        <w:snapToGrid w:val="0"/>
        <w:spacing w:after="0" w:line="420" w:lineRule="exact"/>
        <w:ind w:right="86" w:firstLine="480"/>
        <w:rPr>
          <w:rFonts w:hint="eastAsia" w:ascii="宋体" w:hAnsi="宋体" w:cs="宋体"/>
          <w:sz w:val="24"/>
          <w:highlight w:val="none"/>
        </w:rPr>
      </w:pPr>
      <w:r>
        <w:rPr>
          <w:rFonts w:ascii="宋体" w:hAnsi="宋体" w:cs="宋体"/>
          <w:spacing w:val="-2"/>
          <w:sz w:val="24"/>
          <w:highlight w:val="none"/>
        </w:rPr>
        <w:t>在本合同实施过程中，若甲乙双方发生争议，应抱着互谅互让，友好协商的态度进行协商解决；协商不成时，应向甲方所在地人民法院提起诉讼。</w:t>
      </w:r>
    </w:p>
    <w:p>
      <w:pPr>
        <w:keepNext w:val="0"/>
        <w:keepLines w:val="0"/>
        <w:pageBreakBefore w:val="0"/>
        <w:kinsoku/>
        <w:wordWrap/>
        <w:overflowPunct/>
        <w:topLinePunct w:val="0"/>
        <w:autoSpaceDE/>
        <w:autoSpaceDN/>
        <w:bidi w:val="0"/>
        <w:adjustRightInd/>
        <w:snapToGrid w:val="0"/>
        <w:spacing w:after="0" w:line="420" w:lineRule="exact"/>
        <w:ind w:left="483"/>
        <w:rPr>
          <w:rFonts w:hint="eastAsia" w:ascii="宋体" w:hAnsi="宋体" w:cs="宋体"/>
          <w:sz w:val="24"/>
          <w:highlight w:val="none"/>
        </w:rPr>
      </w:pPr>
      <w:r>
        <w:rPr>
          <w:rFonts w:ascii="宋体" w:hAnsi="宋体" w:cs="宋体"/>
          <w:b/>
          <w:bCs/>
          <w:spacing w:val="-4"/>
          <w:sz w:val="24"/>
          <w:highlight w:val="none"/>
        </w:rPr>
        <w:t>八、合同的变更</w:t>
      </w:r>
    </w:p>
    <w:p>
      <w:pPr>
        <w:keepNext w:val="0"/>
        <w:keepLines w:val="0"/>
        <w:pageBreakBefore w:val="0"/>
        <w:kinsoku/>
        <w:wordWrap/>
        <w:overflowPunct/>
        <w:topLinePunct w:val="0"/>
        <w:autoSpaceDE/>
        <w:autoSpaceDN/>
        <w:bidi w:val="0"/>
        <w:adjustRightInd/>
        <w:snapToGrid w:val="0"/>
        <w:spacing w:after="0" w:line="420" w:lineRule="exact"/>
        <w:ind w:left="497"/>
        <w:rPr>
          <w:rFonts w:hint="eastAsia" w:ascii="宋体" w:hAnsi="宋体" w:cs="宋体"/>
          <w:sz w:val="24"/>
          <w:highlight w:val="none"/>
        </w:rPr>
      </w:pPr>
      <w:r>
        <w:rPr>
          <w:rFonts w:ascii="宋体" w:hAnsi="宋体" w:cs="宋体"/>
          <w:spacing w:val="-2"/>
          <w:sz w:val="24"/>
          <w:highlight w:val="none"/>
        </w:rPr>
        <w:t>1.本合同的变更应在甲乙双方协商一致的基础上签订补充协</w:t>
      </w:r>
      <w:r>
        <w:rPr>
          <w:rFonts w:ascii="宋体" w:hAnsi="宋体" w:cs="宋体"/>
          <w:spacing w:val="-3"/>
          <w:sz w:val="24"/>
          <w:highlight w:val="none"/>
        </w:rPr>
        <w:t>议。</w:t>
      </w:r>
    </w:p>
    <w:p>
      <w:pPr>
        <w:keepNext w:val="0"/>
        <w:keepLines w:val="0"/>
        <w:pageBreakBefore w:val="0"/>
        <w:kinsoku/>
        <w:wordWrap/>
        <w:overflowPunct/>
        <w:topLinePunct w:val="0"/>
        <w:autoSpaceDE/>
        <w:autoSpaceDN/>
        <w:bidi w:val="0"/>
        <w:adjustRightInd/>
        <w:snapToGrid w:val="0"/>
        <w:spacing w:after="0" w:line="420" w:lineRule="exact"/>
        <w:ind w:right="86" w:firstLine="482"/>
        <w:rPr>
          <w:rFonts w:hint="eastAsia" w:ascii="宋体" w:hAnsi="宋体" w:cs="宋体"/>
          <w:sz w:val="24"/>
          <w:highlight w:val="none"/>
        </w:rPr>
      </w:pPr>
      <w:r>
        <w:rPr>
          <w:rFonts w:ascii="宋体" w:hAnsi="宋体" w:cs="宋体"/>
          <w:spacing w:val="-2"/>
          <w:sz w:val="24"/>
          <w:highlight w:val="none"/>
        </w:rPr>
        <w:t>2.在本合同有效期内，如甲方认为乙方提供的服务达不到本合同目的及招标时的承诺，甲方有权单方提前终止合同，且无需向乙方承担任何责任。</w:t>
      </w:r>
    </w:p>
    <w:p>
      <w:pPr>
        <w:keepNext w:val="0"/>
        <w:keepLines w:val="0"/>
        <w:pageBreakBefore w:val="0"/>
        <w:kinsoku/>
        <w:wordWrap/>
        <w:overflowPunct/>
        <w:topLinePunct w:val="0"/>
        <w:autoSpaceDE/>
        <w:autoSpaceDN/>
        <w:bidi w:val="0"/>
        <w:adjustRightInd/>
        <w:snapToGrid w:val="0"/>
        <w:spacing w:after="0" w:line="420" w:lineRule="exact"/>
        <w:ind w:left="483"/>
        <w:rPr>
          <w:rFonts w:hint="eastAsia" w:ascii="宋体" w:hAnsi="宋体" w:cs="宋体"/>
          <w:sz w:val="24"/>
          <w:highlight w:val="none"/>
        </w:rPr>
      </w:pPr>
      <w:r>
        <w:rPr>
          <w:rFonts w:ascii="宋体" w:hAnsi="宋体" w:cs="宋体"/>
          <w:b/>
          <w:bCs/>
          <w:spacing w:val="-6"/>
          <w:sz w:val="24"/>
          <w:highlight w:val="none"/>
        </w:rPr>
        <w:t>九、其他</w:t>
      </w:r>
    </w:p>
    <w:p>
      <w:pPr>
        <w:keepNext w:val="0"/>
        <w:keepLines w:val="0"/>
        <w:pageBreakBefore w:val="0"/>
        <w:kinsoku/>
        <w:wordWrap/>
        <w:overflowPunct/>
        <w:topLinePunct w:val="0"/>
        <w:autoSpaceDE/>
        <w:autoSpaceDN/>
        <w:bidi w:val="0"/>
        <w:adjustRightInd/>
        <w:snapToGrid w:val="0"/>
        <w:spacing w:after="0" w:line="420" w:lineRule="exact"/>
        <w:ind w:left="497"/>
        <w:rPr>
          <w:rFonts w:hint="eastAsia" w:ascii="宋体" w:hAnsi="宋体" w:cs="宋体"/>
          <w:sz w:val="24"/>
          <w:highlight w:val="none"/>
        </w:rPr>
      </w:pPr>
      <w:r>
        <w:rPr>
          <w:rFonts w:ascii="宋体" w:hAnsi="宋体" w:cs="宋体"/>
          <w:spacing w:val="-3"/>
          <w:sz w:val="24"/>
          <w:highlight w:val="none"/>
        </w:rPr>
        <w:t>1.本合同未尽事宜，由双方共同协商解决。</w:t>
      </w:r>
    </w:p>
    <w:p>
      <w:pPr>
        <w:keepNext w:val="0"/>
        <w:keepLines w:val="0"/>
        <w:pageBreakBefore w:val="0"/>
        <w:kinsoku/>
        <w:wordWrap/>
        <w:overflowPunct/>
        <w:topLinePunct w:val="0"/>
        <w:autoSpaceDE/>
        <w:autoSpaceDN/>
        <w:bidi w:val="0"/>
        <w:adjustRightInd/>
        <w:snapToGrid w:val="0"/>
        <w:spacing w:after="0" w:line="420" w:lineRule="exact"/>
        <w:ind w:left="482"/>
        <w:rPr>
          <w:rFonts w:hint="eastAsia" w:ascii="宋体" w:hAnsi="宋体" w:cs="宋体"/>
          <w:sz w:val="24"/>
          <w:highlight w:val="none"/>
        </w:rPr>
      </w:pPr>
      <w:r>
        <w:rPr>
          <w:rFonts w:ascii="宋体" w:hAnsi="宋体" w:cs="宋体"/>
          <w:spacing w:val="-2"/>
          <w:sz w:val="24"/>
          <w:highlight w:val="none"/>
        </w:rPr>
        <w:t>2.由于不可抗因素影响本协议继续履行时，由双方协商解决。</w:t>
      </w:r>
    </w:p>
    <w:p>
      <w:pPr>
        <w:keepNext w:val="0"/>
        <w:keepLines w:val="0"/>
        <w:pageBreakBefore w:val="0"/>
        <w:kinsoku/>
        <w:wordWrap/>
        <w:overflowPunct/>
        <w:topLinePunct w:val="0"/>
        <w:autoSpaceDE/>
        <w:autoSpaceDN/>
        <w:bidi w:val="0"/>
        <w:adjustRightInd/>
        <w:snapToGrid w:val="0"/>
        <w:spacing w:after="0" w:line="420" w:lineRule="exact"/>
        <w:ind w:left="19" w:right="86" w:firstLine="465"/>
        <w:rPr>
          <w:rFonts w:hint="eastAsia" w:ascii="宋体" w:hAnsi="宋体" w:cs="宋体"/>
          <w:sz w:val="24"/>
          <w:highlight w:val="none"/>
        </w:rPr>
      </w:pPr>
      <w:r>
        <w:rPr>
          <w:rFonts w:ascii="宋体" w:hAnsi="宋体" w:cs="宋体"/>
          <w:spacing w:val="-5"/>
          <w:sz w:val="24"/>
          <w:highlight w:val="none"/>
        </w:rPr>
        <w:t>3.本合同附件以及本合同生效后甲、乙两方补充的任何协议， 视为本合同不可分割</w:t>
      </w:r>
      <w:r>
        <w:rPr>
          <w:rFonts w:ascii="宋体" w:hAnsi="宋体" w:cs="宋体"/>
          <w:spacing w:val="-9"/>
          <w:sz w:val="24"/>
          <w:highlight w:val="none"/>
        </w:rPr>
        <w:t>的组成部分。</w:t>
      </w:r>
    </w:p>
    <w:p>
      <w:pPr>
        <w:keepNext w:val="0"/>
        <w:keepLines w:val="0"/>
        <w:pageBreakBefore w:val="0"/>
        <w:kinsoku/>
        <w:wordWrap/>
        <w:overflowPunct/>
        <w:topLinePunct w:val="0"/>
        <w:autoSpaceDE/>
        <w:autoSpaceDN/>
        <w:bidi w:val="0"/>
        <w:adjustRightInd/>
        <w:snapToGrid w:val="0"/>
        <w:spacing w:after="0" w:line="420" w:lineRule="exact"/>
        <w:ind w:left="479"/>
        <w:rPr>
          <w:rFonts w:hint="eastAsia" w:ascii="宋体" w:hAnsi="宋体" w:cs="宋体"/>
          <w:sz w:val="24"/>
          <w:highlight w:val="none"/>
        </w:rPr>
      </w:pPr>
      <w:r>
        <w:rPr>
          <w:rFonts w:ascii="宋体" w:hAnsi="宋体" w:cs="宋体"/>
          <w:spacing w:val="-1"/>
          <w:sz w:val="24"/>
          <w:highlight w:val="none"/>
        </w:rPr>
        <w:t>4.本合同一式</w:t>
      </w:r>
      <w:r>
        <w:rPr>
          <w:rFonts w:ascii="宋体" w:hAnsi="宋体" w:cs="宋体"/>
          <w:spacing w:val="-1"/>
          <w:sz w:val="24"/>
          <w:highlight w:val="none"/>
          <w:u w:val="single"/>
        </w:rPr>
        <w:t xml:space="preserve">   </w:t>
      </w:r>
      <w:r>
        <w:rPr>
          <w:rFonts w:ascii="宋体" w:hAnsi="宋体" w:cs="宋体"/>
          <w:spacing w:val="-111"/>
          <w:sz w:val="24"/>
          <w:highlight w:val="none"/>
        </w:rPr>
        <w:t xml:space="preserve"> </w:t>
      </w:r>
      <w:r>
        <w:rPr>
          <w:rFonts w:ascii="宋体" w:hAnsi="宋体" w:cs="宋体"/>
          <w:spacing w:val="-1"/>
          <w:sz w:val="24"/>
          <w:highlight w:val="none"/>
        </w:rPr>
        <w:t>份，具有同等法律效力，甲方</w:t>
      </w:r>
      <w:r>
        <w:rPr>
          <w:rFonts w:ascii="宋体" w:hAnsi="宋体" w:cs="宋体"/>
          <w:spacing w:val="-1"/>
          <w:sz w:val="24"/>
          <w:highlight w:val="none"/>
          <w:u w:val="single"/>
        </w:rPr>
        <w:t xml:space="preserve"> </w:t>
      </w:r>
      <w:r>
        <w:rPr>
          <w:rFonts w:ascii="宋体" w:hAnsi="宋体" w:cs="宋体"/>
          <w:spacing w:val="-2"/>
          <w:sz w:val="24"/>
          <w:highlight w:val="none"/>
          <w:u w:val="single"/>
        </w:rPr>
        <w:t xml:space="preserve">   </w:t>
      </w:r>
      <w:r>
        <w:rPr>
          <w:rFonts w:ascii="宋体" w:hAnsi="宋体" w:cs="宋体"/>
          <w:spacing w:val="-111"/>
          <w:sz w:val="24"/>
          <w:highlight w:val="none"/>
        </w:rPr>
        <w:t xml:space="preserve"> </w:t>
      </w:r>
      <w:r>
        <w:rPr>
          <w:rFonts w:ascii="宋体" w:hAnsi="宋体" w:cs="宋体"/>
          <w:spacing w:val="-2"/>
          <w:sz w:val="24"/>
          <w:highlight w:val="none"/>
        </w:rPr>
        <w:t>份，乙方</w:t>
      </w:r>
      <w:r>
        <w:rPr>
          <w:rFonts w:ascii="宋体" w:hAnsi="宋体" w:cs="宋体"/>
          <w:spacing w:val="-2"/>
          <w:sz w:val="24"/>
          <w:highlight w:val="none"/>
          <w:u w:val="single"/>
        </w:rPr>
        <w:t xml:space="preserve">    </w:t>
      </w:r>
      <w:r>
        <w:rPr>
          <w:rFonts w:ascii="宋体" w:hAnsi="宋体" w:cs="宋体"/>
          <w:spacing w:val="-110"/>
          <w:sz w:val="24"/>
          <w:highlight w:val="none"/>
        </w:rPr>
        <w:t xml:space="preserve"> </w:t>
      </w:r>
      <w:r>
        <w:rPr>
          <w:rFonts w:ascii="宋体" w:hAnsi="宋体" w:cs="宋体"/>
          <w:spacing w:val="-2"/>
          <w:sz w:val="24"/>
          <w:highlight w:val="none"/>
        </w:rPr>
        <w:t>份。</w:t>
      </w:r>
    </w:p>
    <w:p>
      <w:pPr>
        <w:keepNext w:val="0"/>
        <w:keepLines w:val="0"/>
        <w:pageBreakBefore w:val="0"/>
        <w:kinsoku/>
        <w:wordWrap/>
        <w:overflowPunct/>
        <w:topLinePunct w:val="0"/>
        <w:autoSpaceDE/>
        <w:autoSpaceDN/>
        <w:bidi w:val="0"/>
        <w:adjustRightInd/>
        <w:snapToGrid w:val="0"/>
        <w:spacing w:after="0" w:line="420" w:lineRule="exact"/>
        <w:ind w:firstLine="460" w:firstLineChars="200"/>
        <w:rPr>
          <w:rFonts w:hint="eastAsia" w:ascii="宋体" w:hAnsi="宋体" w:cs="宋体"/>
          <w:spacing w:val="-5"/>
          <w:sz w:val="24"/>
          <w:highlight w:val="none"/>
        </w:rPr>
      </w:pPr>
      <w:r>
        <w:rPr>
          <w:rFonts w:ascii="宋体" w:hAnsi="宋体" w:cs="宋体"/>
          <w:spacing w:val="-5"/>
          <w:sz w:val="24"/>
          <w:highlight w:val="none"/>
        </w:rPr>
        <w:t>5.本合同自甲乙双方签字盖章之日起生效，履行完协议规定的义务后，本协议终止。</w:t>
      </w:r>
    </w:p>
    <w:p>
      <w:pPr>
        <w:pStyle w:val="2"/>
        <w:keepNext w:val="0"/>
        <w:keepLines w:val="0"/>
        <w:pageBreakBefore w:val="0"/>
        <w:kinsoku/>
        <w:wordWrap/>
        <w:overflowPunct/>
        <w:topLinePunct w:val="0"/>
        <w:autoSpaceDE/>
        <w:autoSpaceDN/>
        <w:bidi w:val="0"/>
        <w:adjustRightInd/>
        <w:snapToGrid w:val="0"/>
        <w:spacing w:before="0" w:after="0" w:line="420" w:lineRule="exact"/>
        <w:rPr>
          <w:rFonts w:hint="eastAsia"/>
          <w:highlight w:val="none"/>
        </w:rPr>
      </w:pPr>
    </w:p>
    <w:p>
      <w:pPr>
        <w:keepNext w:val="0"/>
        <w:keepLines w:val="0"/>
        <w:pageBreakBefore w:val="0"/>
        <w:kinsoku/>
        <w:wordWrap/>
        <w:overflowPunct/>
        <w:topLinePunct w:val="0"/>
        <w:autoSpaceDE/>
        <w:autoSpaceDN/>
        <w:bidi w:val="0"/>
        <w:adjustRightInd/>
        <w:snapToGrid w:val="0"/>
        <w:spacing w:after="0" w:line="420" w:lineRule="exact"/>
        <w:ind w:left="511"/>
        <w:rPr>
          <w:rFonts w:hint="eastAsia" w:ascii="宋体" w:hAnsi="宋体" w:cs="宋体"/>
          <w:spacing w:val="-9"/>
          <w:sz w:val="24"/>
          <w:highlight w:val="none"/>
        </w:rPr>
      </w:pPr>
      <w:r>
        <w:rPr>
          <w:rFonts w:hint="eastAsia" w:ascii="宋体" w:hAnsi="宋体" w:cs="宋体"/>
          <w:spacing w:val="-9"/>
          <w:sz w:val="24"/>
          <w:highlight w:val="none"/>
        </w:rPr>
        <w:t>（此后无正文）</w:t>
      </w:r>
    </w:p>
    <w:p>
      <w:pPr>
        <w:keepNext w:val="0"/>
        <w:keepLines w:val="0"/>
        <w:pageBreakBefore w:val="0"/>
        <w:kinsoku/>
        <w:wordWrap/>
        <w:overflowPunct/>
        <w:topLinePunct w:val="0"/>
        <w:autoSpaceDE/>
        <w:autoSpaceDN/>
        <w:bidi w:val="0"/>
        <w:adjustRightInd/>
        <w:snapToGrid w:val="0"/>
        <w:spacing w:after="0" w:line="420" w:lineRule="exact"/>
        <w:ind w:left="511"/>
        <w:rPr>
          <w:rFonts w:hint="eastAsia" w:ascii="宋体" w:hAnsi="宋体" w:cs="宋体"/>
          <w:sz w:val="24"/>
          <w:highlight w:val="none"/>
        </w:rPr>
      </w:pPr>
      <w:r>
        <w:rPr>
          <w:rFonts w:ascii="宋体" w:hAnsi="宋体" w:cs="宋体"/>
          <w:spacing w:val="-9"/>
          <w:sz w:val="24"/>
          <w:highlight w:val="none"/>
        </w:rPr>
        <w:t>甲方（盖章</w:t>
      </w:r>
      <w:r>
        <w:rPr>
          <w:rFonts w:ascii="宋体" w:hAnsi="宋体" w:cs="宋体"/>
          <w:spacing w:val="-6"/>
          <w:sz w:val="24"/>
          <w:highlight w:val="none"/>
        </w:rPr>
        <w:t>）：</w:t>
      </w:r>
      <w:r>
        <w:rPr>
          <w:rFonts w:ascii="宋体" w:hAnsi="宋体" w:cs="宋体"/>
          <w:spacing w:val="1"/>
          <w:sz w:val="24"/>
          <w:highlight w:val="none"/>
        </w:rPr>
        <w:t xml:space="preserve">                         </w:t>
      </w:r>
      <w:r>
        <w:rPr>
          <w:rFonts w:ascii="宋体" w:hAnsi="宋体" w:cs="宋体"/>
          <w:spacing w:val="-9"/>
          <w:sz w:val="24"/>
          <w:highlight w:val="none"/>
        </w:rPr>
        <w:t>乙方（盖章</w:t>
      </w:r>
      <w:r>
        <w:rPr>
          <w:rFonts w:ascii="宋体" w:hAnsi="宋体" w:cs="宋体"/>
          <w:spacing w:val="-6"/>
          <w:sz w:val="24"/>
          <w:highlight w:val="none"/>
        </w:rPr>
        <w:t>）：</w:t>
      </w:r>
    </w:p>
    <w:p>
      <w:pPr>
        <w:keepNext w:val="0"/>
        <w:keepLines w:val="0"/>
        <w:pageBreakBefore w:val="0"/>
        <w:kinsoku/>
        <w:wordWrap/>
        <w:overflowPunct/>
        <w:topLinePunct w:val="0"/>
        <w:autoSpaceDE/>
        <w:autoSpaceDN/>
        <w:bidi w:val="0"/>
        <w:adjustRightInd/>
        <w:snapToGrid w:val="0"/>
        <w:spacing w:after="0" w:line="420" w:lineRule="exact"/>
        <w:ind w:left="480"/>
        <w:rPr>
          <w:rFonts w:hint="eastAsia" w:ascii="宋体" w:hAnsi="宋体" w:cs="宋体"/>
          <w:sz w:val="24"/>
          <w:highlight w:val="none"/>
        </w:rPr>
      </w:pPr>
      <w:r>
        <w:rPr>
          <w:rFonts w:ascii="宋体" w:hAnsi="宋体" w:cs="宋体"/>
          <w:sz w:val="24"/>
          <w:highlight w:val="none"/>
        </w:rPr>
        <w:t xml:space="preserve">法定代表人或委托代理人                 </w:t>
      </w:r>
      <w:r>
        <w:rPr>
          <w:rFonts w:ascii="宋体" w:hAnsi="宋体" w:cs="宋体"/>
          <w:spacing w:val="-1"/>
          <w:sz w:val="24"/>
          <w:highlight w:val="none"/>
        </w:rPr>
        <w:t>法定代表人或委托代理人</w:t>
      </w:r>
    </w:p>
    <w:p>
      <w:pPr>
        <w:keepNext w:val="0"/>
        <w:keepLines w:val="0"/>
        <w:pageBreakBefore w:val="0"/>
        <w:kinsoku/>
        <w:wordWrap/>
        <w:overflowPunct/>
        <w:topLinePunct w:val="0"/>
        <w:autoSpaceDE/>
        <w:autoSpaceDN/>
        <w:bidi w:val="0"/>
        <w:adjustRightInd/>
        <w:snapToGrid w:val="0"/>
        <w:spacing w:after="0" w:line="420" w:lineRule="exact"/>
        <w:ind w:left="522"/>
        <w:rPr>
          <w:rFonts w:hint="eastAsia" w:ascii="宋体" w:hAnsi="宋体" w:cs="宋体"/>
          <w:sz w:val="24"/>
          <w:highlight w:val="none"/>
        </w:rPr>
      </w:pPr>
      <w:r>
        <w:rPr>
          <w:rFonts w:ascii="宋体" w:hAnsi="宋体" w:cs="宋体"/>
          <w:spacing w:val="-4"/>
          <w:sz w:val="24"/>
          <w:highlight w:val="none"/>
        </w:rPr>
        <w:t>(盖章或签字)                            (盖</w:t>
      </w:r>
      <w:r>
        <w:rPr>
          <w:rFonts w:ascii="宋体" w:hAnsi="宋体" w:cs="宋体"/>
          <w:spacing w:val="-5"/>
          <w:sz w:val="24"/>
          <w:highlight w:val="none"/>
        </w:rPr>
        <w:t>章或签字)</w:t>
      </w:r>
    </w:p>
    <w:p>
      <w:pPr>
        <w:keepNext w:val="0"/>
        <w:keepLines w:val="0"/>
        <w:pageBreakBefore w:val="0"/>
        <w:kinsoku/>
        <w:wordWrap/>
        <w:overflowPunct/>
        <w:topLinePunct w:val="0"/>
        <w:autoSpaceDE/>
        <w:autoSpaceDN/>
        <w:bidi w:val="0"/>
        <w:adjustRightInd/>
        <w:snapToGrid w:val="0"/>
        <w:spacing w:after="0" w:line="420" w:lineRule="exact"/>
        <w:ind w:left="480"/>
        <w:rPr>
          <w:highlight w:val="none"/>
        </w:rPr>
      </w:pPr>
      <w:r>
        <w:rPr>
          <w:rFonts w:ascii="宋体" w:hAnsi="宋体" w:cs="宋体"/>
          <w:spacing w:val="-4"/>
          <w:sz w:val="24"/>
          <w:highlight w:val="none"/>
        </w:rPr>
        <w:t xml:space="preserve">地址：                                </w:t>
      </w:r>
      <w:r>
        <w:rPr>
          <w:rFonts w:ascii="宋体" w:hAnsi="宋体" w:cs="宋体"/>
          <w:spacing w:val="-5"/>
          <w:sz w:val="24"/>
          <w:highlight w:val="none"/>
        </w:rPr>
        <w:t xml:space="preserve">  地址：</w:t>
      </w:r>
    </w:p>
    <w:p>
      <w:pPr>
        <w:keepNext w:val="0"/>
        <w:keepLines w:val="0"/>
        <w:pageBreakBefore w:val="0"/>
        <w:kinsoku/>
        <w:wordWrap/>
        <w:overflowPunct/>
        <w:topLinePunct w:val="0"/>
        <w:autoSpaceDE/>
        <w:autoSpaceDN/>
        <w:bidi w:val="0"/>
        <w:adjustRightInd/>
        <w:snapToGrid w:val="0"/>
        <w:spacing w:after="0" w:line="420" w:lineRule="exact"/>
        <w:ind w:left="507"/>
        <w:rPr>
          <w:highlight w:val="none"/>
        </w:rPr>
      </w:pPr>
      <w:r>
        <w:rPr>
          <w:rFonts w:ascii="宋体" w:hAnsi="宋体" w:cs="宋体"/>
          <w:spacing w:val="-17"/>
          <w:sz w:val="24"/>
          <w:highlight w:val="none"/>
        </w:rPr>
        <w:t>电话：</w:t>
      </w:r>
      <w:r>
        <w:rPr>
          <w:rFonts w:ascii="宋体" w:hAnsi="宋体" w:cs="宋体"/>
          <w:spacing w:val="1"/>
          <w:sz w:val="24"/>
          <w:highlight w:val="none"/>
        </w:rPr>
        <w:t xml:space="preserve">                                 </w:t>
      </w:r>
      <w:r>
        <w:rPr>
          <w:rFonts w:ascii="宋体" w:hAnsi="宋体" w:cs="宋体"/>
          <w:spacing w:val="-17"/>
          <w:sz w:val="24"/>
          <w:highlight w:val="none"/>
        </w:rPr>
        <w:t>电话：</w:t>
      </w:r>
    </w:p>
    <w:p>
      <w:pPr>
        <w:keepNext w:val="0"/>
        <w:keepLines w:val="0"/>
        <w:pageBreakBefore w:val="0"/>
        <w:kinsoku/>
        <w:wordWrap/>
        <w:overflowPunct/>
        <w:topLinePunct w:val="0"/>
        <w:autoSpaceDE/>
        <w:autoSpaceDN/>
        <w:bidi w:val="0"/>
        <w:adjustRightInd/>
        <w:snapToGrid w:val="0"/>
        <w:spacing w:after="0" w:line="420" w:lineRule="exact"/>
        <w:ind w:left="507"/>
        <w:rPr>
          <w:highlight w:val="none"/>
        </w:rPr>
      </w:pPr>
      <w:r>
        <w:rPr>
          <w:rFonts w:ascii="宋体" w:hAnsi="宋体" w:cs="宋体"/>
          <w:spacing w:val="-6"/>
          <w:sz w:val="24"/>
          <w:highlight w:val="none"/>
        </w:rPr>
        <w:t>签约</w:t>
      </w:r>
      <w:r>
        <w:rPr>
          <w:rFonts w:ascii="宋体" w:hAnsi="宋体" w:cs="宋体"/>
          <w:spacing w:val="-17"/>
          <w:sz w:val="24"/>
          <w:highlight w:val="none"/>
        </w:rPr>
        <w:t>日期</w:t>
      </w:r>
      <w:r>
        <w:rPr>
          <w:rFonts w:ascii="宋体" w:hAnsi="宋体" w:cs="宋体"/>
          <w:spacing w:val="-6"/>
          <w:sz w:val="24"/>
          <w:highlight w:val="none"/>
        </w:rPr>
        <w:t>：</w:t>
      </w:r>
      <w:r>
        <w:rPr>
          <w:rFonts w:ascii="宋体" w:hAnsi="宋体" w:cs="宋体"/>
          <w:spacing w:val="3"/>
          <w:sz w:val="24"/>
          <w:highlight w:val="none"/>
        </w:rPr>
        <w:t xml:space="preserve">     </w:t>
      </w:r>
      <w:r>
        <w:rPr>
          <w:rFonts w:ascii="宋体" w:hAnsi="宋体" w:cs="宋体"/>
          <w:spacing w:val="-6"/>
          <w:sz w:val="24"/>
          <w:highlight w:val="none"/>
        </w:rPr>
        <w:t>年</w:t>
      </w:r>
      <w:r>
        <w:rPr>
          <w:rFonts w:ascii="宋体" w:hAnsi="宋体" w:cs="宋体"/>
          <w:spacing w:val="7"/>
          <w:sz w:val="24"/>
          <w:highlight w:val="none"/>
        </w:rPr>
        <w:t xml:space="preserve">   </w:t>
      </w:r>
      <w:r>
        <w:rPr>
          <w:rFonts w:ascii="宋体" w:hAnsi="宋体" w:cs="宋体"/>
          <w:spacing w:val="-6"/>
          <w:sz w:val="24"/>
          <w:highlight w:val="none"/>
        </w:rPr>
        <w:t>月</w:t>
      </w:r>
      <w:r>
        <w:rPr>
          <w:rFonts w:ascii="宋体" w:hAnsi="宋体" w:cs="宋体"/>
          <w:spacing w:val="17"/>
          <w:sz w:val="24"/>
          <w:highlight w:val="none"/>
        </w:rPr>
        <w:t xml:space="preserve">   </w:t>
      </w:r>
      <w:r>
        <w:rPr>
          <w:rFonts w:ascii="宋体" w:hAnsi="宋体" w:cs="宋体"/>
          <w:spacing w:val="-6"/>
          <w:sz w:val="24"/>
          <w:highlight w:val="none"/>
        </w:rPr>
        <w:t>日</w:t>
      </w:r>
    </w:p>
    <w:p>
      <w:pPr>
        <w:tabs>
          <w:tab w:val="left" w:pos="900"/>
          <w:tab w:val="left" w:pos="1080"/>
        </w:tabs>
        <w:snapToGrid w:val="0"/>
        <w:spacing w:line="360" w:lineRule="auto"/>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bookmarkStart w:id="622" w:name="_Toc31949"/>
      <w:r>
        <w:rPr>
          <w:rFonts w:hint="eastAsia" w:ascii="宋体" w:hAnsi="宋体" w:eastAsia="宋体" w:cs="宋体"/>
          <w:b/>
          <w:color w:val="auto"/>
          <w:sz w:val="36"/>
          <w:szCs w:val="36"/>
          <w:highlight w:val="none"/>
        </w:rPr>
        <w:br w:type="page"/>
      </w:r>
    </w:p>
    <w:p>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第六章  响应文件格式</w:t>
      </w:r>
      <w:bookmarkEnd w:id="622"/>
    </w:p>
    <w:p>
      <w:pPr>
        <w:widowControl/>
        <w:spacing w:line="360" w:lineRule="auto"/>
        <w:jc w:val="left"/>
        <w:rPr>
          <w:rFonts w:hint="eastAsia" w:ascii="宋体" w:hAnsi="宋体" w:eastAsia="宋体" w:cs="宋体"/>
          <w:b/>
          <w:color w:val="auto"/>
          <w:sz w:val="24"/>
          <w:highlight w:val="none"/>
        </w:rPr>
      </w:pPr>
    </w:p>
    <w:p>
      <w:pPr>
        <w:tabs>
          <w:tab w:val="left" w:pos="900"/>
          <w:tab w:val="left" w:pos="1980"/>
        </w:tabs>
        <w:snapToGrid w:val="0"/>
        <w:spacing w:line="360" w:lineRule="auto"/>
        <w:ind w:left="14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供应商编制文件须知</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对于竞争性磋商文件中标记了“实质性格式”文件的，供应商</w:t>
      </w:r>
      <w:r>
        <w:rPr>
          <w:rFonts w:hint="eastAsia" w:ascii="宋体" w:hAnsi="宋体" w:eastAsia="宋体" w:cs="宋体"/>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color w:val="auto"/>
          <w:kern w:val="0"/>
          <w:sz w:val="24"/>
          <w:highlight w:val="none"/>
        </w:rPr>
        <w:t>否则响应无效</w:t>
      </w:r>
      <w:r>
        <w:rPr>
          <w:rFonts w:hint="eastAsia" w:ascii="宋体" w:hAnsi="宋体" w:eastAsia="宋体" w:cs="宋体"/>
          <w:color w:val="auto"/>
          <w:kern w:val="0"/>
          <w:sz w:val="24"/>
          <w:highlight w:val="none"/>
        </w:rPr>
        <w:t>。未标记“实质性格式”的文件和竞争性磋商文件未提供格式的内容，可由供应商自行编写。</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3、全部声明和问题的回答及所附材料必须是真实的、准确的和完整的。</w:t>
      </w:r>
    </w:p>
    <w:p>
      <w:pPr>
        <w:tabs>
          <w:tab w:val="left" w:pos="900"/>
          <w:tab w:val="left" w:pos="1980"/>
        </w:tabs>
        <w:snapToGrid w:val="0"/>
        <w:spacing w:line="360" w:lineRule="auto"/>
        <w:ind w:left="142"/>
        <w:rPr>
          <w:rFonts w:hint="eastAsia" w:ascii="宋体" w:hAnsi="宋体" w:eastAsia="宋体" w:cs="宋体"/>
          <w:color w:val="auto"/>
          <w:sz w:val="24"/>
          <w:highlight w:val="none"/>
        </w:rPr>
      </w:pP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Pr>
        <w:rPr>
          <w:rFonts w:hint="eastAsia" w:ascii="宋体" w:hAnsi="宋体" w:eastAsia="宋体" w:cs="宋体"/>
          <w:b/>
          <w:color w:val="auto"/>
          <w:spacing w:val="20"/>
          <w:szCs w:val="21"/>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pacing w:val="20"/>
          <w:sz w:val="24"/>
          <w:highlight w:val="none"/>
        </w:rPr>
        <w:t>响应文件</w:t>
      </w:r>
      <w:r>
        <w:rPr>
          <w:rFonts w:hint="eastAsia" w:ascii="宋体" w:hAnsi="宋体" w:eastAsia="宋体" w:cs="宋体"/>
          <w:b/>
          <w:color w:val="auto"/>
          <w:sz w:val="24"/>
          <w:highlight w:val="none"/>
        </w:rPr>
        <w:t>封面（非实质性格式）</w:t>
      </w:r>
    </w:p>
    <w:p>
      <w:pPr>
        <w:jc w:val="center"/>
        <w:rPr>
          <w:rFonts w:hint="eastAsia" w:ascii="宋体" w:hAnsi="宋体" w:eastAsia="宋体" w:cs="宋体"/>
          <w:color w:val="auto"/>
          <w:szCs w:val="21"/>
          <w:highlight w:val="none"/>
        </w:rPr>
      </w:pPr>
    </w:p>
    <w:p>
      <w:pPr>
        <w:jc w:val="center"/>
        <w:rPr>
          <w:rFonts w:hint="eastAsia" w:ascii="宋体" w:hAnsi="宋体" w:eastAsia="宋体" w:cs="宋体"/>
          <w:b/>
          <w:color w:val="auto"/>
          <w:spacing w:val="60"/>
          <w:sz w:val="84"/>
          <w:szCs w:val="84"/>
          <w:highlight w:val="none"/>
        </w:rPr>
      </w:pPr>
      <w:r>
        <w:rPr>
          <w:rFonts w:hint="eastAsia" w:ascii="宋体" w:hAnsi="宋体" w:eastAsia="宋体" w:cs="宋体"/>
          <w:b/>
          <w:color w:val="auto"/>
          <w:spacing w:val="60"/>
          <w:sz w:val="84"/>
          <w:szCs w:val="84"/>
          <w:highlight w:val="none"/>
        </w:rPr>
        <w:t>响 应 文 件</w:t>
      </w:r>
    </w:p>
    <w:p>
      <w:pPr>
        <w:jc w:val="center"/>
        <w:rPr>
          <w:rFonts w:hint="eastAsia" w:ascii="宋体" w:hAnsi="宋体" w:eastAsia="宋体" w:cs="宋体"/>
          <w:b/>
          <w:color w:val="auto"/>
          <w:spacing w:val="60"/>
          <w:sz w:val="52"/>
          <w:szCs w:val="5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项目名称:</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项目编号/包号：</w:t>
      </w: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pacing w:val="20"/>
          <w:sz w:val="32"/>
          <w:szCs w:val="32"/>
          <w:highlight w:val="none"/>
        </w:rPr>
      </w:pPr>
    </w:p>
    <w:p>
      <w:pPr>
        <w:spacing w:line="360" w:lineRule="auto"/>
        <w:ind w:firstLine="1445" w:firstLineChars="400"/>
        <w:jc w:val="left"/>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供应商名称：</w:t>
      </w:r>
    </w:p>
    <w:p>
      <w:pPr>
        <w:jc w:val="center"/>
        <w:rPr>
          <w:rFonts w:hint="eastAsia" w:ascii="宋体" w:hAnsi="宋体" w:eastAsia="宋体" w:cs="宋体"/>
          <w:b/>
          <w:color w:val="auto"/>
          <w:sz w:val="32"/>
          <w:szCs w:val="32"/>
          <w:highlight w:val="none"/>
        </w:rPr>
      </w:pPr>
    </w:p>
    <w:p>
      <w:pPr>
        <w:rPr>
          <w:rFonts w:hint="eastAsia" w:ascii="宋体" w:hAnsi="宋体" w:eastAsia="宋体" w:cs="宋体"/>
          <w:b/>
          <w:color w:val="auto"/>
          <w:highlight w:val="none"/>
        </w:rPr>
      </w:pPr>
      <w:r>
        <w:rPr>
          <w:rFonts w:hint="eastAsia" w:ascii="宋体" w:hAnsi="宋体" w:eastAsia="宋体" w:cs="宋体"/>
          <w:b/>
          <w:color w:val="auto"/>
          <w:spacing w:val="20"/>
          <w:sz w:val="32"/>
          <w:szCs w:val="32"/>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 满足《中华人民共和国政府采购法》第二十二条规定</w:t>
      </w:r>
    </w:p>
    <w:p>
      <w:pPr>
        <w:spacing w:line="360" w:lineRule="auto"/>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1-1 营业执照等证明文件</w:t>
      </w:r>
    </w:p>
    <w:p>
      <w:pPr>
        <w:tabs>
          <w:tab w:val="left" w:pos="1080"/>
        </w:tabs>
        <w:snapToGrid w:val="0"/>
        <w:rPr>
          <w:rFonts w:hint="eastAsia" w:ascii="宋体" w:hAnsi="宋体" w:eastAsia="宋体" w:cs="宋体"/>
          <w:color w:val="auto"/>
          <w:sz w:val="24"/>
          <w:highlight w:val="none"/>
        </w:rPr>
      </w:pP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br w:type="page"/>
      </w:r>
    </w:p>
    <w:p>
      <w:pPr>
        <w:pStyle w:val="6"/>
        <w:rPr>
          <w:rFonts w:hint="eastAsia" w:ascii="宋体" w:hAnsi="宋体" w:eastAsia="宋体" w:cs="宋体"/>
          <w:b w:val="0"/>
          <w:bCs/>
          <w:color w:val="auto"/>
          <w:szCs w:val="24"/>
          <w:highlight w:val="none"/>
          <w:u w:val="none"/>
        </w:rPr>
      </w:pPr>
      <w:r>
        <w:rPr>
          <w:rFonts w:hint="eastAsia" w:ascii="宋体" w:hAnsi="宋体" w:eastAsia="宋体" w:cs="宋体"/>
          <w:b w:val="0"/>
          <w:color w:val="auto"/>
          <w:szCs w:val="24"/>
          <w:highlight w:val="none"/>
          <w:u w:val="none"/>
        </w:rPr>
        <w:t>1-2 供应商资格声明书</w:t>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供应商资格声明书</w:t>
      </w:r>
    </w:p>
    <w:p>
      <w:pPr>
        <w:keepNext w:val="0"/>
        <w:keepLines w:val="0"/>
        <w:pageBreakBefore w:val="0"/>
        <w:widowControl w:val="0"/>
        <w:tabs>
          <w:tab w:val="left" w:pos="5580"/>
        </w:tabs>
        <w:kinsoku/>
        <w:wordWrap/>
        <w:overflowPunct/>
        <w:topLinePunct w:val="0"/>
        <w:bidi w:val="0"/>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采购人或采购代理机构</w:t>
      </w:r>
    </w:p>
    <w:p>
      <w:pPr>
        <w:keepNext w:val="0"/>
        <w:keepLines w:val="0"/>
        <w:pageBreakBefore w:val="0"/>
        <w:widowControl w:val="0"/>
        <w:kinsoku/>
        <w:wordWrap/>
        <w:overflowPunct/>
        <w:topLinePunct w:val="0"/>
        <w:bidi w:val="0"/>
        <w:snapToGrid w:val="0"/>
        <w:spacing w:after="0" w:line="24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在参与本次项目磋商中，我单位承诺：</w:t>
      </w:r>
    </w:p>
    <w:p>
      <w:pPr>
        <w:keepNext w:val="0"/>
        <w:keepLines w:val="0"/>
        <w:pageBreakBefore w:val="0"/>
        <w:widowControl w:val="0"/>
        <w:numPr>
          <w:ilvl w:val="0"/>
          <w:numId w:val="16"/>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具有良好的商业信誉和健全的财务会计制度；</w:t>
      </w:r>
    </w:p>
    <w:p>
      <w:pPr>
        <w:keepNext w:val="0"/>
        <w:keepLines w:val="0"/>
        <w:pageBreakBefore w:val="0"/>
        <w:widowControl w:val="0"/>
        <w:numPr>
          <w:ilvl w:val="0"/>
          <w:numId w:val="16"/>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具有履行合同所必需的设备和专业技术能力；</w:t>
      </w:r>
    </w:p>
    <w:p>
      <w:pPr>
        <w:keepNext w:val="0"/>
        <w:keepLines w:val="0"/>
        <w:pageBreakBefore w:val="0"/>
        <w:widowControl w:val="0"/>
        <w:numPr>
          <w:ilvl w:val="0"/>
          <w:numId w:val="16"/>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有依法缴纳税收和社会保障资金的良好记录；</w:t>
      </w:r>
    </w:p>
    <w:p>
      <w:pPr>
        <w:keepNext w:val="0"/>
        <w:keepLines w:val="0"/>
        <w:pageBreakBefore w:val="0"/>
        <w:widowControl w:val="0"/>
        <w:numPr>
          <w:ilvl w:val="0"/>
          <w:numId w:val="16"/>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keepNext w:val="0"/>
        <w:keepLines w:val="0"/>
        <w:pageBreakBefore w:val="0"/>
        <w:widowControl w:val="0"/>
        <w:numPr>
          <w:ilvl w:val="0"/>
          <w:numId w:val="16"/>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我单位不属于政府采购法律、行政法规规定的公益一类事业单位、或使用事业编制且由财政拨款保障的群团组织（仅适用于政府购买服务项目）；</w:t>
      </w:r>
    </w:p>
    <w:p>
      <w:pPr>
        <w:keepNext w:val="0"/>
        <w:keepLines w:val="0"/>
        <w:pageBreakBefore w:val="0"/>
        <w:widowControl w:val="0"/>
        <w:numPr>
          <w:ilvl w:val="0"/>
          <w:numId w:val="16"/>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我单位不存在为采购项目提供整体设计、规范编制或者项目管理、监理、检测等服务后，再参加该采购项目的其他采购活动的情形（单一来源采购项目除外）；</w:t>
      </w:r>
    </w:p>
    <w:p>
      <w:pPr>
        <w:keepNext w:val="0"/>
        <w:keepLines w:val="0"/>
        <w:pageBreakBefore w:val="0"/>
        <w:widowControl w:val="0"/>
        <w:numPr>
          <w:ilvl w:val="0"/>
          <w:numId w:val="16"/>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574"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2976"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574"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c>
          <w:tcPr>
            <w:tcW w:w="2976"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574"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c>
          <w:tcPr>
            <w:tcW w:w="2976"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4574"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c>
          <w:tcPr>
            <w:tcW w:w="2976"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r>
    </w:tbl>
    <w:p>
      <w:pPr>
        <w:keepNext w:val="0"/>
        <w:keepLines w:val="0"/>
        <w:pageBreakBefore w:val="0"/>
        <w:widowControl w:val="0"/>
        <w:kinsoku/>
        <w:wordWrap/>
        <w:overflowPunct/>
        <w:topLinePunct w:val="0"/>
        <w:bidi w:val="0"/>
        <w:snapToGrid w:val="0"/>
        <w:spacing w:after="0" w:line="240" w:lineRule="auto"/>
        <w:textAlignment w:val="auto"/>
        <w:rPr>
          <w:rFonts w:hint="eastAsia" w:ascii="宋体" w:hAnsi="宋体" w:eastAsia="宋体" w:cs="宋体"/>
          <w:color w:val="auto"/>
          <w:highlight w:val="none"/>
        </w:rPr>
      </w:pPr>
    </w:p>
    <w:p>
      <w:pPr>
        <w:keepNext w:val="0"/>
        <w:keepLines w:val="0"/>
        <w:pageBreakBefore w:val="0"/>
        <w:widowControl w:val="0"/>
        <w:kinsoku/>
        <w:wordWrap/>
        <w:overflowPunct/>
        <w:topLinePunct w:val="0"/>
        <w:bidi w:val="0"/>
        <w:snapToGrid w:val="0"/>
        <w:spacing w:after="0" w:line="24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上述声明真实有效，否则我方负全部责任。</w:t>
      </w:r>
    </w:p>
    <w:p>
      <w:pPr>
        <w:keepNext w:val="0"/>
        <w:keepLines w:val="0"/>
        <w:pageBreakBefore w:val="0"/>
        <w:widowControl w:val="0"/>
        <w:kinsoku/>
        <w:wordWrap/>
        <w:overflowPunct/>
        <w:topLinePunct w:val="0"/>
        <w:bidi w:val="0"/>
        <w:snapToGrid w:val="0"/>
        <w:spacing w:after="0" w:line="240" w:lineRule="auto"/>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240" w:lineRule="auto"/>
        <w:ind w:right="360"/>
        <w:jc w:val="righ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keepNext w:val="0"/>
        <w:keepLines w:val="0"/>
        <w:pageBreakBefore w:val="0"/>
        <w:widowControl w:val="0"/>
        <w:kinsoku/>
        <w:wordWrap/>
        <w:overflowPunct/>
        <w:topLinePunct w:val="0"/>
        <w:bidi w:val="0"/>
        <w:snapToGrid w:val="0"/>
        <w:spacing w:after="0" w:line="240" w:lineRule="auto"/>
        <w:ind w:right="360" w:firstLine="48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 xml:space="preserve">日期：____年____月____日   </w:t>
      </w:r>
    </w:p>
    <w:p>
      <w:pPr>
        <w:keepNext w:val="0"/>
        <w:keepLines w:val="0"/>
        <w:pageBreakBefore w:val="0"/>
        <w:widowControl w:val="0"/>
        <w:kinsoku/>
        <w:wordWrap/>
        <w:overflowPunct/>
        <w:topLinePunct w:val="0"/>
        <w:bidi w:val="0"/>
        <w:snapToGrid w:val="0"/>
        <w:spacing w:after="0" w:line="240" w:lineRule="auto"/>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bidi w:val="0"/>
        <w:snapToGrid w:val="0"/>
        <w:spacing w:after="0" w:line="240" w:lineRule="auto"/>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bidi w:val="0"/>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说明：供应商承诺不实的，依据《政府采购法》第七十七条“提供虚假材料谋取中标、成交的”有关规定予以处理。</w:t>
      </w:r>
    </w:p>
    <w:p>
      <w:pPr>
        <w:tabs>
          <w:tab w:val="left" w:pos="5580"/>
        </w:tabs>
        <w:spacing w:line="360" w:lineRule="auto"/>
        <w:rPr>
          <w:rFonts w:hint="eastAsia" w:ascii="宋体" w:hAnsi="宋体" w:eastAsia="宋体" w:cs="宋体"/>
          <w:color w:val="auto"/>
          <w:sz w:val="24"/>
          <w:highlight w:val="none"/>
        </w:rPr>
        <w:sectPr>
          <w:headerReference r:id="rId15" w:type="first"/>
          <w:footerReference r:id="rId18" w:type="first"/>
          <w:footerReference r:id="rId16" w:type="default"/>
          <w:headerReference r:id="rId14" w:type="even"/>
          <w:footerReference r:id="rId17" w:type="even"/>
          <w:pgSz w:w="11905" w:h="16838"/>
          <w:pgMar w:top="850" w:right="1134" w:bottom="850" w:left="1134" w:header="0" w:footer="850" w:gutter="0"/>
          <w:pgBorders>
            <w:top w:val="none" w:sz="0" w:space="0"/>
            <w:left w:val="none" w:sz="0" w:space="0"/>
            <w:bottom w:val="none" w:sz="0" w:space="0"/>
            <w:right w:val="none" w:sz="0" w:space="0"/>
          </w:pgBorders>
          <w:pgNumType w:fmt="decimal"/>
          <w:cols w:space="0" w:num="1"/>
          <w:rtlGutter w:val="0"/>
          <w:docGrid w:linePitch="462" w:charSpace="0"/>
        </w:sectPr>
      </w:pP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2 落实政府采购政策需满足的资格要求（如有）</w:t>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2-1 中小企业政策证明文件</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如本项目（包）专门面向中小企业采购，响应文件中须提供《中小企业声明函》或《残疾人福利性单位声明函》，或提供由省级以上监狱管理局、戒毒管理局（含新疆生产建设兵团）出具的属于监狱企业的证明文件。</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（4）中小企业声明函填写注意事项</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1）《中小企业声明函》由参加政府采购活动的供应商出具。联合体参与的，《中小企业声明函》可由牵头人出具。</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3）对于多标的采购项目，供应商应充分、准确地了解所提供货物的制造企业、提供服务的承接企业信息。对相关情况了解不清楚的，不建议填报本声明函。</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p>
    <w:p>
      <w:pPr>
        <w:widowControl/>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pPr>
        <w:pStyle w:val="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中小企业证明文件</w:t>
      </w:r>
    </w:p>
    <w:p>
      <w:pPr>
        <w:spacing w:before="240" w:beforeLines="100" w:after="240" w:afterLines="10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中小企业声明函格式</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 xml:space="preserve"> （标的名称） </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人，营业收入为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w:t>
      </w:r>
      <w:r>
        <w:rPr>
          <w:rFonts w:hint="eastAsia" w:ascii="宋体" w:hAnsi="宋体" w:eastAsia="宋体" w:cs="宋体"/>
          <w:color w:val="auto"/>
          <w:spacing w:val="6"/>
          <w:sz w:val="24"/>
          <w:highlight w:val="none"/>
          <w:vertAlign w:val="superscript"/>
        </w:rPr>
        <w:t>1</w:t>
      </w:r>
      <w:r>
        <w:rPr>
          <w:rFonts w:hint="eastAsia" w:ascii="宋体" w:hAnsi="宋体" w:eastAsia="宋体" w:cs="宋体"/>
          <w:color w:val="auto"/>
          <w:spacing w:val="6"/>
          <w:sz w:val="24"/>
          <w:highlight w:val="none"/>
        </w:rPr>
        <w:t>，属于（中型企业、小型企业、微型企业）；</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2. </w:t>
      </w:r>
      <w:r>
        <w:rPr>
          <w:rFonts w:hint="eastAsia" w:ascii="宋体" w:hAnsi="宋体" w:eastAsia="宋体" w:cs="宋体"/>
          <w:color w:val="auto"/>
          <w:spacing w:val="6"/>
          <w:sz w:val="24"/>
          <w:highlight w:val="none"/>
          <w:u w:val="single"/>
        </w:rPr>
        <w:t xml:space="preserve">（标的名称） </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人，营业收入为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pPr>
        <w:spacing w:line="360" w:lineRule="auto"/>
        <w:ind w:right="360" w:firstLine="480"/>
        <w:jc w:val="right"/>
        <w:rPr>
          <w:rFonts w:hint="eastAsia" w:ascii="宋体" w:hAnsi="宋体" w:eastAsia="宋体" w:cs="宋体"/>
          <w:color w:val="auto"/>
          <w:sz w:val="24"/>
          <w:highlight w:val="none"/>
        </w:rPr>
      </w:pP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企业名称（盖章）：______</w:t>
      </w: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期：______</w:t>
      </w:r>
    </w:p>
    <w:p>
      <w:pPr>
        <w:adjustRightInd w:val="0"/>
        <w:snapToGrid w:val="0"/>
        <w:jc w:val="left"/>
        <w:rPr>
          <w:rFonts w:hint="eastAsia" w:ascii="宋体" w:hAnsi="宋体" w:eastAsia="宋体" w:cs="宋体"/>
          <w:color w:val="auto"/>
          <w:sz w:val="24"/>
          <w:szCs w:val="21"/>
          <w:highlight w:val="none"/>
        </w:rPr>
      </w:pPr>
    </w:p>
    <w:p>
      <w:pPr>
        <w:adjustRightInd w:val="0"/>
        <w:snapToGrid w:val="0"/>
        <w:jc w:val="left"/>
        <w:rPr>
          <w:rFonts w:hint="eastAsia" w:ascii="宋体" w:hAnsi="宋体" w:eastAsia="宋体" w:cs="宋体"/>
          <w:color w:val="auto"/>
          <w:sz w:val="24"/>
          <w:szCs w:val="21"/>
          <w:highlight w:val="none"/>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tc>
      </w:tr>
    </w:tbl>
    <w:p>
      <w:pPr>
        <w:adjustRightInd w:val="0"/>
        <w:snapToGrid w:val="0"/>
        <w:jc w:val="left"/>
        <w:rPr>
          <w:rFonts w:hint="eastAsia" w:ascii="宋体" w:hAnsi="宋体" w:eastAsia="宋体" w:cs="宋体"/>
          <w:color w:val="auto"/>
          <w:szCs w:val="21"/>
          <w:highlight w:val="none"/>
          <w:vertAlign w:val="superscript"/>
        </w:rPr>
      </w:pPr>
    </w:p>
    <w:p>
      <w:pPr>
        <w:spacing w:line="360" w:lineRule="auto"/>
        <w:ind w:right="360" w:firstLine="480"/>
        <w:jc w:val="righ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残疾人福利性单位声明函格式</w:t>
      </w:r>
      <w:r>
        <w:rPr>
          <w:rFonts w:hint="eastAsia" w:ascii="宋体" w:hAnsi="宋体" w:eastAsia="宋体" w:cs="宋体"/>
          <w:b/>
          <w:color w:val="auto"/>
          <w:sz w:val="36"/>
          <w:szCs w:val="36"/>
          <w:highlight w:val="none"/>
        </w:rPr>
        <w:t xml:space="preserve">       </w:t>
      </w:r>
    </w:p>
    <w:p>
      <w:pPr>
        <w:spacing w:line="588" w:lineRule="exact"/>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w:t>
      </w:r>
      <w:r>
        <w:rPr>
          <w:rFonts w:hint="eastAsia" w:ascii="宋体" w:hAnsi="宋体" w:eastAsia="宋体" w:cs="宋体"/>
          <w:b/>
          <w:color w:val="auto"/>
          <w:sz w:val="24"/>
          <w:highlight w:val="none"/>
        </w:rPr>
        <w:t>（请进行选择）</w:t>
      </w:r>
      <w:r>
        <w:rPr>
          <w:rFonts w:hint="eastAsia" w:ascii="宋体" w:hAnsi="宋体" w:eastAsia="宋体" w:cs="宋体"/>
          <w:color w:val="auto"/>
          <w:spacing w:val="6"/>
          <w:sz w:val="24"/>
          <w:highlight w:val="none"/>
        </w:rPr>
        <w:t>：</w:t>
      </w:r>
    </w:p>
    <w:p>
      <w:pPr>
        <w:spacing w:line="588" w:lineRule="exact"/>
        <w:ind w:firstLine="482"/>
        <w:rPr>
          <w:rFonts w:hint="eastAsia" w:ascii="宋体" w:hAnsi="宋体" w:eastAsia="宋体" w:cs="宋体"/>
          <w:b/>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不属于符合条件的残疾人福利性单位。</w:t>
      </w:r>
    </w:p>
    <w:p>
      <w:pPr>
        <w:spacing w:line="588" w:lineRule="exact"/>
        <w:ind w:firstLine="482"/>
        <w:rPr>
          <w:rFonts w:hint="eastAsia" w:ascii="宋体" w:hAnsi="宋体" w:eastAsia="宋体" w:cs="宋体"/>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属于符合条件的残疾人福利性单位，</w:t>
      </w:r>
      <w:r>
        <w:rPr>
          <w:rFonts w:hint="eastAsia" w:ascii="宋体" w:hAnsi="宋体" w:eastAsia="宋体" w:cs="宋体"/>
          <w:color w:val="auto"/>
          <w:spacing w:val="6"/>
          <w:sz w:val="24"/>
          <w:highlight w:val="none"/>
        </w:rPr>
        <w:t>且本单位参加</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单位的</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宋体" w:hAnsi="宋体" w:eastAsia="宋体" w:cs="宋体"/>
          <w:color w:val="auto"/>
          <w:spacing w:val="6"/>
          <w:sz w:val="24"/>
          <w:highlight w:val="none"/>
        </w:rPr>
      </w:pPr>
      <w:r>
        <w:rPr>
          <w:rFonts w:hint="eastAsia" w:ascii="宋体" w:hAnsi="宋体" w:eastAsia="宋体" w:cs="宋体"/>
          <w:b/>
          <w:color w:val="auto"/>
          <w:spacing w:val="6"/>
          <w:sz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 w:val="24"/>
          <w:highlight w:val="none"/>
        </w:rPr>
      </w:pPr>
    </w:p>
    <w:p>
      <w:pPr>
        <w:spacing w:line="588" w:lineRule="exact"/>
        <w:ind w:firstLine="504" w:firstLineChars="200"/>
        <w:rPr>
          <w:rFonts w:hint="eastAsia" w:ascii="宋体" w:hAnsi="宋体" w:eastAsia="宋体" w:cs="宋体"/>
          <w:color w:val="auto"/>
          <w:spacing w:val="6"/>
          <w:sz w:val="24"/>
          <w:highlight w:val="none"/>
        </w:rPr>
      </w:pPr>
    </w:p>
    <w:p>
      <w:pPr>
        <w:tabs>
          <w:tab w:val="left" w:pos="4860"/>
        </w:tabs>
        <w:spacing w:line="588" w:lineRule="exact"/>
        <w:ind w:right="1560" w:firstLine="504" w:firstLineChars="200"/>
        <w:jc w:val="righ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单位名称（盖章）：</w:t>
      </w:r>
      <w:r>
        <w:rPr>
          <w:rFonts w:hint="eastAsia" w:ascii="宋体" w:hAnsi="宋体" w:eastAsia="宋体" w:cs="宋体"/>
          <w:color w:val="auto"/>
          <w:sz w:val="24"/>
          <w:highlight w:val="none"/>
        </w:rPr>
        <w:t>______</w:t>
      </w:r>
    </w:p>
    <w:p>
      <w:pPr>
        <w:tabs>
          <w:tab w:val="left" w:pos="4860"/>
        </w:tabs>
        <w:spacing w:line="588" w:lineRule="exact"/>
        <w:ind w:right="1560" w:firstLine="504" w:firstLineChars="200"/>
        <w:jc w:val="righ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  期：</w:t>
      </w:r>
      <w:r>
        <w:rPr>
          <w:rFonts w:hint="eastAsia" w:ascii="宋体" w:hAnsi="宋体" w:eastAsia="宋体" w:cs="宋体"/>
          <w:color w:val="auto"/>
          <w:sz w:val="24"/>
          <w:highlight w:val="none"/>
        </w:rPr>
        <w:t>______</w:t>
      </w: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2-2 </w:t>
      </w:r>
      <w:r>
        <w:rPr>
          <w:rFonts w:hint="eastAsia" w:ascii="宋体" w:hAnsi="宋体" w:eastAsia="宋体" w:cs="宋体"/>
          <w:color w:val="auto"/>
          <w:sz w:val="24"/>
          <w:highlight w:val="none"/>
        </w:rPr>
        <w:t>其它落实政府采购政策的资格要求</w:t>
      </w:r>
      <w:r>
        <w:rPr>
          <w:rFonts w:hint="eastAsia" w:ascii="宋体" w:hAnsi="宋体" w:eastAsia="宋体" w:cs="宋体"/>
          <w:color w:val="auto"/>
          <w:sz w:val="24"/>
          <w:szCs w:val="20"/>
          <w:highlight w:val="none"/>
        </w:rPr>
        <w:t>（如有）</w:t>
      </w:r>
    </w:p>
    <w:p>
      <w:pPr>
        <w:widowControl/>
        <w:jc w:val="left"/>
        <w:rPr>
          <w:rFonts w:hint="eastAsia" w:ascii="宋体" w:hAnsi="宋体" w:eastAsia="宋体" w:cs="宋体"/>
          <w:color w:val="auto"/>
          <w:sz w:val="24"/>
          <w:highlight w:val="none"/>
        </w:rPr>
      </w:pP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 本项目的特定资格要求（如有）</w:t>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3-1 联合协议（如有）</w:t>
      </w: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联合协议</w:t>
      </w:r>
    </w:p>
    <w:p>
      <w:pPr>
        <w:spacing w:line="360" w:lineRule="auto"/>
        <w:ind w:firstLine="828" w:firstLineChars="345"/>
        <w:rPr>
          <w:rFonts w:hint="eastAsia" w:ascii="宋体" w:hAnsi="宋体" w:eastAsia="宋体" w:cs="宋体"/>
          <w:bCs/>
          <w:color w:val="auto"/>
          <w:highlight w:val="none"/>
        </w:rPr>
      </w:pP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 xml:space="preserve"> 、</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及</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就“</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（项目名称）</w:t>
      </w:r>
      <w:r>
        <w:rPr>
          <w:rFonts w:hint="eastAsia" w:ascii="宋体" w:hAnsi="宋体" w:eastAsia="宋体" w:cs="宋体"/>
          <w:color w:val="auto"/>
          <w:sz w:val="24"/>
          <w:highlight w:val="none"/>
        </w:rPr>
        <w:t>” ______包</w:t>
      </w:r>
      <w:r>
        <w:rPr>
          <w:rFonts w:hint="eastAsia" w:ascii="宋体" w:hAnsi="宋体" w:eastAsia="宋体" w:cs="宋体"/>
          <w:bCs/>
          <w:color w:val="auto"/>
          <w:sz w:val="24"/>
          <w:highlight w:val="none"/>
        </w:rPr>
        <w:t>采购项目的磋商事宜，经各方充分协商一致，达成如下协议：</w:t>
      </w:r>
    </w:p>
    <w:p>
      <w:pPr>
        <w:numPr>
          <w:ilvl w:val="0"/>
          <w:numId w:val="17"/>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由</w:t>
      </w:r>
      <w:r>
        <w:rPr>
          <w:rFonts w:hint="eastAsia" w:ascii="宋体" w:hAnsi="宋体" w:eastAsia="宋体" w:cs="宋体"/>
          <w:color w:val="auto"/>
          <w:sz w:val="24"/>
          <w:highlight w:val="none"/>
        </w:rPr>
        <w:t>____</w:t>
      </w:r>
      <w:r>
        <w:rPr>
          <w:rFonts w:hint="eastAsia" w:ascii="宋体" w:hAnsi="宋体" w:eastAsia="宋体" w:cs="宋体"/>
          <w:bCs/>
          <w:color w:val="auto"/>
          <w:sz w:val="24"/>
          <w:highlight w:val="none"/>
        </w:rPr>
        <w:t>__</w:t>
      </w:r>
      <w:r>
        <w:rPr>
          <w:rFonts w:hint="eastAsia" w:ascii="宋体" w:hAnsi="宋体" w:eastAsia="宋体" w:cs="宋体"/>
          <w:color w:val="auto"/>
          <w:sz w:val="24"/>
          <w:highlight w:val="none"/>
        </w:rPr>
        <w:t>__</w:t>
      </w:r>
      <w:r>
        <w:rPr>
          <w:rFonts w:hint="eastAsia" w:ascii="宋体" w:hAnsi="宋体" w:eastAsia="宋体" w:cs="宋体"/>
          <w:bCs/>
          <w:color w:val="auto"/>
          <w:sz w:val="24"/>
          <w:highlight w:val="none"/>
        </w:rPr>
        <w:t>牵头，</w:t>
      </w:r>
      <w:r>
        <w:rPr>
          <w:rFonts w:hint="eastAsia" w:ascii="宋体" w:hAnsi="宋体" w:eastAsia="宋体" w:cs="宋体"/>
          <w:color w:val="auto"/>
          <w:sz w:val="24"/>
          <w:highlight w:val="none"/>
        </w:rPr>
        <w:t>___</w:t>
      </w:r>
      <w:r>
        <w:rPr>
          <w:rFonts w:hint="eastAsia" w:ascii="宋体" w:hAnsi="宋体" w:eastAsia="宋体" w:cs="宋体"/>
          <w:bCs/>
          <w:color w:val="auto"/>
          <w:sz w:val="24"/>
          <w:highlight w:val="none"/>
        </w:rPr>
        <w:t>__</w:t>
      </w:r>
      <w:r>
        <w:rPr>
          <w:rFonts w:hint="eastAsia" w:ascii="宋体" w:hAnsi="宋体" w:eastAsia="宋体" w:cs="宋体"/>
          <w:color w:val="auto"/>
          <w:sz w:val="24"/>
          <w:highlight w:val="none"/>
        </w:rPr>
        <w:t>___</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___</w:t>
      </w:r>
      <w:r>
        <w:rPr>
          <w:rFonts w:hint="eastAsia" w:ascii="宋体" w:hAnsi="宋体" w:eastAsia="宋体" w:cs="宋体"/>
          <w:bCs/>
          <w:color w:val="auto"/>
          <w:sz w:val="24"/>
          <w:highlight w:val="none"/>
        </w:rPr>
        <w:t>__</w:t>
      </w:r>
      <w:r>
        <w:rPr>
          <w:rFonts w:hint="eastAsia" w:ascii="宋体" w:hAnsi="宋体" w:eastAsia="宋体" w:cs="宋体"/>
          <w:color w:val="auto"/>
          <w:sz w:val="24"/>
          <w:highlight w:val="none"/>
        </w:rPr>
        <w:t>___</w:t>
      </w:r>
      <w:r>
        <w:rPr>
          <w:rFonts w:hint="eastAsia" w:ascii="宋体" w:hAnsi="宋体" w:eastAsia="宋体" w:cs="宋体"/>
          <w:bCs/>
          <w:color w:val="auto"/>
          <w:sz w:val="24"/>
          <w:highlight w:val="none"/>
        </w:rPr>
        <w:t>参加，组成联合体共同进行采购项目的磋商工作。</w:t>
      </w:r>
    </w:p>
    <w:p>
      <w:pPr>
        <w:numPr>
          <w:ilvl w:val="0"/>
          <w:numId w:val="17"/>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联合体成交后，联合体各方共同与采购人签订合同，就</w:t>
      </w:r>
      <w:r>
        <w:rPr>
          <w:rFonts w:hint="eastAsia" w:ascii="宋体" w:hAnsi="宋体" w:eastAsia="宋体" w:cs="宋体"/>
          <w:color w:val="auto"/>
          <w:sz w:val="24"/>
          <w:szCs w:val="20"/>
          <w:highlight w:val="none"/>
        </w:rPr>
        <w:t>采购合同约定的事项</w:t>
      </w:r>
      <w:r>
        <w:rPr>
          <w:rFonts w:hint="eastAsia" w:ascii="宋体" w:hAnsi="宋体" w:eastAsia="宋体" w:cs="宋体"/>
          <w:bCs/>
          <w:color w:val="auto"/>
          <w:sz w:val="24"/>
          <w:highlight w:val="none"/>
        </w:rPr>
        <w:t>对采购人承担连带责任。</w:t>
      </w:r>
    </w:p>
    <w:p>
      <w:pPr>
        <w:numPr>
          <w:ilvl w:val="0"/>
          <w:numId w:val="17"/>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联合体各方均同意由牵头人代表其他联合体成员单位按竞争性磋商文件要求出具《授权委托书》。</w:t>
      </w:r>
    </w:p>
    <w:p>
      <w:pPr>
        <w:numPr>
          <w:ilvl w:val="0"/>
          <w:numId w:val="17"/>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牵头人为项目的总负责单位；组织各参加方进行项目实施工作。</w:t>
      </w:r>
    </w:p>
    <w:p>
      <w:pPr>
        <w:numPr>
          <w:ilvl w:val="0"/>
          <w:numId w:val="17"/>
        </w:num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负责</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，具体工作范围、内容以响应文件及合同为准。</w:t>
      </w:r>
    </w:p>
    <w:p>
      <w:pPr>
        <w:numPr>
          <w:ilvl w:val="0"/>
          <w:numId w:val="17"/>
        </w:num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负责</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，具体工作范围、内容以响应文件及合同为准。</w:t>
      </w:r>
    </w:p>
    <w:p>
      <w:pPr>
        <w:numPr>
          <w:ilvl w:val="0"/>
          <w:numId w:val="17"/>
        </w:num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负责</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（如有），具体工作范围、内容以响应文件及合同为准。</w:t>
      </w:r>
    </w:p>
    <w:p>
      <w:pPr>
        <w:numPr>
          <w:ilvl w:val="0"/>
          <w:numId w:val="17"/>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本项目联合协议合同总额为______元，联合体各成员按照如下比例分摊（按联合体成员分别列明）：</w:t>
      </w:r>
    </w:p>
    <w:p>
      <w:pPr>
        <w:tabs>
          <w:tab w:val="left" w:pos="720"/>
          <w:tab w:val="left" w:pos="900"/>
        </w:tabs>
        <w:spacing w:line="360" w:lineRule="auto"/>
        <w:ind w:left="85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为□大型企业□中型企业、□小微企业（包含监狱企业、残疾人福利性单位）、□其他，合同金额为</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元；</w:t>
      </w:r>
    </w:p>
    <w:p>
      <w:pPr>
        <w:tabs>
          <w:tab w:val="left" w:pos="720"/>
          <w:tab w:val="left" w:pos="900"/>
        </w:tabs>
        <w:spacing w:line="360" w:lineRule="auto"/>
        <w:ind w:left="85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为□大型企业□中型企业、□小微企业（包含监狱企业、残疾人福利性单位）、□其他，合同金额为</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元；</w:t>
      </w:r>
    </w:p>
    <w:p>
      <w:pPr>
        <w:tabs>
          <w:tab w:val="left" w:pos="720"/>
          <w:tab w:val="left" w:pos="900"/>
        </w:tabs>
        <w:spacing w:line="360" w:lineRule="auto"/>
        <w:ind w:left="85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为□大型企业□中型企业、□小微企业（包含监狱企业、残疾人福利性单位）、□其他，合同金额为</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元。</w:t>
      </w:r>
    </w:p>
    <w:p>
      <w:pPr>
        <w:numPr>
          <w:ilvl w:val="0"/>
          <w:numId w:val="17"/>
        </w:numPr>
        <w:tabs>
          <w:tab w:val="left" w:pos="993"/>
        </w:tabs>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szCs w:val="20"/>
          <w:highlight w:val="none"/>
        </w:rPr>
        <w:t>以联合体形式参加政府采购活动的，联合体各方不得再单独参加或者与其他供应商另外组成联合体参加同一合同项下的政府采购活动。</w:t>
      </w:r>
    </w:p>
    <w:p>
      <w:pPr>
        <w:numPr>
          <w:ilvl w:val="0"/>
          <w:numId w:val="17"/>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其他约定（如有）：</w:t>
      </w:r>
      <w:r>
        <w:rPr>
          <w:rFonts w:hint="eastAsia" w:ascii="宋体" w:hAnsi="宋体" w:eastAsia="宋体" w:cs="宋体"/>
          <w:color w:val="auto"/>
          <w:sz w:val="24"/>
          <w:highlight w:val="none"/>
        </w:rPr>
        <w:t>______。</w:t>
      </w:r>
    </w:p>
    <w:p>
      <w:pPr>
        <w:tabs>
          <w:tab w:val="left" w:pos="780"/>
        </w:tabs>
        <w:spacing w:line="360" w:lineRule="auto"/>
        <w:ind w:left="180"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本协议自各方盖章后生效，采购合同履行完毕后自动失效。如未成交，本协议自动终止。</w:t>
      </w:r>
    </w:p>
    <w:p>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联合体牵头人名称：</w:t>
      </w:r>
      <w:r>
        <w:rPr>
          <w:rFonts w:hint="eastAsia" w:ascii="宋体" w:hAnsi="宋体" w:eastAsia="宋体" w:cs="宋体"/>
          <w:color w:val="auto"/>
          <w:sz w:val="24"/>
          <w:szCs w:val="20"/>
          <w:highlight w:val="none"/>
        </w:rPr>
        <w:t>______</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联合体成员名称：</w:t>
      </w:r>
      <w:r>
        <w:rPr>
          <w:rFonts w:hint="eastAsia" w:ascii="宋体" w:hAnsi="宋体" w:eastAsia="宋体" w:cs="宋体"/>
          <w:color w:val="auto"/>
          <w:sz w:val="24"/>
          <w:szCs w:val="20"/>
          <w:highlight w:val="none"/>
        </w:rPr>
        <w:t>______</w:t>
      </w:r>
    </w:p>
    <w:p>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r>
        <w:rPr>
          <w:rFonts w:hint="eastAsia" w:ascii="宋体" w:hAnsi="宋体" w:eastAsia="宋体" w:cs="宋体"/>
          <w:color w:val="auto"/>
          <w:sz w:val="24"/>
          <w:szCs w:val="20"/>
          <w:highlight w:val="none"/>
        </w:rPr>
        <w:t>______</w:t>
      </w:r>
      <w:r>
        <w:rPr>
          <w:rFonts w:hint="eastAsia" w:ascii="宋体" w:hAnsi="宋体" w:eastAsia="宋体" w:cs="宋体"/>
          <w:color w:val="auto"/>
          <w:sz w:val="24"/>
          <w:highlight w:val="none"/>
        </w:rPr>
        <w:t xml:space="preserve">                           盖章：</w:t>
      </w:r>
      <w:r>
        <w:rPr>
          <w:rFonts w:hint="eastAsia" w:ascii="宋体" w:hAnsi="宋体" w:eastAsia="宋体" w:cs="宋体"/>
          <w:color w:val="auto"/>
          <w:sz w:val="24"/>
          <w:szCs w:val="20"/>
          <w:highlight w:val="none"/>
        </w:rPr>
        <w:t>______</w:t>
      </w:r>
    </w:p>
    <w:p>
      <w:pPr>
        <w:spacing w:line="360" w:lineRule="auto"/>
        <w:ind w:firstLine="471"/>
        <w:rPr>
          <w:rFonts w:hint="eastAsia" w:ascii="宋体" w:hAnsi="宋体" w:eastAsia="宋体" w:cs="宋体"/>
          <w:color w:val="auto"/>
          <w:sz w:val="24"/>
          <w:highlight w:val="none"/>
        </w:rPr>
      </w:pPr>
    </w:p>
    <w:p>
      <w:pPr>
        <w:spacing w:line="360" w:lineRule="auto"/>
        <w:ind w:firstLine="471"/>
        <w:rPr>
          <w:rFonts w:hint="eastAsia" w:ascii="宋体" w:hAnsi="宋体" w:eastAsia="宋体" w:cs="宋体"/>
          <w:color w:val="auto"/>
          <w:sz w:val="24"/>
          <w:highlight w:val="none"/>
        </w:rPr>
      </w:pPr>
    </w:p>
    <w:p>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联合体成员名称：</w:t>
      </w:r>
      <w:r>
        <w:rPr>
          <w:rFonts w:hint="eastAsia" w:ascii="宋体" w:hAnsi="宋体" w:eastAsia="宋体" w:cs="宋体"/>
          <w:color w:val="auto"/>
          <w:sz w:val="24"/>
          <w:szCs w:val="20"/>
          <w:highlight w:val="none"/>
        </w:rPr>
        <w:t>______</w:t>
      </w:r>
    </w:p>
    <w:p>
      <w:pPr>
        <w:widowControl/>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r>
        <w:rPr>
          <w:rFonts w:hint="eastAsia" w:ascii="宋体" w:hAnsi="宋体" w:eastAsia="宋体" w:cs="宋体"/>
          <w:color w:val="auto"/>
          <w:sz w:val="24"/>
          <w:szCs w:val="20"/>
          <w:highlight w:val="none"/>
        </w:rPr>
        <w:t>______</w:t>
      </w:r>
      <w:r>
        <w:rPr>
          <w:rFonts w:hint="eastAsia" w:ascii="宋体" w:hAnsi="宋体" w:eastAsia="宋体" w:cs="宋体"/>
          <w:color w:val="auto"/>
          <w:sz w:val="24"/>
          <w:highlight w:val="none"/>
        </w:rPr>
        <w:t xml:space="preserve">         </w:t>
      </w:r>
    </w:p>
    <w:p>
      <w:pPr>
        <w:spacing w:line="360" w:lineRule="auto"/>
        <w:ind w:left="480"/>
        <w:jc w:val="right"/>
        <w:rPr>
          <w:rFonts w:hint="eastAsia" w:ascii="宋体" w:hAnsi="宋体" w:eastAsia="宋体" w:cs="宋体"/>
          <w:color w:val="auto"/>
          <w:sz w:val="24"/>
          <w:highlight w:val="none"/>
        </w:rPr>
      </w:pPr>
    </w:p>
    <w:p>
      <w:pPr>
        <w:spacing w:line="360" w:lineRule="auto"/>
        <w:ind w:left="480"/>
        <w:jc w:val="right"/>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日期：</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年</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月</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日</w:t>
      </w:r>
    </w:p>
    <w:p>
      <w:pPr>
        <w:spacing w:line="360" w:lineRule="auto"/>
        <w:ind w:left="480"/>
        <w:jc w:val="right"/>
        <w:rPr>
          <w:rFonts w:hint="eastAsia" w:ascii="宋体" w:hAnsi="宋体" w:eastAsia="宋体" w:cs="宋体"/>
          <w:b/>
          <w:color w:val="auto"/>
          <w:sz w:val="24"/>
          <w:highlight w:val="none"/>
        </w:rPr>
      </w:pPr>
    </w:p>
    <w:p>
      <w:pPr>
        <w:tabs>
          <w:tab w:val="left" w:pos="8280"/>
        </w:tabs>
        <w:spacing w:line="360" w:lineRule="auto"/>
        <w:ind w:firstLine="480"/>
        <w:rPr>
          <w:rFonts w:hint="eastAsia" w:ascii="宋体" w:hAnsi="宋体" w:eastAsia="宋体" w:cs="宋体"/>
          <w:color w:val="auto"/>
          <w:sz w:val="24"/>
          <w:highlight w:val="none"/>
        </w:rPr>
      </w:pPr>
    </w:p>
    <w:p>
      <w:pPr>
        <w:tabs>
          <w:tab w:val="left" w:pos="8280"/>
        </w:tabs>
        <w:spacing w:line="360" w:lineRule="auto"/>
        <w:ind w:firstLine="480"/>
        <w:rPr>
          <w:rFonts w:hint="eastAsia" w:ascii="宋体" w:hAnsi="宋体" w:eastAsia="宋体" w:cs="宋体"/>
          <w:color w:val="auto"/>
          <w:sz w:val="24"/>
          <w:highlight w:val="none"/>
        </w:rPr>
      </w:pPr>
    </w:p>
    <w:p>
      <w:pPr>
        <w:spacing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 如本项目（包）接受供应商以联合体形式参加采购活动，且供应商以联合体形式参与时，须提供《联合协议》，否则</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spacing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 联合体各方成员须在本协议上共同盖章。</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3-2 其他特定资格要求</w:t>
      </w:r>
    </w:p>
    <w:p>
      <w:pPr>
        <w:tabs>
          <w:tab w:val="left" w:pos="5580"/>
        </w:tabs>
        <w:spacing w:line="360" w:lineRule="auto"/>
        <w:rPr>
          <w:rFonts w:hint="eastAsia" w:ascii="宋体" w:hAnsi="宋体" w:eastAsia="宋体" w:cs="宋体"/>
          <w:color w:val="auto"/>
          <w:sz w:val="24"/>
          <w:highlight w:val="none"/>
        </w:rPr>
      </w:pP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如有，见第一章《采购邀请》</w:t>
      </w:r>
      <w:r>
        <w:rPr>
          <w:rFonts w:hint="eastAsia" w:ascii="宋体" w:hAnsi="宋体" w:eastAsia="宋体" w:cs="宋体"/>
          <w:color w:val="auto"/>
          <w:sz w:val="24"/>
          <w:szCs w:val="20"/>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4 磋商保证金凭证/交款单据电子件</w:t>
      </w:r>
    </w:p>
    <w:p>
      <w:pPr>
        <w:widowControl/>
        <w:jc w:val="left"/>
        <w:rPr>
          <w:rFonts w:hint="eastAsia" w:ascii="宋体" w:hAnsi="宋体" w:eastAsia="宋体" w:cs="宋体"/>
          <w:color w:val="auto"/>
          <w:kern w:val="0"/>
          <w:sz w:val="24"/>
          <w:szCs w:val="20"/>
          <w:highlight w:val="none"/>
        </w:rPr>
      </w:pPr>
      <w:r>
        <w:rPr>
          <w:rFonts w:hint="eastAsia" w:ascii="宋体" w:hAnsi="宋体" w:eastAsia="宋体" w:cs="宋体"/>
          <w:b/>
          <w:color w:val="auto"/>
          <w:sz w:val="24"/>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bookmarkStart w:id="623" w:name="_Hlt520343000"/>
      <w:bookmarkEnd w:id="623"/>
      <w:bookmarkStart w:id="624" w:name="_Hlt520273711"/>
      <w:bookmarkEnd w:id="624"/>
      <w:bookmarkStart w:id="625" w:name="_Hlt520274121"/>
      <w:bookmarkEnd w:id="625"/>
      <w:bookmarkStart w:id="626" w:name="_Hlt520350918"/>
      <w:bookmarkEnd w:id="626"/>
      <w:bookmarkStart w:id="627" w:name="_Hlt520271212"/>
      <w:bookmarkEnd w:id="627"/>
      <w:bookmarkStart w:id="628" w:name="_Hlt520274065"/>
      <w:bookmarkEnd w:id="628"/>
      <w:bookmarkStart w:id="629" w:name="_Hlt520355504"/>
      <w:bookmarkEnd w:id="629"/>
      <w:bookmarkStart w:id="630" w:name="_Hlt520274393"/>
      <w:bookmarkEnd w:id="630"/>
      <w:bookmarkStart w:id="631" w:name="_Hlt520274407"/>
      <w:bookmarkEnd w:id="631"/>
      <w:bookmarkStart w:id="632" w:name="_Hlt520343392"/>
      <w:bookmarkEnd w:id="632"/>
      <w:bookmarkStart w:id="633" w:name="_Ref467988698"/>
      <w:bookmarkStart w:id="634" w:name="_Toc480942349"/>
      <w:bookmarkStart w:id="635" w:name="_Toc226309800"/>
      <w:bookmarkStart w:id="636" w:name="_Toc226337252"/>
      <w:bookmarkStart w:id="637" w:name="_Toc226965829"/>
      <w:bookmarkStart w:id="638" w:name="_Toc127151556"/>
      <w:bookmarkStart w:id="639" w:name="_Toc226965746"/>
      <w:bookmarkStart w:id="640" w:name="_Toc150480794"/>
      <w:bookmarkStart w:id="641" w:name="_Toc195842921"/>
      <w:bookmarkStart w:id="642" w:name="_Toc520356217"/>
      <w:bookmarkStart w:id="643" w:name="_Toc150774761"/>
      <w:bookmarkStart w:id="644" w:name="_Toc142311058"/>
      <w:r>
        <w:rPr>
          <w:rFonts w:hint="eastAsia" w:ascii="宋体" w:hAnsi="宋体" w:eastAsia="宋体" w:cs="宋体"/>
          <w:color w:val="auto"/>
          <w:sz w:val="24"/>
          <w:highlight w:val="none"/>
        </w:rPr>
        <w:t xml:space="preserve">5  </w:t>
      </w:r>
      <w:bookmarkEnd w:id="633"/>
      <w:bookmarkEnd w:id="634"/>
      <w:r>
        <w:rPr>
          <w:rFonts w:hint="eastAsia" w:ascii="宋体" w:hAnsi="宋体" w:eastAsia="宋体" w:cs="宋体"/>
          <w:color w:val="auto"/>
          <w:sz w:val="24"/>
          <w:highlight w:val="none"/>
        </w:rPr>
        <w:t>响应书</w:t>
      </w:r>
      <w:bookmarkEnd w:id="635"/>
      <w:bookmarkEnd w:id="636"/>
      <w:bookmarkEnd w:id="637"/>
      <w:bookmarkEnd w:id="638"/>
      <w:bookmarkEnd w:id="639"/>
      <w:bookmarkEnd w:id="640"/>
      <w:bookmarkEnd w:id="641"/>
      <w:bookmarkEnd w:id="642"/>
      <w:bookmarkEnd w:id="643"/>
      <w:bookmarkEnd w:id="644"/>
      <w:r>
        <w:rPr>
          <w:rFonts w:hint="eastAsia" w:ascii="宋体" w:hAnsi="宋体" w:eastAsia="宋体" w:cs="宋体"/>
          <w:color w:val="auto"/>
          <w:sz w:val="24"/>
          <w:highlight w:val="none"/>
        </w:rPr>
        <w:t>（实质性格式）</w:t>
      </w:r>
    </w:p>
    <w:p>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响应书</w:t>
      </w:r>
    </w:p>
    <w:p>
      <w:pPr>
        <w:keepNext w:val="0"/>
        <w:keepLines w:val="0"/>
        <w:pageBreakBefore w:val="0"/>
        <w:widowControl w:val="0"/>
        <w:tabs>
          <w:tab w:val="left" w:pos="5580"/>
        </w:tabs>
        <w:kinsoku/>
        <w:wordWrap/>
        <w:overflowPunct/>
        <w:topLinePunct w:val="0"/>
        <w:bidi w:val="0"/>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（采购人或采购代理机构）</w:t>
      </w:r>
    </w:p>
    <w:p>
      <w:pPr>
        <w:keepNext w:val="0"/>
        <w:keepLines w:val="0"/>
        <w:pageBreakBefore w:val="0"/>
        <w:widowControl w:val="0"/>
        <w:tabs>
          <w:tab w:val="left" w:pos="5580"/>
        </w:tabs>
        <w:kinsoku/>
        <w:wordWrap/>
        <w:overflowPunct/>
        <w:topLinePunct w:val="0"/>
        <w:bidi w:val="0"/>
        <w:snapToGrid w:val="0"/>
        <w:spacing w:after="0" w:line="360" w:lineRule="auto"/>
        <w:textAlignment w:val="auto"/>
        <w:rPr>
          <w:rFonts w:hint="eastAsia" w:ascii="宋体" w:hAnsi="宋体" w:eastAsia="宋体" w:cs="宋体"/>
          <w:color w:val="auto"/>
          <w:sz w:val="24"/>
          <w:szCs w:val="20"/>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我方参加你方就 ______ （项目名称，项目编号 / 包号）组织的采购活动，并对此项目进行磋商。</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1. 我方已详细审查全部竞争性磋商文件，自愿参与磋商并承诺如下：</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 1 ）本响应有效期为自响应文件提交截止之日起 ______ 个日历日。</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 2 ）除合同条款及采购需求偏离表列出的偏离外，我方响应竞争性磋商文件的全部要求。</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 3 ）我方已提供的全部文件资料是真实、准确的，并对此承担一切法律后果。</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 4 ）如我方成交，我方将在法律规定的期限内与你方签订合同，按照竞争性磋商文件要求提交履约保证金，并在合同约定的期限内完成合同规定的全部义务。</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2. 其他补充条款（如有）： ______ 。</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与本磋商有关的一切正式往来信函请寄：</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地址 _________________________ 传 真 _________________________</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电话 _________________________ 电子函件 _________________________</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供应商名称（加盖公章）： ______</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日期： ____ 年 ____ 月 ____ 日</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bookmarkStart w:id="645" w:name="_Hlt520356243"/>
      <w:bookmarkEnd w:id="645"/>
      <w:bookmarkStart w:id="646" w:name="_Hlt520355938"/>
      <w:bookmarkEnd w:id="646"/>
      <w:bookmarkStart w:id="647" w:name="_Toc127151557"/>
      <w:bookmarkStart w:id="648" w:name="_Toc226965830"/>
      <w:bookmarkStart w:id="649" w:name="_Toc305158825"/>
      <w:bookmarkStart w:id="650" w:name="_Toc480942350"/>
      <w:bookmarkStart w:id="651" w:name="_Toc150774762"/>
      <w:bookmarkStart w:id="652" w:name="_Toc226337253"/>
      <w:bookmarkStart w:id="653" w:name="_Ref467988705"/>
      <w:bookmarkStart w:id="654" w:name="_Toc305158899"/>
      <w:bookmarkStart w:id="655" w:name="_Toc142311059"/>
      <w:bookmarkStart w:id="656" w:name="_Toc150480795"/>
      <w:bookmarkStart w:id="657" w:name="_Toc265228395"/>
      <w:bookmarkStart w:id="658" w:name="_Toc226965747"/>
      <w:bookmarkStart w:id="659" w:name="_Toc226309801"/>
      <w:bookmarkStart w:id="660" w:name="_Toc520356218"/>
      <w:bookmarkStart w:id="661" w:name="_Toc195842922"/>
      <w:bookmarkStart w:id="662" w:name="_Toc264969247"/>
      <w:r>
        <w:rPr>
          <w:rFonts w:hint="eastAsia" w:ascii="宋体" w:hAnsi="宋体" w:eastAsia="宋体" w:cs="宋体"/>
          <w:color w:val="auto"/>
          <w:sz w:val="24"/>
          <w:highlight w:val="none"/>
        </w:rPr>
        <w:t>6  授权委托书（实质性格式）</w:t>
      </w: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授权委托书</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委托期限：自本授权委托书签署之日起至响应有效期届满之日止。</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代理人无转委托权。</w:t>
      </w:r>
      <w:r>
        <w:rPr>
          <w:rFonts w:hint="eastAsia" w:ascii="宋体" w:hAnsi="宋体" w:eastAsia="宋体" w:cs="宋体"/>
          <w:color w:val="auto"/>
          <w:sz w:val="24"/>
          <w:szCs w:val="20"/>
          <w:highlight w:val="none"/>
        </w:rPr>
        <w:cr/>
      </w:r>
    </w:p>
    <w:p>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szCs w:val="20"/>
          <w:highlight w:val="none"/>
        </w:rPr>
        <w:t>______________</w:t>
      </w: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法定代表人（单位负责人）（签字或签章）：______________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委托代理人（签字</w:t>
      </w:r>
      <w:r>
        <w:rPr>
          <w:rFonts w:hint="eastAsia" w:ascii="宋体" w:hAnsi="宋体" w:eastAsia="宋体" w:cs="宋体"/>
          <w:color w:val="auto"/>
          <w:sz w:val="24"/>
          <w:szCs w:val="20"/>
          <w:highlight w:val="none"/>
        </w:rPr>
        <w:t>或签章</w:t>
      </w:r>
      <w:r>
        <w:rPr>
          <w:rFonts w:hint="eastAsia" w:ascii="宋体" w:hAnsi="宋体" w:eastAsia="宋体" w:cs="宋体"/>
          <w:color w:val="auto"/>
          <w:sz w:val="24"/>
          <w:highlight w:val="none"/>
        </w:rPr>
        <w:t>）：</w:t>
      </w:r>
      <w:r>
        <w:rPr>
          <w:rFonts w:hint="eastAsia" w:ascii="宋体" w:hAnsi="宋体" w:eastAsia="宋体" w:cs="宋体"/>
          <w:color w:val="auto"/>
          <w:sz w:val="24"/>
          <w:szCs w:val="20"/>
          <w:highlight w:val="none"/>
        </w:rPr>
        <w:t>______________</w:t>
      </w:r>
      <w:r>
        <w:rPr>
          <w:rFonts w:hint="eastAsia" w:ascii="宋体" w:hAnsi="宋体" w:eastAsia="宋体" w:cs="宋体"/>
          <w:color w:val="auto"/>
          <w:sz w:val="24"/>
          <w:highlight w:val="none"/>
          <w:lang w:val="zh-CN"/>
        </w:rPr>
        <w:t xml:space="preserve">        </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w:t>
      </w:r>
      <w:r>
        <w:rPr>
          <w:rFonts w:hint="eastAsia" w:ascii="宋体" w:hAnsi="宋体" w:eastAsia="宋体" w:cs="宋体"/>
          <w:color w:val="auto"/>
          <w:sz w:val="24"/>
          <w:szCs w:val="20"/>
          <w:highlight w:val="none"/>
        </w:rPr>
        <w:t>____</w:t>
      </w:r>
      <w:r>
        <w:rPr>
          <w:rFonts w:hint="eastAsia" w:ascii="宋体" w:hAnsi="宋体" w:eastAsia="宋体" w:cs="宋体"/>
          <w:color w:val="auto"/>
          <w:sz w:val="24"/>
          <w:highlight w:val="none"/>
        </w:rPr>
        <w:t>年</w:t>
      </w:r>
      <w:r>
        <w:rPr>
          <w:rFonts w:hint="eastAsia" w:ascii="宋体" w:hAnsi="宋体" w:eastAsia="宋体" w:cs="宋体"/>
          <w:color w:val="auto"/>
          <w:sz w:val="24"/>
          <w:szCs w:val="20"/>
          <w:highlight w:val="none"/>
        </w:rPr>
        <w:t>____</w:t>
      </w:r>
      <w:r>
        <w:rPr>
          <w:rFonts w:hint="eastAsia" w:ascii="宋体" w:hAnsi="宋体" w:eastAsia="宋体" w:cs="宋体"/>
          <w:color w:val="auto"/>
          <w:sz w:val="24"/>
          <w:highlight w:val="none"/>
        </w:rPr>
        <w:t>月</w:t>
      </w:r>
      <w:r>
        <w:rPr>
          <w:rFonts w:hint="eastAsia" w:ascii="宋体" w:hAnsi="宋体" w:eastAsia="宋体" w:cs="宋体"/>
          <w:color w:val="auto"/>
          <w:sz w:val="24"/>
          <w:szCs w:val="20"/>
          <w:highlight w:val="none"/>
        </w:rPr>
        <w:t>____</w:t>
      </w:r>
      <w:r>
        <w:rPr>
          <w:rFonts w:hint="eastAsia" w:ascii="宋体" w:hAnsi="宋体" w:eastAsia="宋体" w:cs="宋体"/>
          <w:color w:val="auto"/>
          <w:sz w:val="24"/>
          <w:highlight w:val="none"/>
        </w:rPr>
        <w:t>日</w:t>
      </w:r>
    </w:p>
    <w:p>
      <w:pPr>
        <w:tabs>
          <w:tab w:val="left" w:pos="5580"/>
        </w:tabs>
        <w:spacing w:line="360" w:lineRule="auto"/>
        <w:ind w:firstLine="480" w:firstLineChars="200"/>
        <w:rPr>
          <w:rFonts w:hint="eastAsia" w:ascii="宋体" w:hAnsi="宋体" w:eastAsia="宋体" w:cs="宋体"/>
          <w:color w:val="auto"/>
          <w:sz w:val="24"/>
          <w:szCs w:val="20"/>
          <w:highlight w:val="none"/>
        </w:rPr>
      </w:pPr>
    </w:p>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附：法定代表人及委托代理人身份证明文件电子件：</w:t>
      </w:r>
    </w:p>
    <w:tbl>
      <w:tblPr>
        <w:tblStyle w:val="46"/>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9" w:hRule="atLeast"/>
        </w:trPr>
        <w:tc>
          <w:tcPr>
            <w:tcW w:w="8296" w:type="dxa"/>
          </w:tcPr>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szCs w:val="20"/>
                <w:highlight w:val="none"/>
              </w:rPr>
            </w:pPr>
          </w:p>
        </w:tc>
      </w:tr>
    </w:tbl>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1.若供应商为事业单位或其他组织或分支机构，则法定代表人（单位负责人）处的签署人可为单位负责人。</w:t>
      </w:r>
    </w:p>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3.供应商为自然人的情形，可不提供本《授权委托书》。</w:t>
      </w:r>
    </w:p>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24"/>
          <w:szCs w:val="20"/>
          <w:highlight w:val="none"/>
        </w:rPr>
        <w:t>4.供应商应随本《授权委托书》同时提供法定代表人（单位负责人）及委托代理人的有效的身份证、护照等身份证明文件电子件。提供身份证的，应同时提供身份证</w:t>
      </w:r>
      <w:r>
        <w:rPr>
          <w:rFonts w:hint="eastAsia" w:ascii="宋体" w:hAnsi="宋体" w:eastAsia="宋体" w:cs="宋体"/>
          <w:b/>
          <w:color w:val="auto"/>
          <w:sz w:val="24"/>
          <w:szCs w:val="20"/>
          <w:highlight w:val="none"/>
        </w:rPr>
        <w:t>双面</w:t>
      </w:r>
      <w:r>
        <w:rPr>
          <w:rFonts w:hint="eastAsia" w:ascii="宋体" w:hAnsi="宋体" w:eastAsia="宋体" w:cs="宋体"/>
          <w:color w:val="auto"/>
          <w:sz w:val="24"/>
          <w:szCs w:val="20"/>
          <w:highlight w:val="none"/>
        </w:rPr>
        <w:t>电子件。</w:t>
      </w:r>
      <w:r>
        <w:rPr>
          <w:rFonts w:hint="eastAsia" w:ascii="宋体" w:hAnsi="宋体" w:eastAsia="宋体" w:cs="宋体"/>
          <w:color w:val="auto"/>
          <w:sz w:val="30"/>
          <w:szCs w:val="30"/>
          <w:highlight w:val="none"/>
        </w:rPr>
        <w:br w:type="page"/>
      </w: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法定代表人（单位负责人）身份证明</w:t>
      </w:r>
    </w:p>
    <w:p>
      <w:pPr>
        <w:kinsoku w:val="0"/>
        <w:overflowPunct w:val="0"/>
        <w:spacing w:line="200" w:lineRule="exact"/>
        <w:rPr>
          <w:rFonts w:hint="eastAsia" w:ascii="宋体" w:hAnsi="宋体" w:eastAsia="宋体" w:cs="宋体"/>
          <w:color w:val="auto"/>
          <w:sz w:val="20"/>
          <w:szCs w:val="20"/>
          <w:highlight w:val="none"/>
        </w:rPr>
      </w:pP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szCs w:val="20"/>
          <w:highlight w:val="none"/>
        </w:rPr>
        <w:t>____</w:t>
      </w:r>
      <w:r>
        <w:rPr>
          <w:rFonts w:hint="eastAsia" w:ascii="宋体" w:hAnsi="宋体" w:eastAsia="宋体" w:cs="宋体"/>
          <w:color w:val="auto"/>
          <w:sz w:val="24"/>
          <w:highlight w:val="none"/>
        </w:rPr>
        <w:t>（采购人或采购代理机构）</w:t>
      </w:r>
    </w:p>
    <w:p>
      <w:pPr>
        <w:pStyle w:val="2"/>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兹证明，</w:t>
      </w:r>
    </w:p>
    <w:p>
      <w:pPr>
        <w:pStyle w:val="2"/>
        <w:tabs>
          <w:tab w:val="left" w:pos="1690"/>
          <w:tab w:val="left" w:pos="3400"/>
          <w:tab w:val="left" w:pos="5110"/>
          <w:tab w:val="left" w:pos="6821"/>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szCs w:val="20"/>
          <w:highlight w:val="none"/>
        </w:rPr>
        <w:t>____</w:t>
      </w:r>
      <w:r>
        <w:rPr>
          <w:rFonts w:hint="eastAsia" w:ascii="宋体" w:hAnsi="宋体" w:eastAsia="宋体" w:cs="宋体"/>
          <w:color w:val="auto"/>
          <w:highlight w:val="none"/>
        </w:rPr>
        <w:t>性别：</w:t>
      </w:r>
      <w:r>
        <w:rPr>
          <w:rFonts w:hint="eastAsia" w:ascii="宋体" w:hAnsi="宋体" w:eastAsia="宋体" w:cs="宋体"/>
          <w:color w:val="auto"/>
          <w:szCs w:val="20"/>
          <w:highlight w:val="none"/>
        </w:rPr>
        <w:t>____</w:t>
      </w:r>
      <w:r>
        <w:rPr>
          <w:rFonts w:hint="eastAsia" w:ascii="宋体" w:hAnsi="宋体" w:eastAsia="宋体" w:cs="宋体"/>
          <w:color w:val="auto"/>
          <w:highlight w:val="none"/>
        </w:rPr>
        <w:t>年龄：</w:t>
      </w:r>
      <w:r>
        <w:rPr>
          <w:rFonts w:hint="eastAsia" w:ascii="宋体" w:hAnsi="宋体" w:eastAsia="宋体" w:cs="宋体"/>
          <w:color w:val="auto"/>
          <w:szCs w:val="20"/>
          <w:highlight w:val="none"/>
        </w:rPr>
        <w:t>____</w:t>
      </w:r>
      <w:r>
        <w:rPr>
          <w:rFonts w:hint="eastAsia" w:ascii="宋体" w:hAnsi="宋体" w:eastAsia="宋体" w:cs="宋体"/>
          <w:color w:val="auto"/>
          <w:highlight w:val="none"/>
        </w:rPr>
        <w:t>职务：</w:t>
      </w:r>
      <w:r>
        <w:rPr>
          <w:rFonts w:hint="eastAsia" w:ascii="宋体" w:hAnsi="宋体" w:eastAsia="宋体" w:cs="宋体"/>
          <w:color w:val="auto"/>
          <w:szCs w:val="20"/>
          <w:highlight w:val="none"/>
        </w:rPr>
        <w:t>____</w:t>
      </w: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szCs w:val="20"/>
          <w:highlight w:val="none"/>
        </w:rPr>
        <w:t>__________</w:t>
      </w:r>
      <w:r>
        <w:rPr>
          <w:rFonts w:hint="eastAsia" w:ascii="宋体" w:hAnsi="宋体" w:eastAsia="宋体" w:cs="宋体"/>
          <w:color w:val="auto"/>
          <w:highlight w:val="none"/>
        </w:rPr>
        <w:t>（供应商名称）的法定代表人（单位负责人）。</w:t>
      </w: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kinsoku w:val="0"/>
        <w:overflowPunct w:val="0"/>
        <w:spacing w:line="583" w:lineRule="auto"/>
        <w:ind w:right="-46"/>
        <w:rPr>
          <w:rFonts w:hint="eastAsia" w:ascii="宋体" w:hAnsi="宋体" w:eastAsia="宋体" w:cs="宋体"/>
          <w:color w:val="auto"/>
          <w:szCs w:val="20"/>
          <w:highlight w:val="none"/>
        </w:rPr>
      </w:pPr>
      <w:r>
        <w:rPr>
          <w:rFonts w:hint="eastAsia" w:ascii="宋体" w:hAnsi="宋体" w:eastAsia="宋体" w:cs="宋体"/>
          <w:color w:val="auto"/>
          <w:szCs w:val="20"/>
          <w:highlight w:val="none"/>
        </w:rPr>
        <w:t>附：法定代表人（单位负责人）身份证、护照等身份证明文件电子件：</w:t>
      </w:r>
    </w:p>
    <w:tbl>
      <w:tblPr>
        <w:tblStyle w:val="46"/>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67" w:hRule="atLeast"/>
        </w:trPr>
        <w:tc>
          <w:tcPr>
            <w:tcW w:w="9062" w:type="dxa"/>
          </w:tcPr>
          <w:p>
            <w:pPr>
              <w:pStyle w:val="2"/>
              <w:kinsoku w:val="0"/>
              <w:overflowPunct w:val="0"/>
              <w:spacing w:line="583" w:lineRule="auto"/>
              <w:ind w:right="-46"/>
              <w:rPr>
                <w:rFonts w:hint="eastAsia" w:ascii="宋体" w:hAnsi="宋体" w:eastAsia="宋体" w:cs="宋体"/>
                <w:color w:val="auto"/>
                <w:szCs w:val="20"/>
                <w:highlight w:val="none"/>
              </w:rPr>
            </w:pPr>
          </w:p>
        </w:tc>
      </w:tr>
    </w:tbl>
    <w:p>
      <w:pPr>
        <w:pStyle w:val="2"/>
        <w:kinsoku w:val="0"/>
        <w:overflowPunct w:val="0"/>
        <w:spacing w:line="583" w:lineRule="auto"/>
        <w:ind w:right="4305"/>
        <w:rPr>
          <w:rFonts w:hint="eastAsia" w:ascii="宋体" w:hAnsi="宋体" w:eastAsia="宋体" w:cs="宋体"/>
          <w:color w:val="auto"/>
          <w:spacing w:val="-3"/>
          <w:highlight w:val="none"/>
        </w:rPr>
      </w:pP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pacing w:val="-3"/>
          <w:sz w:val="24"/>
          <w:highlight w:val="none"/>
        </w:rPr>
        <w:t>法定代表人（</w:t>
      </w:r>
      <w:r>
        <w:rPr>
          <w:rFonts w:hint="eastAsia" w:ascii="宋体" w:hAnsi="宋体" w:eastAsia="宋体" w:cs="宋体"/>
          <w:color w:val="auto"/>
          <w:sz w:val="24"/>
          <w:highlight w:val="none"/>
        </w:rPr>
        <w:t>单位负责人</w:t>
      </w:r>
      <w:r>
        <w:rPr>
          <w:rFonts w:hint="eastAsia" w:ascii="宋体" w:hAnsi="宋体" w:eastAsia="宋体" w:cs="宋体"/>
          <w:color w:val="auto"/>
          <w:spacing w:val="-3"/>
          <w:sz w:val="24"/>
          <w:highlight w:val="none"/>
        </w:rPr>
        <w:t>）（签字</w:t>
      </w:r>
      <w:r>
        <w:rPr>
          <w:rFonts w:hint="eastAsia" w:ascii="宋体" w:hAnsi="宋体" w:eastAsia="宋体" w:cs="宋体"/>
          <w:color w:val="auto"/>
          <w:sz w:val="24"/>
          <w:szCs w:val="20"/>
          <w:highlight w:val="none"/>
        </w:rPr>
        <w:t>或签章</w:t>
      </w:r>
      <w:r>
        <w:rPr>
          <w:rFonts w:hint="eastAsia" w:ascii="宋体" w:hAnsi="宋体" w:eastAsia="宋体" w:cs="宋体"/>
          <w:color w:val="auto"/>
          <w:spacing w:val="-3"/>
          <w:sz w:val="24"/>
          <w:highlight w:val="none"/>
        </w:rPr>
        <w:t>）：</w:t>
      </w:r>
      <w:r>
        <w:rPr>
          <w:rFonts w:hint="eastAsia" w:ascii="宋体" w:hAnsi="宋体" w:eastAsia="宋体" w:cs="宋体"/>
          <w:color w:val="auto"/>
          <w:sz w:val="24"/>
          <w:highlight w:val="none"/>
        </w:rPr>
        <w:t>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w:t>
      </w:r>
      <w:r>
        <w:rPr>
          <w:rFonts w:hint="eastAsia" w:ascii="宋体" w:hAnsi="宋体" w:eastAsia="宋体" w:cs="宋体"/>
          <w:color w:val="auto"/>
          <w:sz w:val="24"/>
          <w:szCs w:val="20"/>
          <w:highlight w:val="none"/>
        </w:rPr>
        <w:t>____年____月____日</w:t>
      </w:r>
    </w:p>
    <w:p>
      <w:pPr>
        <w:widowControl/>
        <w:jc w:val="left"/>
        <w:rPr>
          <w:rFonts w:hint="eastAsia" w:ascii="宋体" w:hAnsi="宋体" w:eastAsia="宋体" w:cs="宋体"/>
          <w:i/>
          <w:color w:val="auto"/>
          <w:sz w:val="24"/>
          <w:szCs w:val="20"/>
          <w:highlight w:val="none"/>
          <w:u w:val="single"/>
        </w:rPr>
      </w:pP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7  报价一览表</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pPr>
        <w:spacing w:line="360" w:lineRule="exact"/>
        <w:jc w:val="center"/>
        <w:rPr>
          <w:rFonts w:hint="eastAsia" w:ascii="宋体" w:hAnsi="宋体" w:eastAsia="宋体" w:cs="宋体"/>
          <w:b/>
          <w:color w:val="auto"/>
          <w:sz w:val="36"/>
          <w:szCs w:val="36"/>
          <w:highlight w:val="none"/>
        </w:rPr>
      </w:pPr>
      <w:bookmarkStart w:id="663" w:name="_Toc164608672"/>
      <w:bookmarkStart w:id="664" w:name="_Toc305158826"/>
      <w:bookmarkStart w:id="665" w:name="_Toc265228396"/>
      <w:bookmarkStart w:id="666" w:name="_Toc226337254"/>
      <w:bookmarkStart w:id="667" w:name="_Toc226965748"/>
      <w:bookmarkStart w:id="668" w:name="_Toc226309802"/>
      <w:bookmarkStart w:id="669" w:name="_Toc164608827"/>
      <w:bookmarkStart w:id="670" w:name="_Toc195842923"/>
      <w:bookmarkStart w:id="671" w:name="_Toc226965831"/>
      <w:bookmarkStart w:id="672" w:name="_Toc305158900"/>
      <w:bookmarkStart w:id="673" w:name="_Toc264969248"/>
      <w:r>
        <w:rPr>
          <w:rFonts w:hint="eastAsia" w:ascii="宋体" w:hAnsi="宋体" w:eastAsia="宋体" w:cs="宋体"/>
          <w:b/>
          <w:color w:val="auto"/>
          <w:sz w:val="36"/>
          <w:szCs w:val="36"/>
          <w:highlight w:val="none"/>
        </w:rPr>
        <w:t>报价一览表</w:t>
      </w:r>
      <w:bookmarkEnd w:id="663"/>
      <w:bookmarkEnd w:id="664"/>
      <w:bookmarkEnd w:id="665"/>
      <w:bookmarkEnd w:id="666"/>
      <w:bookmarkEnd w:id="667"/>
      <w:bookmarkEnd w:id="668"/>
      <w:bookmarkEnd w:id="669"/>
      <w:bookmarkEnd w:id="670"/>
      <w:bookmarkEnd w:id="671"/>
      <w:bookmarkEnd w:id="672"/>
      <w:bookmarkEnd w:id="673"/>
    </w:p>
    <w:p>
      <w:pPr>
        <w:tabs>
          <w:tab w:val="left" w:pos="1800"/>
          <w:tab w:val="left" w:pos="5580"/>
        </w:tabs>
        <w:spacing w:line="360" w:lineRule="auto"/>
        <w:jc w:val="left"/>
        <w:rPr>
          <w:rFonts w:hint="eastAsia" w:ascii="宋体" w:hAnsi="宋体" w:eastAsia="宋体" w:cs="宋体"/>
          <w:color w:val="auto"/>
          <w:sz w:val="24"/>
          <w:highlight w:val="none"/>
        </w:rPr>
      </w:pPr>
    </w:p>
    <w:p>
      <w:pPr>
        <w:tabs>
          <w:tab w:val="left" w:pos="1800"/>
          <w:tab w:val="left" w:pos="5580"/>
        </w:tabs>
        <w:spacing w:line="360" w:lineRule="auto"/>
        <w:ind w:firstLine="720" w:firstLineChars="3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项目编号：___________     项目名称：___________</w:t>
      </w:r>
    </w:p>
    <w:tbl>
      <w:tblPr>
        <w:tblStyle w:val="45"/>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3"/>
        <w:gridCol w:w="3169"/>
        <w:gridCol w:w="2295"/>
        <w:gridCol w:w="2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1223"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包号</w:t>
            </w:r>
          </w:p>
        </w:tc>
        <w:tc>
          <w:tcPr>
            <w:tcW w:w="3169"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供应商名称</w:t>
            </w:r>
          </w:p>
        </w:tc>
        <w:tc>
          <w:tcPr>
            <w:tcW w:w="5047"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9" w:hRule="atLeast"/>
          <w:jc w:val="center"/>
        </w:trPr>
        <w:tc>
          <w:tcPr>
            <w:tcW w:w="12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auto"/>
                <w:sz w:val="24"/>
                <w:highlight w:val="none"/>
              </w:rPr>
            </w:pPr>
          </w:p>
        </w:tc>
        <w:tc>
          <w:tcPr>
            <w:tcW w:w="31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auto"/>
                <w:sz w:val="24"/>
                <w:highlight w:val="none"/>
              </w:rPr>
            </w:pPr>
          </w:p>
        </w:tc>
        <w:tc>
          <w:tcPr>
            <w:tcW w:w="229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大写</w:t>
            </w:r>
          </w:p>
        </w:tc>
        <w:tc>
          <w:tcPr>
            <w:tcW w:w="275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6" w:hRule="atLeast"/>
          <w:jc w:val="center"/>
        </w:trPr>
        <w:tc>
          <w:tcPr>
            <w:tcW w:w="122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3169"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229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275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r>
    </w:tbl>
    <w:p>
      <w:pPr>
        <w:autoSpaceDE w:val="0"/>
        <w:autoSpaceDN w:val="0"/>
        <w:adjustRightInd w:val="0"/>
        <w:jc w:val="left"/>
        <w:rPr>
          <w:rFonts w:hint="eastAsia" w:ascii="宋体" w:hAnsi="宋体" w:eastAsia="宋体" w:cs="宋体"/>
          <w:color w:val="auto"/>
          <w:kern w:val="0"/>
          <w:sz w:val="24"/>
          <w:highlight w:val="none"/>
        </w:rPr>
      </w:pPr>
    </w:p>
    <w:p>
      <w:pPr>
        <w:autoSpaceDE w:val="0"/>
        <w:autoSpaceDN w:val="0"/>
        <w:adjustRightInd w:val="0"/>
        <w:jc w:val="left"/>
        <w:rPr>
          <w:rFonts w:hint="eastAsia" w:ascii="宋体" w:hAnsi="宋体" w:eastAsia="宋体" w:cs="宋体"/>
          <w:color w:val="auto"/>
          <w:sz w:val="24"/>
          <w:szCs w:val="20"/>
          <w:highlight w:val="none"/>
        </w:rPr>
      </w:pPr>
      <w:r>
        <w:rPr>
          <w:rFonts w:hint="eastAsia" w:ascii="宋体" w:hAnsi="宋体" w:eastAsia="宋体" w:cs="宋体"/>
          <w:color w:val="auto"/>
          <w:kern w:val="0"/>
          <w:sz w:val="24"/>
          <w:highlight w:val="none"/>
        </w:rPr>
        <w:t>注：1</w:t>
      </w:r>
      <w:r>
        <w:rPr>
          <w:rFonts w:hint="eastAsia" w:ascii="宋体" w:hAnsi="宋体" w:eastAsia="宋体" w:cs="宋体"/>
          <w:color w:val="auto"/>
          <w:sz w:val="24"/>
          <w:szCs w:val="20"/>
          <w:highlight w:val="none"/>
        </w:rPr>
        <w:t>.此表中，每包的报价应和《分项报价表》中的总价相一致。</w:t>
      </w:r>
    </w:p>
    <w:p>
      <w:pPr>
        <w:tabs>
          <w:tab w:val="left" w:pos="5580"/>
        </w:tabs>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2.本表必须按包分别填写。</w:t>
      </w:r>
    </w:p>
    <w:p>
      <w:pPr>
        <w:tabs>
          <w:tab w:val="left" w:pos="5580"/>
        </w:tabs>
        <w:ind w:firstLine="480" w:firstLineChars="200"/>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w:t>
      </w:r>
      <w:r>
        <w:rPr>
          <w:rFonts w:hint="eastAsia" w:ascii="宋体" w:hAnsi="宋体" w:eastAsia="宋体" w:cs="宋体"/>
          <w:color w:val="auto"/>
          <w:sz w:val="24"/>
          <w:szCs w:val="20"/>
          <w:highlight w:val="none"/>
        </w:rPr>
        <w:t>____年____月____日</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  </w:t>
      </w:r>
    </w:p>
    <w:p>
      <w:pPr>
        <w:tabs>
          <w:tab w:val="left" w:pos="360"/>
        </w:tabs>
        <w:snapToGrid w:val="0"/>
        <w:spacing w:line="360" w:lineRule="auto"/>
        <w:outlineLvl w:val="1"/>
        <w:rPr>
          <w:rFonts w:hint="eastAsia" w:ascii="宋体" w:hAnsi="宋体" w:eastAsia="宋体" w:cs="宋体"/>
          <w:color w:val="auto"/>
          <w:sz w:val="24"/>
          <w:highlight w:val="none"/>
        </w:rPr>
        <w:sectPr>
          <w:headerReference r:id="rId20" w:type="first"/>
          <w:footerReference r:id="rId22" w:type="first"/>
          <w:headerReference r:id="rId19" w:type="even"/>
          <w:footerReference r:id="rId21" w:type="even"/>
          <w:pgSz w:w="11905" w:h="16838"/>
          <w:pgMar w:top="850" w:right="1134" w:bottom="850" w:left="1134" w:header="0" w:footer="850" w:gutter="0"/>
          <w:pgBorders>
            <w:top w:val="none" w:sz="0" w:space="0"/>
            <w:left w:val="none" w:sz="0" w:space="0"/>
            <w:bottom w:val="none" w:sz="0" w:space="0"/>
            <w:right w:val="none" w:sz="0" w:space="0"/>
          </w:pgBorders>
          <w:pgNumType w:fmt="decimal"/>
          <w:cols w:space="0" w:num="1"/>
          <w:rtlGutter w:val="0"/>
          <w:docGrid w:linePitch="462" w:charSpace="0"/>
        </w:sectPr>
      </w:pPr>
      <w:bookmarkStart w:id="674" w:name="_Toc265228397"/>
      <w:bookmarkStart w:id="675" w:name="_Toc150480796"/>
      <w:bookmarkStart w:id="676" w:name="_Toc195842924"/>
      <w:bookmarkStart w:id="677" w:name="_Toc142311060"/>
      <w:bookmarkStart w:id="678" w:name="_Toc226337255"/>
      <w:bookmarkStart w:id="679" w:name="_Toc264969249"/>
      <w:bookmarkStart w:id="680" w:name="_Toc226965749"/>
      <w:bookmarkStart w:id="681" w:name="_Toc305158827"/>
      <w:bookmarkStart w:id="682" w:name="_Toc150774763"/>
      <w:bookmarkStart w:id="683" w:name="_Toc226309803"/>
      <w:bookmarkStart w:id="684" w:name="_Toc305158901"/>
      <w:bookmarkStart w:id="685" w:name="_Toc226965832"/>
      <w:bookmarkStart w:id="686" w:name="_Toc127151558"/>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8  分项报价表</w:t>
      </w:r>
      <w:bookmarkEnd w:id="674"/>
      <w:bookmarkEnd w:id="675"/>
      <w:bookmarkEnd w:id="676"/>
      <w:bookmarkEnd w:id="677"/>
      <w:bookmarkEnd w:id="678"/>
      <w:bookmarkEnd w:id="679"/>
      <w:bookmarkEnd w:id="680"/>
      <w:bookmarkEnd w:id="681"/>
      <w:bookmarkEnd w:id="682"/>
      <w:bookmarkEnd w:id="683"/>
      <w:bookmarkEnd w:id="684"/>
      <w:bookmarkEnd w:id="685"/>
      <w:bookmarkEnd w:id="686"/>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 / 包号： _________ 项目名称： _________ 报价单位：人民币元</w:t>
      </w:r>
    </w:p>
    <w:tbl>
      <w:tblPr>
        <w:tblStyle w:val="46"/>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42"/>
        <w:gridCol w:w="1642"/>
        <w:gridCol w:w="1642"/>
        <w:gridCol w:w="1642"/>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序号</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分项名称</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单价（元）</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数量</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合价（元）</w:t>
            </w: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备注 / 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3</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8" w:type="dxa"/>
            <w:gridSpan w:val="4"/>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总价（元）</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bl>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 </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本表应按包分别填写。</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上述各项的详细规格（如有），可另页描述。</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 制造商规模列</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应填写“大型”、“中型”、“小型”、“微型”或“其他”，且不应与《中小企业声明函》或《拟分包情况说明》中内容矛盾。制造商所属性别请填写“男”或“女”，指拥有制造商 51% 以上绝对所有权的性别；绝对所有权拥有者可以是一个人，也可以是多人合计计算。外商投资类型请填写“外商单独投资”、“外商部分投资”或“内资”。</w:t>
      </w:r>
    </w:p>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rPr>
      </w:pPr>
    </w:p>
    <w:p>
      <w:pPr>
        <w:autoSpaceDE w:val="0"/>
        <w:autoSpaceDN w:val="0"/>
        <w:adjustRightInd w:val="0"/>
        <w:snapToGrid w:val="0"/>
        <w:spacing w:before="25" w:after="25" w:line="360" w:lineRule="auto"/>
        <w:ind w:right="36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日期：____年____月____日  </w:t>
      </w:r>
    </w:p>
    <w:p>
      <w:pPr>
        <w:tabs>
          <w:tab w:val="left" w:pos="360"/>
        </w:tabs>
        <w:snapToGrid w:val="0"/>
        <w:spacing w:line="360" w:lineRule="auto"/>
        <w:outlineLvl w:val="1"/>
        <w:rPr>
          <w:rFonts w:hint="eastAsia" w:ascii="宋体" w:hAnsi="宋体" w:eastAsia="宋体" w:cs="宋体"/>
          <w:color w:val="auto"/>
          <w:sz w:val="24"/>
          <w:highlight w:val="none"/>
        </w:rPr>
        <w:sectPr>
          <w:pgSz w:w="11905" w:h="16838"/>
          <w:pgMar w:top="850" w:right="1134" w:bottom="850" w:left="1134" w:header="0" w:footer="850" w:gutter="0"/>
          <w:pgBorders>
            <w:top w:val="none" w:sz="0" w:space="0"/>
            <w:left w:val="none" w:sz="0" w:space="0"/>
            <w:bottom w:val="none" w:sz="0" w:space="0"/>
            <w:right w:val="none" w:sz="0" w:space="0"/>
          </w:pgBorders>
          <w:pgNumType w:fmt="decimal"/>
          <w:cols w:space="0" w:num="1"/>
          <w:rtlGutter w:val="0"/>
          <w:docGrid w:linePitch="462" w:charSpace="0"/>
        </w:sectPr>
      </w:pPr>
      <w:bookmarkStart w:id="687" w:name="_Toc226309806"/>
      <w:bookmarkStart w:id="688" w:name="_Toc226965752"/>
      <w:bookmarkStart w:id="689" w:name="_Toc195842927"/>
      <w:bookmarkStart w:id="690" w:name="_Toc265228400"/>
      <w:bookmarkStart w:id="691" w:name="_Toc127151562"/>
      <w:bookmarkStart w:id="692" w:name="_Toc142311062"/>
      <w:bookmarkStart w:id="693" w:name="_Toc226965835"/>
      <w:bookmarkStart w:id="694" w:name="_Toc264969252"/>
      <w:bookmarkStart w:id="695" w:name="_Toc150774765"/>
      <w:bookmarkStart w:id="696" w:name="_Toc305158904"/>
      <w:bookmarkStart w:id="697" w:name="_Toc305158830"/>
      <w:bookmarkStart w:id="698" w:name="_Toc226337258"/>
      <w:bookmarkStart w:id="699" w:name="_Toc150480798"/>
      <w:bookmarkStart w:id="700" w:name="_Toc226309805"/>
      <w:bookmarkStart w:id="701" w:name="_Toc265228399"/>
      <w:bookmarkStart w:id="702" w:name="_Toc226337257"/>
      <w:bookmarkStart w:id="703" w:name="_Toc264969251"/>
      <w:bookmarkStart w:id="704" w:name="_Toc305158829"/>
      <w:bookmarkStart w:id="705" w:name="_Toc226965751"/>
      <w:bookmarkStart w:id="706" w:name="_Toc127151561"/>
      <w:bookmarkStart w:id="707" w:name="_Toc226965834"/>
      <w:bookmarkStart w:id="708" w:name="_Toc150480797"/>
      <w:bookmarkStart w:id="709" w:name="_Toc195842926"/>
      <w:bookmarkStart w:id="710" w:name="_Toc150774764"/>
      <w:bookmarkStart w:id="711" w:name="_Toc305158903"/>
      <w:bookmarkStart w:id="712" w:name="_Toc142311061"/>
    </w:p>
    <w:p>
      <w:pPr>
        <w:tabs>
          <w:tab w:val="left" w:pos="360"/>
        </w:tabs>
        <w:snapToGrid w:val="0"/>
        <w:spacing w:line="360" w:lineRule="auto"/>
        <w:outlineLvl w:val="1"/>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9  合同条款偏离表</w:t>
      </w:r>
      <w:bookmarkEnd w:id="687"/>
      <w:bookmarkEnd w:id="688"/>
      <w:bookmarkEnd w:id="689"/>
      <w:bookmarkEnd w:id="690"/>
      <w:bookmarkEnd w:id="691"/>
      <w:bookmarkEnd w:id="692"/>
      <w:bookmarkEnd w:id="693"/>
      <w:bookmarkEnd w:id="694"/>
      <w:bookmarkEnd w:id="695"/>
      <w:bookmarkEnd w:id="696"/>
      <w:bookmarkEnd w:id="697"/>
      <w:bookmarkEnd w:id="698"/>
      <w:bookmarkEnd w:id="699"/>
      <w:r>
        <w:rPr>
          <w:rFonts w:hint="eastAsia" w:ascii="宋体" w:hAnsi="宋体" w:eastAsia="宋体" w:cs="宋体"/>
          <w:color w:val="auto"/>
          <w:sz w:val="24"/>
          <w:highlight w:val="none"/>
        </w:rPr>
        <w:t>（实质性格式）</w:t>
      </w:r>
    </w:p>
    <w:p>
      <w:pPr>
        <w:tabs>
          <w:tab w:val="left" w:pos="2775"/>
          <w:tab w:val="center" w:pos="4153"/>
        </w:tabs>
        <w:autoSpaceDE w:val="0"/>
        <w:autoSpaceDN w:val="0"/>
        <w:adjustRightInd w:val="0"/>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36"/>
          <w:szCs w:val="36"/>
          <w:highlight w:val="none"/>
        </w:rPr>
        <w:tab/>
      </w:r>
      <w:r>
        <w:rPr>
          <w:rFonts w:hint="eastAsia" w:ascii="宋体" w:hAnsi="宋体" w:eastAsia="宋体" w:cs="宋体"/>
          <w:b/>
          <w:color w:val="auto"/>
          <w:sz w:val="36"/>
          <w:szCs w:val="36"/>
          <w:highlight w:val="none"/>
        </w:rPr>
        <w:tab/>
      </w:r>
      <w:r>
        <w:rPr>
          <w:rFonts w:hint="eastAsia" w:ascii="宋体" w:hAnsi="宋体" w:eastAsia="宋体" w:cs="宋体"/>
          <w:b/>
          <w:color w:val="auto"/>
          <w:sz w:val="36"/>
          <w:szCs w:val="36"/>
          <w:highlight w:val="none"/>
        </w:rPr>
        <w:t>合同条款偏离表</w:t>
      </w:r>
    </w:p>
    <w:p>
      <w:pPr>
        <w:tabs>
          <w:tab w:val="left" w:pos="1800"/>
          <w:tab w:val="left" w:pos="5580"/>
        </w:tabs>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项目编号/包号：_______________     项目名称：_______________</w:t>
      </w:r>
    </w:p>
    <w:tbl>
      <w:tblPr>
        <w:tblStyle w:val="45"/>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162"/>
        <w:gridCol w:w="1707"/>
        <w:gridCol w:w="1987"/>
        <w:gridCol w:w="180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62"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竞争性磋商文件</w:t>
            </w:r>
            <w:r>
              <w:rPr>
                <w:rFonts w:hint="eastAsia" w:ascii="宋体" w:hAnsi="宋体" w:eastAsia="宋体" w:cs="宋体"/>
                <w:color w:val="auto"/>
                <w:sz w:val="24"/>
                <w:highlight w:val="none"/>
              </w:rPr>
              <w:t>条目号（页码）</w:t>
            </w:r>
          </w:p>
        </w:tc>
        <w:tc>
          <w:tcPr>
            <w:tcW w:w="1707"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竞争性磋商文件</w:t>
            </w:r>
            <w:r>
              <w:rPr>
                <w:rFonts w:hint="eastAsia" w:ascii="宋体" w:hAnsi="宋体" w:eastAsia="宋体" w:cs="宋体"/>
                <w:color w:val="auto"/>
                <w:sz w:val="24"/>
                <w:highlight w:val="none"/>
              </w:rPr>
              <w:t>要求</w:t>
            </w:r>
          </w:p>
        </w:tc>
        <w:tc>
          <w:tcPr>
            <w:tcW w:w="1987"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响应文件内容</w:t>
            </w:r>
          </w:p>
        </w:tc>
        <w:tc>
          <w:tcPr>
            <w:tcW w:w="1800"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1185"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50" w:type="dxa"/>
            <w:gridSpan w:val="6"/>
            <w:vAlign w:val="center"/>
          </w:tcPr>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对本项目合同条款的偏离情况（</w:t>
            </w:r>
            <w:r>
              <w:rPr>
                <w:rFonts w:hint="eastAsia" w:ascii="宋体" w:hAnsi="宋体" w:eastAsia="宋体" w:cs="宋体"/>
                <w:bCs/>
                <w:color w:val="auto"/>
                <w:sz w:val="24"/>
                <w:highlight w:val="none"/>
              </w:rPr>
              <w:t>应进行选择，未选择</w:t>
            </w:r>
            <w:r>
              <w:rPr>
                <w:rFonts w:hint="eastAsia" w:ascii="宋体" w:hAnsi="宋体" w:eastAsia="宋体" w:cs="宋体"/>
                <w:b/>
                <w:color w:val="auto"/>
                <w:sz w:val="24"/>
                <w:highlight w:val="none"/>
              </w:rPr>
              <w:t>响应无效）：</w:t>
            </w:r>
          </w:p>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□无偏离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如无偏离，仅选择无偏离即可；</w:t>
            </w:r>
            <w:r>
              <w:rPr>
                <w:rFonts w:hint="eastAsia" w:ascii="宋体" w:hAnsi="宋体" w:eastAsia="宋体" w:cs="宋体"/>
                <w:bCs/>
                <w:color w:val="auto"/>
                <w:sz w:val="24"/>
                <w:highlight w:val="none"/>
              </w:rPr>
              <w:t>无偏离即为</w:t>
            </w:r>
            <w:r>
              <w:rPr>
                <w:rFonts w:hint="eastAsia" w:ascii="宋体" w:hAnsi="宋体" w:eastAsia="宋体" w:cs="宋体"/>
                <w:color w:val="auto"/>
                <w:sz w:val="24"/>
                <w:highlight w:val="none"/>
              </w:rPr>
              <w:t>对合同条款中的所有要求，均视作供应商已对之理解和响应。）</w:t>
            </w:r>
          </w:p>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□有偏离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如有偏离，</w:t>
            </w:r>
            <w:r>
              <w:rPr>
                <w:rFonts w:hint="eastAsia" w:ascii="宋体" w:hAnsi="宋体" w:eastAsia="宋体" w:cs="宋体"/>
                <w:color w:val="auto"/>
                <w:sz w:val="24"/>
                <w:highlight w:val="none"/>
              </w:rPr>
              <w:t>则应在本表中对负偏离项逐一列明，否则</w:t>
            </w:r>
            <w:r>
              <w:rPr>
                <w:rFonts w:hint="eastAsia" w:ascii="宋体" w:hAnsi="宋体" w:eastAsia="宋体" w:cs="宋体"/>
                <w:b/>
                <w:bCs/>
                <w:color w:val="auto"/>
                <w:sz w:val="24"/>
                <w:highlight w:val="none"/>
              </w:rPr>
              <w:t>响应无效</w:t>
            </w:r>
            <w:r>
              <w:rPr>
                <w:rFonts w:hint="eastAsia" w:ascii="宋体" w:hAnsi="宋体" w:eastAsia="宋体" w:cs="宋体"/>
                <w:color w:val="auto"/>
                <w:sz w:val="24"/>
                <w:highlight w:val="none"/>
              </w:rPr>
              <w:t>；对合同条款中的所有要求，除本表列明的偏离外，均视作供应商已对之理解和响应。）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p>
        </w:tc>
        <w:tc>
          <w:tcPr>
            <w:tcW w:w="2162" w:type="dxa"/>
            <w:vAlign w:val="center"/>
          </w:tcPr>
          <w:p>
            <w:pPr>
              <w:adjustRightInd w:val="0"/>
              <w:snapToGrid w:val="0"/>
              <w:jc w:val="center"/>
              <w:rPr>
                <w:rFonts w:hint="eastAsia" w:ascii="宋体" w:hAnsi="宋体" w:eastAsia="宋体" w:cs="宋体"/>
                <w:color w:val="auto"/>
                <w:sz w:val="24"/>
                <w:highlight w:val="none"/>
              </w:rPr>
            </w:pPr>
          </w:p>
        </w:tc>
        <w:tc>
          <w:tcPr>
            <w:tcW w:w="1707" w:type="dxa"/>
            <w:vAlign w:val="center"/>
          </w:tcPr>
          <w:p>
            <w:pPr>
              <w:adjustRightInd w:val="0"/>
              <w:snapToGrid w:val="0"/>
              <w:jc w:val="center"/>
              <w:rPr>
                <w:rFonts w:hint="eastAsia" w:ascii="宋体" w:hAnsi="宋体" w:eastAsia="宋体" w:cs="宋体"/>
                <w:color w:val="auto"/>
                <w:sz w:val="24"/>
                <w:highlight w:val="none"/>
              </w:rPr>
            </w:pPr>
          </w:p>
        </w:tc>
        <w:tc>
          <w:tcPr>
            <w:tcW w:w="1987" w:type="dxa"/>
            <w:vAlign w:val="center"/>
          </w:tcPr>
          <w:p>
            <w:pPr>
              <w:adjustRightInd w:val="0"/>
              <w:snapToGrid w:val="0"/>
              <w:jc w:val="center"/>
              <w:rPr>
                <w:rFonts w:hint="eastAsia" w:ascii="宋体" w:hAnsi="宋体" w:eastAsia="宋体" w:cs="宋体"/>
                <w:color w:val="auto"/>
                <w:sz w:val="24"/>
                <w:highlight w:val="none"/>
              </w:rPr>
            </w:pPr>
          </w:p>
        </w:tc>
        <w:tc>
          <w:tcPr>
            <w:tcW w:w="1800" w:type="dxa"/>
            <w:vAlign w:val="center"/>
          </w:tcPr>
          <w:p>
            <w:pPr>
              <w:adjustRightInd w:val="0"/>
              <w:snapToGrid w:val="0"/>
              <w:jc w:val="center"/>
              <w:rPr>
                <w:rFonts w:hint="eastAsia" w:ascii="宋体" w:hAnsi="宋体" w:eastAsia="宋体" w:cs="宋体"/>
                <w:color w:val="auto"/>
                <w:sz w:val="24"/>
                <w:highlight w:val="none"/>
              </w:rPr>
            </w:pPr>
          </w:p>
        </w:tc>
        <w:tc>
          <w:tcPr>
            <w:tcW w:w="118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p>
        </w:tc>
        <w:tc>
          <w:tcPr>
            <w:tcW w:w="2162" w:type="dxa"/>
            <w:vAlign w:val="center"/>
          </w:tcPr>
          <w:p>
            <w:pPr>
              <w:adjustRightInd w:val="0"/>
              <w:snapToGrid w:val="0"/>
              <w:jc w:val="center"/>
              <w:rPr>
                <w:rFonts w:hint="eastAsia" w:ascii="宋体" w:hAnsi="宋体" w:eastAsia="宋体" w:cs="宋体"/>
                <w:color w:val="auto"/>
                <w:sz w:val="24"/>
                <w:highlight w:val="none"/>
              </w:rPr>
            </w:pPr>
          </w:p>
        </w:tc>
        <w:tc>
          <w:tcPr>
            <w:tcW w:w="1707" w:type="dxa"/>
            <w:vAlign w:val="center"/>
          </w:tcPr>
          <w:p>
            <w:pPr>
              <w:adjustRightInd w:val="0"/>
              <w:snapToGrid w:val="0"/>
              <w:jc w:val="center"/>
              <w:rPr>
                <w:rFonts w:hint="eastAsia" w:ascii="宋体" w:hAnsi="宋体" w:eastAsia="宋体" w:cs="宋体"/>
                <w:color w:val="auto"/>
                <w:sz w:val="24"/>
                <w:highlight w:val="none"/>
              </w:rPr>
            </w:pPr>
          </w:p>
        </w:tc>
        <w:tc>
          <w:tcPr>
            <w:tcW w:w="1987" w:type="dxa"/>
            <w:vAlign w:val="center"/>
          </w:tcPr>
          <w:p>
            <w:pPr>
              <w:adjustRightInd w:val="0"/>
              <w:snapToGrid w:val="0"/>
              <w:jc w:val="center"/>
              <w:rPr>
                <w:rFonts w:hint="eastAsia" w:ascii="宋体" w:hAnsi="宋体" w:eastAsia="宋体" w:cs="宋体"/>
                <w:color w:val="auto"/>
                <w:sz w:val="24"/>
                <w:highlight w:val="none"/>
              </w:rPr>
            </w:pPr>
          </w:p>
        </w:tc>
        <w:tc>
          <w:tcPr>
            <w:tcW w:w="1800" w:type="dxa"/>
            <w:vAlign w:val="center"/>
          </w:tcPr>
          <w:p>
            <w:pPr>
              <w:adjustRightInd w:val="0"/>
              <w:snapToGrid w:val="0"/>
              <w:jc w:val="center"/>
              <w:rPr>
                <w:rFonts w:hint="eastAsia" w:ascii="宋体" w:hAnsi="宋体" w:eastAsia="宋体" w:cs="宋体"/>
                <w:color w:val="auto"/>
                <w:sz w:val="24"/>
                <w:highlight w:val="none"/>
              </w:rPr>
            </w:pPr>
          </w:p>
        </w:tc>
        <w:tc>
          <w:tcPr>
            <w:tcW w:w="118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p>
        </w:tc>
        <w:tc>
          <w:tcPr>
            <w:tcW w:w="2162" w:type="dxa"/>
            <w:vAlign w:val="center"/>
          </w:tcPr>
          <w:p>
            <w:pPr>
              <w:adjustRightInd w:val="0"/>
              <w:snapToGrid w:val="0"/>
              <w:jc w:val="center"/>
              <w:rPr>
                <w:rFonts w:hint="eastAsia" w:ascii="宋体" w:hAnsi="宋体" w:eastAsia="宋体" w:cs="宋体"/>
                <w:color w:val="auto"/>
                <w:sz w:val="24"/>
                <w:highlight w:val="none"/>
              </w:rPr>
            </w:pPr>
          </w:p>
        </w:tc>
        <w:tc>
          <w:tcPr>
            <w:tcW w:w="1707" w:type="dxa"/>
            <w:vAlign w:val="center"/>
          </w:tcPr>
          <w:p>
            <w:pPr>
              <w:adjustRightInd w:val="0"/>
              <w:snapToGrid w:val="0"/>
              <w:jc w:val="center"/>
              <w:rPr>
                <w:rFonts w:hint="eastAsia" w:ascii="宋体" w:hAnsi="宋体" w:eastAsia="宋体" w:cs="宋体"/>
                <w:color w:val="auto"/>
                <w:sz w:val="24"/>
                <w:highlight w:val="none"/>
              </w:rPr>
            </w:pPr>
          </w:p>
        </w:tc>
        <w:tc>
          <w:tcPr>
            <w:tcW w:w="1987" w:type="dxa"/>
            <w:vAlign w:val="center"/>
          </w:tcPr>
          <w:p>
            <w:pPr>
              <w:adjustRightInd w:val="0"/>
              <w:snapToGrid w:val="0"/>
              <w:jc w:val="center"/>
              <w:rPr>
                <w:rFonts w:hint="eastAsia" w:ascii="宋体" w:hAnsi="宋体" w:eastAsia="宋体" w:cs="宋体"/>
                <w:color w:val="auto"/>
                <w:sz w:val="24"/>
                <w:highlight w:val="none"/>
              </w:rPr>
            </w:pPr>
          </w:p>
        </w:tc>
        <w:tc>
          <w:tcPr>
            <w:tcW w:w="1800" w:type="dxa"/>
            <w:vAlign w:val="center"/>
          </w:tcPr>
          <w:p>
            <w:pPr>
              <w:adjustRightInd w:val="0"/>
              <w:snapToGrid w:val="0"/>
              <w:jc w:val="center"/>
              <w:rPr>
                <w:rFonts w:hint="eastAsia" w:ascii="宋体" w:hAnsi="宋体" w:eastAsia="宋体" w:cs="宋体"/>
                <w:color w:val="auto"/>
                <w:sz w:val="24"/>
                <w:highlight w:val="none"/>
              </w:rPr>
            </w:pPr>
          </w:p>
        </w:tc>
        <w:tc>
          <w:tcPr>
            <w:tcW w:w="118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p>
        </w:tc>
        <w:tc>
          <w:tcPr>
            <w:tcW w:w="2162" w:type="dxa"/>
            <w:vAlign w:val="center"/>
          </w:tcPr>
          <w:p>
            <w:pPr>
              <w:adjustRightInd w:val="0"/>
              <w:snapToGrid w:val="0"/>
              <w:jc w:val="center"/>
              <w:rPr>
                <w:rFonts w:hint="eastAsia" w:ascii="宋体" w:hAnsi="宋体" w:eastAsia="宋体" w:cs="宋体"/>
                <w:color w:val="auto"/>
                <w:sz w:val="24"/>
                <w:highlight w:val="none"/>
              </w:rPr>
            </w:pPr>
          </w:p>
        </w:tc>
        <w:tc>
          <w:tcPr>
            <w:tcW w:w="1707" w:type="dxa"/>
            <w:vAlign w:val="center"/>
          </w:tcPr>
          <w:p>
            <w:pPr>
              <w:adjustRightInd w:val="0"/>
              <w:snapToGrid w:val="0"/>
              <w:jc w:val="center"/>
              <w:rPr>
                <w:rFonts w:hint="eastAsia" w:ascii="宋体" w:hAnsi="宋体" w:eastAsia="宋体" w:cs="宋体"/>
                <w:color w:val="auto"/>
                <w:sz w:val="24"/>
                <w:highlight w:val="none"/>
              </w:rPr>
            </w:pPr>
          </w:p>
        </w:tc>
        <w:tc>
          <w:tcPr>
            <w:tcW w:w="1987" w:type="dxa"/>
            <w:vAlign w:val="center"/>
          </w:tcPr>
          <w:p>
            <w:pPr>
              <w:adjustRightInd w:val="0"/>
              <w:snapToGrid w:val="0"/>
              <w:jc w:val="center"/>
              <w:rPr>
                <w:rFonts w:hint="eastAsia" w:ascii="宋体" w:hAnsi="宋体" w:eastAsia="宋体" w:cs="宋体"/>
                <w:color w:val="auto"/>
                <w:sz w:val="24"/>
                <w:highlight w:val="none"/>
              </w:rPr>
            </w:pPr>
          </w:p>
        </w:tc>
        <w:tc>
          <w:tcPr>
            <w:tcW w:w="1800" w:type="dxa"/>
            <w:vAlign w:val="center"/>
          </w:tcPr>
          <w:p>
            <w:pPr>
              <w:adjustRightInd w:val="0"/>
              <w:snapToGrid w:val="0"/>
              <w:jc w:val="center"/>
              <w:rPr>
                <w:rFonts w:hint="eastAsia" w:ascii="宋体" w:hAnsi="宋体" w:eastAsia="宋体" w:cs="宋体"/>
                <w:color w:val="auto"/>
                <w:sz w:val="24"/>
                <w:highlight w:val="none"/>
              </w:rPr>
            </w:pPr>
          </w:p>
        </w:tc>
        <w:tc>
          <w:tcPr>
            <w:tcW w:w="118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p>
        </w:tc>
        <w:tc>
          <w:tcPr>
            <w:tcW w:w="2162" w:type="dxa"/>
            <w:vAlign w:val="center"/>
          </w:tcPr>
          <w:p>
            <w:pPr>
              <w:adjustRightInd w:val="0"/>
              <w:snapToGrid w:val="0"/>
              <w:jc w:val="center"/>
              <w:rPr>
                <w:rFonts w:hint="eastAsia" w:ascii="宋体" w:hAnsi="宋体" w:eastAsia="宋体" w:cs="宋体"/>
                <w:color w:val="auto"/>
                <w:sz w:val="24"/>
                <w:highlight w:val="none"/>
              </w:rPr>
            </w:pPr>
          </w:p>
        </w:tc>
        <w:tc>
          <w:tcPr>
            <w:tcW w:w="1707" w:type="dxa"/>
            <w:vAlign w:val="center"/>
          </w:tcPr>
          <w:p>
            <w:pPr>
              <w:adjustRightInd w:val="0"/>
              <w:snapToGrid w:val="0"/>
              <w:jc w:val="center"/>
              <w:rPr>
                <w:rFonts w:hint="eastAsia" w:ascii="宋体" w:hAnsi="宋体" w:eastAsia="宋体" w:cs="宋体"/>
                <w:color w:val="auto"/>
                <w:sz w:val="24"/>
                <w:highlight w:val="none"/>
              </w:rPr>
            </w:pPr>
          </w:p>
        </w:tc>
        <w:tc>
          <w:tcPr>
            <w:tcW w:w="1987" w:type="dxa"/>
            <w:vAlign w:val="center"/>
          </w:tcPr>
          <w:p>
            <w:pPr>
              <w:adjustRightInd w:val="0"/>
              <w:snapToGrid w:val="0"/>
              <w:jc w:val="center"/>
              <w:rPr>
                <w:rFonts w:hint="eastAsia" w:ascii="宋体" w:hAnsi="宋体" w:eastAsia="宋体" w:cs="宋体"/>
                <w:color w:val="auto"/>
                <w:sz w:val="24"/>
                <w:highlight w:val="none"/>
              </w:rPr>
            </w:pPr>
          </w:p>
        </w:tc>
        <w:tc>
          <w:tcPr>
            <w:tcW w:w="1800" w:type="dxa"/>
            <w:vAlign w:val="center"/>
          </w:tcPr>
          <w:p>
            <w:pPr>
              <w:adjustRightInd w:val="0"/>
              <w:snapToGrid w:val="0"/>
              <w:jc w:val="center"/>
              <w:rPr>
                <w:rFonts w:hint="eastAsia" w:ascii="宋体" w:hAnsi="宋体" w:eastAsia="宋体" w:cs="宋体"/>
                <w:color w:val="auto"/>
                <w:sz w:val="24"/>
                <w:highlight w:val="none"/>
              </w:rPr>
            </w:pPr>
          </w:p>
        </w:tc>
        <w:tc>
          <w:tcPr>
            <w:tcW w:w="1185" w:type="dxa"/>
            <w:vAlign w:val="center"/>
          </w:tcPr>
          <w:p>
            <w:pPr>
              <w:adjustRightInd w:val="0"/>
              <w:snapToGrid w:val="0"/>
              <w:jc w:val="center"/>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 “偏离情况”列应据实填写“正偏离”或“负偏离”。</w:t>
      </w:r>
    </w:p>
    <w:p>
      <w:pPr>
        <w:spacing w:line="360" w:lineRule="auto"/>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_______________</w:t>
      </w:r>
    </w:p>
    <w:p>
      <w:pPr>
        <w:autoSpaceDE w:val="0"/>
        <w:autoSpaceDN w:val="0"/>
        <w:adjustRightInd w:val="0"/>
        <w:snapToGrid w:val="0"/>
        <w:spacing w:before="25" w:after="25"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日期：____年____月____日    </w:t>
      </w:r>
      <w:r>
        <w:rPr>
          <w:rFonts w:hint="eastAsia" w:ascii="宋体" w:hAnsi="宋体" w:eastAsia="宋体" w:cs="宋体"/>
          <w:color w:val="auto"/>
          <w:sz w:val="24"/>
          <w:szCs w:val="20"/>
          <w:highlight w:val="none"/>
        </w:rPr>
        <w:br w:type="page"/>
      </w:r>
      <w:r>
        <w:rPr>
          <w:rFonts w:hint="eastAsia" w:ascii="宋体" w:hAnsi="宋体" w:eastAsia="宋体" w:cs="宋体"/>
          <w:color w:val="auto"/>
          <w:sz w:val="24"/>
          <w:highlight w:val="none"/>
        </w:rPr>
        <w:t xml:space="preserve">10  </w:t>
      </w:r>
      <w:bookmarkEnd w:id="700"/>
      <w:bookmarkEnd w:id="701"/>
      <w:bookmarkEnd w:id="702"/>
      <w:bookmarkEnd w:id="703"/>
      <w:bookmarkEnd w:id="704"/>
      <w:bookmarkEnd w:id="705"/>
      <w:bookmarkEnd w:id="706"/>
      <w:bookmarkEnd w:id="707"/>
      <w:bookmarkEnd w:id="708"/>
      <w:bookmarkEnd w:id="709"/>
      <w:bookmarkEnd w:id="710"/>
      <w:bookmarkEnd w:id="711"/>
      <w:bookmarkEnd w:id="712"/>
      <w:r>
        <w:rPr>
          <w:rFonts w:hint="eastAsia" w:ascii="宋体" w:hAnsi="宋体" w:eastAsia="宋体" w:cs="宋体"/>
          <w:color w:val="auto"/>
          <w:sz w:val="24"/>
          <w:highlight w:val="none"/>
        </w:rPr>
        <w:t>采购需求偏离表（实质性格式）</w:t>
      </w: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采购需求偏离表</w:t>
      </w:r>
    </w:p>
    <w:p>
      <w:pPr>
        <w:tabs>
          <w:tab w:val="left" w:pos="1800"/>
          <w:tab w:val="left" w:pos="5580"/>
        </w:tabs>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项目编号/包号：_______________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056"/>
        <w:gridCol w:w="2400"/>
        <w:gridCol w:w="153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056"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竞争性磋商文件条目号(页码)</w:t>
            </w:r>
          </w:p>
        </w:tc>
        <w:tc>
          <w:tcPr>
            <w:tcW w:w="2400"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竞争性磋商文件要求</w:t>
            </w:r>
          </w:p>
        </w:tc>
        <w:tc>
          <w:tcPr>
            <w:tcW w:w="1536"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响应内容</w:t>
            </w:r>
          </w:p>
        </w:tc>
        <w:tc>
          <w:tcPr>
            <w:tcW w:w="1875"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1009"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bl>
    <w:p>
      <w:pPr>
        <w:tabs>
          <w:tab w:val="left" w:pos="1800"/>
          <w:tab w:val="left" w:pos="5580"/>
        </w:tabs>
        <w:spacing w:line="360" w:lineRule="auto"/>
        <w:ind w:firstLine="360" w:firstLineChars="150"/>
        <w:jc w:val="left"/>
        <w:rPr>
          <w:rFonts w:hint="eastAsia" w:ascii="宋体" w:hAnsi="宋体" w:eastAsia="宋体" w:cs="宋体"/>
          <w:color w:val="auto"/>
          <w:sz w:val="24"/>
          <w:highlight w:val="none"/>
          <w:u w:val="singl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对竞争性磋商文件中的所有商务、技术要求，除本表所列明的所有偏离外，均视作供应商已对之理解和响应。此表中若无任何文字说明，内容为空白的，</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2.“偏离情况”列应据实填写“无偏离”、“正偏离”或“负偏离”。</w:t>
      </w:r>
    </w:p>
    <w:p>
      <w:pPr>
        <w:tabs>
          <w:tab w:val="left" w:pos="1800"/>
          <w:tab w:val="left" w:pos="5580"/>
        </w:tabs>
        <w:jc w:val="left"/>
        <w:rPr>
          <w:rFonts w:hint="eastAsia" w:ascii="宋体" w:hAnsi="宋体" w:eastAsia="宋体" w:cs="宋体"/>
          <w:color w:val="auto"/>
          <w:sz w:val="24"/>
          <w:highlight w:val="none"/>
        </w:rPr>
      </w:pPr>
    </w:p>
    <w:p>
      <w:pPr>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ind w:right="36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autoSpaceDE w:val="0"/>
        <w:autoSpaceDN w:val="0"/>
        <w:adjustRightInd w:val="0"/>
        <w:snapToGrid w:val="0"/>
        <w:spacing w:before="25" w:after="25" w:line="360" w:lineRule="auto"/>
        <w:ind w:right="36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日期：____年____月____日 </w:t>
      </w:r>
    </w:p>
    <w:p>
      <w:pPr>
        <w:pStyle w:val="76"/>
        <w:numPr>
          <w:ilvl w:val="0"/>
          <w:numId w:val="0"/>
        </w:numPr>
        <w:spacing w:line="360" w:lineRule="auto"/>
        <w:ind w:leftChars="0"/>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0"/>
          <w:highlight w:val="none"/>
        </w:rPr>
        <w:br w:type="page"/>
      </w:r>
      <w:r>
        <w:rPr>
          <w:rFonts w:hint="eastAsia" w:ascii="宋体" w:hAnsi="宋体" w:eastAsia="宋体" w:cs="宋体"/>
          <w:color w:val="auto"/>
          <w:kern w:val="2"/>
          <w:sz w:val="24"/>
          <w:szCs w:val="24"/>
          <w:highlight w:val="none"/>
          <w:lang w:val="en-US" w:eastAsia="zh-CN" w:bidi="ar-SA"/>
        </w:rPr>
        <w:t>11</w:t>
      </w:r>
      <w:bookmarkStart w:id="713" w:name="_Toc157759075"/>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cs="宋体"/>
          <w:color w:val="auto"/>
          <w:kern w:val="0"/>
          <w:sz w:val="24"/>
          <w:szCs w:val="24"/>
          <w:highlight w:val="none"/>
          <w:lang w:val="en-US" w:eastAsia="zh-CN" w:bidi="ar"/>
        </w:rPr>
        <w:t>类似</w:t>
      </w:r>
      <w:r>
        <w:rPr>
          <w:rFonts w:hint="eastAsia" w:ascii="宋体" w:hAnsi="宋体" w:eastAsia="宋体" w:cs="宋体"/>
          <w:color w:val="auto"/>
          <w:kern w:val="0"/>
          <w:sz w:val="24"/>
          <w:szCs w:val="24"/>
          <w:highlight w:val="none"/>
          <w:lang w:val="en-US" w:eastAsia="zh-CN" w:bidi="ar"/>
        </w:rPr>
        <w:t>业绩一览表</w:t>
      </w:r>
    </w:p>
    <w:tbl>
      <w:tblPr>
        <w:tblStyle w:val="45"/>
        <w:tblW w:w="10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271"/>
        <w:gridCol w:w="2646"/>
        <w:gridCol w:w="1454"/>
        <w:gridCol w:w="2234"/>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08"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年份</w:t>
            </w:r>
          </w:p>
        </w:tc>
        <w:tc>
          <w:tcPr>
            <w:tcW w:w="2271"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264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项目内容</w:t>
            </w:r>
          </w:p>
        </w:tc>
        <w:tc>
          <w:tcPr>
            <w:tcW w:w="1454"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合同总价</w:t>
            </w:r>
          </w:p>
        </w:tc>
        <w:tc>
          <w:tcPr>
            <w:tcW w:w="2234"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使用单位名称</w:t>
            </w:r>
          </w:p>
        </w:tc>
        <w:tc>
          <w:tcPr>
            <w:tcW w:w="1245"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  年</w:t>
            </w: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  年</w:t>
            </w: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  年</w:t>
            </w: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bl>
    <w:p>
      <w:pPr>
        <w:keepNext w:val="0"/>
        <w:keepLines w:val="0"/>
        <w:widowControl/>
        <w:suppressLineNumbers w:val="0"/>
        <w:jc w:val="left"/>
        <w:rPr>
          <w:rFonts w:hint="eastAsia" w:ascii="宋体" w:hAnsi="宋体" w:eastAsia="宋体" w:cs="宋体"/>
          <w:color w:val="auto"/>
          <w:highlight w:val="none"/>
        </w:rPr>
      </w:pPr>
    </w:p>
    <w:p>
      <w:pPr>
        <w:numPr>
          <w:ilvl w:val="0"/>
          <w:numId w:val="0"/>
        </w:num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（1）供应商</w:t>
      </w:r>
      <w:r>
        <w:rPr>
          <w:rFonts w:hint="eastAsia" w:ascii="宋体" w:hAnsi="宋体" w:eastAsia="宋体" w:cs="宋体"/>
          <w:color w:val="auto"/>
          <w:sz w:val="24"/>
          <w:highlight w:val="none"/>
        </w:rPr>
        <w:t>须</w:t>
      </w:r>
      <w:r>
        <w:rPr>
          <w:rFonts w:hint="eastAsia" w:ascii="宋体" w:hAnsi="宋体" w:eastAsia="宋体" w:cs="宋体"/>
          <w:color w:val="auto"/>
          <w:sz w:val="24"/>
          <w:highlight w:val="none"/>
          <w:lang w:val="en-US" w:eastAsia="zh-CN"/>
        </w:rPr>
        <w:t>按照文件要求</w:t>
      </w:r>
      <w:r>
        <w:rPr>
          <w:rFonts w:hint="eastAsia" w:ascii="宋体" w:hAnsi="宋体" w:eastAsia="宋体" w:cs="宋体"/>
          <w:color w:val="auto"/>
          <w:sz w:val="24"/>
          <w:highlight w:val="none"/>
        </w:rPr>
        <w:t>提供相应的证明文件</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正在执行的类似业绩需标明执行状态，</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需在备注栏填写合同执行的状态。</w:t>
      </w:r>
    </w:p>
    <w:p>
      <w:pPr>
        <w:pStyle w:val="7"/>
        <w:rPr>
          <w:rFonts w:hint="eastAsia" w:ascii="宋体" w:hAnsi="宋体" w:eastAsia="宋体" w:cs="宋体"/>
          <w:color w:val="auto"/>
          <w:highlight w:val="none"/>
          <w:lang w:val="en-US" w:eastAsia="zh-CN"/>
        </w:rPr>
      </w:pPr>
    </w:p>
    <w:p>
      <w:pPr>
        <w:autoSpaceDE w:val="0"/>
        <w:autoSpaceDN w:val="0"/>
        <w:adjustRightInd w:val="0"/>
        <w:snapToGrid w:val="0"/>
        <w:spacing w:before="25" w:after="25" w:line="360" w:lineRule="auto"/>
        <w:ind w:right="36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0"/>
          <w:highlight w:val="none"/>
        </w:rPr>
        <w:t>日期：____年____月____日</w:t>
      </w:r>
      <w:r>
        <w:rPr>
          <w:rFonts w:hint="eastAsia" w:ascii="宋体" w:hAnsi="宋体" w:eastAsia="宋体" w:cs="宋体"/>
          <w:color w:val="auto"/>
          <w:kern w:val="2"/>
          <w:sz w:val="24"/>
          <w:szCs w:val="24"/>
          <w:highlight w:val="none"/>
          <w:lang w:val="en-US" w:eastAsia="zh-CN" w:bidi="ar-SA"/>
        </w:rPr>
        <w:br w:type="page"/>
      </w:r>
    </w:p>
    <w:p>
      <w:pPr>
        <w:pStyle w:val="76"/>
        <w:numPr>
          <w:ilvl w:val="0"/>
          <w:numId w:val="0"/>
        </w:numPr>
        <w:spacing w:line="360" w:lineRule="auto"/>
        <w:ind w:leftChars="0"/>
        <w:outlineLvl w:val="1"/>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12 </w:t>
      </w:r>
      <w:r>
        <w:rPr>
          <w:rFonts w:hint="eastAsia" w:ascii="宋体" w:hAnsi="宋体" w:cs="宋体"/>
          <w:color w:val="auto"/>
          <w:kern w:val="2"/>
          <w:sz w:val="24"/>
          <w:szCs w:val="24"/>
          <w:highlight w:val="none"/>
          <w:lang w:val="en-US" w:eastAsia="zh-CN" w:bidi="ar-SA"/>
        </w:rPr>
        <w:t>服务方案</w:t>
      </w:r>
    </w:p>
    <w:bookmarkEnd w:id="713"/>
    <w:p>
      <w:pPr>
        <w:keepNext w:val="0"/>
        <w:keepLines w:val="0"/>
        <w:pageBreakBefore w:val="0"/>
        <w:widowControl w:val="0"/>
        <w:kinsoku/>
        <w:wordWrap/>
        <w:overflowPunct/>
        <w:topLinePunct w:val="0"/>
        <w:autoSpaceDE/>
        <w:autoSpaceDN/>
        <w:bidi w:val="0"/>
        <w:adjustRightInd/>
        <w:snapToGrid w:val="0"/>
        <w:spacing w:after="0" w:line="24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（供应商需根据竞争性磋商文件的采购需求、采购合同及评分办法等要求自行编写，编写内容至少包括但不限于与以上提纲内容。）</w:t>
      </w:r>
      <w:r>
        <w:rPr>
          <w:rFonts w:hint="eastAsia" w:ascii="宋体" w:hAnsi="宋体" w:eastAsia="宋体" w:cs="宋体"/>
          <w:color w:val="auto"/>
          <w:highlight w:val="none"/>
        </w:rPr>
        <w:br w:type="page"/>
      </w:r>
    </w:p>
    <w:p>
      <w:pPr>
        <w:pStyle w:val="76"/>
        <w:numPr>
          <w:ilvl w:val="0"/>
          <w:numId w:val="0"/>
        </w:numPr>
        <w:spacing w:line="360" w:lineRule="auto"/>
        <w:ind w:leftChars="0"/>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 项目管理机构人员</w:t>
      </w:r>
    </w:p>
    <w:p>
      <w:pPr>
        <w:pStyle w:val="76"/>
        <w:numPr>
          <w:ilvl w:val="0"/>
          <w:numId w:val="0"/>
        </w:numPr>
        <w:ind w:left="420" w:leftChars="0" w:hanging="42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13--1</w:t>
      </w:r>
      <w:r>
        <w:rPr>
          <w:rFonts w:hint="eastAsia" w:ascii="宋体" w:hAnsi="宋体" w:eastAsia="宋体" w:cs="宋体"/>
          <w:color w:val="auto"/>
          <w:sz w:val="28"/>
          <w:szCs w:val="28"/>
          <w:highlight w:val="none"/>
        </w:rPr>
        <w:t>项目管理机构组成表</w:t>
      </w:r>
    </w:p>
    <w:tbl>
      <w:tblPr>
        <w:tblStyle w:val="4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709"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09"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5670" w:type="dxa"/>
            <w:gridSpan w:val="5"/>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c>
          <w:tcPr>
            <w:tcW w:w="708"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pPr>
              <w:jc w:val="center"/>
              <w:rPr>
                <w:rFonts w:hint="eastAsia" w:ascii="宋体" w:hAnsi="宋体" w:eastAsia="宋体" w:cs="宋体"/>
                <w:color w:val="auto"/>
                <w:szCs w:val="21"/>
                <w:highlight w:val="none"/>
              </w:rPr>
            </w:pPr>
          </w:p>
        </w:tc>
        <w:tc>
          <w:tcPr>
            <w:tcW w:w="709" w:type="dxa"/>
            <w:vMerge w:val="continue"/>
            <w:vAlign w:val="center"/>
          </w:tcPr>
          <w:p>
            <w:pPr>
              <w:jc w:val="center"/>
              <w:rPr>
                <w:rFonts w:hint="eastAsia" w:ascii="宋体" w:hAnsi="宋体" w:eastAsia="宋体" w:cs="宋体"/>
                <w:color w:val="auto"/>
                <w:szCs w:val="21"/>
                <w:highlight w:val="none"/>
              </w:rPr>
            </w:pPr>
          </w:p>
        </w:tc>
        <w:tc>
          <w:tcPr>
            <w:tcW w:w="709" w:type="dxa"/>
            <w:vMerge w:val="continue"/>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771"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78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85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127"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养老保险</w:t>
            </w:r>
          </w:p>
        </w:tc>
        <w:tc>
          <w:tcPr>
            <w:tcW w:w="708" w:type="dxa"/>
            <w:vMerge w:val="continue"/>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bl>
    <w:p>
      <w:pPr>
        <w:ind w:left="420" w:hanging="420" w:hangingChars="200"/>
        <w:jc w:val="left"/>
        <w:rPr>
          <w:rFonts w:hint="eastAsia" w:ascii="宋体" w:hAnsi="宋体" w:eastAsia="宋体" w:cs="宋体"/>
          <w:bCs/>
          <w:color w:val="auto"/>
          <w:szCs w:val="21"/>
          <w:highlight w:val="none"/>
        </w:rPr>
      </w:pPr>
    </w:p>
    <w:p>
      <w:pPr>
        <w:ind w:left="420" w:hanging="420" w:hanging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注：供应商应附相应的证明材料（如：社保缴纳证明、职称或资格证书）。项目组主要人员须按照附件15-2单独列表详细说明，且在项目执行过程中未得到采购人书面同意不得更换。</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br w:type="page"/>
      </w:r>
    </w:p>
    <w:p>
      <w:pPr>
        <w:pStyle w:val="76"/>
        <w:numPr>
          <w:ilvl w:val="0"/>
          <w:numId w:val="0"/>
        </w:numPr>
        <w:ind w:left="420" w:leftChars="0" w:hanging="42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13--2</w:t>
      </w:r>
      <w:r>
        <w:rPr>
          <w:rFonts w:hint="eastAsia" w:ascii="宋体" w:hAnsi="宋体" w:eastAsia="宋体" w:cs="宋体"/>
          <w:color w:val="auto"/>
          <w:sz w:val="28"/>
          <w:szCs w:val="28"/>
          <w:highlight w:val="none"/>
        </w:rPr>
        <w:t>主要人员简历表</w:t>
      </w:r>
    </w:p>
    <w:p>
      <w:pPr>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 w:val="24"/>
          <w:highlight w:val="none"/>
        </w:rPr>
        <w:t>（本表为参考格式，项目经理可根据采购项目的要求，另行设计表格）</w:t>
      </w:r>
    </w:p>
    <w:p>
      <w:pPr>
        <w:spacing w:line="420" w:lineRule="exact"/>
        <w:rPr>
          <w:rFonts w:hint="eastAsia" w:ascii="宋体" w:hAnsi="宋体" w:eastAsia="宋体" w:cs="宋体"/>
          <w:color w:val="auto"/>
          <w:szCs w:val="21"/>
          <w:highlight w:val="none"/>
        </w:rPr>
      </w:pPr>
    </w:p>
    <w:tbl>
      <w:tblPr>
        <w:tblStyle w:val="46"/>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76"/>
        <w:gridCol w:w="1917"/>
        <w:gridCol w:w="1872"/>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岗位名称</w:t>
            </w:r>
          </w:p>
        </w:tc>
        <w:tc>
          <w:tcPr>
            <w:tcW w:w="1917" w:type="dxa"/>
            <w:vAlign w:val="center"/>
          </w:tcPr>
          <w:p>
            <w:pPr>
              <w:snapToGrid w:val="0"/>
              <w:ind w:right="-101" w:rightChars="-48"/>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1917" w:type="dxa"/>
            <w:vAlign w:val="center"/>
          </w:tcPr>
          <w:p>
            <w:pPr>
              <w:snapToGrid w:val="0"/>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龄</w:t>
            </w: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    别</w:t>
            </w:r>
          </w:p>
        </w:tc>
        <w:tc>
          <w:tcPr>
            <w:tcW w:w="1917" w:type="dxa"/>
            <w:vAlign w:val="center"/>
          </w:tcPr>
          <w:p>
            <w:pPr>
              <w:snapToGrid w:val="0"/>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毕业学校</w:t>
            </w: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学历和专业</w:t>
            </w:r>
          </w:p>
        </w:tc>
        <w:tc>
          <w:tcPr>
            <w:tcW w:w="1917" w:type="dxa"/>
            <w:vAlign w:val="center"/>
          </w:tcPr>
          <w:p>
            <w:pPr>
              <w:snapToGrid w:val="0"/>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拥有的执业资格</w:t>
            </w:r>
          </w:p>
        </w:tc>
        <w:tc>
          <w:tcPr>
            <w:tcW w:w="1917" w:type="dxa"/>
            <w:vAlign w:val="center"/>
          </w:tcPr>
          <w:p>
            <w:pPr>
              <w:snapToGrid w:val="0"/>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专业职称</w:t>
            </w: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执业资格证书编号</w:t>
            </w:r>
          </w:p>
        </w:tc>
        <w:tc>
          <w:tcPr>
            <w:tcW w:w="1917" w:type="dxa"/>
            <w:vAlign w:val="center"/>
          </w:tcPr>
          <w:p>
            <w:pPr>
              <w:snapToGrid w:val="0"/>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工作年限</w:t>
            </w: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要</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作</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业</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绩</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及</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担</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任</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的</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要</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作</w:t>
            </w:r>
          </w:p>
          <w:p>
            <w:pPr>
              <w:snapToGrid w:val="0"/>
              <w:jc w:val="center"/>
              <w:rPr>
                <w:rFonts w:hint="eastAsia" w:ascii="宋体" w:hAnsi="宋体" w:eastAsia="宋体" w:cs="宋体"/>
                <w:color w:val="auto"/>
                <w:sz w:val="24"/>
                <w:highlight w:val="none"/>
              </w:rPr>
            </w:pPr>
          </w:p>
        </w:tc>
        <w:tc>
          <w:tcPr>
            <w:tcW w:w="7369" w:type="dxa"/>
            <w:gridSpan w:val="4"/>
            <w:vAlign w:val="center"/>
          </w:tcPr>
          <w:p>
            <w:pPr>
              <w:snapToGrid w:val="0"/>
              <w:jc w:val="center"/>
              <w:rPr>
                <w:rFonts w:hint="eastAsia" w:ascii="宋体" w:hAnsi="宋体" w:eastAsia="宋体" w:cs="宋体"/>
                <w:color w:val="auto"/>
                <w:sz w:val="24"/>
                <w:highlight w:val="none"/>
              </w:rPr>
            </w:pPr>
          </w:p>
        </w:tc>
      </w:tr>
    </w:tbl>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76"/>
        <w:numPr>
          <w:ilvl w:val="0"/>
          <w:numId w:val="0"/>
        </w:numPr>
        <w:spacing w:line="360" w:lineRule="auto"/>
        <w:ind w:leftChars="0"/>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14 </w:t>
      </w:r>
      <w:r>
        <w:rPr>
          <w:rFonts w:hint="eastAsia"/>
          <w:b/>
          <w:color w:val="auto"/>
          <w:sz w:val="24"/>
          <w:highlight w:val="none"/>
        </w:rPr>
        <w:t>供应商其他承诺（如有）</w:t>
      </w:r>
    </w:p>
    <w:p>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br w:type="page"/>
      </w:r>
    </w:p>
    <w:p>
      <w:pPr>
        <w:pStyle w:val="76"/>
        <w:numPr>
          <w:ilvl w:val="0"/>
          <w:numId w:val="0"/>
        </w:numPr>
        <w:spacing w:line="360" w:lineRule="auto"/>
        <w:ind w:leftChars="0"/>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 竞争性磋商文件要求提供或供应商认为应附的其他材料即承诺</w:t>
      </w:r>
    </w:p>
    <w:p>
      <w:pPr>
        <w:widowControl/>
        <w:jc w:val="left"/>
        <w:rPr>
          <w:rFonts w:hint="eastAsia" w:ascii="宋体" w:hAnsi="宋体" w:eastAsia="宋体" w:cs="宋体"/>
          <w:b/>
          <w:color w:val="auto"/>
          <w:sz w:val="36"/>
          <w:szCs w:val="36"/>
          <w:highlight w:val="none"/>
        </w:rPr>
      </w:pPr>
    </w:p>
    <w:p>
      <w:pPr>
        <w:widowControl/>
        <w:jc w:val="left"/>
        <w:rPr>
          <w:rFonts w:hint="eastAsia" w:ascii="宋体" w:hAnsi="宋体" w:eastAsia="宋体" w:cs="宋体"/>
          <w:color w:val="auto"/>
          <w:sz w:val="24"/>
          <w:szCs w:val="20"/>
          <w:highlight w:val="none"/>
        </w:rPr>
      </w:pPr>
      <w:bookmarkStart w:id="714" w:name="_Hlk167094858"/>
      <w:r>
        <w:rPr>
          <w:rFonts w:hint="eastAsia" w:ascii="宋体" w:hAnsi="宋体" w:eastAsia="宋体" w:cs="宋体"/>
          <w:color w:val="auto"/>
          <w:sz w:val="24"/>
          <w:szCs w:val="20"/>
          <w:highlight w:val="none"/>
          <w:lang w:val="en-US" w:eastAsia="zh-CN"/>
        </w:rPr>
        <w:t>15-1</w:t>
      </w:r>
      <w:r>
        <w:rPr>
          <w:rFonts w:hint="eastAsia" w:ascii="宋体" w:hAnsi="宋体" w:eastAsia="宋体" w:cs="宋体"/>
          <w:color w:val="auto"/>
          <w:sz w:val="24"/>
          <w:szCs w:val="20"/>
          <w:highlight w:val="none"/>
        </w:rPr>
        <w:t>供应商信息采集表</w:t>
      </w:r>
    </w:p>
    <w:tbl>
      <w:tblPr>
        <w:tblStyle w:val="46"/>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tc>
        <w:tc>
          <w:tcPr>
            <w:tcW w:w="3097" w:type="dxa"/>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供应商所属性别</w:t>
            </w:r>
          </w:p>
        </w:tc>
        <w:tc>
          <w:tcPr>
            <w:tcW w:w="3095" w:type="dxa"/>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pPr>
              <w:rPr>
                <w:rFonts w:hint="eastAsia" w:ascii="宋体" w:hAnsi="宋体" w:eastAsia="宋体" w:cs="宋体"/>
                <w:color w:val="auto"/>
                <w:sz w:val="24"/>
                <w:highlight w:val="none"/>
              </w:rPr>
            </w:pPr>
          </w:p>
        </w:tc>
        <w:tc>
          <w:tcPr>
            <w:tcW w:w="3097" w:type="dxa"/>
          </w:tcPr>
          <w:p>
            <w:pPr>
              <w:rPr>
                <w:rFonts w:hint="eastAsia" w:ascii="宋体" w:hAnsi="宋体" w:eastAsia="宋体" w:cs="宋体"/>
                <w:color w:val="auto"/>
                <w:sz w:val="24"/>
                <w:highlight w:val="none"/>
              </w:rPr>
            </w:pPr>
          </w:p>
        </w:tc>
        <w:tc>
          <w:tcPr>
            <w:tcW w:w="3095" w:type="dxa"/>
          </w:tcPr>
          <w:p>
            <w:pP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pPr>
              <w:rPr>
                <w:rFonts w:hint="eastAsia" w:ascii="宋体" w:hAnsi="宋体" w:eastAsia="宋体" w:cs="宋体"/>
                <w:color w:val="auto"/>
                <w:highlight w:val="none"/>
              </w:rPr>
            </w:pPr>
          </w:p>
        </w:tc>
        <w:tc>
          <w:tcPr>
            <w:tcW w:w="3097" w:type="dxa"/>
          </w:tcPr>
          <w:p>
            <w:pPr>
              <w:rPr>
                <w:rFonts w:hint="eastAsia" w:ascii="宋体" w:hAnsi="宋体" w:eastAsia="宋体" w:cs="宋体"/>
                <w:color w:val="auto"/>
                <w:highlight w:val="none"/>
              </w:rPr>
            </w:pPr>
          </w:p>
        </w:tc>
        <w:tc>
          <w:tcPr>
            <w:tcW w:w="3095" w:type="dxa"/>
          </w:tcPr>
          <w:p>
            <w:pP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pPr>
              <w:rPr>
                <w:rFonts w:hint="eastAsia" w:ascii="宋体" w:hAnsi="宋体" w:eastAsia="宋体" w:cs="宋体"/>
                <w:color w:val="auto"/>
                <w:highlight w:val="none"/>
              </w:rPr>
            </w:pPr>
          </w:p>
        </w:tc>
        <w:tc>
          <w:tcPr>
            <w:tcW w:w="3097" w:type="dxa"/>
          </w:tcPr>
          <w:p>
            <w:pPr>
              <w:rPr>
                <w:rFonts w:hint="eastAsia" w:ascii="宋体" w:hAnsi="宋体" w:eastAsia="宋体" w:cs="宋体"/>
                <w:color w:val="auto"/>
                <w:highlight w:val="none"/>
              </w:rPr>
            </w:pPr>
          </w:p>
        </w:tc>
        <w:tc>
          <w:tcPr>
            <w:tcW w:w="3095" w:type="dxa"/>
          </w:tcPr>
          <w:p>
            <w:pP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pPr>
              <w:rPr>
                <w:rFonts w:hint="eastAsia" w:ascii="宋体" w:hAnsi="宋体" w:eastAsia="宋体" w:cs="宋体"/>
                <w:color w:val="auto"/>
                <w:highlight w:val="none"/>
              </w:rPr>
            </w:pPr>
          </w:p>
        </w:tc>
        <w:tc>
          <w:tcPr>
            <w:tcW w:w="3097" w:type="dxa"/>
          </w:tcPr>
          <w:p>
            <w:pPr>
              <w:rPr>
                <w:rFonts w:hint="eastAsia" w:ascii="宋体" w:hAnsi="宋体" w:eastAsia="宋体" w:cs="宋体"/>
                <w:color w:val="auto"/>
                <w:highlight w:val="none"/>
              </w:rPr>
            </w:pPr>
          </w:p>
        </w:tc>
        <w:tc>
          <w:tcPr>
            <w:tcW w:w="3095" w:type="dxa"/>
          </w:tcPr>
          <w:p>
            <w:pPr>
              <w:rPr>
                <w:rFonts w:hint="eastAsia" w:ascii="宋体" w:hAnsi="宋体" w:eastAsia="宋体" w:cs="宋体"/>
                <w:color w:val="auto"/>
                <w:highlight w:val="none"/>
              </w:rPr>
            </w:pPr>
          </w:p>
        </w:tc>
      </w:tr>
    </w:tbl>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注：1.供应商如为联合体，则应填写联合体各成员信息。</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2.供应商所属性别请填写“男”或“女”，指制造商持股份额男性女性占比大的性别。</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3.外商投资类型请填写“外商单独投资”、“外商部分投资”或“内资”。</w:t>
      </w:r>
    </w:p>
    <w:p>
      <w:pPr>
        <w:pStyle w:val="2"/>
        <w:rPr>
          <w:rFonts w:hint="eastAsia" w:ascii="宋体" w:hAnsi="宋体" w:eastAsia="宋体" w:cs="宋体"/>
          <w:color w:val="auto"/>
          <w:sz w:val="24"/>
          <w:highlight w:val="none"/>
        </w:rPr>
      </w:pPr>
    </w:p>
    <w:p>
      <w:pPr>
        <w:pStyle w:val="3"/>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3"/>
        <w:rPr>
          <w:rFonts w:hint="eastAsia" w:ascii="宋体" w:hAnsi="宋体" w:eastAsia="宋体" w:cs="宋体"/>
          <w:color w:val="auto"/>
          <w:highlight w:val="none"/>
        </w:rPr>
      </w:pPr>
    </w:p>
    <w:bookmarkEnd w:id="714"/>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0"/>
          <w:highlight w:val="none"/>
          <w:lang w:val="en-US" w:eastAsia="zh-CN"/>
        </w:rPr>
        <w:t>15-2</w:t>
      </w:r>
      <w:r>
        <w:rPr>
          <w:rFonts w:hint="eastAsia" w:ascii="宋体" w:hAnsi="宋体" w:eastAsia="宋体" w:cs="宋体"/>
          <w:color w:val="auto"/>
          <w:kern w:val="2"/>
          <w:sz w:val="24"/>
          <w:szCs w:val="24"/>
          <w:highlight w:val="none"/>
          <w:lang w:val="en-US" w:eastAsia="zh-CN" w:bidi="ar-SA"/>
        </w:rPr>
        <w:t>竞争性磋商文件要求提供或供应商认为应附的承诺（格式</w:t>
      </w:r>
      <w:r>
        <w:rPr>
          <w:rFonts w:hint="eastAsia" w:ascii="宋体" w:hAnsi="宋体" w:cs="宋体"/>
          <w:color w:val="auto"/>
          <w:kern w:val="2"/>
          <w:sz w:val="24"/>
          <w:szCs w:val="24"/>
          <w:highlight w:val="none"/>
          <w:lang w:val="en-US" w:eastAsia="zh-CN" w:bidi="ar-SA"/>
        </w:rPr>
        <w:t>及</w:t>
      </w:r>
      <w:r>
        <w:rPr>
          <w:rFonts w:hint="eastAsia" w:ascii="宋体" w:hAnsi="宋体" w:eastAsia="宋体" w:cs="宋体"/>
          <w:color w:val="auto"/>
          <w:kern w:val="2"/>
          <w:sz w:val="24"/>
          <w:szCs w:val="24"/>
          <w:highlight w:val="none"/>
          <w:lang w:val="en-US" w:eastAsia="zh-CN" w:bidi="ar-SA"/>
        </w:rPr>
        <w:t>内容自拟）</w:t>
      </w:r>
    </w:p>
    <w:p>
      <w:pPr>
        <w:widowControl/>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br w:type="page"/>
      </w: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最后报价函（实质性格式，磋商后提交）</w:t>
      </w:r>
    </w:p>
    <w:p>
      <w:pPr>
        <w:autoSpaceDE w:val="0"/>
        <w:autoSpaceDN w:val="0"/>
        <w:adjustRightInd w:val="0"/>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 xml:space="preserve">16-1 </w:t>
      </w:r>
      <w:r>
        <w:rPr>
          <w:rFonts w:hint="eastAsia" w:ascii="宋体" w:hAnsi="宋体" w:eastAsia="宋体" w:cs="宋体"/>
          <w:color w:val="auto"/>
          <w:kern w:val="0"/>
          <w:sz w:val="24"/>
          <w:highlight w:val="none"/>
        </w:rPr>
        <w:t>最后报价</w:t>
      </w:r>
      <w:r>
        <w:rPr>
          <w:rFonts w:hint="eastAsia" w:ascii="宋体" w:hAnsi="宋体" w:cs="宋体"/>
          <w:color w:val="auto"/>
          <w:kern w:val="0"/>
          <w:sz w:val="24"/>
          <w:highlight w:val="none"/>
          <w:lang w:val="en-US" w:eastAsia="zh-CN"/>
        </w:rPr>
        <w:t>一览表</w:t>
      </w:r>
    </w:p>
    <w:p>
      <w:pPr>
        <w:tabs>
          <w:tab w:val="left" w:pos="1800"/>
          <w:tab w:val="left" w:pos="5580"/>
        </w:tabs>
        <w:spacing w:line="360" w:lineRule="auto"/>
        <w:ind w:firstLine="720" w:firstLineChars="3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项目编号：___________     项目名称：___________</w:t>
      </w:r>
    </w:p>
    <w:tbl>
      <w:tblPr>
        <w:tblStyle w:val="45"/>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3"/>
        <w:gridCol w:w="3169"/>
        <w:gridCol w:w="2295"/>
        <w:gridCol w:w="2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1223"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包号</w:t>
            </w:r>
          </w:p>
        </w:tc>
        <w:tc>
          <w:tcPr>
            <w:tcW w:w="3169"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供应商名称</w:t>
            </w:r>
          </w:p>
        </w:tc>
        <w:tc>
          <w:tcPr>
            <w:tcW w:w="5047"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9" w:hRule="atLeast"/>
          <w:jc w:val="center"/>
        </w:trPr>
        <w:tc>
          <w:tcPr>
            <w:tcW w:w="12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auto"/>
                <w:sz w:val="24"/>
                <w:highlight w:val="none"/>
              </w:rPr>
            </w:pPr>
          </w:p>
        </w:tc>
        <w:tc>
          <w:tcPr>
            <w:tcW w:w="31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auto"/>
                <w:sz w:val="24"/>
                <w:highlight w:val="none"/>
              </w:rPr>
            </w:pPr>
          </w:p>
        </w:tc>
        <w:tc>
          <w:tcPr>
            <w:tcW w:w="229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大写</w:t>
            </w:r>
          </w:p>
        </w:tc>
        <w:tc>
          <w:tcPr>
            <w:tcW w:w="275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6" w:hRule="atLeast"/>
          <w:jc w:val="center"/>
        </w:trPr>
        <w:tc>
          <w:tcPr>
            <w:tcW w:w="122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3169"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229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275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r>
    </w:tbl>
    <w:p>
      <w:pPr>
        <w:autoSpaceDE w:val="0"/>
        <w:autoSpaceDN w:val="0"/>
        <w:adjustRightInd w:val="0"/>
        <w:jc w:val="left"/>
        <w:rPr>
          <w:rFonts w:hint="eastAsia" w:ascii="宋体" w:hAnsi="宋体" w:eastAsia="宋体" w:cs="宋体"/>
          <w:color w:val="auto"/>
          <w:kern w:val="0"/>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 此表中，每包的最后报价应和《最后分项报价表》中的总价相一致。</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本表必须按包分别填写。</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 此表无需在响应文件中提交，磋商后供应商按磋商小组要求提交。</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3780" w:leftChars="1800"/>
        <w:jc w:val="left"/>
        <w:textAlignment w:val="auto"/>
        <w:rPr>
          <w:rFonts w:hint="eastAsia" w:ascii="宋体" w:hAnsi="宋体" w:eastAsia="宋体" w:cs="宋体"/>
          <w:color w:val="auto"/>
          <w:kern w:val="0"/>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jc w:val="left"/>
        <w:textAlignment w:val="auto"/>
        <w:rPr>
          <w:rFonts w:hint="default"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rPr>
        <w:t>供应商</w:t>
      </w:r>
      <w:r>
        <w:rPr>
          <w:rFonts w:hint="eastAsia" w:ascii="宋体" w:hAnsi="宋体" w:cs="宋体"/>
          <w:color w:val="auto"/>
          <w:kern w:val="0"/>
          <w:sz w:val="24"/>
          <w:highlight w:val="none"/>
          <w:lang w:val="en-US" w:eastAsia="zh-CN"/>
        </w:rPr>
        <w:t>授权代表签字（或加盖供应商公章）</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after="0" w:line="360" w:lineRule="auto"/>
        <w:jc w:val="left"/>
        <w:textAlignment w:val="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日期：</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日</w:t>
      </w:r>
    </w:p>
    <w:p>
      <w:pPr>
        <w:keepNext w:val="0"/>
        <w:keepLines w:val="0"/>
        <w:pageBreakBefore w:val="0"/>
        <w:widowControl w:val="0"/>
        <w:kinsoku/>
        <w:wordWrap/>
        <w:overflowPunct/>
        <w:topLinePunct w:val="0"/>
        <w:autoSpaceDE w:val="0"/>
        <w:autoSpaceDN w:val="0"/>
        <w:bidi w:val="0"/>
        <w:adjustRightInd w:val="0"/>
        <w:snapToGrid w:val="0"/>
        <w:spacing w:after="0" w:line="360" w:lineRule="auto"/>
        <w:textAlignment w:val="auto"/>
        <w:rPr>
          <w:rFonts w:hint="eastAsia" w:ascii="宋体" w:hAnsi="宋体" w:eastAsia="宋体" w:cs="宋体"/>
          <w:color w:val="auto"/>
          <w:kern w:val="0"/>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textAlignment w:val="auto"/>
        <w:rPr>
          <w:rFonts w:hint="eastAsia" w:ascii="宋体" w:hAnsi="宋体" w:eastAsia="宋体" w:cs="宋体"/>
          <w:color w:val="auto"/>
          <w:sz w:val="24"/>
          <w:highlight w:val="none"/>
          <w:lang w:val="zh-CN"/>
        </w:rPr>
      </w:pPr>
      <w:bookmarkStart w:id="715" w:name="OLE_LINK1"/>
      <w:r>
        <w:rPr>
          <w:rFonts w:hint="eastAsia" w:ascii="宋体" w:hAnsi="宋体" w:eastAsia="宋体" w:cs="宋体"/>
          <w:color w:val="auto"/>
          <w:kern w:val="0"/>
          <w:sz w:val="24"/>
          <w:highlight w:val="none"/>
        </w:rPr>
        <w:t>注：本最后报价函必须加盖供应商公章或由法定代表人（或其委托代理人）签字，若未盖单位章也无法定代表人（或其委托代理人）签字，为无效报价函。</w:t>
      </w:r>
      <w:bookmarkEnd w:id="715"/>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tabs>
          <w:tab w:val="left" w:pos="1800"/>
          <w:tab w:val="left" w:pos="5580"/>
        </w:tabs>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16-2 最后分项报价表</w:t>
      </w:r>
    </w:p>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 / 包号： _________ 项目名称： _________ 报价单位：人民币元</w:t>
      </w:r>
    </w:p>
    <w:tbl>
      <w:tblPr>
        <w:tblStyle w:val="46"/>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42"/>
        <w:gridCol w:w="1642"/>
        <w:gridCol w:w="1642"/>
        <w:gridCol w:w="1642"/>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序号</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分项名称</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单价（元）</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数量</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合价（元）</w:t>
            </w: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备注 / 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3</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8" w:type="dxa"/>
            <w:gridSpan w:val="4"/>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总价（元）</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bl>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 </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本表应按包分别填写。</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上述各项的详细规格（如有），可另页描述。</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 此表无需在响应文件中提交，磋商后供应商按磋商小组要求提交。</w:t>
      </w:r>
    </w:p>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jc w:val="left"/>
        <w:textAlignment w:val="auto"/>
        <w:rPr>
          <w:rFonts w:hint="default"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rPr>
        <w:t>供应商</w:t>
      </w:r>
      <w:r>
        <w:rPr>
          <w:rFonts w:hint="eastAsia" w:ascii="宋体" w:hAnsi="宋体" w:cs="宋体"/>
          <w:color w:val="auto"/>
          <w:kern w:val="0"/>
          <w:sz w:val="24"/>
          <w:highlight w:val="none"/>
          <w:lang w:val="en-US" w:eastAsia="zh-CN"/>
        </w:rPr>
        <w:t>授权代表签字（或加盖供应商公章）</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lang w:val="en-US" w:eastAsia="zh-CN"/>
        </w:rPr>
        <w:t xml:space="preserve">       </w:t>
      </w:r>
    </w:p>
    <w:p>
      <w:pPr>
        <w:pStyle w:val="2"/>
        <w:rPr>
          <w:rFonts w:hint="eastAsia" w:ascii="宋体" w:hAnsi="宋体" w:eastAsia="宋体" w:cs="宋体"/>
          <w:color w:val="auto"/>
          <w:sz w:val="24"/>
          <w:szCs w:val="20"/>
          <w:highlight w:val="none"/>
        </w:rPr>
      </w:pPr>
      <w:r>
        <w:rPr>
          <w:rFonts w:hint="eastAsia" w:ascii="宋体" w:hAnsi="宋体" w:cs="宋体"/>
          <w:color w:val="auto"/>
          <w:kern w:val="0"/>
          <w:sz w:val="24"/>
          <w:highlight w:val="none"/>
          <w:lang w:val="en-US" w:eastAsia="zh-CN"/>
        </w:rPr>
        <w:t>日期：</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日</w:t>
      </w:r>
      <w:r>
        <w:rPr>
          <w:rFonts w:hint="eastAsia" w:ascii="宋体" w:hAnsi="宋体" w:eastAsia="宋体" w:cs="宋体"/>
          <w:color w:val="auto"/>
          <w:sz w:val="24"/>
          <w:szCs w:val="20"/>
          <w:highlight w:val="none"/>
        </w:rPr>
        <w:t xml:space="preserve">  </w:t>
      </w:r>
    </w:p>
    <w:p>
      <w:pPr>
        <w:pStyle w:val="3"/>
        <w:rPr>
          <w:rFonts w:hint="eastAsia" w:ascii="宋体" w:hAnsi="宋体" w:eastAsia="宋体" w:cs="宋体"/>
          <w:color w:val="auto"/>
          <w:sz w:val="24"/>
          <w:szCs w:val="20"/>
          <w:highlight w:val="none"/>
        </w:rPr>
      </w:pPr>
    </w:p>
    <w:p>
      <w:pPr>
        <w:rPr>
          <w:rFonts w:hint="eastAsia"/>
          <w:highlight w:val="none"/>
        </w:rPr>
      </w:pPr>
      <w:r>
        <w:rPr>
          <w:rFonts w:hint="eastAsia" w:ascii="宋体" w:hAnsi="宋体" w:eastAsia="宋体" w:cs="宋体"/>
          <w:color w:val="auto"/>
          <w:kern w:val="0"/>
          <w:sz w:val="24"/>
          <w:highlight w:val="none"/>
        </w:rPr>
        <w:t>注：本最后报价函必须加盖供应商公章或由法定代表人（或其委托代理人）签字，若未盖单位章也无法定代表人（或其委托代理人）签字，为无效报价函。</w:t>
      </w:r>
    </w:p>
    <w:sectPr>
      <w:pgSz w:w="11905" w:h="16838"/>
      <w:pgMar w:top="850" w:right="1134" w:bottom="850" w:left="1134" w:header="0" w:footer="850" w:gutter="0"/>
      <w:pgBorders>
        <w:top w:val="none" w:sz="0" w:space="0"/>
        <w:left w:val="none" w:sz="0" w:space="0"/>
        <w:bottom w:val="none" w:sz="0" w:space="0"/>
        <w:right w:val="none" w:sz="0" w:space="0"/>
      </w:pgBorders>
      <w:pgNumType w:fmt="decimal"/>
      <w:cols w:space="0" w:num="1"/>
      <w:rtlGutter w:val="0"/>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pPr>
      <w:pStyle w:val="31"/>
      <w:ind w:right="360"/>
    </w:pPr>
  </w:p>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0"/>
      </w:rPr>
    </w:pPr>
    <w:r>
      <w:fldChar w:fldCharType="begin"/>
    </w:r>
    <w:r>
      <w:rPr>
        <w:rStyle w:val="50"/>
      </w:rPr>
      <w:instrText xml:space="preserve">PAGE  </w:instrText>
    </w:r>
    <w:r>
      <w:fldChar w:fldCharType="end"/>
    </w:r>
  </w:p>
  <w:p>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pPr>
          <w:pStyle w:val="31"/>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425"/>
      <w:rPr>
        <w:rFonts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pPr>
      <w:pStyle w:val="31"/>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3F4C1"/>
    <w:multiLevelType w:val="singleLevel"/>
    <w:tmpl w:val="9AE3F4C1"/>
    <w:lvl w:ilvl="0" w:tentative="0">
      <w:start w:val="2"/>
      <w:numFmt w:val="chineseCounting"/>
      <w:suff w:val="nothing"/>
      <w:lvlText w:val="%1、"/>
      <w:lvlJc w:val="left"/>
      <w:rPr>
        <w:rFonts w:hint="eastAsia"/>
      </w:rPr>
    </w:lvl>
  </w:abstractNum>
  <w:abstractNum w:abstractNumId="1">
    <w:nsid w:val="AE8A32E7"/>
    <w:multiLevelType w:val="multilevel"/>
    <w:tmpl w:val="AE8A32E7"/>
    <w:lvl w:ilvl="0" w:tentative="0">
      <w:start w:val="1"/>
      <w:numFmt w:val="decimal"/>
      <w:pStyle w:val="258"/>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0948233"/>
    <w:multiLevelType w:val="singleLevel"/>
    <w:tmpl w:val="B0948233"/>
    <w:lvl w:ilvl="0" w:tentative="0">
      <w:start w:val="4"/>
      <w:numFmt w:val="chineseCounting"/>
      <w:suff w:val="space"/>
      <w:lvlText w:val="第%1章"/>
      <w:lvlJc w:val="left"/>
      <w:rPr>
        <w:rFonts w:hint="eastAsia"/>
      </w:rPr>
    </w:lvl>
  </w:abstractNum>
  <w:abstractNum w:abstractNumId="3">
    <w:nsid w:val="DD05DEF2"/>
    <w:multiLevelType w:val="singleLevel"/>
    <w:tmpl w:val="DD05DEF2"/>
    <w:lvl w:ilvl="0" w:tentative="0">
      <w:start w:val="1"/>
      <w:numFmt w:val="chineseCounting"/>
      <w:suff w:val="nothing"/>
      <w:lvlText w:val="%1、"/>
      <w:lvlJc w:val="left"/>
      <w:rPr>
        <w:rFonts w:hint="eastAsia"/>
      </w:r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E230849"/>
    <w:multiLevelType w:val="multilevel"/>
    <w:tmpl w:val="0E230849"/>
    <w:lvl w:ilvl="0" w:tentative="0">
      <w:start w:val="1"/>
      <w:numFmt w:val="decimal"/>
      <w:pStyle w:val="195"/>
      <w:lvlText w:val="%1"/>
      <w:lvlJc w:val="left"/>
      <w:pPr>
        <w:ind w:left="680" w:hanging="680"/>
      </w:pPr>
      <w:rPr>
        <w:rFonts w:hint="eastAsia" w:ascii="宋体" w:hAnsi="宋体" w:eastAsia="宋体"/>
      </w:rPr>
    </w:lvl>
    <w:lvl w:ilvl="1" w:tentative="0">
      <w:start w:val="1"/>
      <w:numFmt w:val="decimal"/>
      <w:pStyle w:val="196"/>
      <w:lvlText w:val="%1.%2"/>
      <w:lvlJc w:val="left"/>
      <w:pPr>
        <w:ind w:left="851" w:hanging="851"/>
      </w:pPr>
      <w:rPr>
        <w:rFonts w:hint="eastAsia" w:ascii="宋体" w:hAnsi="宋体" w:eastAsia="宋体"/>
        <w:color w:val="auto"/>
      </w:rPr>
    </w:lvl>
    <w:lvl w:ilvl="2" w:tentative="0">
      <w:start w:val="1"/>
      <w:numFmt w:val="decimal"/>
      <w:pStyle w:val="19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8"/>
  </w:num>
  <w:num w:numId="2">
    <w:abstractNumId w:val="11"/>
  </w:num>
  <w:num w:numId="3">
    <w:abstractNumId w:val="5"/>
  </w:num>
  <w:num w:numId="4">
    <w:abstractNumId w:val="9"/>
  </w:num>
  <w:num w:numId="5">
    <w:abstractNumId w:val="7"/>
  </w:num>
  <w:num w:numId="6">
    <w:abstractNumId w:val="6"/>
  </w:num>
  <w:num w:numId="7">
    <w:abstractNumId w:val="12"/>
  </w:num>
  <w:num w:numId="8">
    <w:abstractNumId w:val="1"/>
  </w:num>
  <w:num w:numId="9">
    <w:abstractNumId w:val="10"/>
  </w:num>
  <w:num w:numId="10">
    <w:abstractNumId w:val="14"/>
  </w:num>
  <w:num w:numId="11">
    <w:abstractNumId w:val="4"/>
  </w:num>
  <w:num w:numId="12">
    <w:abstractNumId w:val="13"/>
  </w:num>
  <w:num w:numId="13">
    <w:abstractNumId w:val="0"/>
  </w:num>
  <w:num w:numId="14">
    <w:abstractNumId w:val="2"/>
  </w:num>
  <w:num w:numId="15">
    <w:abstractNumId w:val="3"/>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TdkYTk3OWU5YTJjZDRlMzc1ODNiODhlMDcwMWEzOD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CAB"/>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8C6"/>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D68"/>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072"/>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D1A"/>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0"/>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23"/>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0A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5C"/>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70E"/>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99C"/>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708"/>
    <w:rsid w:val="00520A8B"/>
    <w:rsid w:val="00520DD0"/>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25B"/>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841"/>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1F"/>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B4"/>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43C"/>
    <w:rsid w:val="00786558"/>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288"/>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2F8C"/>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C7C"/>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94"/>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4D3"/>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85"/>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02"/>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C83"/>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5A6"/>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5"/>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702"/>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BE1"/>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940"/>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AF9"/>
    <w:rsid w:val="00B62B23"/>
    <w:rsid w:val="00B62C60"/>
    <w:rsid w:val="00B62DF4"/>
    <w:rsid w:val="00B62DFA"/>
    <w:rsid w:val="00B62E72"/>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825"/>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58"/>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89B"/>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1"/>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2E20"/>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2FA"/>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D75319"/>
    <w:rsid w:val="01D859C9"/>
    <w:rsid w:val="0207079C"/>
    <w:rsid w:val="025B7852"/>
    <w:rsid w:val="02DE53F2"/>
    <w:rsid w:val="03274F6B"/>
    <w:rsid w:val="0373322A"/>
    <w:rsid w:val="04026E31"/>
    <w:rsid w:val="04413521"/>
    <w:rsid w:val="04AE0A4F"/>
    <w:rsid w:val="05334260"/>
    <w:rsid w:val="05596DF4"/>
    <w:rsid w:val="05CC222D"/>
    <w:rsid w:val="05CC6DA5"/>
    <w:rsid w:val="063947D3"/>
    <w:rsid w:val="06646681"/>
    <w:rsid w:val="069E15C9"/>
    <w:rsid w:val="069F227D"/>
    <w:rsid w:val="07560124"/>
    <w:rsid w:val="07ED71A0"/>
    <w:rsid w:val="07FE280C"/>
    <w:rsid w:val="08AF0327"/>
    <w:rsid w:val="095F390F"/>
    <w:rsid w:val="096506FA"/>
    <w:rsid w:val="0969528E"/>
    <w:rsid w:val="097E3CC3"/>
    <w:rsid w:val="09867D63"/>
    <w:rsid w:val="09900BFA"/>
    <w:rsid w:val="09FF2967"/>
    <w:rsid w:val="0A887AE4"/>
    <w:rsid w:val="0AEF0BE2"/>
    <w:rsid w:val="0B345875"/>
    <w:rsid w:val="0B660C1A"/>
    <w:rsid w:val="0B85371C"/>
    <w:rsid w:val="0BA31C50"/>
    <w:rsid w:val="0CD216B5"/>
    <w:rsid w:val="0D320EAB"/>
    <w:rsid w:val="0D3970FB"/>
    <w:rsid w:val="0D3D35F7"/>
    <w:rsid w:val="0D8F76E7"/>
    <w:rsid w:val="0DAB5AFB"/>
    <w:rsid w:val="0DB742EB"/>
    <w:rsid w:val="0DBE0334"/>
    <w:rsid w:val="0DD5299D"/>
    <w:rsid w:val="0E063048"/>
    <w:rsid w:val="0E8C6FEF"/>
    <w:rsid w:val="0F1D4385"/>
    <w:rsid w:val="0F3867A2"/>
    <w:rsid w:val="0F3C7D79"/>
    <w:rsid w:val="0FA30CB9"/>
    <w:rsid w:val="101D011D"/>
    <w:rsid w:val="10907F18"/>
    <w:rsid w:val="110F4D00"/>
    <w:rsid w:val="11496B5A"/>
    <w:rsid w:val="11C37010"/>
    <w:rsid w:val="125606A2"/>
    <w:rsid w:val="129C7883"/>
    <w:rsid w:val="131B4F78"/>
    <w:rsid w:val="134B7CB5"/>
    <w:rsid w:val="13633BF1"/>
    <w:rsid w:val="137B71FF"/>
    <w:rsid w:val="13856A32"/>
    <w:rsid w:val="141E704D"/>
    <w:rsid w:val="14D964F6"/>
    <w:rsid w:val="15D55160"/>
    <w:rsid w:val="163A58F9"/>
    <w:rsid w:val="167A62D8"/>
    <w:rsid w:val="16935BE2"/>
    <w:rsid w:val="16FD067B"/>
    <w:rsid w:val="170913F9"/>
    <w:rsid w:val="178625FD"/>
    <w:rsid w:val="17C5213A"/>
    <w:rsid w:val="17D13009"/>
    <w:rsid w:val="17F93E0B"/>
    <w:rsid w:val="181D098E"/>
    <w:rsid w:val="1A4768A9"/>
    <w:rsid w:val="1A9966B3"/>
    <w:rsid w:val="1B5508BC"/>
    <w:rsid w:val="1BB06883"/>
    <w:rsid w:val="1C306249"/>
    <w:rsid w:val="1C3B23A7"/>
    <w:rsid w:val="1C455CA5"/>
    <w:rsid w:val="1CAE500A"/>
    <w:rsid w:val="1CCD4A26"/>
    <w:rsid w:val="1D2C69D2"/>
    <w:rsid w:val="1D582D34"/>
    <w:rsid w:val="1E1770AA"/>
    <w:rsid w:val="1E3B49CB"/>
    <w:rsid w:val="1E7712B5"/>
    <w:rsid w:val="1F25620F"/>
    <w:rsid w:val="1F271CAA"/>
    <w:rsid w:val="1F282046"/>
    <w:rsid w:val="1F8F1710"/>
    <w:rsid w:val="1FB95613"/>
    <w:rsid w:val="1FE91D68"/>
    <w:rsid w:val="1FF95626"/>
    <w:rsid w:val="200247B1"/>
    <w:rsid w:val="20142407"/>
    <w:rsid w:val="20793F96"/>
    <w:rsid w:val="218972EE"/>
    <w:rsid w:val="218A1494"/>
    <w:rsid w:val="21A64623"/>
    <w:rsid w:val="21D10C1B"/>
    <w:rsid w:val="21EF72DB"/>
    <w:rsid w:val="23040BE2"/>
    <w:rsid w:val="236A704B"/>
    <w:rsid w:val="239E00B4"/>
    <w:rsid w:val="23B157BA"/>
    <w:rsid w:val="24457402"/>
    <w:rsid w:val="245D4D4E"/>
    <w:rsid w:val="24676883"/>
    <w:rsid w:val="250B7D64"/>
    <w:rsid w:val="251E74A4"/>
    <w:rsid w:val="25331AB2"/>
    <w:rsid w:val="253439F5"/>
    <w:rsid w:val="2559398A"/>
    <w:rsid w:val="255D4109"/>
    <w:rsid w:val="260C3351"/>
    <w:rsid w:val="267368FF"/>
    <w:rsid w:val="26763195"/>
    <w:rsid w:val="268D5392"/>
    <w:rsid w:val="26DA2408"/>
    <w:rsid w:val="27843CE5"/>
    <w:rsid w:val="27D41F51"/>
    <w:rsid w:val="2950222B"/>
    <w:rsid w:val="29630200"/>
    <w:rsid w:val="29AC36EE"/>
    <w:rsid w:val="2A21651D"/>
    <w:rsid w:val="2A491AB2"/>
    <w:rsid w:val="2AEC1302"/>
    <w:rsid w:val="2B2E4F64"/>
    <w:rsid w:val="2B6A23CA"/>
    <w:rsid w:val="2BAC1545"/>
    <w:rsid w:val="2CF61420"/>
    <w:rsid w:val="2D2D27DF"/>
    <w:rsid w:val="2D477BCB"/>
    <w:rsid w:val="2E0D1AEB"/>
    <w:rsid w:val="2E2E5910"/>
    <w:rsid w:val="2E3624DD"/>
    <w:rsid w:val="2EA667F1"/>
    <w:rsid w:val="2EDC7B70"/>
    <w:rsid w:val="2F527179"/>
    <w:rsid w:val="30213080"/>
    <w:rsid w:val="30805737"/>
    <w:rsid w:val="30B4604A"/>
    <w:rsid w:val="311B1018"/>
    <w:rsid w:val="31526EF7"/>
    <w:rsid w:val="316721EF"/>
    <w:rsid w:val="31D729D3"/>
    <w:rsid w:val="32405641"/>
    <w:rsid w:val="32EB653A"/>
    <w:rsid w:val="32F93594"/>
    <w:rsid w:val="33291768"/>
    <w:rsid w:val="33DC0296"/>
    <w:rsid w:val="33DE0A1E"/>
    <w:rsid w:val="342F663A"/>
    <w:rsid w:val="34C3587B"/>
    <w:rsid w:val="353E3FE9"/>
    <w:rsid w:val="362706E4"/>
    <w:rsid w:val="36637DA1"/>
    <w:rsid w:val="36D70B1D"/>
    <w:rsid w:val="37CA7CCC"/>
    <w:rsid w:val="384E136E"/>
    <w:rsid w:val="38781F10"/>
    <w:rsid w:val="38BD549E"/>
    <w:rsid w:val="38C90950"/>
    <w:rsid w:val="390720AE"/>
    <w:rsid w:val="39974D0F"/>
    <w:rsid w:val="39B94A2D"/>
    <w:rsid w:val="39E94352"/>
    <w:rsid w:val="3A4A41CA"/>
    <w:rsid w:val="3B0433C7"/>
    <w:rsid w:val="3BAD737D"/>
    <w:rsid w:val="3BCB6780"/>
    <w:rsid w:val="3CCB3A06"/>
    <w:rsid w:val="3EF145BE"/>
    <w:rsid w:val="3FA4579D"/>
    <w:rsid w:val="3FBE709C"/>
    <w:rsid w:val="3FFE23FA"/>
    <w:rsid w:val="403934A1"/>
    <w:rsid w:val="404443FA"/>
    <w:rsid w:val="40D735C1"/>
    <w:rsid w:val="40E6499C"/>
    <w:rsid w:val="4162519E"/>
    <w:rsid w:val="41AA67C7"/>
    <w:rsid w:val="41FC2BA1"/>
    <w:rsid w:val="424B70A8"/>
    <w:rsid w:val="42781C4C"/>
    <w:rsid w:val="42CD0A98"/>
    <w:rsid w:val="42E455EE"/>
    <w:rsid w:val="431A0C09"/>
    <w:rsid w:val="432418B7"/>
    <w:rsid w:val="436C1CAB"/>
    <w:rsid w:val="446661A8"/>
    <w:rsid w:val="449456FC"/>
    <w:rsid w:val="44E87F0C"/>
    <w:rsid w:val="450079C0"/>
    <w:rsid w:val="45570552"/>
    <w:rsid w:val="46075617"/>
    <w:rsid w:val="469D3479"/>
    <w:rsid w:val="46D40B47"/>
    <w:rsid w:val="47164D67"/>
    <w:rsid w:val="474969D3"/>
    <w:rsid w:val="47985EF4"/>
    <w:rsid w:val="47A07192"/>
    <w:rsid w:val="48027A61"/>
    <w:rsid w:val="480E2158"/>
    <w:rsid w:val="488714C1"/>
    <w:rsid w:val="48CC08BD"/>
    <w:rsid w:val="48FC2A39"/>
    <w:rsid w:val="49462888"/>
    <w:rsid w:val="49480C94"/>
    <w:rsid w:val="495B65B3"/>
    <w:rsid w:val="497D2E9F"/>
    <w:rsid w:val="49AD205E"/>
    <w:rsid w:val="4A157404"/>
    <w:rsid w:val="4AB50334"/>
    <w:rsid w:val="4AE47A42"/>
    <w:rsid w:val="4B65373A"/>
    <w:rsid w:val="4BF4534A"/>
    <w:rsid w:val="4C064C7B"/>
    <w:rsid w:val="4C0B4D79"/>
    <w:rsid w:val="4C0F20D3"/>
    <w:rsid w:val="4CB62B86"/>
    <w:rsid w:val="4CD81552"/>
    <w:rsid w:val="4D00163A"/>
    <w:rsid w:val="4D2F7D46"/>
    <w:rsid w:val="4D75545C"/>
    <w:rsid w:val="4E4942C3"/>
    <w:rsid w:val="4E5C26D7"/>
    <w:rsid w:val="4EA301DE"/>
    <w:rsid w:val="4F0F5BE3"/>
    <w:rsid w:val="4F234443"/>
    <w:rsid w:val="4F7119D6"/>
    <w:rsid w:val="4FA41D64"/>
    <w:rsid w:val="50D1093B"/>
    <w:rsid w:val="512E6141"/>
    <w:rsid w:val="5176689F"/>
    <w:rsid w:val="522D01E0"/>
    <w:rsid w:val="52422029"/>
    <w:rsid w:val="5290375F"/>
    <w:rsid w:val="52C64DCD"/>
    <w:rsid w:val="52DE1743"/>
    <w:rsid w:val="532A1A9D"/>
    <w:rsid w:val="53BD0A61"/>
    <w:rsid w:val="54103989"/>
    <w:rsid w:val="54C63287"/>
    <w:rsid w:val="55040901"/>
    <w:rsid w:val="552114B7"/>
    <w:rsid w:val="558928BE"/>
    <w:rsid w:val="56217877"/>
    <w:rsid w:val="56D01BC4"/>
    <w:rsid w:val="56DF05DE"/>
    <w:rsid w:val="577B630D"/>
    <w:rsid w:val="57E45BDE"/>
    <w:rsid w:val="57E70E5A"/>
    <w:rsid w:val="57FC6189"/>
    <w:rsid w:val="58682A52"/>
    <w:rsid w:val="58AF60FD"/>
    <w:rsid w:val="58E26EB5"/>
    <w:rsid w:val="591C7B02"/>
    <w:rsid w:val="5A1E3E69"/>
    <w:rsid w:val="5A614280"/>
    <w:rsid w:val="5A7B0BBA"/>
    <w:rsid w:val="5B4C7BF8"/>
    <w:rsid w:val="5BDC1BC8"/>
    <w:rsid w:val="5C0E4918"/>
    <w:rsid w:val="5CB46CB0"/>
    <w:rsid w:val="5D0274F2"/>
    <w:rsid w:val="5D1D34D1"/>
    <w:rsid w:val="5DC171D4"/>
    <w:rsid w:val="5E536D3D"/>
    <w:rsid w:val="5E603146"/>
    <w:rsid w:val="5EBF3567"/>
    <w:rsid w:val="5EE30F6F"/>
    <w:rsid w:val="5F073306"/>
    <w:rsid w:val="5F3D4D4A"/>
    <w:rsid w:val="5F5F73B9"/>
    <w:rsid w:val="604B66B1"/>
    <w:rsid w:val="614F6F8B"/>
    <w:rsid w:val="61857EEB"/>
    <w:rsid w:val="61C76BF3"/>
    <w:rsid w:val="626E2089"/>
    <w:rsid w:val="62926DC6"/>
    <w:rsid w:val="62E4334D"/>
    <w:rsid w:val="63126C6D"/>
    <w:rsid w:val="63246ECB"/>
    <w:rsid w:val="63D23E09"/>
    <w:rsid w:val="63DB5E63"/>
    <w:rsid w:val="642D1922"/>
    <w:rsid w:val="64C90B3E"/>
    <w:rsid w:val="64D157D9"/>
    <w:rsid w:val="64DA48A8"/>
    <w:rsid w:val="65A079E6"/>
    <w:rsid w:val="65AB3BBE"/>
    <w:rsid w:val="65E752A4"/>
    <w:rsid w:val="6692597D"/>
    <w:rsid w:val="66B8598E"/>
    <w:rsid w:val="671B4297"/>
    <w:rsid w:val="67AD6C93"/>
    <w:rsid w:val="6838144E"/>
    <w:rsid w:val="683C21D7"/>
    <w:rsid w:val="68741821"/>
    <w:rsid w:val="68A61808"/>
    <w:rsid w:val="68AA7398"/>
    <w:rsid w:val="68B5321E"/>
    <w:rsid w:val="68EE01C7"/>
    <w:rsid w:val="69182A50"/>
    <w:rsid w:val="69521AB5"/>
    <w:rsid w:val="69613ED9"/>
    <w:rsid w:val="698477DA"/>
    <w:rsid w:val="6A821DC2"/>
    <w:rsid w:val="6B4F4410"/>
    <w:rsid w:val="6C4A6B37"/>
    <w:rsid w:val="6C6D3F1B"/>
    <w:rsid w:val="6CFC2F7A"/>
    <w:rsid w:val="6D9745DB"/>
    <w:rsid w:val="6DB55031"/>
    <w:rsid w:val="6E4C4480"/>
    <w:rsid w:val="6E9671D0"/>
    <w:rsid w:val="6EAC6D0E"/>
    <w:rsid w:val="6EC44BF0"/>
    <w:rsid w:val="6F0741F3"/>
    <w:rsid w:val="6F6557D5"/>
    <w:rsid w:val="6FBE61C7"/>
    <w:rsid w:val="701C7667"/>
    <w:rsid w:val="70466874"/>
    <w:rsid w:val="704C09B5"/>
    <w:rsid w:val="70650EF5"/>
    <w:rsid w:val="708A0581"/>
    <w:rsid w:val="72377424"/>
    <w:rsid w:val="72433259"/>
    <w:rsid w:val="72587A9E"/>
    <w:rsid w:val="72C40EEA"/>
    <w:rsid w:val="73140944"/>
    <w:rsid w:val="73453A40"/>
    <w:rsid w:val="73C53699"/>
    <w:rsid w:val="73C931DC"/>
    <w:rsid w:val="742C597A"/>
    <w:rsid w:val="74493830"/>
    <w:rsid w:val="75256606"/>
    <w:rsid w:val="75565E6B"/>
    <w:rsid w:val="76AD7DBE"/>
    <w:rsid w:val="781C0C01"/>
    <w:rsid w:val="78FD4969"/>
    <w:rsid w:val="79857E64"/>
    <w:rsid w:val="79F66219"/>
    <w:rsid w:val="7AF53602"/>
    <w:rsid w:val="7C4F2AD0"/>
    <w:rsid w:val="7D4124F8"/>
    <w:rsid w:val="7D6B1AC0"/>
    <w:rsid w:val="7DC21F8B"/>
    <w:rsid w:val="7E2A4AF9"/>
    <w:rsid w:val="7E8A61BC"/>
    <w:rsid w:val="7ECE3C2A"/>
    <w:rsid w:val="7ED378E2"/>
    <w:rsid w:val="7EEA7466"/>
    <w:rsid w:val="7EF8160A"/>
    <w:rsid w:val="7F301349"/>
    <w:rsid w:val="7F3A494A"/>
    <w:rsid w:val="7F9E0BEB"/>
    <w:rsid w:val="7FF20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34"/>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235"/>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7"/>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242"/>
    <w:qFormat/>
    <w:uiPriority w:val="0"/>
    <w:pPr>
      <w:tabs>
        <w:tab w:val="left" w:pos="567"/>
      </w:tabs>
      <w:spacing w:before="120" w:line="22" w:lineRule="atLeast"/>
    </w:pPr>
    <w:rPr>
      <w:rFonts w:ascii="宋体" w:hAnsi="宋体"/>
      <w:sz w:val="24"/>
    </w:rPr>
  </w:style>
  <w:style w:type="paragraph" w:styleId="3">
    <w:name w:val="toc 2"/>
    <w:basedOn w:val="1"/>
    <w:next w:val="1"/>
    <w:qFormat/>
    <w:uiPriority w:val="39"/>
    <w:pPr>
      <w:tabs>
        <w:tab w:val="right" w:leader="dot" w:pos="8937"/>
      </w:tabs>
      <w:spacing w:line="312" w:lineRule="auto"/>
      <w:ind w:left="420" w:leftChars="200"/>
    </w:pPr>
  </w:style>
  <w:style w:type="paragraph" w:styleId="7">
    <w:name w:val="Normal Indent"/>
    <w:basedOn w:val="1"/>
    <w:link w:val="65"/>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40"/>
    <w:qFormat/>
    <w:uiPriority w:val="0"/>
    <w:pPr>
      <w:shd w:val="clear" w:color="auto" w:fill="000080"/>
    </w:pPr>
  </w:style>
  <w:style w:type="paragraph" w:styleId="17">
    <w:name w:val="toa heading"/>
    <w:basedOn w:val="1"/>
    <w:next w:val="1"/>
    <w:qFormat/>
    <w:uiPriority w:val="0"/>
    <w:pPr>
      <w:spacing w:before="120"/>
    </w:pPr>
    <w:rPr>
      <w:rFonts w:ascii="Arial" w:hAnsi="Arial" w:cs="Arial"/>
      <w:sz w:val="24"/>
    </w:rPr>
  </w:style>
  <w:style w:type="paragraph" w:styleId="18">
    <w:name w:val="annotation text"/>
    <w:basedOn w:val="1"/>
    <w:link w:val="186"/>
    <w:qFormat/>
    <w:uiPriority w:val="99"/>
    <w:pPr>
      <w:jc w:val="left"/>
    </w:pPr>
  </w:style>
  <w:style w:type="paragraph" w:styleId="19">
    <w:name w:val="Body Text 3"/>
    <w:basedOn w:val="1"/>
    <w:link w:val="241"/>
    <w:qFormat/>
    <w:uiPriority w:val="0"/>
    <w:pPr>
      <w:spacing w:after="120"/>
    </w:pPr>
    <w:rPr>
      <w:sz w:val="16"/>
      <w:szCs w:val="16"/>
    </w:rPr>
  </w:style>
  <w:style w:type="paragraph" w:styleId="20">
    <w:name w:val="Body Text Indent"/>
    <w:basedOn w:val="1"/>
    <w:next w:val="21"/>
    <w:link w:val="70"/>
    <w:qFormat/>
    <w:uiPriority w:val="0"/>
    <w:pPr>
      <w:spacing w:line="360" w:lineRule="auto"/>
      <w:ind w:firstLine="570"/>
    </w:pPr>
    <w:rPr>
      <w:sz w:val="24"/>
    </w:rPr>
  </w:style>
  <w:style w:type="paragraph" w:styleId="21">
    <w:name w:val="envelope return"/>
    <w:basedOn w:val="1"/>
    <w:qFormat/>
    <w:uiPriority w:val="0"/>
    <w:pPr>
      <w:tabs>
        <w:tab w:val="left" w:pos="1332"/>
      </w:tabs>
    </w:pPr>
    <w:rPr>
      <w:rFonts w:ascii="Calibri" w:hAnsi="Calibri"/>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206"/>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243"/>
    <w:qFormat/>
    <w:uiPriority w:val="0"/>
    <w:pPr>
      <w:ind w:left="100" w:leftChars="2500"/>
    </w:pPr>
    <w:rPr>
      <w:rFonts w:ascii="仿宋_GB2312" w:hAnsi="宋体" w:eastAsia="仿宋_GB2312"/>
      <w:color w:val="000000"/>
      <w:sz w:val="24"/>
    </w:rPr>
  </w:style>
  <w:style w:type="paragraph" w:styleId="29">
    <w:name w:val="Body Text Indent 2"/>
    <w:basedOn w:val="1"/>
    <w:link w:val="244"/>
    <w:qFormat/>
    <w:uiPriority w:val="0"/>
    <w:pPr>
      <w:ind w:firstLine="480" w:firstLineChars="200"/>
    </w:pPr>
    <w:rPr>
      <w:rFonts w:ascii="仿宋_GB2312" w:eastAsia="仿宋_GB2312"/>
      <w:sz w:val="24"/>
    </w:rPr>
  </w:style>
  <w:style w:type="paragraph" w:styleId="30">
    <w:name w:val="Balloon Text"/>
    <w:basedOn w:val="1"/>
    <w:link w:val="245"/>
    <w:qFormat/>
    <w:uiPriority w:val="0"/>
    <w:rPr>
      <w:sz w:val="18"/>
      <w:szCs w:val="18"/>
    </w:rPr>
  </w:style>
  <w:style w:type="paragraph" w:styleId="31">
    <w:name w:val="footer"/>
    <w:basedOn w:val="1"/>
    <w:link w:val="1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0"/>
    <w:pPr>
      <w:ind w:left="1260" w:leftChars="600"/>
    </w:pPr>
  </w:style>
  <w:style w:type="paragraph" w:styleId="35">
    <w:name w:val="footnote text"/>
    <w:basedOn w:val="1"/>
    <w:qFormat/>
    <w:uiPriority w:val="0"/>
    <w:pPr>
      <w:adjustRightInd w:val="0"/>
      <w:spacing w:line="312" w:lineRule="atLeast"/>
      <w:jc w:val="left"/>
      <w:textAlignment w:val="baseline"/>
    </w:pPr>
    <w:rPr>
      <w:kern w:val="0"/>
      <w:sz w:val="18"/>
      <w:szCs w:val="20"/>
    </w:rPr>
  </w:style>
  <w:style w:type="paragraph" w:styleId="36">
    <w:name w:val="toc 6"/>
    <w:basedOn w:val="1"/>
    <w:next w:val="1"/>
    <w:qFormat/>
    <w:uiPriority w:val="0"/>
    <w:pPr>
      <w:ind w:left="2100" w:leftChars="1000"/>
    </w:pPr>
  </w:style>
  <w:style w:type="paragraph" w:styleId="37">
    <w:name w:val="Body Text Indent 3"/>
    <w:basedOn w:val="1"/>
    <w:link w:val="24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9"/>
    <w:basedOn w:val="1"/>
    <w:next w:val="1"/>
    <w:qFormat/>
    <w:uiPriority w:val="0"/>
    <w:pPr>
      <w:ind w:left="3360" w:leftChars="1600"/>
    </w:pPr>
  </w:style>
  <w:style w:type="paragraph" w:styleId="39">
    <w:name w:val="HTML Preformatted"/>
    <w:basedOn w:val="1"/>
    <w:link w:val="2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192"/>
    <w:qFormat/>
    <w:uiPriority w:val="0"/>
    <w:pPr>
      <w:jc w:val="center"/>
      <w:outlineLvl w:val="0"/>
    </w:pPr>
    <w:rPr>
      <w:b/>
      <w:sz w:val="32"/>
      <w:szCs w:val="20"/>
    </w:rPr>
  </w:style>
  <w:style w:type="paragraph" w:styleId="43">
    <w:name w:val="annotation subject"/>
    <w:basedOn w:val="18"/>
    <w:next w:val="18"/>
    <w:link w:val="248"/>
    <w:qFormat/>
    <w:uiPriority w:val="0"/>
    <w:rPr>
      <w:b/>
      <w:bCs/>
    </w:rPr>
  </w:style>
  <w:style w:type="paragraph" w:styleId="44">
    <w:name w:val="Body Text First Indent 2"/>
    <w:basedOn w:val="20"/>
    <w:link w:val="249"/>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basedOn w:val="48"/>
    <w:qFormat/>
    <w:uiPriority w:val="99"/>
    <w:rPr>
      <w:sz w:val="21"/>
      <w:szCs w:val="21"/>
    </w:rPr>
  </w:style>
  <w:style w:type="character" w:styleId="55">
    <w:name w:val="HTML Cite"/>
    <w:qFormat/>
    <w:uiPriority w:val="0"/>
    <w:rPr>
      <w:i/>
      <w:iCs/>
    </w:rPr>
  </w:style>
  <w:style w:type="paragraph" w:customStyle="1" w:styleId="56">
    <w:name w:val="toc 11"/>
    <w:next w:val="1"/>
    <w:qFormat/>
    <w:uiPriority w:val="0"/>
    <w:pPr>
      <w:wordWrap w:val="0"/>
      <w:spacing w:after="160" w:line="278" w:lineRule="auto"/>
      <w:jc w:val="both"/>
    </w:pPr>
    <w:rPr>
      <w:rFonts w:asciiTheme="minorHAnsi" w:hAnsiTheme="minorHAnsi" w:eastAsiaTheme="minorEastAsia" w:cstheme="minorBidi"/>
      <w:sz w:val="21"/>
      <w:szCs w:val="22"/>
      <w:lang w:val="en-US" w:eastAsia="zh-CN" w:bidi="ar-SA"/>
    </w:rPr>
  </w:style>
  <w:style w:type="character" w:customStyle="1" w:styleId="57">
    <w:name w:val="标题 2 字符"/>
    <w:link w:val="5"/>
    <w:qFormat/>
    <w:uiPriority w:val="0"/>
    <w:rPr>
      <w:rFonts w:ascii="Arial" w:hAnsi="Arial" w:eastAsia="黑体"/>
      <w:b/>
      <w:sz w:val="30"/>
      <w:lang w:val="en-US" w:eastAsia="zh-CN" w:bidi="ar-SA"/>
    </w:rPr>
  </w:style>
  <w:style w:type="character" w:customStyle="1" w:styleId="58">
    <w:name w:val="标题 3 字符"/>
    <w:link w:val="6"/>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8"/>
    <w:qFormat/>
    <w:uiPriority w:val="0"/>
  </w:style>
  <w:style w:type="character" w:customStyle="1" w:styleId="64">
    <w:name w:val="locality"/>
    <w:basedOn w:val="48"/>
    <w:qFormat/>
    <w:uiPriority w:val="0"/>
  </w:style>
  <w:style w:type="character" w:customStyle="1" w:styleId="65">
    <w:name w:val="正文缩进 字符"/>
    <w:link w:val="7"/>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8"/>
    <w:qFormat/>
    <w:uiPriority w:val="0"/>
  </w:style>
  <w:style w:type="character" w:customStyle="1" w:styleId="70">
    <w:name w:val="正文文本缩进 字符"/>
    <w:link w:val="20"/>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customStyle="1"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2"/>
    <w:qFormat/>
    <w:uiPriority w:val="99"/>
    <w:rPr>
      <w:rFonts w:eastAsia="宋体"/>
      <w:kern w:val="2"/>
      <w:sz w:val="18"/>
      <w:szCs w:val="18"/>
      <w:lang w:val="en-US" w:eastAsia="zh-CN" w:bidi="ar-SA"/>
    </w:rPr>
  </w:style>
  <w:style w:type="character" w:customStyle="1" w:styleId="80">
    <w:name w:val="chanpin拷贝"/>
    <w:basedOn w:val="48"/>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4">
    <w:name w:val="Char Char1"/>
    <w:basedOn w:val="16"/>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1"/>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69"/>
    <w:next w:val="2"/>
    <w:qFormat/>
    <w:uiPriority w:val="0"/>
    <w:pPr>
      <w:spacing w:before="20" w:after="20" w:line="240" w:lineRule="auto"/>
      <w:ind w:firstLine="0"/>
    </w:pPr>
    <w:rPr>
      <w:rFonts w:ascii="Century Gothic" w:hAnsi="Century Gothic"/>
      <w:sz w:val="20"/>
      <w:szCs w:val="20"/>
    </w:rPr>
  </w:style>
  <w:style w:type="paragraph" w:customStyle="1" w:styleId="169">
    <w:name w:val="表格文字图表文字"/>
    <w:basedOn w:val="1"/>
    <w:qFormat/>
    <w:uiPriority w:val="0"/>
    <w:pPr>
      <w:snapToGrid w:val="0"/>
      <w:ind w:firstLine="200" w:firstLineChars="200"/>
      <w:jc w:val="center"/>
    </w:pPr>
    <w:rPr>
      <w:color w:val="7030A0"/>
      <w:szCs w:val="20"/>
    </w:rPr>
  </w:style>
  <w:style w:type="paragraph" w:customStyle="1" w:styleId="170">
    <w:name w:val="Char Char Char Char Char Char Char Char Char Char1"/>
    <w:basedOn w:val="1"/>
    <w:qFormat/>
    <w:uiPriority w:val="0"/>
    <w:rPr>
      <w:rFonts w:ascii="宋体" w:hAnsi="宋体" w:cs="Courier New"/>
      <w:sz w:val="32"/>
      <w:szCs w:val="32"/>
    </w:rPr>
  </w:style>
  <w:style w:type="paragraph" w:customStyle="1" w:styleId="171">
    <w:name w:val="正文文本样式 加粗"/>
    <w:basedOn w:val="126"/>
    <w:qFormat/>
    <w:uiPriority w:val="0"/>
    <w:rPr>
      <w:b/>
    </w:rPr>
  </w:style>
  <w:style w:type="paragraph" w:customStyle="1" w:styleId="172">
    <w:name w:val="Char2 Char Char Char Char Char Char"/>
    <w:basedOn w:val="1"/>
    <w:qFormat/>
    <w:uiPriority w:val="0"/>
    <w:pPr>
      <w:widowControl/>
      <w:spacing w:line="400" w:lineRule="exact"/>
      <w:jc w:val="center"/>
    </w:pPr>
  </w:style>
  <w:style w:type="character" w:customStyle="1" w:styleId="173">
    <w:name w:val="页脚 字符"/>
    <w:link w:val="31"/>
    <w:qFormat/>
    <w:uiPriority w:val="99"/>
    <w:rPr>
      <w:rFonts w:ascii="宋体" w:eastAsia="宋体"/>
      <w:sz w:val="18"/>
      <w:lang w:val="en-US" w:eastAsia="zh-CN" w:bidi="ar-SA"/>
    </w:rPr>
  </w:style>
  <w:style w:type="paragraph" w:customStyle="1" w:styleId="174">
    <w:name w:val="Char Char4"/>
    <w:basedOn w:val="1"/>
    <w:qFormat/>
    <w:uiPriority w:val="0"/>
    <w:pPr>
      <w:widowControl/>
      <w:spacing w:line="400" w:lineRule="exact"/>
      <w:jc w:val="center"/>
    </w:pPr>
  </w:style>
  <w:style w:type="paragraph" w:customStyle="1" w:styleId="175">
    <w:name w:val="Char3 Char Char Char1"/>
    <w:basedOn w:val="1"/>
    <w:qFormat/>
    <w:uiPriority w:val="0"/>
    <w:rPr>
      <w:rFonts w:ascii="Tahoma" w:hAnsi="Tahoma"/>
      <w:sz w:val="24"/>
      <w:szCs w:val="20"/>
    </w:rPr>
  </w:style>
  <w:style w:type="paragraph" w:customStyle="1" w:styleId="176">
    <w:name w:val="No Spacing"/>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7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8">
    <w:name w:val="中等深浅网格 1 - 强调文字颜色 2 Char"/>
    <w:link w:val="179"/>
    <w:qFormat/>
    <w:uiPriority w:val="0"/>
    <w:rPr>
      <w:kern w:val="2"/>
      <w:sz w:val="21"/>
      <w:szCs w:val="24"/>
      <w:lang w:val="zh-CN" w:eastAsia="zh-CN"/>
    </w:rPr>
  </w:style>
  <w:style w:type="paragraph" w:customStyle="1" w:styleId="179">
    <w:name w:val="1"/>
    <w:link w:val="178"/>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80">
    <w:name w:val="图文"/>
    <w:basedOn w:val="1"/>
    <w:qFormat/>
    <w:uiPriority w:val="0"/>
    <w:pPr>
      <w:adjustRightInd w:val="0"/>
      <w:snapToGrid w:val="0"/>
      <w:spacing w:after="50" w:line="360" w:lineRule="auto"/>
    </w:pPr>
    <w:rPr>
      <w:sz w:val="24"/>
    </w:rPr>
  </w:style>
  <w:style w:type="paragraph" w:customStyle="1" w:styleId="18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2">
    <w:name w:val="正文表格"/>
    <w:basedOn w:val="1"/>
    <w:link w:val="183"/>
    <w:qFormat/>
    <w:uiPriority w:val="0"/>
    <w:pPr>
      <w:adjustRightInd w:val="0"/>
      <w:snapToGrid w:val="0"/>
      <w:jc w:val="left"/>
    </w:pPr>
    <w:rPr>
      <w:rFonts w:ascii="宋体" w:hAnsi="宋体"/>
      <w:color w:val="000000"/>
      <w:szCs w:val="21"/>
    </w:rPr>
  </w:style>
  <w:style w:type="character" w:customStyle="1" w:styleId="183">
    <w:name w:val="正文表格 Char"/>
    <w:link w:val="182"/>
    <w:qFormat/>
    <w:uiPriority w:val="0"/>
    <w:rPr>
      <w:rFonts w:ascii="宋体" w:hAnsi="宋体"/>
      <w:color w:val="000000"/>
      <w:kern w:val="2"/>
      <w:sz w:val="21"/>
      <w:szCs w:val="21"/>
    </w:rPr>
  </w:style>
  <w:style w:type="paragraph" w:customStyle="1" w:styleId="184">
    <w:name w:val="正文重点"/>
    <w:basedOn w:val="1"/>
    <w:link w:val="185"/>
    <w:qFormat/>
    <w:uiPriority w:val="0"/>
    <w:pPr>
      <w:adjustRightInd w:val="0"/>
      <w:spacing w:line="360" w:lineRule="auto"/>
      <w:ind w:firstLine="482" w:firstLineChars="200"/>
      <w:jc w:val="left"/>
      <w:textAlignment w:val="baseline"/>
    </w:pPr>
    <w:rPr>
      <w:b/>
      <w:kern w:val="0"/>
      <w:sz w:val="24"/>
      <w:szCs w:val="20"/>
    </w:rPr>
  </w:style>
  <w:style w:type="character" w:customStyle="1" w:styleId="185">
    <w:name w:val="正文重点 Char"/>
    <w:link w:val="184"/>
    <w:qFormat/>
    <w:uiPriority w:val="0"/>
    <w:rPr>
      <w:b/>
      <w:sz w:val="24"/>
    </w:rPr>
  </w:style>
  <w:style w:type="character" w:customStyle="1" w:styleId="186">
    <w:name w:val="批注文字 字符1"/>
    <w:link w:val="18"/>
    <w:qFormat/>
    <w:uiPriority w:val="99"/>
    <w:rPr>
      <w:kern w:val="2"/>
      <w:sz w:val="21"/>
      <w:szCs w:val="24"/>
    </w:rPr>
  </w:style>
  <w:style w:type="paragraph" w:customStyle="1" w:styleId="187">
    <w:name w:val="标题1-附件"/>
    <w:basedOn w:val="4"/>
    <w:qFormat/>
    <w:uiPriority w:val="0"/>
    <w:pPr>
      <w:jc w:val="left"/>
    </w:pPr>
    <w:rPr>
      <w:sz w:val="24"/>
      <w:szCs w:val="24"/>
    </w:rPr>
  </w:style>
  <w:style w:type="paragraph" w:customStyle="1" w:styleId="188">
    <w:name w:val="正文小标题"/>
    <w:basedOn w:val="1"/>
    <w:next w:val="7"/>
    <w:link w:val="18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9">
    <w:name w:val="正文小标题 Char"/>
    <w:link w:val="188"/>
    <w:qFormat/>
    <w:uiPriority w:val="0"/>
    <w:rPr>
      <w:rFonts w:ascii="宋体" w:hAnsi="宋体"/>
      <w:b/>
      <w:i/>
      <w:color w:val="FF0000"/>
      <w:kern w:val="2"/>
      <w:sz w:val="24"/>
    </w:rPr>
  </w:style>
  <w:style w:type="paragraph" w:customStyle="1" w:styleId="190">
    <w:name w:val="正文大标题"/>
    <w:basedOn w:val="188"/>
    <w:next w:val="7"/>
    <w:link w:val="191"/>
    <w:qFormat/>
    <w:uiPriority w:val="0"/>
    <w:pPr>
      <w:jc w:val="center"/>
    </w:pPr>
    <w:rPr>
      <w:i w:val="0"/>
      <w:color w:val="000000"/>
      <w:sz w:val="28"/>
      <w:szCs w:val="21"/>
    </w:rPr>
  </w:style>
  <w:style w:type="character" w:customStyle="1" w:styleId="191">
    <w:name w:val="正文大标题 Char"/>
    <w:link w:val="190"/>
    <w:qFormat/>
    <w:uiPriority w:val="0"/>
    <w:rPr>
      <w:rFonts w:ascii="宋体" w:hAnsi="宋体"/>
      <w:b/>
      <w:color w:val="000000"/>
      <w:kern w:val="2"/>
      <w:sz w:val="28"/>
      <w:szCs w:val="21"/>
    </w:rPr>
  </w:style>
  <w:style w:type="character" w:customStyle="1" w:styleId="192">
    <w:name w:val="标题 字符"/>
    <w:link w:val="42"/>
    <w:qFormat/>
    <w:uiPriority w:val="0"/>
    <w:rPr>
      <w:b/>
      <w:kern w:val="2"/>
      <w:sz w:val="32"/>
    </w:rPr>
  </w:style>
  <w:style w:type="paragraph" w:customStyle="1" w:styleId="193">
    <w:name w:val="注释"/>
    <w:basedOn w:val="1"/>
    <w:link w:val="194"/>
    <w:qFormat/>
    <w:uiPriority w:val="0"/>
    <w:pPr>
      <w:adjustRightInd w:val="0"/>
      <w:snapToGrid w:val="0"/>
      <w:ind w:left="420" w:hanging="420" w:hangingChars="200"/>
      <w:jc w:val="left"/>
    </w:pPr>
    <w:rPr>
      <w:rFonts w:ascii="宋体" w:hAnsi="宋体"/>
      <w:szCs w:val="21"/>
    </w:rPr>
  </w:style>
  <w:style w:type="character" w:customStyle="1" w:styleId="194">
    <w:name w:val="注释 Char"/>
    <w:link w:val="193"/>
    <w:qFormat/>
    <w:uiPriority w:val="0"/>
    <w:rPr>
      <w:rFonts w:ascii="宋体" w:hAnsi="宋体"/>
      <w:kern w:val="2"/>
      <w:sz w:val="21"/>
      <w:szCs w:val="21"/>
    </w:rPr>
  </w:style>
  <w:style w:type="paragraph" w:customStyle="1" w:styleId="19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8">
    <w:name w:val="批注文字 字符"/>
    <w:qFormat/>
    <w:uiPriority w:val="99"/>
    <w:rPr>
      <w:rFonts w:ascii="Times New Roman" w:hAnsi="Times New Roman" w:eastAsia="宋体" w:cs="Times New Roman"/>
      <w:sz w:val="24"/>
      <w:lang w:val="en-US" w:eastAsia="zh-CN" w:bidi="ar-SA"/>
    </w:rPr>
  </w:style>
  <w:style w:type="character" w:customStyle="1" w:styleId="199">
    <w:name w:val="纯文本 字符"/>
    <w:qFormat/>
    <w:uiPriority w:val="99"/>
    <w:rPr>
      <w:rFonts w:ascii="宋体" w:hAnsi="Courier New" w:eastAsia="宋体" w:cs="Times New Roman"/>
      <w:kern w:val="2"/>
      <w:sz w:val="21"/>
      <w:szCs w:val="21"/>
      <w:lang w:val="en-US" w:eastAsia="zh-CN" w:bidi="ar-SA"/>
    </w:rPr>
  </w:style>
  <w:style w:type="paragraph" w:customStyle="1" w:styleId="200">
    <w:name w:val="表格1"/>
    <w:basedOn w:val="1"/>
    <w:qFormat/>
    <w:uiPriority w:val="0"/>
    <w:pPr>
      <w:ind w:firstLine="480" w:firstLineChars="200"/>
      <w:jc w:val="center"/>
    </w:pPr>
    <w:rPr>
      <w:sz w:val="24"/>
      <w:szCs w:val="20"/>
    </w:rPr>
  </w:style>
  <w:style w:type="character" w:customStyle="1" w:styleId="201">
    <w:name w:val="纯文本 字符1"/>
    <w:qFormat/>
    <w:uiPriority w:val="0"/>
    <w:rPr>
      <w:rFonts w:ascii="宋体" w:hAnsi="Courier New"/>
    </w:rPr>
  </w:style>
  <w:style w:type="character" w:customStyle="1" w:styleId="202">
    <w:name w:val="bjh-p"/>
    <w:qFormat/>
    <w:uiPriority w:val="0"/>
  </w:style>
  <w:style w:type="paragraph" w:customStyle="1" w:styleId="203">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04">
    <w:name w:val="正文格式 Char"/>
    <w:link w:val="205"/>
    <w:qFormat/>
    <w:locked/>
    <w:uiPriority w:val="0"/>
    <w:rPr>
      <w:rFonts w:ascii="宋体" w:hAnsi="宋体"/>
      <w:sz w:val="24"/>
      <w:szCs w:val="24"/>
      <w:lang w:val="en-GB"/>
    </w:rPr>
  </w:style>
  <w:style w:type="paragraph" w:customStyle="1" w:styleId="205">
    <w:name w:val="正文格式"/>
    <w:basedOn w:val="1"/>
    <w:link w:val="204"/>
    <w:qFormat/>
    <w:uiPriority w:val="0"/>
    <w:pPr>
      <w:spacing w:beforeLines="50" w:line="360" w:lineRule="auto"/>
      <w:ind w:firstLine="480" w:firstLineChars="200"/>
    </w:pPr>
    <w:rPr>
      <w:rFonts w:ascii="宋体" w:hAnsi="宋体"/>
      <w:kern w:val="0"/>
      <w:sz w:val="24"/>
      <w:lang w:val="en-GB"/>
    </w:rPr>
  </w:style>
  <w:style w:type="character" w:customStyle="1" w:styleId="206">
    <w:name w:val="纯文本 字符2"/>
    <w:basedOn w:val="48"/>
    <w:link w:val="26"/>
    <w:qFormat/>
    <w:uiPriority w:val="0"/>
    <w:rPr>
      <w:rFonts w:hint="eastAsia" w:ascii="宋体" w:hAnsi="Courier New" w:eastAsia="宋体" w:cs="宋体"/>
      <w:kern w:val="2"/>
      <w:sz w:val="21"/>
    </w:rPr>
  </w:style>
  <w:style w:type="character" w:customStyle="1" w:styleId="207">
    <w:name w:val="标题 3 Char"/>
    <w:qFormat/>
    <w:uiPriority w:val="0"/>
    <w:rPr>
      <w:rFonts w:ascii="宋体" w:eastAsia="宋体"/>
      <w:b/>
      <w:sz w:val="24"/>
      <w:u w:val="single"/>
      <w:lang w:val="en-US" w:eastAsia="zh-CN" w:bidi="ar-SA"/>
    </w:rPr>
  </w:style>
  <w:style w:type="character" w:customStyle="1" w:styleId="208">
    <w:name w:val="正文缩进 Char"/>
    <w:qFormat/>
    <w:uiPriority w:val="0"/>
    <w:rPr>
      <w:rFonts w:ascii="宋体" w:eastAsia="宋体"/>
      <w:kern w:val="2"/>
      <w:sz w:val="24"/>
      <w:szCs w:val="24"/>
      <w:lang w:val="en-US" w:eastAsia="zh-CN" w:bidi="ar-SA"/>
    </w:rPr>
  </w:style>
  <w:style w:type="character" w:customStyle="1" w:styleId="209">
    <w:name w:val="Char Char111"/>
    <w:qFormat/>
    <w:uiPriority w:val="0"/>
    <w:rPr>
      <w:rFonts w:ascii="宋体" w:eastAsia="宋体"/>
      <w:b/>
      <w:sz w:val="24"/>
      <w:u w:val="single"/>
      <w:lang w:val="en-US" w:eastAsia="zh-CN" w:bidi="ar-SA"/>
    </w:rPr>
  </w:style>
  <w:style w:type="character" w:customStyle="1" w:styleId="210">
    <w:name w:val="正文文本缩进 Char"/>
    <w:qFormat/>
    <w:uiPriority w:val="0"/>
    <w:rPr>
      <w:rFonts w:eastAsia="宋体"/>
      <w:kern w:val="2"/>
      <w:sz w:val="24"/>
      <w:szCs w:val="24"/>
      <w:lang w:val="en-US" w:eastAsia="zh-CN" w:bidi="ar-SA"/>
    </w:rPr>
  </w:style>
  <w:style w:type="character" w:customStyle="1" w:styleId="211">
    <w:name w:val="列出段落 Char"/>
    <w:qFormat/>
    <w:uiPriority w:val="0"/>
    <w:rPr>
      <w:rFonts w:ascii="Calibri" w:hAnsi="Calibri" w:eastAsia="宋体"/>
      <w:kern w:val="2"/>
      <w:sz w:val="21"/>
      <w:szCs w:val="22"/>
      <w:lang w:val="en-US" w:eastAsia="zh-CN" w:bidi="ar-SA"/>
    </w:rPr>
  </w:style>
  <w:style w:type="character" w:customStyle="1" w:styleId="212">
    <w:name w:val="页眉 Char"/>
    <w:qFormat/>
    <w:uiPriority w:val="0"/>
    <w:rPr>
      <w:rFonts w:eastAsia="宋体"/>
      <w:kern w:val="2"/>
      <w:sz w:val="18"/>
      <w:szCs w:val="18"/>
      <w:lang w:val="en-US" w:eastAsia="zh-CN" w:bidi="ar-SA"/>
    </w:rPr>
  </w:style>
  <w:style w:type="character" w:customStyle="1" w:styleId="213">
    <w:name w:val="标题 2 Char"/>
    <w:qFormat/>
    <w:uiPriority w:val="0"/>
    <w:rPr>
      <w:rFonts w:ascii="Arial" w:hAnsi="Arial" w:eastAsia="黑体"/>
      <w:b/>
      <w:sz w:val="30"/>
      <w:lang w:val="en-US" w:eastAsia="zh-CN" w:bidi="ar-SA"/>
    </w:rPr>
  </w:style>
  <w:style w:type="paragraph" w:customStyle="1" w:styleId="214">
    <w:name w:val="字元 字元2"/>
    <w:basedOn w:val="1"/>
    <w:qFormat/>
    <w:uiPriority w:val="0"/>
    <w:rPr>
      <w:rFonts w:ascii="Tahoma" w:hAnsi="Tahoma"/>
      <w:sz w:val="24"/>
      <w:szCs w:val="20"/>
    </w:rPr>
  </w:style>
  <w:style w:type="paragraph" w:customStyle="1" w:styleId="215">
    <w:name w:val="Char3 Char Char Char2"/>
    <w:basedOn w:val="1"/>
    <w:qFormat/>
    <w:uiPriority w:val="0"/>
    <w:rPr>
      <w:rFonts w:ascii="Tahoma" w:hAnsi="Tahoma"/>
      <w:sz w:val="24"/>
      <w:szCs w:val="20"/>
    </w:rPr>
  </w:style>
  <w:style w:type="paragraph" w:customStyle="1" w:styleId="21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7">
    <w:name w:val="Char3"/>
    <w:basedOn w:val="1"/>
    <w:qFormat/>
    <w:uiPriority w:val="0"/>
    <w:pPr>
      <w:tabs>
        <w:tab w:val="left" w:pos="360"/>
      </w:tabs>
    </w:pPr>
    <w:rPr>
      <w:sz w:val="24"/>
    </w:rPr>
  </w:style>
  <w:style w:type="paragraph" w:customStyle="1" w:styleId="218">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19">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20">
    <w:name w:val="列出段落2"/>
    <w:basedOn w:val="1"/>
    <w:qFormat/>
    <w:uiPriority w:val="0"/>
    <w:pPr>
      <w:ind w:firstLine="420" w:firstLineChars="200"/>
    </w:pPr>
    <w:rPr>
      <w:rFonts w:ascii="Calibri" w:hAnsi="Calibri"/>
      <w:szCs w:val="22"/>
    </w:rPr>
  </w:style>
  <w:style w:type="paragraph" w:customStyle="1" w:styleId="221">
    <w:name w:val="Char Char Char1 Char2"/>
    <w:basedOn w:val="1"/>
    <w:qFormat/>
    <w:uiPriority w:val="0"/>
    <w:rPr>
      <w:rFonts w:ascii="Tahoma" w:hAnsi="Tahoma"/>
      <w:sz w:val="24"/>
      <w:szCs w:val="20"/>
    </w:rPr>
  </w:style>
  <w:style w:type="paragraph" w:customStyle="1" w:styleId="222">
    <w:name w:val="Char Char Char2"/>
    <w:basedOn w:val="1"/>
    <w:qFormat/>
    <w:uiPriority w:val="0"/>
    <w:rPr>
      <w:rFonts w:ascii="Tahoma" w:hAnsi="Tahoma"/>
      <w:sz w:val="24"/>
      <w:szCs w:val="20"/>
    </w:rPr>
  </w:style>
  <w:style w:type="paragraph" w:customStyle="1" w:styleId="22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5">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26">
    <w:name w:val="Char22"/>
    <w:basedOn w:val="1"/>
    <w:qFormat/>
    <w:uiPriority w:val="0"/>
    <w:rPr>
      <w:rFonts w:ascii="Tahoma" w:hAnsi="Tahoma"/>
      <w:sz w:val="24"/>
      <w:szCs w:val="20"/>
    </w:rPr>
  </w:style>
  <w:style w:type="paragraph" w:customStyle="1" w:styleId="227">
    <w:name w:val="Char Char Char Char Char Char Char Char Char Char2"/>
    <w:basedOn w:val="1"/>
    <w:qFormat/>
    <w:uiPriority w:val="0"/>
    <w:rPr>
      <w:rFonts w:ascii="宋体" w:hAnsi="宋体" w:cs="Courier New"/>
      <w:sz w:val="32"/>
      <w:szCs w:val="32"/>
    </w:rPr>
  </w:style>
  <w:style w:type="paragraph" w:customStyle="1" w:styleId="228">
    <w:name w:val="Char2 Char Char Char Char Char Char1"/>
    <w:basedOn w:val="1"/>
    <w:qFormat/>
    <w:uiPriority w:val="0"/>
    <w:pPr>
      <w:widowControl/>
      <w:spacing w:line="400" w:lineRule="exact"/>
      <w:jc w:val="center"/>
    </w:pPr>
  </w:style>
  <w:style w:type="character" w:customStyle="1" w:styleId="229">
    <w:name w:val="页脚 Char"/>
    <w:qFormat/>
    <w:uiPriority w:val="0"/>
    <w:rPr>
      <w:rFonts w:ascii="宋体" w:eastAsia="宋体"/>
      <w:sz w:val="18"/>
      <w:lang w:val="en-US" w:eastAsia="zh-CN" w:bidi="ar-SA"/>
    </w:rPr>
  </w:style>
  <w:style w:type="paragraph" w:customStyle="1" w:styleId="230">
    <w:name w:val="Char Char41"/>
    <w:basedOn w:val="1"/>
    <w:qFormat/>
    <w:uiPriority w:val="0"/>
    <w:pPr>
      <w:widowControl/>
      <w:spacing w:line="400" w:lineRule="exact"/>
      <w:jc w:val="center"/>
    </w:pPr>
  </w:style>
  <w:style w:type="character" w:customStyle="1" w:styleId="231">
    <w:name w:val="批注文字 Char"/>
    <w:qFormat/>
    <w:uiPriority w:val="99"/>
    <w:rPr>
      <w:kern w:val="2"/>
      <w:sz w:val="21"/>
      <w:szCs w:val="24"/>
    </w:rPr>
  </w:style>
  <w:style w:type="character" w:customStyle="1" w:styleId="232">
    <w:name w:val="标题 Char"/>
    <w:qFormat/>
    <w:uiPriority w:val="0"/>
    <w:rPr>
      <w:b/>
      <w:kern w:val="2"/>
      <w:sz w:val="32"/>
    </w:rPr>
  </w:style>
  <w:style w:type="character" w:customStyle="1" w:styleId="233">
    <w:name w:val="标题 1 字符"/>
    <w:basedOn w:val="48"/>
    <w:link w:val="4"/>
    <w:qFormat/>
    <w:uiPriority w:val="0"/>
    <w:rPr>
      <w:rFonts w:ascii="宋体"/>
      <w:b/>
      <w:kern w:val="44"/>
      <w:sz w:val="32"/>
    </w:rPr>
  </w:style>
  <w:style w:type="character" w:customStyle="1" w:styleId="234">
    <w:name w:val="标题 4 字符"/>
    <w:basedOn w:val="48"/>
    <w:link w:val="8"/>
    <w:qFormat/>
    <w:uiPriority w:val="0"/>
    <w:rPr>
      <w:rFonts w:ascii="Arial" w:hAnsi="Arial" w:eastAsia="黑体"/>
      <w:b/>
      <w:sz w:val="28"/>
    </w:rPr>
  </w:style>
  <w:style w:type="character" w:customStyle="1" w:styleId="235">
    <w:name w:val="标题 5 字符"/>
    <w:basedOn w:val="48"/>
    <w:link w:val="9"/>
    <w:qFormat/>
    <w:uiPriority w:val="0"/>
    <w:rPr>
      <w:b/>
      <w:sz w:val="28"/>
    </w:rPr>
  </w:style>
  <w:style w:type="character" w:customStyle="1" w:styleId="236">
    <w:name w:val="标题 6 字符"/>
    <w:basedOn w:val="48"/>
    <w:link w:val="10"/>
    <w:qFormat/>
    <w:uiPriority w:val="0"/>
    <w:rPr>
      <w:rFonts w:ascii="Arial" w:hAnsi="Arial" w:eastAsia="黑体"/>
      <w:b/>
      <w:sz w:val="24"/>
    </w:rPr>
  </w:style>
  <w:style w:type="character" w:customStyle="1" w:styleId="237">
    <w:name w:val="标题 7 字符"/>
    <w:basedOn w:val="48"/>
    <w:link w:val="11"/>
    <w:qFormat/>
    <w:uiPriority w:val="0"/>
    <w:rPr>
      <w:b/>
      <w:sz w:val="24"/>
    </w:rPr>
  </w:style>
  <w:style w:type="character" w:customStyle="1" w:styleId="238">
    <w:name w:val="标题 8 字符"/>
    <w:basedOn w:val="48"/>
    <w:link w:val="12"/>
    <w:qFormat/>
    <w:uiPriority w:val="0"/>
    <w:rPr>
      <w:rFonts w:ascii="Arial" w:hAnsi="Arial" w:eastAsia="黑体"/>
      <w:sz w:val="24"/>
    </w:rPr>
  </w:style>
  <w:style w:type="character" w:customStyle="1" w:styleId="239">
    <w:name w:val="标题 9 字符"/>
    <w:basedOn w:val="48"/>
    <w:link w:val="13"/>
    <w:qFormat/>
    <w:uiPriority w:val="0"/>
    <w:rPr>
      <w:rFonts w:ascii="Arial" w:hAnsi="Arial" w:eastAsia="黑体"/>
      <w:sz w:val="21"/>
    </w:rPr>
  </w:style>
  <w:style w:type="character" w:customStyle="1" w:styleId="240">
    <w:name w:val="文档结构图 字符"/>
    <w:basedOn w:val="48"/>
    <w:link w:val="16"/>
    <w:qFormat/>
    <w:uiPriority w:val="0"/>
    <w:rPr>
      <w:kern w:val="2"/>
      <w:sz w:val="21"/>
      <w:szCs w:val="24"/>
      <w:shd w:val="clear" w:color="auto" w:fill="000080"/>
    </w:rPr>
  </w:style>
  <w:style w:type="character" w:customStyle="1" w:styleId="241">
    <w:name w:val="正文文本 3 字符"/>
    <w:basedOn w:val="48"/>
    <w:link w:val="19"/>
    <w:qFormat/>
    <w:uiPriority w:val="0"/>
    <w:rPr>
      <w:kern w:val="2"/>
      <w:sz w:val="16"/>
      <w:szCs w:val="16"/>
    </w:rPr>
  </w:style>
  <w:style w:type="character" w:customStyle="1" w:styleId="242">
    <w:name w:val="正文文本 字符"/>
    <w:basedOn w:val="48"/>
    <w:link w:val="2"/>
    <w:qFormat/>
    <w:uiPriority w:val="0"/>
    <w:rPr>
      <w:rFonts w:ascii="宋体" w:hAnsi="宋体"/>
      <w:kern w:val="2"/>
      <w:sz w:val="24"/>
      <w:szCs w:val="24"/>
    </w:rPr>
  </w:style>
  <w:style w:type="character" w:customStyle="1" w:styleId="243">
    <w:name w:val="日期 字符"/>
    <w:basedOn w:val="48"/>
    <w:link w:val="28"/>
    <w:qFormat/>
    <w:uiPriority w:val="0"/>
    <w:rPr>
      <w:rFonts w:ascii="仿宋_GB2312" w:hAnsi="宋体" w:eastAsia="仿宋_GB2312"/>
      <w:color w:val="000000"/>
      <w:kern w:val="2"/>
      <w:sz w:val="24"/>
      <w:szCs w:val="24"/>
    </w:rPr>
  </w:style>
  <w:style w:type="character" w:customStyle="1" w:styleId="244">
    <w:name w:val="正文文本缩进 2 字符"/>
    <w:basedOn w:val="48"/>
    <w:link w:val="29"/>
    <w:qFormat/>
    <w:uiPriority w:val="0"/>
    <w:rPr>
      <w:rFonts w:ascii="仿宋_GB2312" w:eastAsia="仿宋_GB2312"/>
      <w:kern w:val="2"/>
      <w:sz w:val="24"/>
      <w:szCs w:val="24"/>
    </w:rPr>
  </w:style>
  <w:style w:type="character" w:customStyle="1" w:styleId="245">
    <w:name w:val="批注框文本 字符"/>
    <w:basedOn w:val="48"/>
    <w:link w:val="30"/>
    <w:qFormat/>
    <w:uiPriority w:val="0"/>
    <w:rPr>
      <w:kern w:val="2"/>
      <w:sz w:val="18"/>
      <w:szCs w:val="18"/>
    </w:rPr>
  </w:style>
  <w:style w:type="character" w:customStyle="1" w:styleId="246">
    <w:name w:val="正文文本缩进 3 字符"/>
    <w:basedOn w:val="48"/>
    <w:link w:val="37"/>
    <w:qFormat/>
    <w:uiPriority w:val="0"/>
    <w:rPr>
      <w:rFonts w:ascii="宋体"/>
      <w:sz w:val="24"/>
    </w:rPr>
  </w:style>
  <w:style w:type="character" w:customStyle="1" w:styleId="247">
    <w:name w:val="HTML 预设格式 字符"/>
    <w:basedOn w:val="48"/>
    <w:link w:val="39"/>
    <w:qFormat/>
    <w:uiPriority w:val="0"/>
    <w:rPr>
      <w:rFonts w:ascii="宋体" w:hAnsi="宋体" w:cs="宋体"/>
      <w:sz w:val="24"/>
      <w:szCs w:val="24"/>
    </w:rPr>
  </w:style>
  <w:style w:type="character" w:customStyle="1" w:styleId="248">
    <w:name w:val="批注主题 字符"/>
    <w:basedOn w:val="198"/>
    <w:link w:val="43"/>
    <w:qFormat/>
    <w:uiPriority w:val="0"/>
    <w:rPr>
      <w:rFonts w:ascii="Times New Roman" w:hAnsi="Times New Roman" w:eastAsia="宋体" w:cs="Times New Roman"/>
      <w:b/>
      <w:bCs/>
      <w:kern w:val="2"/>
      <w:sz w:val="21"/>
      <w:szCs w:val="24"/>
      <w:lang w:val="en-US" w:eastAsia="zh-CN" w:bidi="ar-SA"/>
    </w:rPr>
  </w:style>
  <w:style w:type="character" w:customStyle="1" w:styleId="249">
    <w:name w:val="正文文本首行缩进 2 字符"/>
    <w:basedOn w:val="70"/>
    <w:link w:val="44"/>
    <w:qFormat/>
    <w:uiPriority w:val="0"/>
    <w:rPr>
      <w:rFonts w:eastAsia="宋体"/>
      <w:kern w:val="2"/>
      <w:sz w:val="24"/>
      <w:szCs w:val="24"/>
      <w:lang w:val="en-US" w:eastAsia="zh-CN" w:bidi="ar-SA"/>
    </w:rPr>
  </w:style>
  <w:style w:type="paragraph" w:customStyle="1" w:styleId="250">
    <w:name w:val="图例"/>
    <w:basedOn w:val="1"/>
    <w:qFormat/>
    <w:uiPriority w:val="0"/>
    <w:pPr>
      <w:spacing w:before="120" w:after="120" w:line="360" w:lineRule="auto"/>
      <w:jc w:val="center"/>
    </w:pPr>
    <w:rPr>
      <w:rFonts w:eastAsia="仿宋_GB2312"/>
      <w:b/>
      <w:sz w:val="24"/>
      <w:szCs w:val="20"/>
    </w:r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2">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3">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样式 10 磅13"/>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55">
    <w:name w:val="bf.1"/>
    <w:basedOn w:val="1"/>
    <w:qFormat/>
    <w:uiPriority w:val="0"/>
    <w:pPr>
      <w:autoSpaceDE w:val="0"/>
      <w:autoSpaceDN w:val="0"/>
      <w:adjustRightInd w:val="0"/>
      <w:snapToGrid w:val="0"/>
      <w:spacing w:line="240" w:lineRule="atLeast"/>
      <w:ind w:firstLine="420" w:firstLineChars="200"/>
    </w:pPr>
    <w:rPr>
      <w:rFonts w:ascii="宋体" w:hAnsi="Arial"/>
      <w:b/>
      <w:sz w:val="30"/>
    </w:rPr>
  </w:style>
  <w:style w:type="paragraph" w:customStyle="1" w:styleId="256">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57">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paragraph" w:customStyle="1" w:styleId="258">
    <w:name w:val="附件标题"/>
    <w:basedOn w:val="5"/>
    <w:next w:val="1"/>
    <w:qFormat/>
    <w:uiPriority w:val="0"/>
    <w:pPr>
      <w:widowControl/>
      <w:numPr>
        <w:ilvl w:val="0"/>
        <w:numId w:val="8"/>
      </w:numPr>
      <w:tabs>
        <w:tab w:val="left" w:pos="1134"/>
        <w:tab w:val="left" w:pos="2040"/>
      </w:tabs>
      <w:wordWrap w:val="0"/>
      <w:topLinePunct/>
      <w:adjustRightInd w:val="0"/>
      <w:snapToGrid w:val="0"/>
      <w:spacing w:before="0" w:after="120" w:afterLines="50" w:line="360" w:lineRule="auto"/>
      <w:jc w:val="center"/>
    </w:pPr>
    <w:rPr>
      <w:rFonts w:ascii="黑体" w:hAnsi="黑体" w:eastAsia="宋体"/>
      <w:kern w:val="0"/>
      <w:sz w:val="30"/>
      <w:szCs w:val="30"/>
    </w:rPr>
  </w:style>
  <w:style w:type="character" w:customStyle="1" w:styleId="259">
    <w:name w:val="样式 粉红"/>
    <w:qFormat/>
    <w:uiPriority w:val="0"/>
    <w:rPr>
      <w:color w:val="auto"/>
      <w:u w:val="none"/>
    </w:rPr>
  </w:style>
  <w:style w:type="paragraph" w:customStyle="1" w:styleId="260">
    <w:name w:val="金安桥正文"/>
    <w:basedOn w:val="20"/>
    <w:qFormat/>
    <w:uiPriority w:val="0"/>
    <w:pPr>
      <w:adjustRightInd w:val="0"/>
      <w:spacing w:after="0" w:afterLines="0" w:line="300" w:lineRule="auto"/>
      <w:ind w:left="0" w:leftChars="0" w:firstLine="200" w:firstLineChars="200"/>
      <w:jc w:val="left"/>
    </w:pPr>
    <w:rPr>
      <w:kern w:val="0"/>
      <w:sz w:val="24"/>
      <w:szCs w:val="20"/>
    </w:rPr>
  </w:style>
  <w:style w:type="paragraph" w:customStyle="1" w:styleId="261">
    <w:name w:val="标题1"/>
    <w:basedOn w:val="4"/>
    <w:next w:val="1"/>
    <w:qFormat/>
    <w:uiPriority w:val="99"/>
    <w:pPr>
      <w:tabs>
        <w:tab w:val="left" w:pos="0"/>
        <w:tab w:val="left" w:pos="432"/>
      </w:tabs>
      <w:spacing w:after="240" w:line="480" w:lineRule="auto"/>
      <w:ind w:left="284" w:hanging="284"/>
    </w:pPr>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29200</Words>
  <Characters>30872</Characters>
  <Lines>253</Lines>
  <Paragraphs>71</Paragraphs>
  <TotalTime>1</TotalTime>
  <ScaleCrop>false</ScaleCrop>
  <LinksUpToDate>false</LinksUpToDate>
  <CharactersWithSpaces>31981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2025-03-07T05:30:00Z</dcterms:created>
  <dc:creator>Yin Hao</dc:creator>
  <cp:lastModifiedBy>李硕</cp:lastModifiedBy>
  <cp:lastPrinted>2020-04-01T03:13:00Z</cp:lastPrinted>
  <dcterms:modified xsi:type="dcterms:W3CDTF">2025-12-18T05:19:53Z</dcterms:modified>
  <dc:title>政府采购示范文本（2023）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2E8F3C4495FA4E0EB783B760CBE1D3AF</vt:lpwstr>
  </property>
  <property fmtid="{D5CDD505-2E9C-101B-9397-08002B2CF9AE}" pid="4" name="KSOTemplateDocerSaveRecord">
    <vt:lpwstr>eyJoZGlkIjoiOWVlMGE5YWRmZjk0ODIxMzUyNDMzOTdkMWVmZGJiMTMiLCJ1c2VySWQiOiIzMzQzNzg4MzEifQ==</vt:lpwstr>
  </property>
</Properties>
</file>